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D530B" w14:textId="204CABC9" w:rsidR="003E5ADD" w:rsidRPr="00981063" w:rsidRDefault="00981063" w:rsidP="00457F9B">
      <w:pPr>
        <w:pStyle w:val="Heading1"/>
        <w:jc w:val="center"/>
        <w:rPr>
          <w:b/>
          <w:bCs/>
        </w:rPr>
      </w:pPr>
      <w:r w:rsidRPr="00981063">
        <w:rPr>
          <w:b/>
          <w:bCs/>
        </w:rPr>
        <w:t xml:space="preserve">Appendix </w:t>
      </w:r>
      <w:r w:rsidR="003B7327">
        <w:rPr>
          <w:b/>
          <w:bCs/>
        </w:rPr>
        <w:t>A</w:t>
      </w:r>
      <w:r w:rsidRPr="00981063">
        <w:rPr>
          <w:b/>
          <w:bCs/>
        </w:rPr>
        <w:t>: Regulatory Burden Costings</w:t>
      </w:r>
    </w:p>
    <w:p w14:paraId="4DE77B73" w14:textId="4414982C" w:rsidR="00981063" w:rsidRPr="005D3A83" w:rsidRDefault="00981063" w:rsidP="00981063">
      <w:pPr>
        <w:rPr>
          <w:rFonts w:ascii="Calibri" w:hAnsi="Calibri" w:cs="Calibri"/>
          <w:sz w:val="22"/>
          <w:szCs w:val="22"/>
        </w:rPr>
      </w:pPr>
      <w:r w:rsidRPr="005D3A83">
        <w:rPr>
          <w:rFonts w:ascii="Calibri" w:hAnsi="Calibri" w:cs="Calibri"/>
          <w:sz w:val="22"/>
          <w:szCs w:val="22"/>
        </w:rPr>
        <w:t>Of the options considered in this Impact Analysis, the following option is expected to create regulatory burdens for electricity retailers:</w:t>
      </w:r>
    </w:p>
    <w:p w14:paraId="4E282029" w14:textId="13760249" w:rsidR="00981063" w:rsidRPr="005D3A83" w:rsidRDefault="00981063" w:rsidP="00981063">
      <w:pPr>
        <w:pStyle w:val="ListParagraph"/>
        <w:numPr>
          <w:ilvl w:val="0"/>
          <w:numId w:val="1"/>
        </w:numPr>
        <w:rPr>
          <w:rFonts w:ascii="Calibri" w:hAnsi="Calibri" w:cs="Calibri"/>
          <w:sz w:val="22"/>
          <w:szCs w:val="22"/>
        </w:rPr>
      </w:pPr>
      <w:r w:rsidRPr="005D3A83">
        <w:rPr>
          <w:rFonts w:ascii="Calibri" w:hAnsi="Calibri" w:cs="Calibri"/>
          <w:sz w:val="22"/>
          <w:szCs w:val="22"/>
        </w:rPr>
        <w:t>Option A1: Regulated Solar Sharer Offer (SSO) as a standing offer within the Default Market Offer (DMO) framework</w:t>
      </w:r>
      <w:r w:rsidR="007D53C8" w:rsidRPr="005D3A83">
        <w:rPr>
          <w:rFonts w:ascii="Calibri" w:hAnsi="Calibri" w:cs="Calibri"/>
          <w:sz w:val="22"/>
          <w:szCs w:val="22"/>
        </w:rPr>
        <w:t>.</w:t>
      </w:r>
    </w:p>
    <w:p w14:paraId="319A7013" w14:textId="75468D84" w:rsidR="00981063" w:rsidRPr="005D3A83" w:rsidRDefault="00981063" w:rsidP="00981063">
      <w:pPr>
        <w:rPr>
          <w:rFonts w:ascii="Calibri" w:hAnsi="Calibri" w:cs="Calibri"/>
          <w:sz w:val="22"/>
          <w:szCs w:val="22"/>
        </w:rPr>
      </w:pPr>
      <w:r w:rsidRPr="005D3A83">
        <w:rPr>
          <w:rFonts w:ascii="Calibri" w:hAnsi="Calibri" w:cs="Calibri"/>
          <w:sz w:val="22"/>
          <w:szCs w:val="22"/>
        </w:rPr>
        <w:t xml:space="preserve">This technical appendix outlines how regulatory burden costs for this option were </w:t>
      </w:r>
      <w:r w:rsidR="00B912D5">
        <w:rPr>
          <w:rFonts w:ascii="Calibri" w:hAnsi="Calibri" w:cs="Calibri"/>
          <w:sz w:val="22"/>
          <w:szCs w:val="22"/>
        </w:rPr>
        <w:t>estimated</w:t>
      </w:r>
      <w:r w:rsidRPr="005D3A83">
        <w:rPr>
          <w:rFonts w:ascii="Calibri" w:hAnsi="Calibri" w:cs="Calibri"/>
          <w:sz w:val="22"/>
          <w:szCs w:val="22"/>
        </w:rPr>
        <w:t>, including the assumptions used and the resulting 10</w:t>
      </w:r>
      <w:r w:rsidRPr="005D3A83">
        <w:rPr>
          <w:rFonts w:ascii="Cambria Math" w:hAnsi="Cambria Math" w:cs="Cambria Math"/>
          <w:sz w:val="22"/>
          <w:szCs w:val="22"/>
        </w:rPr>
        <w:t>‑</w:t>
      </w:r>
      <w:r w:rsidRPr="005D3A83">
        <w:rPr>
          <w:rFonts w:ascii="Calibri" w:hAnsi="Calibri" w:cs="Calibri"/>
          <w:sz w:val="22"/>
          <w:szCs w:val="22"/>
        </w:rPr>
        <w:t>year cost estimates</w:t>
      </w:r>
      <w:r w:rsidR="00F700B0">
        <w:rPr>
          <w:rFonts w:ascii="Calibri" w:hAnsi="Calibri" w:cs="Calibri"/>
          <w:sz w:val="22"/>
          <w:szCs w:val="22"/>
        </w:rPr>
        <w:t>.</w:t>
      </w:r>
    </w:p>
    <w:p w14:paraId="2B7568FA" w14:textId="337504AF" w:rsidR="00981063" w:rsidRPr="005D3A83" w:rsidRDefault="00981063" w:rsidP="00981063">
      <w:pPr>
        <w:rPr>
          <w:rFonts w:ascii="Calibri" w:hAnsi="Calibri" w:cs="Calibri"/>
          <w:sz w:val="22"/>
          <w:szCs w:val="22"/>
        </w:rPr>
      </w:pPr>
      <w:r w:rsidRPr="005D3A83">
        <w:rPr>
          <w:rFonts w:ascii="Calibri" w:hAnsi="Calibri" w:cs="Calibri"/>
          <w:sz w:val="22"/>
          <w:szCs w:val="22"/>
        </w:rPr>
        <w:t xml:space="preserve">Options A0 (status quo) and A2 (voluntary code/guidance) do not impose additional mandatory regulatory burden, and therefore no </w:t>
      </w:r>
      <w:r w:rsidR="009562D9">
        <w:rPr>
          <w:rFonts w:ascii="Calibri" w:hAnsi="Calibri" w:cs="Calibri"/>
          <w:sz w:val="22"/>
          <w:szCs w:val="22"/>
        </w:rPr>
        <w:t xml:space="preserve">additional regulatory </w:t>
      </w:r>
      <w:r w:rsidRPr="005D3A83">
        <w:rPr>
          <w:rFonts w:ascii="Calibri" w:hAnsi="Calibri" w:cs="Calibri"/>
          <w:sz w:val="22"/>
          <w:szCs w:val="22"/>
        </w:rPr>
        <w:t>burden is quantified for those options.</w:t>
      </w:r>
    </w:p>
    <w:p w14:paraId="18665D0C" w14:textId="30D727D5" w:rsidR="009A1BC3" w:rsidRDefault="004D17AD" w:rsidP="004D17AD">
      <w:pPr>
        <w:rPr>
          <w:rFonts w:ascii="Calibri" w:hAnsi="Calibri" w:cs="Calibri"/>
          <w:sz w:val="22"/>
          <w:szCs w:val="22"/>
        </w:rPr>
      </w:pPr>
      <w:r w:rsidRPr="005D3A83">
        <w:rPr>
          <w:rFonts w:ascii="Calibri" w:hAnsi="Calibri" w:cs="Calibri"/>
          <w:sz w:val="22"/>
          <w:szCs w:val="22"/>
        </w:rPr>
        <w:t>Option A1 impose</w:t>
      </w:r>
      <w:r w:rsidR="003E4C8D">
        <w:rPr>
          <w:rFonts w:ascii="Calibri" w:hAnsi="Calibri" w:cs="Calibri"/>
          <w:sz w:val="22"/>
          <w:szCs w:val="22"/>
        </w:rPr>
        <w:t>s</w:t>
      </w:r>
      <w:r w:rsidRPr="005D3A83">
        <w:rPr>
          <w:rFonts w:ascii="Calibri" w:hAnsi="Calibri" w:cs="Calibri"/>
          <w:sz w:val="22"/>
          <w:szCs w:val="22"/>
        </w:rPr>
        <w:t xml:space="preserve"> compliance obligations on authorised energy retailers required to implement and administer the regulated SSO processes. The burden estimate excludes voluntary commercial decisions to offer additional products or participate in optional processes beyond what is required under the</w:t>
      </w:r>
      <w:r w:rsidR="009A1BC3">
        <w:rPr>
          <w:rFonts w:ascii="Calibri" w:hAnsi="Calibri" w:cs="Calibri"/>
          <w:sz w:val="22"/>
          <w:szCs w:val="22"/>
        </w:rPr>
        <w:t xml:space="preserve"> relevant legislative and regulatory framework</w:t>
      </w:r>
      <w:r w:rsidRPr="005D3A83">
        <w:rPr>
          <w:rFonts w:ascii="Calibri" w:hAnsi="Calibri" w:cs="Calibri"/>
          <w:sz w:val="22"/>
          <w:szCs w:val="22"/>
        </w:rPr>
        <w:t>.</w:t>
      </w:r>
      <w:r w:rsidR="006504C2" w:rsidRPr="005D3A83">
        <w:rPr>
          <w:rFonts w:ascii="Calibri" w:hAnsi="Calibri" w:cs="Calibri"/>
          <w:sz w:val="22"/>
          <w:szCs w:val="22"/>
        </w:rPr>
        <w:t xml:space="preserve"> </w:t>
      </w:r>
    </w:p>
    <w:p w14:paraId="3EC54801" w14:textId="6EDFBD19" w:rsidR="004D17AD" w:rsidRPr="005D3A83" w:rsidRDefault="006504C2" w:rsidP="004D17AD">
      <w:pPr>
        <w:rPr>
          <w:rFonts w:ascii="Calibri" w:hAnsi="Calibri" w:cs="Calibri"/>
          <w:sz w:val="22"/>
          <w:szCs w:val="22"/>
        </w:rPr>
      </w:pPr>
      <w:r w:rsidRPr="005D3A83">
        <w:rPr>
          <w:rFonts w:ascii="Calibri" w:hAnsi="Calibri" w:cs="Calibri"/>
          <w:sz w:val="22"/>
          <w:szCs w:val="22"/>
        </w:rPr>
        <w:t xml:space="preserve">The estimates below relate only to </w:t>
      </w:r>
      <w:r w:rsidRPr="005D3A83">
        <w:rPr>
          <w:rFonts w:ascii="Calibri" w:hAnsi="Calibri" w:cs="Calibri"/>
          <w:b/>
          <w:bCs/>
          <w:sz w:val="22"/>
          <w:szCs w:val="22"/>
        </w:rPr>
        <w:t>mandatory compliance requirements</w:t>
      </w:r>
      <w:r w:rsidRPr="005D3A83">
        <w:rPr>
          <w:rFonts w:ascii="Calibri" w:hAnsi="Calibri" w:cs="Calibri"/>
          <w:sz w:val="22"/>
          <w:szCs w:val="22"/>
        </w:rPr>
        <w:t xml:space="preserve"> arising from implementation of the SSO as a regulated standing offer under the DMO framework.</w:t>
      </w:r>
    </w:p>
    <w:p w14:paraId="4952C10D" w14:textId="77777777" w:rsidR="00A678B0" w:rsidRPr="005D3A83" w:rsidRDefault="00A678B0" w:rsidP="00A678B0">
      <w:pPr>
        <w:rPr>
          <w:rFonts w:ascii="Calibri" w:hAnsi="Calibri" w:cs="Calibri"/>
          <w:sz w:val="22"/>
          <w:szCs w:val="22"/>
        </w:rPr>
      </w:pPr>
      <w:r w:rsidRPr="005D3A83">
        <w:rPr>
          <w:rFonts w:ascii="Calibri" w:hAnsi="Calibri" w:cs="Calibri"/>
          <w:sz w:val="22"/>
          <w:szCs w:val="22"/>
        </w:rPr>
        <w:t>The estimates exclude:</w:t>
      </w:r>
    </w:p>
    <w:p w14:paraId="06C4F15C" w14:textId="77777777" w:rsidR="00A678B0" w:rsidRPr="005D3A83" w:rsidRDefault="00A678B0" w:rsidP="00A678B0">
      <w:pPr>
        <w:pStyle w:val="ListParagraph"/>
        <w:numPr>
          <w:ilvl w:val="0"/>
          <w:numId w:val="1"/>
        </w:numPr>
        <w:rPr>
          <w:rFonts w:ascii="Calibri" w:hAnsi="Calibri" w:cs="Calibri"/>
          <w:sz w:val="22"/>
          <w:szCs w:val="22"/>
        </w:rPr>
      </w:pPr>
      <w:r w:rsidRPr="005D3A83">
        <w:rPr>
          <w:rFonts w:ascii="Calibri" w:hAnsi="Calibri" w:cs="Calibri"/>
          <w:sz w:val="22"/>
          <w:szCs w:val="22"/>
        </w:rPr>
        <w:t>Voluntary commercial decisions</w:t>
      </w:r>
    </w:p>
    <w:p w14:paraId="4C6BFD89" w14:textId="1D688F3C" w:rsidR="00A678B0" w:rsidRPr="005D3A83" w:rsidRDefault="00A678B0" w:rsidP="00A678B0">
      <w:pPr>
        <w:pStyle w:val="ListParagraph"/>
        <w:numPr>
          <w:ilvl w:val="0"/>
          <w:numId w:val="1"/>
        </w:numPr>
        <w:rPr>
          <w:rFonts w:ascii="Calibri" w:hAnsi="Calibri" w:cs="Calibri"/>
          <w:sz w:val="22"/>
          <w:szCs w:val="22"/>
        </w:rPr>
      </w:pPr>
      <w:r w:rsidRPr="005D3A83">
        <w:rPr>
          <w:rFonts w:ascii="Calibri" w:hAnsi="Calibri" w:cs="Calibri"/>
          <w:sz w:val="22"/>
          <w:szCs w:val="22"/>
        </w:rPr>
        <w:t>Broader NECF compliance</w:t>
      </w:r>
      <w:r w:rsidR="00170EDF">
        <w:rPr>
          <w:rFonts w:ascii="Calibri" w:hAnsi="Calibri" w:cs="Calibri"/>
          <w:sz w:val="22"/>
          <w:szCs w:val="22"/>
        </w:rPr>
        <w:t xml:space="preserve"> not </w:t>
      </w:r>
      <w:r w:rsidR="00283B86">
        <w:rPr>
          <w:rFonts w:ascii="Calibri" w:hAnsi="Calibri" w:cs="Calibri"/>
          <w:sz w:val="22"/>
          <w:szCs w:val="22"/>
        </w:rPr>
        <w:t>specifically</w:t>
      </w:r>
      <w:r w:rsidR="00170EDF">
        <w:rPr>
          <w:rFonts w:ascii="Calibri" w:hAnsi="Calibri" w:cs="Calibri"/>
          <w:sz w:val="22"/>
          <w:szCs w:val="22"/>
        </w:rPr>
        <w:t xml:space="preserve"> attributable to SSO</w:t>
      </w:r>
    </w:p>
    <w:p w14:paraId="65EA4390" w14:textId="77777777" w:rsidR="00A678B0" w:rsidRPr="005D3A83" w:rsidRDefault="00A678B0" w:rsidP="00A678B0">
      <w:pPr>
        <w:pStyle w:val="ListParagraph"/>
        <w:numPr>
          <w:ilvl w:val="0"/>
          <w:numId w:val="1"/>
        </w:numPr>
        <w:rPr>
          <w:rFonts w:ascii="Calibri" w:hAnsi="Calibri" w:cs="Calibri"/>
          <w:sz w:val="22"/>
          <w:szCs w:val="22"/>
        </w:rPr>
      </w:pPr>
      <w:r w:rsidRPr="005D3A83">
        <w:rPr>
          <w:rFonts w:ascii="Calibri" w:hAnsi="Calibri" w:cs="Calibri"/>
          <w:sz w:val="22"/>
          <w:szCs w:val="22"/>
        </w:rPr>
        <w:t>National retailer operations outside DMO jurisdictions</w:t>
      </w:r>
    </w:p>
    <w:p w14:paraId="672EE080" w14:textId="77777777" w:rsidR="00A678B0" w:rsidRDefault="00A678B0" w:rsidP="00A678B0">
      <w:pPr>
        <w:pStyle w:val="ListParagraph"/>
        <w:numPr>
          <w:ilvl w:val="0"/>
          <w:numId w:val="1"/>
        </w:numPr>
        <w:rPr>
          <w:rFonts w:ascii="Calibri" w:hAnsi="Calibri" w:cs="Calibri"/>
          <w:sz w:val="22"/>
          <w:szCs w:val="22"/>
        </w:rPr>
      </w:pPr>
      <w:r w:rsidRPr="005D3A83">
        <w:rPr>
          <w:rFonts w:ascii="Calibri" w:hAnsi="Calibri" w:cs="Calibri"/>
          <w:sz w:val="22"/>
          <w:szCs w:val="22"/>
        </w:rPr>
        <w:t>Costs associated with optional or enhanced product offerings</w:t>
      </w:r>
    </w:p>
    <w:p w14:paraId="4D370021" w14:textId="36207804" w:rsidR="00C916D9" w:rsidRPr="005D3A83" w:rsidRDefault="00C916D9" w:rsidP="00A678B0">
      <w:pPr>
        <w:pStyle w:val="ListParagraph"/>
        <w:numPr>
          <w:ilvl w:val="0"/>
          <w:numId w:val="1"/>
        </w:numPr>
        <w:rPr>
          <w:rFonts w:ascii="Calibri" w:hAnsi="Calibri" w:cs="Calibri"/>
          <w:sz w:val="22"/>
          <w:szCs w:val="22"/>
        </w:rPr>
      </w:pPr>
      <w:r>
        <w:rPr>
          <w:rFonts w:ascii="Calibri" w:hAnsi="Calibri" w:cs="Calibri"/>
          <w:sz w:val="22"/>
          <w:szCs w:val="22"/>
        </w:rPr>
        <w:t xml:space="preserve">Government enforcement costs (as </w:t>
      </w:r>
      <w:r w:rsidR="00091186">
        <w:rPr>
          <w:rFonts w:ascii="Calibri" w:hAnsi="Calibri" w:cs="Calibri"/>
          <w:sz w:val="22"/>
          <w:szCs w:val="22"/>
        </w:rPr>
        <w:t>distinct</w:t>
      </w:r>
      <w:r>
        <w:rPr>
          <w:rFonts w:ascii="Calibri" w:hAnsi="Calibri" w:cs="Calibri"/>
          <w:sz w:val="22"/>
          <w:szCs w:val="22"/>
        </w:rPr>
        <w:t xml:space="preserve"> from retailer </w:t>
      </w:r>
      <w:r w:rsidR="00091186">
        <w:rPr>
          <w:rFonts w:ascii="Calibri" w:hAnsi="Calibri" w:cs="Calibri"/>
          <w:sz w:val="22"/>
          <w:szCs w:val="22"/>
        </w:rPr>
        <w:t>compliance</w:t>
      </w:r>
      <w:r>
        <w:rPr>
          <w:rFonts w:ascii="Calibri" w:hAnsi="Calibri" w:cs="Calibri"/>
          <w:sz w:val="22"/>
          <w:szCs w:val="22"/>
        </w:rPr>
        <w:t xml:space="preserve"> costs) </w:t>
      </w:r>
    </w:p>
    <w:p w14:paraId="7629EA40" w14:textId="4C8A249E" w:rsidR="00781695" w:rsidRPr="005D3A83" w:rsidRDefault="00A678B0" w:rsidP="00781695">
      <w:pPr>
        <w:rPr>
          <w:rFonts w:ascii="Calibri" w:hAnsi="Calibri" w:cs="Calibri"/>
          <w:sz w:val="22"/>
          <w:szCs w:val="22"/>
        </w:rPr>
      </w:pPr>
      <w:r w:rsidRPr="005D3A83">
        <w:rPr>
          <w:rFonts w:ascii="Calibri" w:hAnsi="Calibri" w:cs="Calibri"/>
          <w:sz w:val="22"/>
          <w:szCs w:val="22"/>
        </w:rPr>
        <w:t>All costs are presented over a 10-year period, consistent with Office of Impact Analysis (OIA) guidance.</w:t>
      </w:r>
    </w:p>
    <w:p w14:paraId="2E01C9DD" w14:textId="68332B8D" w:rsidR="00A678B0" w:rsidRPr="00A678B0" w:rsidRDefault="00A678B0" w:rsidP="009918BE">
      <w:pPr>
        <w:pStyle w:val="Heading3"/>
        <w:numPr>
          <w:ilvl w:val="0"/>
          <w:numId w:val="10"/>
        </w:numPr>
      </w:pPr>
      <w:r w:rsidRPr="00A678B0">
        <w:t>Businesses Impacted</w:t>
      </w:r>
    </w:p>
    <w:p w14:paraId="3B3CF18B" w14:textId="77777777" w:rsidR="00940A40" w:rsidRPr="005D3A83" w:rsidRDefault="00705F30" w:rsidP="00705F30">
      <w:pPr>
        <w:rPr>
          <w:rFonts w:ascii="Calibri" w:hAnsi="Calibri" w:cs="Calibri"/>
          <w:sz w:val="22"/>
          <w:szCs w:val="22"/>
        </w:rPr>
      </w:pPr>
      <w:r w:rsidRPr="005D3A83">
        <w:rPr>
          <w:rFonts w:ascii="Calibri" w:hAnsi="Calibri" w:cs="Calibri"/>
          <w:sz w:val="22"/>
          <w:szCs w:val="22"/>
        </w:rPr>
        <w:t>Th</w:t>
      </w:r>
      <w:r w:rsidR="009918BE" w:rsidRPr="005D3A83">
        <w:rPr>
          <w:rFonts w:ascii="Calibri" w:hAnsi="Calibri" w:cs="Calibri"/>
          <w:sz w:val="22"/>
          <w:szCs w:val="22"/>
        </w:rPr>
        <w:t>e regulatory obligation applies</w:t>
      </w:r>
      <w:r w:rsidRPr="005D3A83">
        <w:rPr>
          <w:rFonts w:ascii="Calibri" w:hAnsi="Calibri" w:cs="Calibri"/>
          <w:sz w:val="22"/>
          <w:szCs w:val="22"/>
        </w:rPr>
        <w:t xml:space="preserve"> only to </w:t>
      </w:r>
      <w:r w:rsidR="00D77921" w:rsidRPr="005D3A83">
        <w:rPr>
          <w:rFonts w:ascii="Calibri" w:hAnsi="Calibri" w:cs="Calibri"/>
          <w:sz w:val="22"/>
          <w:szCs w:val="22"/>
        </w:rPr>
        <w:t>authorised</w:t>
      </w:r>
      <w:r w:rsidRPr="005D3A83">
        <w:rPr>
          <w:rFonts w:ascii="Calibri" w:hAnsi="Calibri" w:cs="Calibri"/>
          <w:sz w:val="22"/>
          <w:szCs w:val="22"/>
        </w:rPr>
        <w:t xml:space="preserve"> electricity retailers supplying residential customers in DMO jurisdictions </w:t>
      </w:r>
      <w:r w:rsidR="00B75346" w:rsidRPr="005D3A83">
        <w:rPr>
          <w:rFonts w:ascii="Calibri" w:hAnsi="Calibri" w:cs="Calibri"/>
          <w:sz w:val="22"/>
          <w:szCs w:val="22"/>
        </w:rPr>
        <w:t>(</w:t>
      </w:r>
      <w:r w:rsidR="00940A40" w:rsidRPr="005D3A83">
        <w:rPr>
          <w:rFonts w:ascii="Calibri" w:hAnsi="Calibri" w:cs="Calibri"/>
          <w:sz w:val="22"/>
          <w:szCs w:val="22"/>
        </w:rPr>
        <w:t>New South Wales, Queensland and South Australia)</w:t>
      </w:r>
      <w:r w:rsidRPr="005D3A83">
        <w:rPr>
          <w:rFonts w:ascii="Calibri" w:hAnsi="Calibri" w:cs="Calibri"/>
          <w:sz w:val="22"/>
          <w:szCs w:val="22"/>
        </w:rPr>
        <w:t xml:space="preserve"> who have more than 1,000 customers in that jurisdiction</w:t>
      </w:r>
      <w:r w:rsidR="00940A40" w:rsidRPr="005D3A83">
        <w:rPr>
          <w:rFonts w:ascii="Calibri" w:hAnsi="Calibri" w:cs="Calibri"/>
          <w:sz w:val="22"/>
          <w:szCs w:val="22"/>
        </w:rPr>
        <w:t>.</w:t>
      </w:r>
    </w:p>
    <w:p w14:paraId="4BB7E386" w14:textId="5A5E0412" w:rsidR="00705F30" w:rsidRPr="005D3A83" w:rsidRDefault="00940A40" w:rsidP="00705F30">
      <w:pPr>
        <w:rPr>
          <w:rFonts w:ascii="Calibri" w:hAnsi="Calibri" w:cs="Calibri"/>
          <w:sz w:val="22"/>
          <w:szCs w:val="22"/>
        </w:rPr>
      </w:pPr>
      <w:r w:rsidRPr="005D3A83">
        <w:rPr>
          <w:rFonts w:ascii="Calibri" w:hAnsi="Calibri" w:cs="Calibri"/>
          <w:sz w:val="22"/>
          <w:szCs w:val="22"/>
        </w:rPr>
        <w:t>This</w:t>
      </w:r>
      <w:r w:rsidR="00571D33" w:rsidRPr="005D3A83">
        <w:rPr>
          <w:rFonts w:ascii="Calibri" w:hAnsi="Calibri" w:cs="Calibri"/>
          <w:sz w:val="22"/>
          <w:szCs w:val="22"/>
        </w:rPr>
        <w:t xml:space="preserve"> threshold</w:t>
      </w:r>
      <w:r w:rsidR="00705F30" w:rsidRPr="005D3A83">
        <w:rPr>
          <w:rFonts w:ascii="Calibri" w:hAnsi="Calibri" w:cs="Calibri"/>
          <w:sz w:val="22"/>
          <w:szCs w:val="22"/>
        </w:rPr>
        <w:t xml:space="preserve"> </w:t>
      </w:r>
      <w:r w:rsidR="00231420" w:rsidRPr="005D3A83">
        <w:rPr>
          <w:rFonts w:ascii="Calibri" w:hAnsi="Calibri" w:cs="Calibri"/>
          <w:sz w:val="22"/>
          <w:szCs w:val="22"/>
        </w:rPr>
        <w:t xml:space="preserve">aligns with </w:t>
      </w:r>
      <w:r w:rsidR="001B0874" w:rsidRPr="00FF18F8">
        <w:rPr>
          <w:rFonts w:ascii="Calibri" w:hAnsi="Calibri" w:cs="Calibri"/>
          <w:sz w:val="22"/>
          <w:szCs w:val="22"/>
        </w:rPr>
        <w:t>the policy design</w:t>
      </w:r>
      <w:r w:rsidR="00705F30" w:rsidRPr="00FF18F8">
        <w:rPr>
          <w:rFonts w:ascii="Calibri" w:hAnsi="Calibri" w:cs="Calibri"/>
          <w:sz w:val="22"/>
          <w:szCs w:val="22"/>
        </w:rPr>
        <w:t xml:space="preserve"> </w:t>
      </w:r>
      <w:r w:rsidR="00705F30" w:rsidRPr="005D3A83">
        <w:rPr>
          <w:rFonts w:ascii="Calibri" w:hAnsi="Calibri" w:cs="Calibri"/>
          <w:sz w:val="22"/>
          <w:szCs w:val="22"/>
        </w:rPr>
        <w:t xml:space="preserve">to </w:t>
      </w:r>
      <w:r w:rsidR="00534EBB" w:rsidRPr="005D3A83">
        <w:rPr>
          <w:rFonts w:ascii="Calibri" w:hAnsi="Calibri" w:cs="Calibri"/>
          <w:sz w:val="22"/>
          <w:szCs w:val="22"/>
        </w:rPr>
        <w:t xml:space="preserve">exempt </w:t>
      </w:r>
      <w:r w:rsidR="000850D7" w:rsidRPr="005D3A83">
        <w:rPr>
          <w:rFonts w:ascii="Calibri" w:hAnsi="Calibri" w:cs="Calibri"/>
          <w:sz w:val="22"/>
          <w:szCs w:val="22"/>
        </w:rPr>
        <w:t xml:space="preserve">small retailers </w:t>
      </w:r>
      <w:r w:rsidR="00CC33DB" w:rsidRPr="005D3A83">
        <w:rPr>
          <w:rFonts w:ascii="Calibri" w:hAnsi="Calibri" w:cs="Calibri"/>
          <w:sz w:val="22"/>
          <w:szCs w:val="22"/>
        </w:rPr>
        <w:t>with</w:t>
      </w:r>
      <w:r w:rsidR="000850D7" w:rsidRPr="005D3A83">
        <w:rPr>
          <w:rFonts w:ascii="Calibri" w:hAnsi="Calibri" w:cs="Calibri"/>
          <w:sz w:val="22"/>
          <w:szCs w:val="22"/>
        </w:rPr>
        <w:t xml:space="preserve"> </w:t>
      </w:r>
      <w:r w:rsidR="00705F30" w:rsidRPr="005D3A83">
        <w:rPr>
          <w:rFonts w:ascii="Calibri" w:hAnsi="Calibri" w:cs="Calibri"/>
          <w:sz w:val="22"/>
          <w:szCs w:val="22"/>
        </w:rPr>
        <w:t>fewer than 1,000 customers from the obligation</w:t>
      </w:r>
      <w:r w:rsidR="0091009E" w:rsidRPr="005D3A83">
        <w:rPr>
          <w:rFonts w:ascii="Calibri" w:hAnsi="Calibri" w:cs="Calibri"/>
          <w:sz w:val="22"/>
          <w:szCs w:val="22"/>
        </w:rPr>
        <w:t xml:space="preserve"> to offer SSO standing offer</w:t>
      </w:r>
      <w:r w:rsidR="00705F30" w:rsidRPr="005D3A83">
        <w:rPr>
          <w:rFonts w:ascii="Calibri" w:hAnsi="Calibri" w:cs="Calibri"/>
          <w:sz w:val="22"/>
          <w:szCs w:val="22"/>
        </w:rPr>
        <w:t>.</w:t>
      </w:r>
    </w:p>
    <w:p w14:paraId="68A056E8" w14:textId="69B2C9FF" w:rsidR="00705F30" w:rsidRPr="005D3A83" w:rsidRDefault="00705F30" w:rsidP="00705F30">
      <w:pPr>
        <w:rPr>
          <w:rFonts w:ascii="Calibri" w:hAnsi="Calibri" w:cs="Calibri"/>
          <w:sz w:val="22"/>
          <w:szCs w:val="22"/>
        </w:rPr>
      </w:pPr>
      <w:r w:rsidRPr="005D3A83">
        <w:rPr>
          <w:rFonts w:ascii="Calibri" w:hAnsi="Calibri" w:cs="Calibri"/>
          <w:sz w:val="22"/>
          <w:szCs w:val="22"/>
        </w:rPr>
        <w:t>Based on customer</w:t>
      </w:r>
      <w:r w:rsidRPr="005D3A83">
        <w:rPr>
          <w:rFonts w:ascii="Cambria Math" w:hAnsi="Cambria Math" w:cs="Cambria Math"/>
          <w:sz w:val="22"/>
          <w:szCs w:val="22"/>
        </w:rPr>
        <w:t>‑</w:t>
      </w:r>
      <w:r w:rsidRPr="005D3A83">
        <w:rPr>
          <w:rFonts w:ascii="Calibri" w:hAnsi="Calibri" w:cs="Calibri"/>
          <w:sz w:val="22"/>
          <w:szCs w:val="22"/>
        </w:rPr>
        <w:t>number data for NSW, Queensland and South Australia, the following numbers of retailers meet the ≥1,000</w:t>
      </w:r>
      <w:r w:rsidRPr="005D3A83">
        <w:rPr>
          <w:rFonts w:ascii="Cambria Math" w:hAnsi="Cambria Math" w:cs="Cambria Math"/>
          <w:sz w:val="22"/>
          <w:szCs w:val="22"/>
        </w:rPr>
        <w:t>‑</w:t>
      </w:r>
      <w:r w:rsidRPr="005D3A83">
        <w:rPr>
          <w:rFonts w:ascii="Calibri" w:hAnsi="Calibri" w:cs="Calibri"/>
          <w:sz w:val="22"/>
          <w:szCs w:val="22"/>
        </w:rPr>
        <w:t xml:space="preserve">customer threshold in </w:t>
      </w:r>
      <w:r w:rsidR="00250921">
        <w:rPr>
          <w:rFonts w:ascii="Calibri" w:hAnsi="Calibri" w:cs="Calibri"/>
          <w:sz w:val="22"/>
          <w:szCs w:val="22"/>
        </w:rPr>
        <w:t>the DMO</w:t>
      </w:r>
      <w:r w:rsidR="00250921" w:rsidRPr="005D3A83">
        <w:rPr>
          <w:rFonts w:ascii="Calibri" w:hAnsi="Calibri" w:cs="Calibri"/>
          <w:sz w:val="22"/>
          <w:szCs w:val="22"/>
        </w:rPr>
        <w:t xml:space="preserve"> </w:t>
      </w:r>
      <w:r w:rsidRPr="005D3A83">
        <w:rPr>
          <w:rFonts w:ascii="Calibri" w:hAnsi="Calibri" w:cs="Calibri"/>
          <w:sz w:val="22"/>
          <w:szCs w:val="22"/>
        </w:rPr>
        <w:t>jurisdiction:</w:t>
      </w:r>
    </w:p>
    <w:p w14:paraId="37AB96ED" w14:textId="77777777" w:rsidR="008F23F1" w:rsidRPr="005D3A83" w:rsidRDefault="008F23F1" w:rsidP="008F23F1">
      <w:pPr>
        <w:pStyle w:val="ListParagraph"/>
        <w:numPr>
          <w:ilvl w:val="0"/>
          <w:numId w:val="9"/>
        </w:numPr>
        <w:rPr>
          <w:rFonts w:ascii="Calibri" w:hAnsi="Calibri" w:cs="Calibri"/>
          <w:sz w:val="22"/>
          <w:szCs w:val="22"/>
        </w:rPr>
      </w:pPr>
      <w:r w:rsidRPr="005D3A83">
        <w:rPr>
          <w:rFonts w:ascii="Calibri" w:hAnsi="Calibri" w:cs="Calibri"/>
          <w:sz w:val="22"/>
          <w:szCs w:val="22"/>
        </w:rPr>
        <w:t>22 retailers in NSW</w:t>
      </w:r>
    </w:p>
    <w:p w14:paraId="4CC9DFAF" w14:textId="77777777" w:rsidR="008F23F1" w:rsidRPr="005D3A83" w:rsidRDefault="008F23F1" w:rsidP="008F23F1">
      <w:pPr>
        <w:pStyle w:val="ListParagraph"/>
        <w:numPr>
          <w:ilvl w:val="0"/>
          <w:numId w:val="9"/>
        </w:numPr>
        <w:rPr>
          <w:rFonts w:ascii="Calibri" w:hAnsi="Calibri" w:cs="Calibri"/>
          <w:sz w:val="22"/>
          <w:szCs w:val="22"/>
        </w:rPr>
      </w:pPr>
      <w:r w:rsidRPr="005D3A83">
        <w:rPr>
          <w:rFonts w:ascii="Calibri" w:hAnsi="Calibri" w:cs="Calibri"/>
          <w:sz w:val="22"/>
          <w:szCs w:val="22"/>
        </w:rPr>
        <w:t>20 retailers in QLD</w:t>
      </w:r>
    </w:p>
    <w:p w14:paraId="77971164" w14:textId="3372054B" w:rsidR="008F23F1" w:rsidRPr="005D3A83" w:rsidRDefault="008F23F1" w:rsidP="008F23F1">
      <w:pPr>
        <w:pStyle w:val="ListParagraph"/>
        <w:numPr>
          <w:ilvl w:val="0"/>
          <w:numId w:val="9"/>
        </w:numPr>
        <w:rPr>
          <w:rFonts w:ascii="Calibri" w:hAnsi="Calibri" w:cs="Calibri"/>
          <w:sz w:val="22"/>
          <w:szCs w:val="22"/>
        </w:rPr>
      </w:pPr>
      <w:r w:rsidRPr="005D3A83">
        <w:rPr>
          <w:rFonts w:ascii="Calibri" w:hAnsi="Calibri" w:cs="Calibri"/>
          <w:sz w:val="22"/>
          <w:szCs w:val="22"/>
        </w:rPr>
        <w:t>1</w:t>
      </w:r>
      <w:r w:rsidR="000519E2" w:rsidRPr="005D3A83">
        <w:rPr>
          <w:rFonts w:ascii="Calibri" w:hAnsi="Calibri" w:cs="Calibri"/>
          <w:sz w:val="22"/>
          <w:szCs w:val="22"/>
        </w:rPr>
        <w:t>7</w:t>
      </w:r>
      <w:r w:rsidRPr="005D3A83">
        <w:rPr>
          <w:rFonts w:ascii="Calibri" w:hAnsi="Calibri" w:cs="Calibri"/>
          <w:sz w:val="22"/>
          <w:szCs w:val="22"/>
        </w:rPr>
        <w:t xml:space="preserve"> retailers in SA</w:t>
      </w:r>
    </w:p>
    <w:p w14:paraId="0292E91D" w14:textId="36B1E497" w:rsidR="00A678B0" w:rsidRPr="005D3A83" w:rsidRDefault="008F23F1" w:rsidP="008212B5">
      <w:pPr>
        <w:rPr>
          <w:rFonts w:ascii="Calibri" w:hAnsi="Calibri" w:cs="Calibri"/>
          <w:sz w:val="22"/>
          <w:szCs w:val="22"/>
        </w:rPr>
      </w:pPr>
      <w:r w:rsidRPr="005D3A83">
        <w:rPr>
          <w:rFonts w:ascii="Calibri" w:hAnsi="Calibri" w:cs="Calibri"/>
          <w:sz w:val="22"/>
          <w:szCs w:val="22"/>
        </w:rPr>
        <w:lastRenderedPageBreak/>
        <w:t xml:space="preserve">Accounting for retailers operating across multiple </w:t>
      </w:r>
      <w:r w:rsidR="00EC4410">
        <w:rPr>
          <w:rFonts w:ascii="Calibri" w:hAnsi="Calibri" w:cs="Calibri"/>
          <w:sz w:val="22"/>
          <w:szCs w:val="22"/>
        </w:rPr>
        <w:t xml:space="preserve">DMO </w:t>
      </w:r>
      <w:r w:rsidRPr="005D3A83">
        <w:rPr>
          <w:rFonts w:ascii="Calibri" w:hAnsi="Calibri" w:cs="Calibri"/>
          <w:sz w:val="22"/>
          <w:szCs w:val="22"/>
        </w:rPr>
        <w:t>jurisdictions results in</w:t>
      </w:r>
      <w:r w:rsidR="008212B5" w:rsidRPr="005D3A83">
        <w:rPr>
          <w:rFonts w:ascii="Calibri" w:hAnsi="Calibri" w:cs="Calibri"/>
          <w:sz w:val="22"/>
          <w:szCs w:val="22"/>
        </w:rPr>
        <w:t xml:space="preserve"> </w:t>
      </w:r>
      <w:r w:rsidRPr="00FF18F8">
        <w:rPr>
          <w:rFonts w:ascii="Calibri" w:hAnsi="Calibri" w:cs="Calibri"/>
          <w:sz w:val="22"/>
          <w:szCs w:val="22"/>
        </w:rPr>
        <w:t>24 distinct retailers exceeding the 1,000-customer threshold</w:t>
      </w:r>
      <w:r w:rsidR="00C9446D" w:rsidRPr="00FF18F8">
        <w:rPr>
          <w:rFonts w:ascii="Calibri" w:hAnsi="Calibri" w:cs="Calibri"/>
          <w:sz w:val="22"/>
          <w:szCs w:val="22"/>
        </w:rPr>
        <w:t>.</w:t>
      </w:r>
      <w:r w:rsidRPr="00FF18F8">
        <w:rPr>
          <w:rFonts w:ascii="Calibri" w:hAnsi="Calibri" w:cs="Calibri"/>
          <w:sz w:val="22"/>
          <w:szCs w:val="22"/>
        </w:rPr>
        <w:t xml:space="preserve"> </w:t>
      </w:r>
      <w:r w:rsidRPr="005D3A83">
        <w:rPr>
          <w:rFonts w:ascii="Calibri" w:hAnsi="Calibri" w:cs="Calibri"/>
          <w:sz w:val="22"/>
          <w:szCs w:val="22"/>
        </w:rPr>
        <w:t>These 24 retailers form the basis of the regulatory burden estimate</w:t>
      </w:r>
      <w:r w:rsidR="008A64D8" w:rsidRPr="005D3A83">
        <w:rPr>
          <w:rFonts w:ascii="Calibri" w:hAnsi="Calibri" w:cs="Calibri"/>
          <w:sz w:val="22"/>
          <w:szCs w:val="22"/>
        </w:rPr>
        <w:t>.</w:t>
      </w:r>
    </w:p>
    <w:p w14:paraId="6F659A4B" w14:textId="33ADE9E2" w:rsidR="007D01F9" w:rsidRPr="005D3A83" w:rsidRDefault="007D01F9" w:rsidP="007D01F9">
      <w:pPr>
        <w:rPr>
          <w:rFonts w:ascii="Calibri" w:hAnsi="Calibri" w:cs="Calibri"/>
          <w:sz w:val="22"/>
          <w:szCs w:val="22"/>
        </w:rPr>
      </w:pPr>
      <w:r w:rsidRPr="005D3A83">
        <w:rPr>
          <w:rFonts w:ascii="Calibri" w:hAnsi="Calibri" w:cs="Calibri"/>
          <w:sz w:val="22"/>
          <w:szCs w:val="22"/>
        </w:rPr>
        <w:t xml:space="preserve">It is to be noted that the number of retailers impacted reflects the best available customer-number data at the time of analysis. The retail market is dynamic, and the number of retailers exceeding the 1,000-customer threshold in DMO jurisdictions may increase or decrease over time due </w:t>
      </w:r>
      <w:r w:rsidR="00F52AB0" w:rsidRPr="005D3A83">
        <w:rPr>
          <w:rFonts w:ascii="Calibri" w:hAnsi="Calibri" w:cs="Calibri"/>
          <w:sz w:val="22"/>
          <w:szCs w:val="22"/>
        </w:rPr>
        <w:t>factors like</w:t>
      </w:r>
      <w:r w:rsidRPr="005D3A83">
        <w:rPr>
          <w:rFonts w:ascii="Calibri" w:hAnsi="Calibri" w:cs="Calibri"/>
          <w:sz w:val="22"/>
          <w:szCs w:val="22"/>
        </w:rPr>
        <w:t>:</w:t>
      </w:r>
    </w:p>
    <w:p w14:paraId="27DD1C91" w14:textId="77777777" w:rsidR="007D01F9" w:rsidRPr="005D3A83" w:rsidRDefault="007D01F9" w:rsidP="007D01F9">
      <w:pPr>
        <w:pStyle w:val="ListParagraph"/>
        <w:numPr>
          <w:ilvl w:val="0"/>
          <w:numId w:val="12"/>
        </w:numPr>
        <w:rPr>
          <w:rFonts w:ascii="Calibri" w:hAnsi="Calibri" w:cs="Calibri"/>
          <w:sz w:val="22"/>
          <w:szCs w:val="22"/>
        </w:rPr>
      </w:pPr>
      <w:r w:rsidRPr="005D3A83">
        <w:rPr>
          <w:rFonts w:ascii="Calibri" w:hAnsi="Calibri" w:cs="Calibri"/>
          <w:sz w:val="22"/>
          <w:szCs w:val="22"/>
        </w:rPr>
        <w:t>market entry or exit</w:t>
      </w:r>
    </w:p>
    <w:p w14:paraId="689DC11D" w14:textId="77777777" w:rsidR="007D01F9" w:rsidRPr="005D3A83" w:rsidRDefault="007D01F9" w:rsidP="007D01F9">
      <w:pPr>
        <w:pStyle w:val="ListParagraph"/>
        <w:numPr>
          <w:ilvl w:val="0"/>
          <w:numId w:val="12"/>
        </w:numPr>
        <w:rPr>
          <w:rFonts w:ascii="Calibri" w:hAnsi="Calibri" w:cs="Calibri"/>
          <w:sz w:val="22"/>
          <w:szCs w:val="22"/>
        </w:rPr>
      </w:pPr>
      <w:r w:rsidRPr="005D3A83">
        <w:rPr>
          <w:rFonts w:ascii="Calibri" w:hAnsi="Calibri" w:cs="Calibri"/>
          <w:sz w:val="22"/>
          <w:szCs w:val="22"/>
        </w:rPr>
        <w:t>customer growth or contraction</w:t>
      </w:r>
    </w:p>
    <w:p w14:paraId="07065898" w14:textId="77777777" w:rsidR="007D01F9" w:rsidRPr="005D3A83" w:rsidRDefault="007D01F9" w:rsidP="007D01F9">
      <w:pPr>
        <w:pStyle w:val="ListParagraph"/>
        <w:numPr>
          <w:ilvl w:val="0"/>
          <w:numId w:val="12"/>
        </w:numPr>
        <w:rPr>
          <w:rFonts w:ascii="Calibri" w:hAnsi="Calibri" w:cs="Calibri"/>
          <w:sz w:val="22"/>
          <w:szCs w:val="22"/>
        </w:rPr>
      </w:pPr>
      <w:r w:rsidRPr="005D3A83">
        <w:rPr>
          <w:rFonts w:ascii="Calibri" w:hAnsi="Calibri" w:cs="Calibri"/>
          <w:sz w:val="22"/>
          <w:szCs w:val="22"/>
        </w:rPr>
        <w:t>mergers and acquisitions</w:t>
      </w:r>
    </w:p>
    <w:p w14:paraId="198177A4" w14:textId="1A4A5BBE" w:rsidR="007D01F9" w:rsidRPr="005D3A83" w:rsidRDefault="007D01F9" w:rsidP="007D01F9">
      <w:pPr>
        <w:pStyle w:val="ListParagraph"/>
        <w:numPr>
          <w:ilvl w:val="0"/>
          <w:numId w:val="12"/>
        </w:numPr>
        <w:rPr>
          <w:rFonts w:ascii="Calibri" w:hAnsi="Calibri" w:cs="Calibri"/>
          <w:sz w:val="22"/>
          <w:szCs w:val="22"/>
        </w:rPr>
      </w:pPr>
      <w:r w:rsidRPr="005D3A83">
        <w:rPr>
          <w:rFonts w:ascii="Calibri" w:hAnsi="Calibri" w:cs="Calibri"/>
          <w:sz w:val="22"/>
          <w:szCs w:val="22"/>
        </w:rPr>
        <w:t xml:space="preserve">changes in retailer operating footprint across </w:t>
      </w:r>
      <w:r w:rsidR="000C78AD" w:rsidRPr="005D3A83">
        <w:rPr>
          <w:rFonts w:ascii="Calibri" w:hAnsi="Calibri" w:cs="Calibri"/>
          <w:sz w:val="22"/>
          <w:szCs w:val="22"/>
        </w:rPr>
        <w:t>DMO</w:t>
      </w:r>
      <w:r w:rsidRPr="005D3A83">
        <w:rPr>
          <w:rFonts w:ascii="Calibri" w:hAnsi="Calibri" w:cs="Calibri"/>
          <w:sz w:val="22"/>
          <w:szCs w:val="22"/>
        </w:rPr>
        <w:t xml:space="preserve"> jurisdictions</w:t>
      </w:r>
    </w:p>
    <w:p w14:paraId="16D79FCE" w14:textId="77777777" w:rsidR="007D01F9" w:rsidRPr="005D3A83" w:rsidRDefault="007D01F9" w:rsidP="007D01F9">
      <w:pPr>
        <w:rPr>
          <w:rFonts w:ascii="Calibri" w:hAnsi="Calibri" w:cs="Calibri"/>
          <w:sz w:val="22"/>
          <w:szCs w:val="22"/>
        </w:rPr>
      </w:pPr>
      <w:r w:rsidRPr="005D3A83">
        <w:rPr>
          <w:rFonts w:ascii="Calibri" w:hAnsi="Calibri" w:cs="Calibri"/>
          <w:sz w:val="22"/>
          <w:szCs w:val="22"/>
        </w:rPr>
        <w:t>Accordingly, the estimate of 24 impacted retailers represents a point-in-time assessment for costing purposes. If the number of eligible retailers increases in future years, the aggregate regulatory burden may increase proportionally. Conversely, if retailer numbers decline, the sector-wide burden may decrease.</w:t>
      </w:r>
    </w:p>
    <w:p w14:paraId="5DBBD0ED" w14:textId="2A29DA8C" w:rsidR="007D01F9" w:rsidRPr="0034685C" w:rsidRDefault="007D01F9" w:rsidP="008212B5">
      <w:pPr>
        <w:rPr>
          <w:rFonts w:ascii="Calibri" w:hAnsi="Calibri" w:cs="Calibri"/>
          <w:sz w:val="22"/>
          <w:szCs w:val="22"/>
        </w:rPr>
      </w:pPr>
      <w:r w:rsidRPr="00FF18F8">
        <w:rPr>
          <w:rFonts w:ascii="Calibri" w:hAnsi="Calibri" w:cs="Calibri"/>
          <w:sz w:val="22"/>
          <w:szCs w:val="22"/>
        </w:rPr>
        <w:t>The per-retailer cost estimates remain applicable irrespective of changes in the total retailer population.</w:t>
      </w:r>
    </w:p>
    <w:p w14:paraId="5C873153" w14:textId="1F8B8302" w:rsidR="008F23F1" w:rsidRDefault="00244C6E" w:rsidP="001724DB">
      <w:pPr>
        <w:pStyle w:val="Heading3"/>
        <w:numPr>
          <w:ilvl w:val="0"/>
          <w:numId w:val="10"/>
        </w:numPr>
      </w:pPr>
      <w:r>
        <w:t xml:space="preserve">Costing </w:t>
      </w:r>
      <w:r w:rsidR="008452BF">
        <w:t xml:space="preserve">Framework and </w:t>
      </w:r>
      <w:r w:rsidR="008F23F1">
        <w:t>Key Assumptions</w:t>
      </w:r>
    </w:p>
    <w:p w14:paraId="7D3F536F" w14:textId="4450F009" w:rsidR="00322E9A" w:rsidRDefault="00322E9A" w:rsidP="00322E9A">
      <w:pPr>
        <w:rPr>
          <w:rFonts w:ascii="Calibri" w:hAnsi="Calibri" w:cs="Calibri"/>
          <w:sz w:val="22"/>
          <w:szCs w:val="22"/>
        </w:rPr>
      </w:pPr>
      <w:r w:rsidRPr="00322E9A">
        <w:rPr>
          <w:rFonts w:ascii="Calibri" w:hAnsi="Calibri" w:cs="Calibri"/>
          <w:sz w:val="22"/>
          <w:szCs w:val="22"/>
        </w:rPr>
        <w:t>The costing methodology follows OIA Regulatory Burden Measurement (RBM)</w:t>
      </w:r>
      <w:r>
        <w:rPr>
          <w:rFonts w:ascii="Calibri" w:hAnsi="Calibri" w:cs="Calibri"/>
          <w:sz w:val="22"/>
          <w:szCs w:val="22"/>
        </w:rPr>
        <w:t xml:space="preserve"> guidance and applies:</w:t>
      </w:r>
    </w:p>
    <w:p w14:paraId="7FA4B98C" w14:textId="0A9398A1" w:rsidR="00322E9A" w:rsidRPr="00322E9A" w:rsidRDefault="003A01AC" w:rsidP="00322E9A">
      <w:pPr>
        <w:pStyle w:val="ListParagraph"/>
        <w:numPr>
          <w:ilvl w:val="0"/>
          <w:numId w:val="13"/>
        </w:numPr>
        <w:rPr>
          <w:rFonts w:ascii="Calibri" w:hAnsi="Calibri" w:cs="Calibri"/>
          <w:sz w:val="22"/>
          <w:szCs w:val="22"/>
        </w:rPr>
      </w:pPr>
      <w:r>
        <w:rPr>
          <w:rFonts w:ascii="Calibri" w:hAnsi="Calibri" w:cs="Calibri"/>
          <w:sz w:val="22"/>
          <w:szCs w:val="22"/>
        </w:rPr>
        <w:t>Activity-based costing</w:t>
      </w:r>
    </w:p>
    <w:p w14:paraId="1BBF9740" w14:textId="7F9A3D96" w:rsidR="003A01AC" w:rsidRDefault="003A01AC" w:rsidP="00322E9A">
      <w:pPr>
        <w:pStyle w:val="ListParagraph"/>
        <w:numPr>
          <w:ilvl w:val="0"/>
          <w:numId w:val="13"/>
        </w:numPr>
        <w:rPr>
          <w:rFonts w:ascii="Calibri" w:hAnsi="Calibri" w:cs="Calibri"/>
          <w:sz w:val="22"/>
          <w:szCs w:val="22"/>
        </w:rPr>
      </w:pPr>
      <w:r>
        <w:rPr>
          <w:rFonts w:ascii="Calibri" w:hAnsi="Calibri" w:cs="Calibri"/>
          <w:sz w:val="22"/>
          <w:szCs w:val="22"/>
        </w:rPr>
        <w:t>Standard hourly labour rates</w:t>
      </w:r>
    </w:p>
    <w:p w14:paraId="4B9A88CF" w14:textId="786C5B29" w:rsidR="003A01AC" w:rsidRPr="00322E9A" w:rsidRDefault="00756F96" w:rsidP="00322E9A">
      <w:pPr>
        <w:pStyle w:val="ListParagraph"/>
        <w:numPr>
          <w:ilvl w:val="0"/>
          <w:numId w:val="13"/>
        </w:numPr>
        <w:rPr>
          <w:rFonts w:ascii="Calibri" w:hAnsi="Calibri" w:cs="Calibri"/>
          <w:sz w:val="22"/>
          <w:szCs w:val="22"/>
        </w:rPr>
      </w:pPr>
      <w:r>
        <w:rPr>
          <w:rFonts w:ascii="Calibri" w:hAnsi="Calibri" w:cs="Calibri"/>
          <w:sz w:val="22"/>
          <w:szCs w:val="22"/>
        </w:rPr>
        <w:t>Explicit identification of one-off and ongoing costs</w:t>
      </w:r>
    </w:p>
    <w:p w14:paraId="3724D318" w14:textId="15BF4202" w:rsidR="00756F96" w:rsidRPr="00322E9A" w:rsidRDefault="00756F96" w:rsidP="00322E9A">
      <w:pPr>
        <w:pStyle w:val="ListParagraph"/>
        <w:numPr>
          <w:ilvl w:val="0"/>
          <w:numId w:val="13"/>
        </w:numPr>
        <w:rPr>
          <w:rFonts w:ascii="Calibri" w:hAnsi="Calibri" w:cs="Calibri"/>
          <w:sz w:val="22"/>
          <w:szCs w:val="22"/>
        </w:rPr>
      </w:pPr>
      <w:r>
        <w:rPr>
          <w:rFonts w:ascii="Calibri" w:hAnsi="Calibri" w:cs="Calibri"/>
          <w:sz w:val="22"/>
          <w:szCs w:val="22"/>
        </w:rPr>
        <w:t xml:space="preserve">Transparent </w:t>
      </w:r>
      <w:r w:rsidR="007F35E7">
        <w:rPr>
          <w:rFonts w:ascii="Calibri" w:hAnsi="Calibri" w:cs="Calibri"/>
          <w:sz w:val="22"/>
          <w:szCs w:val="22"/>
        </w:rPr>
        <w:t>estimations</w:t>
      </w:r>
    </w:p>
    <w:tbl>
      <w:tblPr>
        <w:tblStyle w:val="PlainTable1"/>
        <w:tblW w:w="5000" w:type="pct"/>
        <w:tblLook w:val="04A0" w:firstRow="1" w:lastRow="0" w:firstColumn="1" w:lastColumn="0" w:noHBand="0" w:noVBand="1"/>
      </w:tblPr>
      <w:tblGrid>
        <w:gridCol w:w="2828"/>
        <w:gridCol w:w="1480"/>
        <w:gridCol w:w="4708"/>
      </w:tblGrid>
      <w:tr w:rsidR="00EF344E" w:rsidRPr="00CE7C16" w14:paraId="20339B40" w14:textId="48CF2779" w:rsidTr="00397B75">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68" w:type="pct"/>
            <w:hideMark/>
          </w:tcPr>
          <w:p w14:paraId="7FB6AC24" w14:textId="77777777" w:rsidR="00EF344E" w:rsidRPr="00FE79D3" w:rsidRDefault="00EF344E" w:rsidP="00FE79D3">
            <w:pPr>
              <w:spacing w:after="160" w:line="278" w:lineRule="auto"/>
              <w:rPr>
                <w:rFonts w:ascii="Calibri" w:hAnsi="Calibri" w:cs="Calibri"/>
                <w:sz w:val="20"/>
                <w:szCs w:val="20"/>
              </w:rPr>
            </w:pPr>
            <w:r w:rsidRPr="00FE79D3">
              <w:rPr>
                <w:rFonts w:ascii="Calibri" w:hAnsi="Calibri" w:cs="Calibri"/>
                <w:sz w:val="20"/>
                <w:szCs w:val="20"/>
              </w:rPr>
              <w:t>Parameter</w:t>
            </w:r>
          </w:p>
        </w:tc>
        <w:tc>
          <w:tcPr>
            <w:tcW w:w="821" w:type="pct"/>
            <w:hideMark/>
          </w:tcPr>
          <w:p w14:paraId="1DF6CD6D" w14:textId="23FDCF88" w:rsidR="00EF344E" w:rsidRPr="00FE79D3" w:rsidRDefault="00EF344E" w:rsidP="00FE79D3">
            <w:pPr>
              <w:spacing w:after="160" w:line="278"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E79D3">
              <w:rPr>
                <w:rFonts w:ascii="Calibri" w:hAnsi="Calibri" w:cs="Calibri"/>
                <w:sz w:val="20"/>
                <w:szCs w:val="20"/>
              </w:rPr>
              <w:t>Value</w:t>
            </w:r>
          </w:p>
        </w:tc>
        <w:tc>
          <w:tcPr>
            <w:tcW w:w="2611" w:type="pct"/>
          </w:tcPr>
          <w:p w14:paraId="4584387B" w14:textId="0E1A8AFD" w:rsidR="00EF344E" w:rsidRPr="00CE7C16" w:rsidRDefault="00CE7C16" w:rsidP="00FE79D3">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CE7C16">
              <w:rPr>
                <w:rFonts w:ascii="Calibri" w:hAnsi="Calibri" w:cs="Calibri"/>
                <w:sz w:val="20"/>
                <w:szCs w:val="20"/>
              </w:rPr>
              <w:t>Assumption</w:t>
            </w:r>
          </w:p>
        </w:tc>
      </w:tr>
      <w:tr w:rsidR="00EF344E" w:rsidRPr="00CE7C16" w14:paraId="229FE22E" w14:textId="106A38CE" w:rsidTr="00397B7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568" w:type="pct"/>
            <w:hideMark/>
          </w:tcPr>
          <w:p w14:paraId="76D7B91E" w14:textId="77777777" w:rsidR="00EF344E" w:rsidRPr="00FE79D3" w:rsidRDefault="00EF344E" w:rsidP="00FE79D3">
            <w:pPr>
              <w:spacing w:after="160" w:line="278" w:lineRule="auto"/>
              <w:rPr>
                <w:rFonts w:ascii="Calibri" w:hAnsi="Calibri" w:cs="Calibri"/>
                <w:sz w:val="20"/>
                <w:szCs w:val="20"/>
              </w:rPr>
            </w:pPr>
            <w:r w:rsidRPr="00FE79D3">
              <w:rPr>
                <w:rFonts w:ascii="Calibri" w:hAnsi="Calibri" w:cs="Calibri"/>
                <w:sz w:val="20"/>
                <w:szCs w:val="20"/>
              </w:rPr>
              <w:t>Compliance hourly wage rate (OIA default)</w:t>
            </w:r>
          </w:p>
        </w:tc>
        <w:tc>
          <w:tcPr>
            <w:tcW w:w="821" w:type="pct"/>
            <w:hideMark/>
          </w:tcPr>
          <w:p w14:paraId="4CE5B00E" w14:textId="3961C310" w:rsidR="00EF344E" w:rsidRPr="00FE79D3" w:rsidRDefault="00F5243B" w:rsidP="00FE79D3">
            <w:pPr>
              <w:spacing w:after="160"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E7C16">
              <w:rPr>
                <w:rFonts w:ascii="Calibri" w:hAnsi="Calibri" w:cs="Calibri"/>
                <w:sz w:val="20"/>
                <w:szCs w:val="20"/>
              </w:rPr>
              <w:t>$85.17</w:t>
            </w:r>
          </w:p>
        </w:tc>
        <w:tc>
          <w:tcPr>
            <w:tcW w:w="2611" w:type="pct"/>
          </w:tcPr>
          <w:p w14:paraId="6427EF6F" w14:textId="4C6A8371" w:rsidR="00EF344E" w:rsidRPr="00CE7C16" w:rsidRDefault="00CE7C16" w:rsidP="00FE79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E7C16">
              <w:rPr>
                <w:rFonts w:ascii="Calibri" w:hAnsi="Calibri" w:cs="Calibri"/>
                <w:sz w:val="20"/>
                <w:szCs w:val="20"/>
              </w:rPr>
              <w:t>We use the Office of Impact Analysis’ default hourly wage rate for businesses of $</w:t>
            </w:r>
            <w:r>
              <w:rPr>
                <w:rFonts w:ascii="Calibri" w:hAnsi="Calibri" w:cs="Calibri"/>
                <w:sz w:val="20"/>
                <w:szCs w:val="20"/>
              </w:rPr>
              <w:t>85.17</w:t>
            </w:r>
            <w:r w:rsidRPr="00CE7C16">
              <w:rPr>
                <w:rFonts w:ascii="Calibri" w:hAnsi="Calibri" w:cs="Calibri"/>
                <w:sz w:val="20"/>
                <w:szCs w:val="20"/>
              </w:rPr>
              <w:t xml:space="preserve"> per hour.</w:t>
            </w:r>
          </w:p>
        </w:tc>
      </w:tr>
      <w:tr w:rsidR="00EF344E" w:rsidRPr="00CE7C16" w14:paraId="70F1B033" w14:textId="5D44E852" w:rsidTr="00397B75">
        <w:trPr>
          <w:trHeight w:val="416"/>
        </w:trPr>
        <w:tc>
          <w:tcPr>
            <w:cnfStyle w:val="001000000000" w:firstRow="0" w:lastRow="0" w:firstColumn="1" w:lastColumn="0" w:oddVBand="0" w:evenVBand="0" w:oddHBand="0" w:evenHBand="0" w:firstRowFirstColumn="0" w:firstRowLastColumn="0" w:lastRowFirstColumn="0" w:lastRowLastColumn="0"/>
            <w:tcW w:w="1568" w:type="pct"/>
            <w:vAlign w:val="center"/>
            <w:hideMark/>
          </w:tcPr>
          <w:p w14:paraId="6AB4B10F" w14:textId="77777777" w:rsidR="00EF344E" w:rsidRPr="00FE79D3" w:rsidRDefault="00EF344E" w:rsidP="00CE7C16">
            <w:pPr>
              <w:spacing w:after="160" w:line="278" w:lineRule="auto"/>
              <w:rPr>
                <w:rFonts w:ascii="Calibri" w:hAnsi="Calibri" w:cs="Calibri"/>
                <w:sz w:val="20"/>
                <w:szCs w:val="20"/>
              </w:rPr>
            </w:pPr>
            <w:r w:rsidRPr="00FE79D3">
              <w:rPr>
                <w:rFonts w:ascii="Calibri" w:hAnsi="Calibri" w:cs="Calibri"/>
                <w:sz w:val="20"/>
                <w:szCs w:val="20"/>
              </w:rPr>
              <w:t>IT hourly rate</w:t>
            </w:r>
          </w:p>
        </w:tc>
        <w:tc>
          <w:tcPr>
            <w:tcW w:w="821" w:type="pct"/>
            <w:hideMark/>
          </w:tcPr>
          <w:p w14:paraId="30F98F0D" w14:textId="28F5879A" w:rsidR="00EF344E" w:rsidRPr="00FE79D3" w:rsidRDefault="00EF344E" w:rsidP="00FE79D3">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79D3">
              <w:rPr>
                <w:rFonts w:ascii="Calibri" w:hAnsi="Calibri" w:cs="Calibri"/>
                <w:sz w:val="20"/>
                <w:szCs w:val="20"/>
              </w:rPr>
              <w:t>$140</w:t>
            </w:r>
            <w:r w:rsidR="002211F6">
              <w:rPr>
                <w:rFonts w:ascii="Calibri" w:hAnsi="Calibri" w:cs="Calibri"/>
                <w:sz w:val="20"/>
                <w:szCs w:val="20"/>
              </w:rPr>
              <w:t>.00</w:t>
            </w:r>
          </w:p>
        </w:tc>
        <w:tc>
          <w:tcPr>
            <w:tcW w:w="2611" w:type="pct"/>
          </w:tcPr>
          <w:p w14:paraId="75A7BFEF" w14:textId="2E4DB10A" w:rsidR="00EF344E" w:rsidRPr="00CE7C16" w:rsidRDefault="00CE7C16" w:rsidP="00FE79D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E7C16">
              <w:rPr>
                <w:rFonts w:ascii="Calibri" w:hAnsi="Calibri" w:cs="Calibri"/>
                <w:sz w:val="20"/>
                <w:szCs w:val="20"/>
              </w:rPr>
              <w:t>We assume an IT rate of $140</w:t>
            </w:r>
            <w:r w:rsidR="002211F6">
              <w:rPr>
                <w:rFonts w:ascii="Calibri" w:hAnsi="Calibri" w:cs="Calibri"/>
                <w:sz w:val="20"/>
                <w:szCs w:val="20"/>
              </w:rPr>
              <w:t>.00</w:t>
            </w:r>
            <w:r w:rsidRPr="00CE7C16">
              <w:rPr>
                <w:rFonts w:ascii="Calibri" w:hAnsi="Calibri" w:cs="Calibri"/>
                <w:sz w:val="20"/>
                <w:szCs w:val="20"/>
              </w:rPr>
              <w:t xml:space="preserve"> per hour for system configuration and billing changes</w:t>
            </w:r>
            <w:r w:rsidR="00E05308">
              <w:rPr>
                <w:rFonts w:ascii="Calibri" w:hAnsi="Calibri" w:cs="Calibri"/>
                <w:sz w:val="20"/>
                <w:szCs w:val="20"/>
              </w:rPr>
              <w:t>. Going by s</w:t>
            </w:r>
            <w:r w:rsidR="00E05308" w:rsidRPr="00E05308">
              <w:rPr>
                <w:rFonts w:ascii="Calibri" w:hAnsi="Calibri" w:cs="Calibri"/>
                <w:sz w:val="20"/>
                <w:szCs w:val="20"/>
              </w:rPr>
              <w:t>tandard commercial IT contractor rates</w:t>
            </w:r>
            <w:r w:rsidR="00D606C9">
              <w:rPr>
                <w:rFonts w:ascii="Calibri" w:hAnsi="Calibri" w:cs="Calibri"/>
                <w:sz w:val="20"/>
                <w:szCs w:val="20"/>
              </w:rPr>
              <w:t>.</w:t>
            </w:r>
          </w:p>
        </w:tc>
      </w:tr>
      <w:tr w:rsidR="00EF344E" w:rsidRPr="00CE7C16" w14:paraId="68251FB7" w14:textId="084C6452" w:rsidTr="00397B7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68" w:type="pct"/>
            <w:hideMark/>
          </w:tcPr>
          <w:p w14:paraId="03018380" w14:textId="77777777" w:rsidR="00EF344E" w:rsidRPr="00FE79D3" w:rsidRDefault="00EF344E" w:rsidP="00FE79D3">
            <w:pPr>
              <w:spacing w:after="160" w:line="278" w:lineRule="auto"/>
              <w:rPr>
                <w:rFonts w:ascii="Calibri" w:hAnsi="Calibri" w:cs="Calibri"/>
                <w:sz w:val="20"/>
                <w:szCs w:val="20"/>
              </w:rPr>
            </w:pPr>
            <w:r w:rsidRPr="00FE79D3">
              <w:rPr>
                <w:rFonts w:ascii="Calibri" w:hAnsi="Calibri" w:cs="Calibri"/>
                <w:sz w:val="20"/>
                <w:szCs w:val="20"/>
              </w:rPr>
              <w:t>External legal hourly rate</w:t>
            </w:r>
          </w:p>
        </w:tc>
        <w:tc>
          <w:tcPr>
            <w:tcW w:w="821" w:type="pct"/>
            <w:hideMark/>
          </w:tcPr>
          <w:p w14:paraId="6C1E796C" w14:textId="03CF139B" w:rsidR="00EF344E" w:rsidRPr="00FE79D3" w:rsidRDefault="00EF344E" w:rsidP="00FE79D3">
            <w:pPr>
              <w:spacing w:after="160"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79D3">
              <w:rPr>
                <w:rFonts w:ascii="Calibri" w:hAnsi="Calibri" w:cs="Calibri"/>
                <w:sz w:val="20"/>
                <w:szCs w:val="20"/>
              </w:rPr>
              <w:t>$800</w:t>
            </w:r>
            <w:r w:rsidR="002211F6">
              <w:rPr>
                <w:rFonts w:ascii="Calibri" w:hAnsi="Calibri" w:cs="Calibri"/>
                <w:sz w:val="20"/>
                <w:szCs w:val="20"/>
              </w:rPr>
              <w:t>.00</w:t>
            </w:r>
          </w:p>
        </w:tc>
        <w:tc>
          <w:tcPr>
            <w:tcW w:w="2611" w:type="pct"/>
          </w:tcPr>
          <w:p w14:paraId="004A6A84" w14:textId="08CAF0E6" w:rsidR="00EF344E" w:rsidRPr="00CE7C16" w:rsidRDefault="00CE7C16" w:rsidP="00FE79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E7C16">
              <w:rPr>
                <w:rFonts w:ascii="Calibri" w:hAnsi="Calibri" w:cs="Calibri"/>
                <w:sz w:val="20"/>
                <w:szCs w:val="20"/>
              </w:rPr>
              <w:t>We assume a standard blended junior and senior legal hourly cost of legal advice of $</w:t>
            </w:r>
            <w:r>
              <w:rPr>
                <w:rFonts w:ascii="Calibri" w:hAnsi="Calibri" w:cs="Calibri"/>
                <w:sz w:val="20"/>
                <w:szCs w:val="20"/>
              </w:rPr>
              <w:t>8</w:t>
            </w:r>
            <w:r w:rsidRPr="00CE7C16">
              <w:rPr>
                <w:rFonts w:ascii="Calibri" w:hAnsi="Calibri" w:cs="Calibri"/>
                <w:sz w:val="20"/>
                <w:szCs w:val="20"/>
              </w:rPr>
              <w:t>00</w:t>
            </w:r>
            <w:r w:rsidR="002211F6">
              <w:rPr>
                <w:rFonts w:ascii="Calibri" w:hAnsi="Calibri" w:cs="Calibri"/>
                <w:sz w:val="20"/>
                <w:szCs w:val="20"/>
              </w:rPr>
              <w:t>.00</w:t>
            </w:r>
            <w:r w:rsidRPr="00CE7C16">
              <w:rPr>
                <w:rFonts w:ascii="Calibri" w:hAnsi="Calibri" w:cs="Calibri"/>
                <w:sz w:val="20"/>
                <w:szCs w:val="20"/>
              </w:rPr>
              <w:t xml:space="preserve"> per hour.</w:t>
            </w:r>
          </w:p>
        </w:tc>
      </w:tr>
      <w:tr w:rsidR="00EF344E" w:rsidRPr="00CE7C16" w14:paraId="089E1B7E" w14:textId="79BB77BD" w:rsidTr="00397B75">
        <w:trPr>
          <w:trHeight w:val="416"/>
        </w:trPr>
        <w:tc>
          <w:tcPr>
            <w:cnfStyle w:val="001000000000" w:firstRow="0" w:lastRow="0" w:firstColumn="1" w:lastColumn="0" w:oddVBand="0" w:evenVBand="0" w:oddHBand="0" w:evenHBand="0" w:firstRowFirstColumn="0" w:firstRowLastColumn="0" w:lastRowFirstColumn="0" w:lastRowLastColumn="0"/>
            <w:tcW w:w="1568" w:type="pct"/>
            <w:hideMark/>
          </w:tcPr>
          <w:p w14:paraId="733EAD95" w14:textId="77777777" w:rsidR="00EF344E" w:rsidRPr="00FE79D3" w:rsidRDefault="00EF344E" w:rsidP="00FE79D3">
            <w:pPr>
              <w:spacing w:after="160" w:line="278" w:lineRule="auto"/>
              <w:rPr>
                <w:rFonts w:ascii="Calibri" w:hAnsi="Calibri" w:cs="Calibri"/>
                <w:sz w:val="20"/>
                <w:szCs w:val="20"/>
              </w:rPr>
            </w:pPr>
            <w:r w:rsidRPr="00FE79D3">
              <w:rPr>
                <w:rFonts w:ascii="Calibri" w:hAnsi="Calibri" w:cs="Calibri"/>
                <w:sz w:val="20"/>
                <w:szCs w:val="20"/>
              </w:rPr>
              <w:t>Internal adjustment hours (one-off)</w:t>
            </w:r>
          </w:p>
        </w:tc>
        <w:tc>
          <w:tcPr>
            <w:tcW w:w="821" w:type="pct"/>
            <w:hideMark/>
          </w:tcPr>
          <w:p w14:paraId="469621DE" w14:textId="348B6FB9" w:rsidR="00EF344E" w:rsidRPr="00FE79D3" w:rsidRDefault="00EB7C25" w:rsidP="00FE79D3">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150</w:t>
            </w:r>
            <w:r w:rsidR="00EF344E" w:rsidRPr="00FE79D3">
              <w:rPr>
                <w:rFonts w:ascii="Calibri" w:hAnsi="Calibri" w:cs="Calibri"/>
                <w:sz w:val="20"/>
                <w:szCs w:val="20"/>
              </w:rPr>
              <w:t xml:space="preserve"> hours</w:t>
            </w:r>
          </w:p>
        </w:tc>
        <w:tc>
          <w:tcPr>
            <w:tcW w:w="2611" w:type="pct"/>
          </w:tcPr>
          <w:p w14:paraId="4A279146" w14:textId="0E50C758" w:rsidR="00EF344E" w:rsidRPr="00CE7C16" w:rsidRDefault="00CE7C16" w:rsidP="00FE79D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E7C16">
              <w:rPr>
                <w:rFonts w:ascii="Calibri" w:hAnsi="Calibri" w:cs="Calibri"/>
                <w:sz w:val="20"/>
                <w:szCs w:val="20"/>
              </w:rPr>
              <w:t xml:space="preserve">We assume </w:t>
            </w:r>
            <w:r w:rsidR="003B3E42">
              <w:rPr>
                <w:rFonts w:ascii="Calibri" w:hAnsi="Calibri" w:cs="Calibri"/>
                <w:sz w:val="20"/>
                <w:szCs w:val="20"/>
              </w:rPr>
              <w:t>150</w:t>
            </w:r>
            <w:r w:rsidR="003B3E42" w:rsidRPr="00CE7C16">
              <w:rPr>
                <w:rFonts w:ascii="Calibri" w:hAnsi="Calibri" w:cs="Calibri"/>
                <w:sz w:val="20"/>
                <w:szCs w:val="20"/>
              </w:rPr>
              <w:t xml:space="preserve"> </w:t>
            </w:r>
            <w:r w:rsidRPr="00CE7C16">
              <w:rPr>
                <w:rFonts w:ascii="Calibri" w:hAnsi="Calibri" w:cs="Calibri"/>
                <w:sz w:val="20"/>
                <w:szCs w:val="20"/>
              </w:rPr>
              <w:t>hours per retailer (one</w:t>
            </w:r>
            <w:r w:rsidRPr="00CE7C16">
              <w:rPr>
                <w:rFonts w:ascii="Cambria Math" w:hAnsi="Cambria Math" w:cs="Cambria Math"/>
                <w:sz w:val="20"/>
                <w:szCs w:val="20"/>
              </w:rPr>
              <w:t>‑</w:t>
            </w:r>
            <w:r w:rsidRPr="00CE7C16">
              <w:rPr>
                <w:rFonts w:ascii="Calibri" w:hAnsi="Calibri" w:cs="Calibri"/>
                <w:sz w:val="20"/>
                <w:szCs w:val="20"/>
              </w:rPr>
              <w:t>off) to adjust internal processes to the SSO requirements.</w:t>
            </w:r>
          </w:p>
        </w:tc>
      </w:tr>
      <w:tr w:rsidR="00EF344E" w:rsidRPr="00CE7C16" w14:paraId="0AC46D0C" w14:textId="06993EC3" w:rsidTr="00397B7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568" w:type="pct"/>
            <w:hideMark/>
          </w:tcPr>
          <w:p w14:paraId="34915C15" w14:textId="77777777" w:rsidR="00EF344E" w:rsidRPr="00FE79D3" w:rsidRDefault="00EF344E" w:rsidP="00FE79D3">
            <w:pPr>
              <w:spacing w:after="160" w:line="278" w:lineRule="auto"/>
              <w:rPr>
                <w:rFonts w:ascii="Calibri" w:hAnsi="Calibri" w:cs="Calibri"/>
                <w:sz w:val="20"/>
                <w:szCs w:val="20"/>
              </w:rPr>
            </w:pPr>
            <w:r w:rsidRPr="00FE79D3">
              <w:rPr>
                <w:rFonts w:ascii="Calibri" w:hAnsi="Calibri" w:cs="Calibri"/>
                <w:sz w:val="20"/>
                <w:szCs w:val="20"/>
              </w:rPr>
              <w:t>System configuration hours (one-off)</w:t>
            </w:r>
          </w:p>
        </w:tc>
        <w:tc>
          <w:tcPr>
            <w:tcW w:w="821" w:type="pct"/>
            <w:hideMark/>
          </w:tcPr>
          <w:p w14:paraId="47866B05" w14:textId="69AD2CD4" w:rsidR="00EF344E" w:rsidRPr="00FE79D3" w:rsidRDefault="00EB7C25" w:rsidP="00FE79D3">
            <w:pPr>
              <w:spacing w:after="160"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150</w:t>
            </w:r>
            <w:r w:rsidR="00EF344E" w:rsidRPr="00FE79D3">
              <w:rPr>
                <w:rFonts w:ascii="Calibri" w:hAnsi="Calibri" w:cs="Calibri"/>
                <w:sz w:val="20"/>
                <w:szCs w:val="20"/>
              </w:rPr>
              <w:t xml:space="preserve"> hours</w:t>
            </w:r>
          </w:p>
        </w:tc>
        <w:tc>
          <w:tcPr>
            <w:tcW w:w="2611" w:type="pct"/>
          </w:tcPr>
          <w:p w14:paraId="7913AAE6" w14:textId="41D3226F" w:rsidR="00EF344E" w:rsidRPr="00CE7C16" w:rsidRDefault="00CE7C16" w:rsidP="00FE79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CE7C16">
              <w:rPr>
                <w:rFonts w:ascii="Calibri" w:hAnsi="Calibri" w:cs="Calibri"/>
                <w:sz w:val="20"/>
                <w:szCs w:val="20"/>
              </w:rPr>
              <w:t xml:space="preserve">We assume </w:t>
            </w:r>
            <w:r w:rsidR="003B3E42">
              <w:rPr>
                <w:rFonts w:ascii="Calibri" w:hAnsi="Calibri" w:cs="Calibri"/>
                <w:sz w:val="20"/>
                <w:szCs w:val="20"/>
              </w:rPr>
              <w:t>150</w:t>
            </w:r>
            <w:r w:rsidR="003B3E42" w:rsidRPr="00CE7C16">
              <w:rPr>
                <w:rFonts w:ascii="Calibri" w:hAnsi="Calibri" w:cs="Calibri"/>
                <w:sz w:val="20"/>
                <w:szCs w:val="20"/>
              </w:rPr>
              <w:t xml:space="preserve"> </w:t>
            </w:r>
            <w:r w:rsidRPr="00CE7C16">
              <w:rPr>
                <w:rFonts w:ascii="Calibri" w:hAnsi="Calibri" w:cs="Calibri"/>
                <w:sz w:val="20"/>
                <w:szCs w:val="20"/>
              </w:rPr>
              <w:t>hours per retailer (one</w:t>
            </w:r>
            <w:r w:rsidRPr="00CE7C16">
              <w:rPr>
                <w:rFonts w:ascii="Cambria Math" w:hAnsi="Cambria Math" w:cs="Cambria Math"/>
                <w:sz w:val="20"/>
                <w:szCs w:val="20"/>
              </w:rPr>
              <w:t>‑</w:t>
            </w:r>
            <w:r w:rsidRPr="00CE7C16">
              <w:rPr>
                <w:rFonts w:ascii="Calibri" w:hAnsi="Calibri" w:cs="Calibri"/>
                <w:sz w:val="20"/>
                <w:szCs w:val="20"/>
              </w:rPr>
              <w:t>off) to configure billing/IT for the 3</w:t>
            </w:r>
            <w:r w:rsidRPr="00CE7C16">
              <w:rPr>
                <w:rFonts w:ascii="Cambria Math" w:hAnsi="Cambria Math" w:cs="Cambria Math"/>
                <w:sz w:val="20"/>
                <w:szCs w:val="20"/>
              </w:rPr>
              <w:t>‑</w:t>
            </w:r>
            <w:r w:rsidRPr="00CE7C16">
              <w:rPr>
                <w:rFonts w:ascii="Calibri" w:hAnsi="Calibri" w:cs="Calibri"/>
                <w:sz w:val="20"/>
                <w:szCs w:val="20"/>
              </w:rPr>
              <w:t>hour $0/kWh window and 24 kWh/day reasonable</w:t>
            </w:r>
            <w:r w:rsidRPr="00CE7C16">
              <w:rPr>
                <w:rFonts w:ascii="Cambria Math" w:hAnsi="Cambria Math" w:cs="Cambria Math"/>
                <w:sz w:val="20"/>
                <w:szCs w:val="20"/>
              </w:rPr>
              <w:t>‑</w:t>
            </w:r>
            <w:r w:rsidRPr="00CE7C16">
              <w:rPr>
                <w:rFonts w:ascii="Calibri" w:hAnsi="Calibri" w:cs="Calibri"/>
                <w:sz w:val="20"/>
                <w:szCs w:val="20"/>
              </w:rPr>
              <w:t>use cap.</w:t>
            </w:r>
          </w:p>
        </w:tc>
      </w:tr>
      <w:tr w:rsidR="00EF344E" w:rsidRPr="00CE7C16" w14:paraId="5D8A4773" w14:textId="04D95342" w:rsidTr="00397B75">
        <w:trPr>
          <w:trHeight w:val="416"/>
        </w:trPr>
        <w:tc>
          <w:tcPr>
            <w:cnfStyle w:val="001000000000" w:firstRow="0" w:lastRow="0" w:firstColumn="1" w:lastColumn="0" w:oddVBand="0" w:evenVBand="0" w:oddHBand="0" w:evenHBand="0" w:firstRowFirstColumn="0" w:firstRowLastColumn="0" w:lastRowFirstColumn="0" w:lastRowLastColumn="0"/>
            <w:tcW w:w="1568" w:type="pct"/>
            <w:hideMark/>
          </w:tcPr>
          <w:p w14:paraId="2C980AC0" w14:textId="77777777" w:rsidR="00EF344E" w:rsidRPr="00FE79D3" w:rsidRDefault="00EF344E" w:rsidP="00FE79D3">
            <w:pPr>
              <w:spacing w:after="160" w:line="278" w:lineRule="auto"/>
              <w:rPr>
                <w:rFonts w:ascii="Calibri" w:hAnsi="Calibri" w:cs="Calibri"/>
                <w:sz w:val="20"/>
                <w:szCs w:val="20"/>
              </w:rPr>
            </w:pPr>
            <w:r w:rsidRPr="00FE79D3">
              <w:rPr>
                <w:rFonts w:ascii="Calibri" w:hAnsi="Calibri" w:cs="Calibri"/>
                <w:sz w:val="20"/>
                <w:szCs w:val="20"/>
              </w:rPr>
              <w:t>Legal advice hours (one-off)</w:t>
            </w:r>
          </w:p>
        </w:tc>
        <w:tc>
          <w:tcPr>
            <w:tcW w:w="821" w:type="pct"/>
            <w:hideMark/>
          </w:tcPr>
          <w:p w14:paraId="5FE133BA" w14:textId="79C6C87F" w:rsidR="00EF344E" w:rsidRPr="00FE79D3" w:rsidRDefault="008D5C7A" w:rsidP="00FE79D3">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60</w:t>
            </w:r>
            <w:r w:rsidR="00EF344E" w:rsidRPr="00FE79D3">
              <w:rPr>
                <w:rFonts w:ascii="Calibri" w:hAnsi="Calibri" w:cs="Calibri"/>
                <w:sz w:val="20"/>
                <w:szCs w:val="20"/>
              </w:rPr>
              <w:t xml:space="preserve"> hours</w:t>
            </w:r>
          </w:p>
        </w:tc>
        <w:tc>
          <w:tcPr>
            <w:tcW w:w="2611" w:type="pct"/>
          </w:tcPr>
          <w:p w14:paraId="736BEA13" w14:textId="62D4B89E" w:rsidR="00EF344E" w:rsidRPr="00CE7C16" w:rsidRDefault="00CE7C16" w:rsidP="00FE79D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E7C16">
              <w:rPr>
                <w:rFonts w:ascii="Calibri" w:hAnsi="Calibri" w:cs="Calibri"/>
                <w:sz w:val="20"/>
                <w:szCs w:val="20"/>
              </w:rPr>
              <w:t xml:space="preserve">We assume </w:t>
            </w:r>
            <w:r w:rsidR="008D5C7A">
              <w:rPr>
                <w:rFonts w:ascii="Calibri" w:hAnsi="Calibri" w:cs="Calibri"/>
                <w:sz w:val="20"/>
                <w:szCs w:val="20"/>
              </w:rPr>
              <w:t>60</w:t>
            </w:r>
            <w:r w:rsidRPr="00CE7C16">
              <w:rPr>
                <w:rFonts w:ascii="Calibri" w:hAnsi="Calibri" w:cs="Calibri"/>
                <w:sz w:val="20"/>
                <w:szCs w:val="20"/>
              </w:rPr>
              <w:t xml:space="preserve"> hours per retailer (one</w:t>
            </w:r>
            <w:r w:rsidRPr="00CE7C16">
              <w:rPr>
                <w:rFonts w:ascii="Cambria Math" w:hAnsi="Cambria Math" w:cs="Cambria Math"/>
                <w:sz w:val="20"/>
                <w:szCs w:val="20"/>
              </w:rPr>
              <w:t>‑</w:t>
            </w:r>
            <w:r w:rsidRPr="00CE7C16">
              <w:rPr>
                <w:rFonts w:ascii="Calibri" w:hAnsi="Calibri" w:cs="Calibri"/>
                <w:sz w:val="20"/>
                <w:szCs w:val="20"/>
              </w:rPr>
              <w:t>off) for legal compliance advice.</w:t>
            </w:r>
          </w:p>
        </w:tc>
      </w:tr>
      <w:tr w:rsidR="00EF344E" w:rsidRPr="00CE7C16" w14:paraId="64C2F8B6" w14:textId="57474714" w:rsidTr="00397B7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68" w:type="pct"/>
            <w:hideMark/>
          </w:tcPr>
          <w:p w14:paraId="1CE401AA" w14:textId="77777777" w:rsidR="00EF344E" w:rsidRPr="00FE79D3" w:rsidRDefault="00EF344E" w:rsidP="00FE79D3">
            <w:pPr>
              <w:spacing w:after="160" w:line="278" w:lineRule="auto"/>
              <w:rPr>
                <w:rFonts w:ascii="Calibri" w:hAnsi="Calibri" w:cs="Calibri"/>
                <w:sz w:val="20"/>
                <w:szCs w:val="20"/>
              </w:rPr>
            </w:pPr>
            <w:r w:rsidRPr="00FE79D3">
              <w:rPr>
                <w:rFonts w:ascii="Calibri" w:hAnsi="Calibri" w:cs="Calibri"/>
                <w:sz w:val="20"/>
                <w:szCs w:val="20"/>
              </w:rPr>
              <w:t>Call centre / training hours (one-off)</w:t>
            </w:r>
          </w:p>
        </w:tc>
        <w:tc>
          <w:tcPr>
            <w:tcW w:w="821" w:type="pct"/>
            <w:hideMark/>
          </w:tcPr>
          <w:p w14:paraId="72208609" w14:textId="22F10488" w:rsidR="00EF344E" w:rsidRPr="009B05FA" w:rsidRDefault="00D12738" w:rsidP="00FE79D3">
            <w:pPr>
              <w:spacing w:after="160"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75 </w:t>
            </w:r>
            <w:r w:rsidR="00EF344E" w:rsidRPr="009B05FA">
              <w:rPr>
                <w:rFonts w:ascii="Calibri" w:hAnsi="Calibri" w:cs="Calibri"/>
                <w:sz w:val="20"/>
                <w:szCs w:val="20"/>
              </w:rPr>
              <w:t>hours</w:t>
            </w:r>
          </w:p>
        </w:tc>
        <w:tc>
          <w:tcPr>
            <w:tcW w:w="2611" w:type="pct"/>
          </w:tcPr>
          <w:p w14:paraId="5114F149" w14:textId="67B95BF6" w:rsidR="00EF344E" w:rsidRPr="009B05FA" w:rsidRDefault="00C200CC" w:rsidP="00FE79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B05FA">
              <w:rPr>
                <w:rFonts w:ascii="Calibri" w:hAnsi="Calibri" w:cs="Calibri"/>
                <w:sz w:val="20"/>
                <w:szCs w:val="20"/>
              </w:rPr>
              <w:t xml:space="preserve">We assume </w:t>
            </w:r>
            <w:r w:rsidR="00D12738">
              <w:rPr>
                <w:rFonts w:ascii="Calibri" w:hAnsi="Calibri" w:cs="Calibri"/>
                <w:sz w:val="20"/>
                <w:szCs w:val="20"/>
              </w:rPr>
              <w:t>75</w:t>
            </w:r>
            <w:r w:rsidRPr="009B05FA">
              <w:rPr>
                <w:rFonts w:ascii="Calibri" w:hAnsi="Calibri" w:cs="Calibri"/>
                <w:sz w:val="20"/>
                <w:szCs w:val="20"/>
              </w:rPr>
              <w:t xml:space="preserve"> hours per retailer (one</w:t>
            </w:r>
            <w:r w:rsidRPr="009B05FA">
              <w:rPr>
                <w:rFonts w:ascii="Cambria Math" w:hAnsi="Cambria Math" w:cs="Cambria Math"/>
                <w:sz w:val="20"/>
                <w:szCs w:val="20"/>
              </w:rPr>
              <w:t>‑</w:t>
            </w:r>
            <w:r w:rsidRPr="009B05FA">
              <w:rPr>
                <w:rFonts w:ascii="Calibri" w:hAnsi="Calibri" w:cs="Calibri"/>
                <w:sz w:val="20"/>
                <w:szCs w:val="20"/>
              </w:rPr>
              <w:t>off) for</w:t>
            </w:r>
            <w:r w:rsidRPr="009B05FA" w:rsidDel="00D12738">
              <w:rPr>
                <w:rFonts w:ascii="Calibri" w:hAnsi="Calibri" w:cs="Calibri"/>
                <w:sz w:val="20"/>
                <w:szCs w:val="20"/>
              </w:rPr>
              <w:t xml:space="preserve"> </w:t>
            </w:r>
            <w:r w:rsidRPr="009B05FA">
              <w:rPr>
                <w:rFonts w:ascii="Calibri" w:hAnsi="Calibri" w:cs="Calibri"/>
                <w:sz w:val="20"/>
                <w:szCs w:val="20"/>
              </w:rPr>
              <w:t>call centre</w:t>
            </w:r>
            <w:r w:rsidR="007420B3" w:rsidRPr="009B05FA">
              <w:rPr>
                <w:rFonts w:ascii="Calibri" w:hAnsi="Calibri" w:cs="Calibri"/>
                <w:sz w:val="20"/>
                <w:szCs w:val="20"/>
              </w:rPr>
              <w:t>/</w:t>
            </w:r>
            <w:r w:rsidR="009B05FA" w:rsidRPr="009B05FA">
              <w:rPr>
                <w:rFonts w:ascii="Calibri" w:hAnsi="Calibri" w:cs="Calibri"/>
                <w:sz w:val="20"/>
                <w:szCs w:val="20"/>
              </w:rPr>
              <w:t>training activities</w:t>
            </w:r>
            <w:r w:rsidRPr="009B05FA">
              <w:rPr>
                <w:rFonts w:ascii="Calibri" w:hAnsi="Calibri" w:cs="Calibri"/>
                <w:sz w:val="20"/>
                <w:szCs w:val="20"/>
              </w:rPr>
              <w:t>.</w:t>
            </w:r>
          </w:p>
        </w:tc>
      </w:tr>
      <w:tr w:rsidR="00EF344E" w:rsidRPr="00CE7C16" w14:paraId="20A2BA73" w14:textId="2001C3BE" w:rsidTr="00397B75">
        <w:trPr>
          <w:trHeight w:val="416"/>
        </w:trPr>
        <w:tc>
          <w:tcPr>
            <w:cnfStyle w:val="001000000000" w:firstRow="0" w:lastRow="0" w:firstColumn="1" w:lastColumn="0" w:oddVBand="0" w:evenVBand="0" w:oddHBand="0" w:evenHBand="0" w:firstRowFirstColumn="0" w:firstRowLastColumn="0" w:lastRowFirstColumn="0" w:lastRowLastColumn="0"/>
            <w:tcW w:w="1568" w:type="pct"/>
            <w:hideMark/>
          </w:tcPr>
          <w:p w14:paraId="4C01FC32" w14:textId="77777777" w:rsidR="00EF344E" w:rsidRPr="00FE79D3" w:rsidRDefault="00EF344E" w:rsidP="00FE79D3">
            <w:pPr>
              <w:spacing w:after="160" w:line="278" w:lineRule="auto"/>
              <w:rPr>
                <w:rFonts w:ascii="Calibri" w:hAnsi="Calibri" w:cs="Calibri"/>
                <w:sz w:val="20"/>
                <w:szCs w:val="20"/>
              </w:rPr>
            </w:pPr>
            <w:r w:rsidRPr="00FE79D3">
              <w:rPr>
                <w:rFonts w:ascii="Calibri" w:hAnsi="Calibri" w:cs="Calibri"/>
                <w:sz w:val="20"/>
                <w:szCs w:val="20"/>
              </w:rPr>
              <w:t>Costing horizon</w:t>
            </w:r>
          </w:p>
        </w:tc>
        <w:tc>
          <w:tcPr>
            <w:tcW w:w="821" w:type="pct"/>
            <w:hideMark/>
          </w:tcPr>
          <w:p w14:paraId="0334EE33" w14:textId="77777777" w:rsidR="00EF344E" w:rsidRPr="00FE79D3" w:rsidRDefault="00EF344E" w:rsidP="00FE79D3">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E79D3">
              <w:rPr>
                <w:rFonts w:ascii="Calibri" w:hAnsi="Calibri" w:cs="Calibri"/>
                <w:sz w:val="20"/>
                <w:szCs w:val="20"/>
              </w:rPr>
              <w:t>10 years</w:t>
            </w:r>
          </w:p>
        </w:tc>
        <w:tc>
          <w:tcPr>
            <w:tcW w:w="2611" w:type="pct"/>
          </w:tcPr>
          <w:p w14:paraId="5CB8779E" w14:textId="337C28E9" w:rsidR="00EF344E" w:rsidRPr="00CE7C16" w:rsidRDefault="004E258A" w:rsidP="00FE79D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E258A">
              <w:rPr>
                <w:rFonts w:ascii="Calibri" w:hAnsi="Calibri" w:cs="Calibri"/>
                <w:sz w:val="20"/>
                <w:szCs w:val="20"/>
              </w:rPr>
              <w:t xml:space="preserve">The Board of Advice report on IA compliance confirms that, under the Commonwealth’s regulatory cost </w:t>
            </w:r>
            <w:r w:rsidRPr="004E258A">
              <w:rPr>
                <w:rFonts w:ascii="Calibri" w:hAnsi="Calibri" w:cs="Calibri"/>
                <w:sz w:val="20"/>
                <w:szCs w:val="20"/>
              </w:rPr>
              <w:lastRenderedPageBreak/>
              <w:t xml:space="preserve">estimation approach, </w:t>
            </w:r>
            <w:r w:rsidRPr="00984E95">
              <w:rPr>
                <w:rFonts w:ascii="Calibri" w:hAnsi="Calibri" w:cs="Calibri"/>
                <w:sz w:val="20"/>
                <w:szCs w:val="20"/>
              </w:rPr>
              <w:t>regulatory burden estimates are assumed to be spread over 10 years</w:t>
            </w:r>
            <w:r w:rsidRPr="004E258A">
              <w:rPr>
                <w:rFonts w:ascii="Calibri" w:hAnsi="Calibri" w:cs="Calibri"/>
                <w:sz w:val="20"/>
                <w:szCs w:val="20"/>
              </w:rPr>
              <w:t xml:space="preserve"> when preparing an IA</w:t>
            </w:r>
          </w:p>
        </w:tc>
      </w:tr>
      <w:tr w:rsidR="00EF344E" w:rsidRPr="00CE7C16" w14:paraId="27C3BCFF" w14:textId="6E901ED5" w:rsidTr="00397B7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68" w:type="pct"/>
            <w:hideMark/>
          </w:tcPr>
          <w:p w14:paraId="1DD78FCB" w14:textId="77777777" w:rsidR="00EF344E" w:rsidRPr="00FE79D3" w:rsidRDefault="00EF344E" w:rsidP="00FE79D3">
            <w:pPr>
              <w:spacing w:after="160" w:line="278" w:lineRule="auto"/>
              <w:rPr>
                <w:rFonts w:ascii="Calibri" w:hAnsi="Calibri" w:cs="Calibri"/>
                <w:sz w:val="20"/>
                <w:szCs w:val="20"/>
              </w:rPr>
            </w:pPr>
            <w:r w:rsidRPr="00FE79D3">
              <w:rPr>
                <w:rFonts w:ascii="Calibri" w:hAnsi="Calibri" w:cs="Calibri"/>
                <w:sz w:val="20"/>
                <w:szCs w:val="20"/>
              </w:rPr>
              <w:lastRenderedPageBreak/>
              <w:t>Retailers impacted</w:t>
            </w:r>
          </w:p>
        </w:tc>
        <w:tc>
          <w:tcPr>
            <w:tcW w:w="821" w:type="pct"/>
            <w:hideMark/>
          </w:tcPr>
          <w:p w14:paraId="71B42A32" w14:textId="77777777" w:rsidR="00EF344E" w:rsidRPr="00FE79D3" w:rsidRDefault="00EF344E" w:rsidP="00FE79D3">
            <w:pPr>
              <w:spacing w:after="160" w:line="278"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E79D3">
              <w:rPr>
                <w:rFonts w:ascii="Calibri" w:hAnsi="Calibri" w:cs="Calibri"/>
                <w:sz w:val="20"/>
                <w:szCs w:val="20"/>
              </w:rPr>
              <w:t>24</w:t>
            </w:r>
          </w:p>
        </w:tc>
        <w:tc>
          <w:tcPr>
            <w:tcW w:w="2611" w:type="pct"/>
          </w:tcPr>
          <w:p w14:paraId="3E9E720E" w14:textId="1BA3FB0F" w:rsidR="00EF344E" w:rsidRPr="00CE7C16" w:rsidRDefault="00D624D0" w:rsidP="00FE79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AER</w:t>
            </w:r>
            <w:r w:rsidR="00AE454A">
              <w:rPr>
                <w:rFonts w:ascii="Calibri" w:hAnsi="Calibri" w:cs="Calibri"/>
                <w:sz w:val="20"/>
                <w:szCs w:val="20"/>
              </w:rPr>
              <w:t xml:space="preserve">’s quarterly retail energy market performance update; Schedule 2 </w:t>
            </w:r>
            <w:r w:rsidR="00E614C4">
              <w:rPr>
                <w:rFonts w:ascii="Calibri" w:hAnsi="Calibri" w:cs="Calibri"/>
                <w:sz w:val="20"/>
                <w:szCs w:val="20"/>
              </w:rPr>
              <w:t xml:space="preserve">- </w:t>
            </w:r>
            <w:r w:rsidR="00E614C4" w:rsidRPr="00E614C4">
              <w:rPr>
                <w:rFonts w:ascii="Calibri" w:hAnsi="Calibri" w:cs="Calibri"/>
                <w:sz w:val="20"/>
                <w:szCs w:val="20"/>
              </w:rPr>
              <w:t>retail performance data</w:t>
            </w:r>
            <w:r w:rsidR="00317BE1">
              <w:rPr>
                <w:rStyle w:val="FootnoteReference"/>
                <w:rFonts w:ascii="Calibri" w:hAnsi="Calibri" w:cs="Calibri"/>
                <w:sz w:val="20"/>
                <w:szCs w:val="20"/>
              </w:rPr>
              <w:footnoteReference w:id="1"/>
            </w:r>
            <w:r w:rsidDel="00AE454A">
              <w:rPr>
                <w:rFonts w:ascii="Calibri" w:hAnsi="Calibri" w:cs="Calibri"/>
                <w:sz w:val="20"/>
                <w:szCs w:val="20"/>
              </w:rPr>
              <w:t xml:space="preserve"> </w:t>
            </w:r>
          </w:p>
        </w:tc>
      </w:tr>
    </w:tbl>
    <w:p w14:paraId="41E7C284" w14:textId="77777777" w:rsidR="008F23F1" w:rsidRDefault="008F23F1" w:rsidP="008F23F1"/>
    <w:p w14:paraId="23E50CC4" w14:textId="68159AD3" w:rsidR="00390BD5" w:rsidRDefault="00390BD5" w:rsidP="00390BD5">
      <w:pPr>
        <w:pStyle w:val="Heading3"/>
        <w:numPr>
          <w:ilvl w:val="0"/>
          <w:numId w:val="10"/>
        </w:numPr>
      </w:pPr>
      <w:r>
        <w:t>One-Off Implementation Costs (Year 1)</w:t>
      </w:r>
    </w:p>
    <w:p w14:paraId="28EF90B8" w14:textId="57E5EAA5" w:rsidR="00390BD5" w:rsidRPr="00D76957" w:rsidRDefault="00390BD5" w:rsidP="00390BD5">
      <w:pPr>
        <w:rPr>
          <w:rFonts w:ascii="Calibri" w:hAnsi="Calibri" w:cs="Calibri"/>
          <w:sz w:val="22"/>
          <w:szCs w:val="22"/>
        </w:rPr>
      </w:pPr>
      <w:r w:rsidRPr="00D76957">
        <w:rPr>
          <w:rFonts w:ascii="Calibri" w:hAnsi="Calibri" w:cs="Calibri"/>
          <w:sz w:val="22"/>
          <w:szCs w:val="22"/>
        </w:rPr>
        <w:t>One-</w:t>
      </w:r>
      <w:r w:rsidR="00554059">
        <w:rPr>
          <w:rFonts w:ascii="Calibri" w:hAnsi="Calibri" w:cs="Calibri"/>
          <w:sz w:val="22"/>
          <w:szCs w:val="22"/>
        </w:rPr>
        <w:t>o</w:t>
      </w:r>
      <w:r w:rsidRPr="00D76957">
        <w:rPr>
          <w:rFonts w:ascii="Calibri" w:hAnsi="Calibri" w:cs="Calibri"/>
          <w:sz w:val="22"/>
          <w:szCs w:val="22"/>
        </w:rPr>
        <w:t>ff costs reflect initial impleme</w:t>
      </w:r>
      <w:r w:rsidR="00D76957" w:rsidRPr="00D76957">
        <w:rPr>
          <w:rFonts w:ascii="Calibri" w:hAnsi="Calibri" w:cs="Calibri"/>
          <w:sz w:val="22"/>
          <w:szCs w:val="22"/>
        </w:rPr>
        <w:t>ntation</w:t>
      </w:r>
      <w:r w:rsidR="00D76957">
        <w:rPr>
          <w:rFonts w:ascii="Calibri" w:hAnsi="Calibri" w:cs="Calibri"/>
          <w:sz w:val="22"/>
          <w:szCs w:val="22"/>
        </w:rPr>
        <w:t xml:space="preserve"> activities required to operationalise the regulated SSO</w:t>
      </w:r>
      <w:r w:rsidR="00F207CA">
        <w:rPr>
          <w:rFonts w:ascii="Calibri" w:hAnsi="Calibri" w:cs="Calibri"/>
          <w:sz w:val="22"/>
          <w:szCs w:val="22"/>
        </w:rPr>
        <w:t xml:space="preserve"> within </w:t>
      </w:r>
      <w:r w:rsidR="00E5658E">
        <w:rPr>
          <w:rFonts w:ascii="Calibri" w:hAnsi="Calibri" w:cs="Calibri"/>
          <w:sz w:val="22"/>
          <w:szCs w:val="22"/>
        </w:rPr>
        <w:t>retailer</w:t>
      </w:r>
      <w:r w:rsidR="00DD50DA">
        <w:rPr>
          <w:rFonts w:ascii="Calibri" w:hAnsi="Calibri" w:cs="Calibri"/>
          <w:sz w:val="22"/>
          <w:szCs w:val="22"/>
        </w:rPr>
        <w:t xml:space="preserve"> systems and governance frameworks</w:t>
      </w:r>
      <w:r w:rsidR="00DA0976">
        <w:rPr>
          <w:rFonts w:ascii="Calibri" w:hAnsi="Calibri" w:cs="Calibri"/>
          <w:sz w:val="22"/>
          <w:szCs w:val="22"/>
        </w:rPr>
        <w:t>. As per departmental analysis, these costs should occur in Year 1 only.</w:t>
      </w:r>
    </w:p>
    <w:p w14:paraId="0408783E" w14:textId="5F6D7559" w:rsidR="001D036D" w:rsidRPr="00DA0976" w:rsidRDefault="001D036D" w:rsidP="00DA0976">
      <w:pPr>
        <w:pStyle w:val="Heading4"/>
        <w:numPr>
          <w:ilvl w:val="1"/>
          <w:numId w:val="10"/>
        </w:numPr>
        <w:rPr>
          <w:rFonts w:ascii="Calibri" w:hAnsi="Calibri" w:cs="Calibri"/>
          <w:sz w:val="22"/>
          <w:szCs w:val="22"/>
        </w:rPr>
      </w:pPr>
      <w:r w:rsidRPr="00DA0976">
        <w:rPr>
          <w:rFonts w:ascii="Calibri" w:hAnsi="Calibri" w:cs="Calibri"/>
          <w:sz w:val="22"/>
          <w:szCs w:val="22"/>
        </w:rPr>
        <w:t>Internal Process Adjustments</w:t>
      </w:r>
    </w:p>
    <w:p w14:paraId="282234FF" w14:textId="758EA4E3" w:rsidR="00A32C33" w:rsidRPr="00030642" w:rsidRDefault="00A9464A" w:rsidP="00A32C33">
      <w:pPr>
        <w:rPr>
          <w:rFonts w:ascii="Calibri" w:hAnsi="Calibri" w:cs="Calibri"/>
          <w:sz w:val="22"/>
          <w:szCs w:val="22"/>
        </w:rPr>
      </w:pPr>
      <w:r>
        <w:rPr>
          <w:rFonts w:ascii="Calibri" w:hAnsi="Calibri" w:cs="Calibri"/>
          <w:sz w:val="22"/>
          <w:szCs w:val="22"/>
        </w:rPr>
        <w:t xml:space="preserve">This estimate </w:t>
      </w:r>
      <w:proofErr w:type="gramStart"/>
      <w:r>
        <w:rPr>
          <w:rFonts w:ascii="Calibri" w:hAnsi="Calibri" w:cs="Calibri"/>
          <w:sz w:val="22"/>
          <w:szCs w:val="22"/>
        </w:rPr>
        <w:t xml:space="preserve">takes into </w:t>
      </w:r>
      <w:r w:rsidR="00235937">
        <w:rPr>
          <w:rFonts w:ascii="Calibri" w:hAnsi="Calibri" w:cs="Calibri"/>
          <w:sz w:val="22"/>
          <w:szCs w:val="22"/>
        </w:rPr>
        <w:t>account</w:t>
      </w:r>
      <w:proofErr w:type="gramEnd"/>
      <w:r w:rsidR="00235937">
        <w:rPr>
          <w:rFonts w:ascii="Calibri" w:hAnsi="Calibri" w:cs="Calibri"/>
          <w:sz w:val="22"/>
          <w:szCs w:val="22"/>
        </w:rPr>
        <w:t xml:space="preserve"> </w:t>
      </w:r>
      <w:r w:rsidR="00B6168A">
        <w:rPr>
          <w:rFonts w:ascii="Calibri" w:hAnsi="Calibri" w:cs="Calibri"/>
          <w:sz w:val="22"/>
          <w:szCs w:val="22"/>
        </w:rPr>
        <w:t>regulatory</w:t>
      </w:r>
      <w:r w:rsidR="00235937">
        <w:rPr>
          <w:rFonts w:ascii="Calibri" w:hAnsi="Calibri" w:cs="Calibri"/>
          <w:sz w:val="22"/>
          <w:szCs w:val="22"/>
        </w:rPr>
        <w:t xml:space="preserve"> burden of updating internal </w:t>
      </w:r>
      <w:r w:rsidR="002511D3">
        <w:rPr>
          <w:rFonts w:ascii="Calibri" w:hAnsi="Calibri" w:cs="Calibri"/>
          <w:sz w:val="22"/>
          <w:szCs w:val="22"/>
        </w:rPr>
        <w:t xml:space="preserve">compliance manuals, amend </w:t>
      </w:r>
      <w:r w:rsidR="00FC5F54">
        <w:rPr>
          <w:rFonts w:ascii="Calibri" w:hAnsi="Calibri" w:cs="Calibri"/>
          <w:sz w:val="22"/>
          <w:szCs w:val="22"/>
        </w:rPr>
        <w:t xml:space="preserve">product governance frameworks, </w:t>
      </w:r>
      <w:r w:rsidR="00376F8E">
        <w:rPr>
          <w:rFonts w:ascii="Calibri" w:hAnsi="Calibri" w:cs="Calibri"/>
          <w:sz w:val="22"/>
          <w:szCs w:val="22"/>
        </w:rPr>
        <w:t xml:space="preserve">update eligibility processes, adjust internal reporting templates and </w:t>
      </w:r>
      <w:r w:rsidR="00272755">
        <w:rPr>
          <w:rFonts w:ascii="Calibri" w:hAnsi="Calibri" w:cs="Calibri"/>
          <w:sz w:val="22"/>
          <w:szCs w:val="22"/>
        </w:rPr>
        <w:t xml:space="preserve">staff training and </w:t>
      </w:r>
      <w:r w:rsidR="004F2EF1">
        <w:rPr>
          <w:rFonts w:ascii="Calibri" w:hAnsi="Calibri" w:cs="Calibri"/>
          <w:sz w:val="22"/>
          <w:szCs w:val="22"/>
        </w:rPr>
        <w:t>guidance</w:t>
      </w:r>
      <w:r w:rsidR="00114CEF">
        <w:rPr>
          <w:rFonts w:ascii="Calibri" w:hAnsi="Calibri" w:cs="Calibri"/>
          <w:sz w:val="22"/>
          <w:szCs w:val="22"/>
        </w:rPr>
        <w:t>.</w:t>
      </w:r>
      <w:r w:rsidR="004F2EF1">
        <w:rPr>
          <w:rFonts w:ascii="Calibri" w:hAnsi="Calibri" w:cs="Calibri"/>
          <w:sz w:val="22"/>
          <w:szCs w:val="22"/>
        </w:rPr>
        <w:t xml:space="preserve"> </w:t>
      </w:r>
    </w:p>
    <w:p w14:paraId="66C213CC" w14:textId="6B3041E7" w:rsidR="00114CEF" w:rsidRPr="006E00AE" w:rsidRDefault="00DB4A3F" w:rsidP="00FF18F8">
      <w:pPr>
        <w:jc w:val="both"/>
        <w:rPr>
          <w:rFonts w:ascii="Calibri" w:hAnsi="Calibri" w:cs="Calibri"/>
          <w:i/>
          <w:sz w:val="22"/>
          <w:szCs w:val="22"/>
        </w:rPr>
      </w:pPr>
      <w:r w:rsidRPr="00F17893">
        <w:rPr>
          <w:rFonts w:ascii="Calibri" w:hAnsi="Calibri" w:cs="Calibri"/>
          <w:b/>
          <w:i/>
          <w:sz w:val="22"/>
          <w:szCs w:val="22"/>
        </w:rPr>
        <w:t>Internal Process Adjustment Cost</w:t>
      </w:r>
      <w:r w:rsidRPr="006E00AE">
        <w:rPr>
          <w:rFonts w:ascii="Calibri" w:hAnsi="Calibri" w:cs="Calibri"/>
          <w:i/>
          <w:sz w:val="22"/>
          <w:szCs w:val="22"/>
        </w:rPr>
        <w:t xml:space="preserve"> = </w:t>
      </w:r>
      <w:r w:rsidR="00C65DDA">
        <w:rPr>
          <w:rFonts w:ascii="Calibri" w:hAnsi="Calibri" w:cs="Calibri"/>
          <w:i/>
          <w:iCs/>
          <w:sz w:val="22"/>
          <w:szCs w:val="22"/>
        </w:rPr>
        <w:t>Number of Businesses impacted</w:t>
      </w:r>
      <w:r w:rsidR="006E00AE" w:rsidRPr="006E00AE">
        <w:rPr>
          <w:rFonts w:ascii="Calibri" w:hAnsi="Calibri" w:cs="Calibri"/>
          <w:i/>
          <w:iCs/>
          <w:sz w:val="22"/>
          <w:szCs w:val="22"/>
        </w:rPr>
        <w:t xml:space="preserve"> </w:t>
      </w:r>
      <w:r w:rsidR="00C65DDA">
        <w:rPr>
          <w:rFonts w:ascii="Calibri" w:hAnsi="Calibri" w:cs="Calibri"/>
          <w:i/>
          <w:iCs/>
          <w:sz w:val="22"/>
          <w:szCs w:val="22"/>
        </w:rPr>
        <w:t>*</w:t>
      </w:r>
      <w:r w:rsidR="009B7EE7">
        <w:rPr>
          <w:rFonts w:ascii="Calibri" w:hAnsi="Calibri" w:cs="Calibri"/>
          <w:i/>
          <w:iCs/>
          <w:sz w:val="22"/>
          <w:szCs w:val="22"/>
        </w:rPr>
        <w:t>Hourly</w:t>
      </w:r>
      <w:r w:rsidR="006E00AE" w:rsidRPr="006E00AE">
        <w:rPr>
          <w:rFonts w:ascii="Calibri" w:hAnsi="Calibri" w:cs="Calibri"/>
          <w:i/>
          <w:iCs/>
          <w:sz w:val="22"/>
          <w:szCs w:val="22"/>
        </w:rPr>
        <w:t xml:space="preserve"> </w:t>
      </w:r>
      <w:r w:rsidR="009B7EE7">
        <w:rPr>
          <w:rFonts w:ascii="Calibri" w:hAnsi="Calibri" w:cs="Calibri"/>
          <w:i/>
          <w:iCs/>
          <w:sz w:val="22"/>
          <w:szCs w:val="22"/>
        </w:rPr>
        <w:t>Wage Rate</w:t>
      </w:r>
      <w:r w:rsidR="006E00AE" w:rsidRPr="006E00AE">
        <w:rPr>
          <w:rFonts w:ascii="Calibri" w:hAnsi="Calibri" w:cs="Calibri"/>
          <w:i/>
          <w:iCs/>
          <w:sz w:val="22"/>
          <w:szCs w:val="22"/>
        </w:rPr>
        <w:t xml:space="preserve"> </w:t>
      </w:r>
      <w:r w:rsidR="00C65DDA">
        <w:rPr>
          <w:rFonts w:ascii="Calibri" w:hAnsi="Calibri" w:cs="Calibri"/>
          <w:i/>
          <w:iCs/>
          <w:sz w:val="22"/>
          <w:szCs w:val="22"/>
        </w:rPr>
        <w:t>*</w:t>
      </w:r>
      <w:r w:rsidR="006E00AE" w:rsidRPr="006E00AE">
        <w:rPr>
          <w:rFonts w:ascii="Calibri" w:hAnsi="Calibri" w:cs="Calibri"/>
          <w:i/>
          <w:iCs/>
          <w:sz w:val="22"/>
          <w:szCs w:val="22"/>
        </w:rPr>
        <w:t xml:space="preserve"> Hourly rate</w:t>
      </w:r>
    </w:p>
    <w:tbl>
      <w:tblPr>
        <w:tblStyle w:val="PlainTable4"/>
        <w:tblW w:w="5000" w:type="pct"/>
        <w:tblLook w:val="0480" w:firstRow="0" w:lastRow="0" w:firstColumn="1" w:lastColumn="0" w:noHBand="0" w:noVBand="1"/>
      </w:tblPr>
      <w:tblGrid>
        <w:gridCol w:w="1948"/>
        <w:gridCol w:w="1915"/>
        <w:gridCol w:w="1486"/>
        <w:gridCol w:w="1561"/>
        <w:gridCol w:w="2116"/>
      </w:tblGrid>
      <w:tr w:rsidR="00CE192D" w:rsidRPr="001045AB" w14:paraId="5953499D" w14:textId="42A55A49" w:rsidTr="003B0FC1">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1079" w:type="pct"/>
            <w:vAlign w:val="center"/>
          </w:tcPr>
          <w:p w14:paraId="53F9866A" w14:textId="79499C75" w:rsidR="00B0465A" w:rsidRPr="001045AB" w:rsidRDefault="00B0465A" w:rsidP="00255CC0">
            <w:pPr>
              <w:jc w:val="center"/>
              <w:rPr>
                <w:rFonts w:ascii="Calibri" w:hAnsi="Calibri" w:cs="Calibri"/>
                <w:sz w:val="20"/>
                <w:szCs w:val="20"/>
              </w:rPr>
            </w:pPr>
            <w:r w:rsidRPr="001045AB">
              <w:rPr>
                <w:rFonts w:ascii="Calibri" w:hAnsi="Calibri" w:cs="Calibri"/>
                <w:sz w:val="20"/>
                <w:szCs w:val="20"/>
              </w:rPr>
              <w:t>Number of businesses impacted</w:t>
            </w:r>
          </w:p>
        </w:tc>
        <w:tc>
          <w:tcPr>
            <w:tcW w:w="1061" w:type="pct"/>
            <w:vAlign w:val="center"/>
          </w:tcPr>
          <w:p w14:paraId="26A66A93" w14:textId="1932B1E2" w:rsidR="00B0465A" w:rsidRPr="001045AB" w:rsidRDefault="00B0465A" w:rsidP="00255C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Pr>
                <w:rFonts w:ascii="Calibri" w:hAnsi="Calibri" w:cs="Calibri"/>
                <w:b/>
                <w:bCs/>
                <w:sz w:val="20"/>
                <w:szCs w:val="20"/>
              </w:rPr>
              <w:t>Adjustment hours</w:t>
            </w:r>
          </w:p>
        </w:tc>
        <w:tc>
          <w:tcPr>
            <w:tcW w:w="823" w:type="pct"/>
            <w:vAlign w:val="center"/>
          </w:tcPr>
          <w:p w14:paraId="1C301C72" w14:textId="5E403A82" w:rsidR="00B0465A" w:rsidRPr="001045AB" w:rsidRDefault="00B046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Hourly wage rate</w:t>
            </w:r>
          </w:p>
        </w:tc>
        <w:tc>
          <w:tcPr>
            <w:tcW w:w="865" w:type="pct"/>
            <w:vAlign w:val="center"/>
          </w:tcPr>
          <w:p w14:paraId="0513E0B7" w14:textId="301D8419" w:rsidR="00B0465A" w:rsidRPr="001045AB" w:rsidRDefault="00B046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Cost</w:t>
            </w:r>
            <w:r w:rsidR="00437249">
              <w:rPr>
                <w:rFonts w:ascii="Calibri" w:hAnsi="Calibri" w:cs="Calibri"/>
                <w:b/>
                <w:bCs/>
                <w:sz w:val="20"/>
                <w:szCs w:val="20"/>
              </w:rPr>
              <w:t xml:space="preserve"> per retailer</w:t>
            </w:r>
          </w:p>
        </w:tc>
        <w:tc>
          <w:tcPr>
            <w:tcW w:w="1172" w:type="pct"/>
            <w:vAlign w:val="center"/>
          </w:tcPr>
          <w:p w14:paraId="32E59BEC" w14:textId="69785424" w:rsidR="00B0465A" w:rsidRDefault="00B0465A" w:rsidP="00255C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Sector-Wide</w:t>
            </w:r>
          </w:p>
        </w:tc>
      </w:tr>
      <w:tr w:rsidR="00CE192D" w:rsidRPr="001045AB" w14:paraId="067D768B" w14:textId="5E635143" w:rsidTr="00CF72F6">
        <w:trPr>
          <w:trHeight w:val="261"/>
        </w:trPr>
        <w:tc>
          <w:tcPr>
            <w:cnfStyle w:val="001000000000" w:firstRow="0" w:lastRow="0" w:firstColumn="1" w:lastColumn="0" w:oddVBand="0" w:evenVBand="0" w:oddHBand="0" w:evenHBand="0" w:firstRowFirstColumn="0" w:firstRowLastColumn="0" w:lastRowFirstColumn="0" w:lastRowLastColumn="0"/>
            <w:tcW w:w="1079" w:type="pct"/>
          </w:tcPr>
          <w:p w14:paraId="6B3BFF6C" w14:textId="3CC55386" w:rsidR="00B0465A" w:rsidRPr="001045AB" w:rsidRDefault="00B0465A" w:rsidP="00255CC0">
            <w:pPr>
              <w:jc w:val="center"/>
              <w:rPr>
                <w:rFonts w:ascii="Calibri" w:hAnsi="Calibri" w:cs="Calibri"/>
                <w:b w:val="0"/>
                <w:sz w:val="20"/>
                <w:szCs w:val="20"/>
              </w:rPr>
            </w:pPr>
            <w:r w:rsidRPr="001045AB">
              <w:rPr>
                <w:rFonts w:ascii="Calibri" w:hAnsi="Calibri" w:cs="Calibri"/>
                <w:b w:val="0"/>
                <w:bCs w:val="0"/>
                <w:sz w:val="20"/>
                <w:szCs w:val="20"/>
              </w:rPr>
              <w:t>24</w:t>
            </w:r>
          </w:p>
        </w:tc>
        <w:tc>
          <w:tcPr>
            <w:tcW w:w="1061" w:type="pct"/>
          </w:tcPr>
          <w:p w14:paraId="77C2C7F2" w14:textId="6950AF1D" w:rsidR="00B0465A" w:rsidRPr="001045AB" w:rsidRDefault="00D57FBF" w:rsidP="00255C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150</w:t>
            </w:r>
          </w:p>
        </w:tc>
        <w:tc>
          <w:tcPr>
            <w:tcW w:w="823" w:type="pct"/>
          </w:tcPr>
          <w:p w14:paraId="0BB10814" w14:textId="6CAB997A" w:rsidR="00B0465A" w:rsidRPr="001045AB" w:rsidRDefault="00B0465A" w:rsidP="00255C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$85.17</w:t>
            </w:r>
          </w:p>
        </w:tc>
        <w:tc>
          <w:tcPr>
            <w:tcW w:w="865" w:type="pct"/>
          </w:tcPr>
          <w:p w14:paraId="2B150BD9" w14:textId="413666EA" w:rsidR="00B0465A" w:rsidRPr="001045AB" w:rsidRDefault="00B0465A" w:rsidP="00255C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r w:rsidR="009215FA">
              <w:rPr>
                <w:rFonts w:ascii="Calibri" w:hAnsi="Calibri" w:cs="Calibri"/>
                <w:sz w:val="20"/>
                <w:szCs w:val="20"/>
              </w:rPr>
              <w:t>12,775</w:t>
            </w:r>
            <w:r w:rsidR="00BC4027">
              <w:rPr>
                <w:rFonts w:ascii="Calibri" w:hAnsi="Calibri" w:cs="Calibri"/>
                <w:sz w:val="20"/>
                <w:szCs w:val="20"/>
              </w:rPr>
              <w:t>.50</w:t>
            </w:r>
          </w:p>
        </w:tc>
        <w:tc>
          <w:tcPr>
            <w:tcW w:w="1172" w:type="pct"/>
          </w:tcPr>
          <w:p w14:paraId="7C33DE44" w14:textId="017D5D81" w:rsidR="00B0465A" w:rsidRPr="00B577B0" w:rsidRDefault="00B0465A" w:rsidP="00B577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B577B0">
              <w:rPr>
                <w:rFonts w:ascii="Calibri" w:hAnsi="Calibri" w:cs="Calibri"/>
                <w:sz w:val="20"/>
                <w:szCs w:val="20"/>
              </w:rPr>
              <w:t>$</w:t>
            </w:r>
            <w:r w:rsidR="0022321E">
              <w:rPr>
                <w:rFonts w:ascii="Calibri" w:hAnsi="Calibri" w:cs="Calibri"/>
                <w:sz w:val="20"/>
                <w:szCs w:val="20"/>
              </w:rPr>
              <w:t>306,612</w:t>
            </w:r>
            <w:r w:rsidR="002211F6">
              <w:rPr>
                <w:rFonts w:ascii="Calibri" w:hAnsi="Calibri" w:cs="Calibri"/>
                <w:sz w:val="20"/>
                <w:szCs w:val="20"/>
              </w:rPr>
              <w:t>.00</w:t>
            </w:r>
          </w:p>
          <w:p w14:paraId="34EDC7DD" w14:textId="77777777" w:rsidR="00B0465A" w:rsidRPr="001045AB" w:rsidRDefault="00B0465A" w:rsidP="00B046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3963975D" w14:textId="0862AB2B" w:rsidR="001D036D" w:rsidRPr="00B577B0" w:rsidRDefault="0026351F" w:rsidP="00B577B0">
      <w:pPr>
        <w:pStyle w:val="Heading4"/>
        <w:numPr>
          <w:ilvl w:val="1"/>
          <w:numId w:val="10"/>
        </w:numPr>
        <w:rPr>
          <w:rFonts w:ascii="Calibri" w:hAnsi="Calibri" w:cs="Calibri"/>
          <w:sz w:val="22"/>
          <w:szCs w:val="22"/>
        </w:rPr>
      </w:pPr>
      <w:r w:rsidRPr="0026351F">
        <w:rPr>
          <w:rFonts w:ascii="Calibri" w:hAnsi="Calibri" w:cs="Calibri"/>
          <w:sz w:val="22"/>
          <w:szCs w:val="22"/>
        </w:rPr>
        <w:t>System Configuration (Billing / IT)</w:t>
      </w:r>
    </w:p>
    <w:p w14:paraId="302A9E9F" w14:textId="72741A21" w:rsidR="0026351F" w:rsidRPr="0026351F" w:rsidRDefault="0026351F" w:rsidP="0026351F">
      <w:pPr>
        <w:rPr>
          <w:rFonts w:ascii="Calibri" w:hAnsi="Calibri" w:cs="Calibri"/>
          <w:sz w:val="22"/>
          <w:szCs w:val="22"/>
        </w:rPr>
      </w:pPr>
      <w:r w:rsidRPr="0026351F">
        <w:rPr>
          <w:rFonts w:ascii="Calibri" w:hAnsi="Calibri" w:cs="Calibri"/>
          <w:sz w:val="22"/>
          <w:szCs w:val="22"/>
        </w:rPr>
        <w:t xml:space="preserve">This estimate </w:t>
      </w:r>
      <w:proofErr w:type="gramStart"/>
      <w:r>
        <w:rPr>
          <w:rFonts w:ascii="Calibri" w:hAnsi="Calibri" w:cs="Calibri"/>
          <w:sz w:val="22"/>
          <w:szCs w:val="22"/>
        </w:rPr>
        <w:t>takes into account</w:t>
      </w:r>
      <w:proofErr w:type="gramEnd"/>
      <w:r>
        <w:rPr>
          <w:rFonts w:ascii="Calibri" w:hAnsi="Calibri" w:cs="Calibri"/>
          <w:sz w:val="22"/>
          <w:szCs w:val="22"/>
        </w:rPr>
        <w:t xml:space="preserve"> </w:t>
      </w:r>
      <w:r w:rsidR="00B6168A">
        <w:rPr>
          <w:rFonts w:ascii="Calibri" w:hAnsi="Calibri" w:cs="Calibri"/>
          <w:sz w:val="22"/>
          <w:szCs w:val="22"/>
        </w:rPr>
        <w:t>regulatory</w:t>
      </w:r>
      <w:r w:rsidR="00AA2567">
        <w:rPr>
          <w:rFonts w:ascii="Calibri" w:hAnsi="Calibri" w:cs="Calibri"/>
          <w:sz w:val="22"/>
          <w:szCs w:val="22"/>
        </w:rPr>
        <w:t xml:space="preserve"> burden </w:t>
      </w:r>
      <w:r w:rsidR="005E3C17">
        <w:rPr>
          <w:rFonts w:ascii="Calibri" w:hAnsi="Calibri" w:cs="Calibri"/>
          <w:sz w:val="22"/>
          <w:szCs w:val="22"/>
        </w:rPr>
        <w:t xml:space="preserve">of configuring billing engines to reflect the </w:t>
      </w:r>
      <w:r w:rsidR="00F37FD0">
        <w:rPr>
          <w:rFonts w:ascii="Calibri" w:hAnsi="Calibri" w:cs="Calibri"/>
          <w:sz w:val="22"/>
          <w:szCs w:val="22"/>
        </w:rPr>
        <w:t>3-hour $0</w:t>
      </w:r>
      <w:r w:rsidR="009F78B2">
        <w:rPr>
          <w:rFonts w:ascii="Calibri" w:hAnsi="Calibri" w:cs="Calibri"/>
          <w:sz w:val="22"/>
          <w:szCs w:val="22"/>
        </w:rPr>
        <w:t>/kWh window</w:t>
      </w:r>
      <w:r w:rsidR="007E0C1C">
        <w:rPr>
          <w:rFonts w:ascii="Calibri" w:hAnsi="Calibri" w:cs="Calibri"/>
          <w:sz w:val="22"/>
          <w:szCs w:val="22"/>
        </w:rPr>
        <w:t>, apply the 24 kWh/day reasonable cap</w:t>
      </w:r>
      <w:r w:rsidR="005A51D1">
        <w:rPr>
          <w:rFonts w:ascii="Calibri" w:hAnsi="Calibri" w:cs="Calibri"/>
          <w:sz w:val="22"/>
          <w:szCs w:val="22"/>
        </w:rPr>
        <w:t xml:space="preserve">, update </w:t>
      </w:r>
      <w:r w:rsidR="009C5B25">
        <w:rPr>
          <w:rFonts w:ascii="Calibri" w:hAnsi="Calibri" w:cs="Calibri"/>
          <w:sz w:val="22"/>
          <w:szCs w:val="22"/>
        </w:rPr>
        <w:t xml:space="preserve">tariff </w:t>
      </w:r>
      <w:r w:rsidR="005877D9">
        <w:rPr>
          <w:rFonts w:ascii="Calibri" w:hAnsi="Calibri" w:cs="Calibri"/>
          <w:sz w:val="22"/>
          <w:szCs w:val="22"/>
        </w:rPr>
        <w:t xml:space="preserve">requirements, </w:t>
      </w:r>
      <w:r w:rsidR="0046788C">
        <w:rPr>
          <w:rFonts w:ascii="Calibri" w:hAnsi="Calibri" w:cs="Calibri"/>
          <w:sz w:val="22"/>
          <w:szCs w:val="22"/>
        </w:rPr>
        <w:t xml:space="preserve">conduct testing and validation as necessary. </w:t>
      </w:r>
    </w:p>
    <w:p w14:paraId="2AD137C7" w14:textId="769C7904" w:rsidR="00697988" w:rsidRPr="00697988" w:rsidRDefault="00AA1661" w:rsidP="00FF18F8">
      <w:pPr>
        <w:rPr>
          <w:rFonts w:ascii="Calibri" w:hAnsi="Calibri" w:cs="Calibri"/>
          <w:i/>
          <w:iCs/>
          <w:sz w:val="22"/>
          <w:szCs w:val="22"/>
        </w:rPr>
      </w:pPr>
      <w:r w:rsidRPr="00AA1661">
        <w:rPr>
          <w:rFonts w:ascii="Calibri" w:hAnsi="Calibri" w:cs="Calibri"/>
          <w:b/>
          <w:bCs/>
          <w:i/>
          <w:iCs/>
          <w:sz w:val="22"/>
          <w:szCs w:val="22"/>
        </w:rPr>
        <w:t>System configuration cost =</w:t>
      </w:r>
      <w:r>
        <w:rPr>
          <w:rFonts w:ascii="Calibri" w:hAnsi="Calibri" w:cs="Calibri"/>
          <w:b/>
          <w:bCs/>
          <w:i/>
          <w:iCs/>
          <w:sz w:val="22"/>
          <w:szCs w:val="22"/>
        </w:rPr>
        <w:t xml:space="preserve"> </w:t>
      </w:r>
      <w:r w:rsidR="00B20B44">
        <w:rPr>
          <w:rFonts w:ascii="Calibri" w:hAnsi="Calibri" w:cs="Calibri"/>
          <w:i/>
          <w:iCs/>
          <w:sz w:val="22"/>
          <w:szCs w:val="22"/>
        </w:rPr>
        <w:t xml:space="preserve">Number of Businesses Impacted * </w:t>
      </w:r>
      <w:r w:rsidR="00E57A31" w:rsidRPr="00E57A31">
        <w:rPr>
          <w:rFonts w:ascii="Calibri" w:hAnsi="Calibri" w:cs="Calibri"/>
          <w:i/>
          <w:iCs/>
          <w:sz w:val="22"/>
          <w:szCs w:val="22"/>
        </w:rPr>
        <w:t>System configuration hours (one-off)</w:t>
      </w:r>
      <w:r w:rsidR="00E57A31">
        <w:rPr>
          <w:rFonts w:ascii="Calibri" w:hAnsi="Calibri" w:cs="Calibri"/>
          <w:i/>
          <w:iCs/>
          <w:sz w:val="22"/>
          <w:szCs w:val="22"/>
        </w:rPr>
        <w:t xml:space="preserve"> * </w:t>
      </w:r>
      <w:r w:rsidR="00697988" w:rsidRPr="00697988">
        <w:rPr>
          <w:rFonts w:ascii="Calibri" w:hAnsi="Calibri" w:cs="Calibri"/>
          <w:i/>
          <w:iCs/>
          <w:sz w:val="22"/>
          <w:szCs w:val="22"/>
        </w:rPr>
        <w:t>IT hourly rate ($/hour)</w:t>
      </w:r>
    </w:p>
    <w:tbl>
      <w:tblPr>
        <w:tblStyle w:val="PlainTable4"/>
        <w:tblW w:w="5000" w:type="pct"/>
        <w:tblLook w:val="0480" w:firstRow="0" w:lastRow="0" w:firstColumn="1" w:lastColumn="0" w:noHBand="0" w:noVBand="1"/>
      </w:tblPr>
      <w:tblGrid>
        <w:gridCol w:w="2597"/>
        <w:gridCol w:w="2321"/>
        <w:gridCol w:w="1286"/>
        <w:gridCol w:w="1128"/>
        <w:gridCol w:w="1694"/>
      </w:tblGrid>
      <w:tr w:rsidR="00CE192D" w:rsidRPr="001045AB" w14:paraId="077FA0DD" w14:textId="77777777" w:rsidTr="003B0FC1">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1442" w:type="pct"/>
            <w:vAlign w:val="center"/>
          </w:tcPr>
          <w:p w14:paraId="35CBF52C" w14:textId="77777777" w:rsidR="001553F1" w:rsidRPr="001045AB" w:rsidRDefault="001553F1">
            <w:pPr>
              <w:jc w:val="center"/>
              <w:rPr>
                <w:rFonts w:ascii="Calibri" w:hAnsi="Calibri" w:cs="Calibri"/>
                <w:sz w:val="20"/>
                <w:szCs w:val="20"/>
              </w:rPr>
            </w:pPr>
            <w:r w:rsidRPr="001045AB">
              <w:rPr>
                <w:rFonts w:ascii="Calibri" w:hAnsi="Calibri" w:cs="Calibri"/>
                <w:sz w:val="20"/>
                <w:szCs w:val="20"/>
              </w:rPr>
              <w:t>Number of businesses impacted</w:t>
            </w:r>
          </w:p>
        </w:tc>
        <w:tc>
          <w:tcPr>
            <w:tcW w:w="1289" w:type="pct"/>
            <w:vAlign w:val="center"/>
          </w:tcPr>
          <w:p w14:paraId="6C8968EE" w14:textId="446507C0" w:rsidR="001553F1" w:rsidRPr="001045AB" w:rsidRDefault="001553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System Configuration Hours</w:t>
            </w:r>
          </w:p>
        </w:tc>
        <w:tc>
          <w:tcPr>
            <w:tcW w:w="715" w:type="pct"/>
            <w:vAlign w:val="center"/>
          </w:tcPr>
          <w:p w14:paraId="6E8B6B65" w14:textId="41C26F6B" w:rsidR="001553F1" w:rsidRPr="001045AB" w:rsidRDefault="001553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IT Hourly Rate</w:t>
            </w:r>
          </w:p>
        </w:tc>
        <w:tc>
          <w:tcPr>
            <w:tcW w:w="613" w:type="pct"/>
            <w:vAlign w:val="center"/>
          </w:tcPr>
          <w:p w14:paraId="2B26B6C6" w14:textId="7A45B485" w:rsidR="001553F1" w:rsidRPr="001045AB" w:rsidRDefault="001553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Cost</w:t>
            </w:r>
            <w:r w:rsidR="00437249">
              <w:rPr>
                <w:rFonts w:ascii="Calibri" w:hAnsi="Calibri" w:cs="Calibri"/>
                <w:b/>
                <w:bCs/>
                <w:sz w:val="20"/>
                <w:szCs w:val="20"/>
              </w:rPr>
              <w:t xml:space="preserve"> per retailer</w:t>
            </w:r>
          </w:p>
        </w:tc>
        <w:tc>
          <w:tcPr>
            <w:tcW w:w="941" w:type="pct"/>
            <w:vAlign w:val="center"/>
          </w:tcPr>
          <w:p w14:paraId="073E98FC" w14:textId="77777777" w:rsidR="001553F1" w:rsidRDefault="001553F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Sector-Wide</w:t>
            </w:r>
          </w:p>
        </w:tc>
      </w:tr>
      <w:tr w:rsidR="00CE192D" w:rsidRPr="001045AB" w14:paraId="77853F7B" w14:textId="77777777" w:rsidTr="003B0FC1">
        <w:trPr>
          <w:trHeight w:val="273"/>
        </w:trPr>
        <w:tc>
          <w:tcPr>
            <w:cnfStyle w:val="001000000000" w:firstRow="0" w:lastRow="0" w:firstColumn="1" w:lastColumn="0" w:oddVBand="0" w:evenVBand="0" w:oddHBand="0" w:evenHBand="0" w:firstRowFirstColumn="0" w:firstRowLastColumn="0" w:lastRowFirstColumn="0" w:lastRowLastColumn="0"/>
            <w:tcW w:w="1442" w:type="pct"/>
          </w:tcPr>
          <w:p w14:paraId="464B034B" w14:textId="77777777" w:rsidR="001553F1" w:rsidRPr="001045AB" w:rsidRDefault="001553F1">
            <w:pPr>
              <w:jc w:val="center"/>
              <w:rPr>
                <w:rFonts w:ascii="Calibri" w:hAnsi="Calibri" w:cs="Calibri"/>
                <w:b w:val="0"/>
                <w:bCs w:val="0"/>
                <w:sz w:val="20"/>
                <w:szCs w:val="20"/>
              </w:rPr>
            </w:pPr>
            <w:r w:rsidRPr="001045AB">
              <w:rPr>
                <w:rFonts w:ascii="Calibri" w:hAnsi="Calibri" w:cs="Calibri"/>
                <w:b w:val="0"/>
                <w:bCs w:val="0"/>
                <w:sz w:val="20"/>
                <w:szCs w:val="20"/>
              </w:rPr>
              <w:t>24</w:t>
            </w:r>
          </w:p>
        </w:tc>
        <w:tc>
          <w:tcPr>
            <w:tcW w:w="1289" w:type="pct"/>
          </w:tcPr>
          <w:p w14:paraId="46CA3940" w14:textId="39955B05" w:rsidR="001553F1" w:rsidRPr="001045AB" w:rsidRDefault="001A3A3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150</w:t>
            </w:r>
          </w:p>
        </w:tc>
        <w:tc>
          <w:tcPr>
            <w:tcW w:w="715" w:type="pct"/>
          </w:tcPr>
          <w:p w14:paraId="2DFE9BDC" w14:textId="1046F8A9" w:rsidR="001553F1" w:rsidRPr="001045AB" w:rsidRDefault="001553F1" w:rsidP="00FF18F8">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$140</w:t>
            </w:r>
            <w:r w:rsidR="002211F6">
              <w:rPr>
                <w:rFonts w:ascii="Calibri" w:hAnsi="Calibri" w:cs="Calibri"/>
                <w:sz w:val="20"/>
                <w:szCs w:val="20"/>
              </w:rPr>
              <w:t>.00</w:t>
            </w:r>
          </w:p>
        </w:tc>
        <w:tc>
          <w:tcPr>
            <w:tcW w:w="613" w:type="pct"/>
          </w:tcPr>
          <w:p w14:paraId="5FE3BAC0" w14:textId="77BAAD52" w:rsidR="001553F1" w:rsidRPr="00443AA4" w:rsidRDefault="001553F1" w:rsidP="00443A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443AA4">
              <w:rPr>
                <w:rFonts w:ascii="Calibri" w:hAnsi="Calibri" w:cs="Calibri"/>
                <w:sz w:val="20"/>
                <w:szCs w:val="20"/>
              </w:rPr>
              <w:t>$</w:t>
            </w:r>
            <w:r w:rsidR="009853D5">
              <w:rPr>
                <w:rFonts w:ascii="Calibri" w:hAnsi="Calibri" w:cs="Calibri"/>
                <w:sz w:val="20"/>
                <w:szCs w:val="20"/>
              </w:rPr>
              <w:t>21,</w:t>
            </w:r>
            <w:r w:rsidR="00413EC0">
              <w:rPr>
                <w:rFonts w:ascii="Calibri" w:hAnsi="Calibri" w:cs="Calibri"/>
                <w:sz w:val="20"/>
                <w:szCs w:val="20"/>
              </w:rPr>
              <w:t>000</w:t>
            </w:r>
            <w:r w:rsidR="002211F6">
              <w:rPr>
                <w:rFonts w:ascii="Calibri" w:hAnsi="Calibri" w:cs="Calibri"/>
                <w:sz w:val="20"/>
                <w:szCs w:val="20"/>
              </w:rPr>
              <w:t>.00</w:t>
            </w:r>
          </w:p>
          <w:p w14:paraId="1BAE003F" w14:textId="62817ACD" w:rsidR="001553F1" w:rsidRPr="001045AB" w:rsidRDefault="001553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941" w:type="pct"/>
          </w:tcPr>
          <w:p w14:paraId="41C29DE8" w14:textId="6979EE42" w:rsidR="001553F1" w:rsidRPr="00AE5236" w:rsidRDefault="001553F1" w:rsidP="00AE52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E5236">
              <w:rPr>
                <w:rFonts w:ascii="Calibri" w:hAnsi="Calibri" w:cs="Calibri"/>
                <w:sz w:val="20"/>
                <w:szCs w:val="20"/>
              </w:rPr>
              <w:t>$</w:t>
            </w:r>
            <w:r w:rsidR="00413EC0">
              <w:rPr>
                <w:rFonts w:ascii="Calibri" w:hAnsi="Calibri" w:cs="Calibri"/>
                <w:sz w:val="20"/>
                <w:szCs w:val="20"/>
              </w:rPr>
              <w:t>504,000</w:t>
            </w:r>
            <w:r w:rsidRPr="00AE5236">
              <w:rPr>
                <w:rFonts w:ascii="Calibri" w:hAnsi="Calibri" w:cs="Calibri"/>
                <w:sz w:val="20"/>
                <w:szCs w:val="20"/>
              </w:rPr>
              <w:t>.00</w:t>
            </w:r>
          </w:p>
          <w:p w14:paraId="6CD9B86E" w14:textId="77777777" w:rsidR="001553F1" w:rsidRPr="001045AB" w:rsidRDefault="001553F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4E865A36" w14:textId="24C0D257" w:rsidR="00AE5236" w:rsidRDefault="00AE5236" w:rsidP="00AE5236">
      <w:pPr>
        <w:pStyle w:val="Heading4"/>
        <w:numPr>
          <w:ilvl w:val="1"/>
          <w:numId w:val="10"/>
        </w:numPr>
        <w:rPr>
          <w:rFonts w:ascii="Calibri" w:hAnsi="Calibri" w:cs="Calibri"/>
          <w:sz w:val="22"/>
          <w:szCs w:val="22"/>
        </w:rPr>
      </w:pPr>
      <w:r>
        <w:rPr>
          <w:rFonts w:ascii="Calibri" w:hAnsi="Calibri" w:cs="Calibri"/>
          <w:sz w:val="22"/>
          <w:szCs w:val="22"/>
        </w:rPr>
        <w:t>Legal Compliance Advice</w:t>
      </w:r>
    </w:p>
    <w:p w14:paraId="2C08A9BB" w14:textId="4BA49C3A" w:rsidR="00AE5236" w:rsidRPr="006F2D2A" w:rsidRDefault="006012FA" w:rsidP="00AE5236">
      <w:pPr>
        <w:rPr>
          <w:rFonts w:ascii="Calibri" w:hAnsi="Calibri" w:cs="Calibri"/>
          <w:b/>
          <w:i/>
          <w:sz w:val="22"/>
          <w:szCs w:val="22"/>
        </w:rPr>
      </w:pPr>
      <w:r w:rsidRPr="00B6168A">
        <w:rPr>
          <w:rFonts w:ascii="Calibri" w:hAnsi="Calibri" w:cs="Calibri"/>
          <w:sz w:val="22"/>
          <w:szCs w:val="22"/>
        </w:rPr>
        <w:t xml:space="preserve">This estimate </w:t>
      </w:r>
      <w:proofErr w:type="gramStart"/>
      <w:r w:rsidRPr="00B6168A">
        <w:rPr>
          <w:rFonts w:ascii="Calibri" w:hAnsi="Calibri" w:cs="Calibri"/>
          <w:sz w:val="22"/>
          <w:szCs w:val="22"/>
        </w:rPr>
        <w:t>takes into account</w:t>
      </w:r>
      <w:proofErr w:type="gramEnd"/>
      <w:r w:rsidR="00B6168A">
        <w:rPr>
          <w:rFonts w:ascii="Calibri" w:hAnsi="Calibri" w:cs="Calibri"/>
          <w:sz w:val="22"/>
          <w:szCs w:val="22"/>
        </w:rPr>
        <w:t xml:space="preserve"> </w:t>
      </w:r>
      <w:r w:rsidR="002818DC">
        <w:rPr>
          <w:rFonts w:ascii="Calibri" w:hAnsi="Calibri" w:cs="Calibri"/>
          <w:sz w:val="22"/>
          <w:szCs w:val="22"/>
        </w:rPr>
        <w:t xml:space="preserve">regulatory burden of interpreting the SSO obligations under </w:t>
      </w:r>
      <w:r w:rsidR="00BB6ED8">
        <w:rPr>
          <w:rFonts w:ascii="Calibri" w:hAnsi="Calibri" w:cs="Calibri"/>
          <w:sz w:val="22"/>
          <w:szCs w:val="22"/>
        </w:rPr>
        <w:t>t</w:t>
      </w:r>
      <w:r w:rsidR="002818DC">
        <w:rPr>
          <w:rFonts w:ascii="Calibri" w:hAnsi="Calibri" w:cs="Calibri"/>
          <w:sz w:val="22"/>
          <w:szCs w:val="22"/>
        </w:rPr>
        <w:t xml:space="preserve">he Code, </w:t>
      </w:r>
      <w:r w:rsidR="0038477E">
        <w:rPr>
          <w:rFonts w:ascii="Calibri" w:hAnsi="Calibri" w:cs="Calibri"/>
          <w:sz w:val="22"/>
          <w:szCs w:val="22"/>
        </w:rPr>
        <w:t xml:space="preserve">confirming interactions with DMO and NECF, reviewing customer communication </w:t>
      </w:r>
      <w:r w:rsidR="006F2D2A" w:rsidRPr="006F2D2A">
        <w:rPr>
          <w:rFonts w:ascii="Calibri" w:hAnsi="Calibri" w:cs="Calibri"/>
          <w:sz w:val="22"/>
          <w:szCs w:val="22"/>
        </w:rPr>
        <w:t>requirements and validating compliance positions amongst others.</w:t>
      </w:r>
    </w:p>
    <w:p w14:paraId="02FD1A2D" w14:textId="4B79D1A0" w:rsidR="0022549A" w:rsidRDefault="006F2D2A" w:rsidP="00741CB9">
      <w:pPr>
        <w:jc w:val="both"/>
        <w:rPr>
          <w:rFonts w:ascii="Calibri" w:hAnsi="Calibri" w:cs="Calibri"/>
          <w:i/>
          <w:iCs/>
          <w:sz w:val="22"/>
          <w:szCs w:val="22"/>
        </w:rPr>
      </w:pPr>
      <w:r w:rsidRPr="006F2D2A">
        <w:rPr>
          <w:rFonts w:ascii="Calibri" w:hAnsi="Calibri" w:cs="Calibri"/>
          <w:b/>
          <w:bCs/>
          <w:i/>
          <w:iCs/>
          <w:sz w:val="22"/>
          <w:szCs w:val="22"/>
        </w:rPr>
        <w:t>Legal Compliance Cost =</w:t>
      </w:r>
      <w:r w:rsidR="00BC2F90">
        <w:rPr>
          <w:rFonts w:ascii="Calibri" w:hAnsi="Calibri" w:cs="Calibri"/>
          <w:b/>
          <w:bCs/>
          <w:i/>
          <w:iCs/>
          <w:sz w:val="22"/>
          <w:szCs w:val="22"/>
        </w:rPr>
        <w:t xml:space="preserve"> </w:t>
      </w:r>
      <w:r w:rsidR="00BC2F90" w:rsidRPr="00BC2F90">
        <w:rPr>
          <w:rFonts w:ascii="Calibri" w:hAnsi="Calibri" w:cs="Calibri"/>
          <w:i/>
          <w:iCs/>
          <w:sz w:val="22"/>
          <w:szCs w:val="22"/>
        </w:rPr>
        <w:t>Number of Businesses Impacted</w:t>
      </w:r>
      <w:r w:rsidR="001D4161">
        <w:rPr>
          <w:rFonts w:ascii="Calibri" w:hAnsi="Calibri" w:cs="Calibri"/>
          <w:i/>
          <w:iCs/>
          <w:sz w:val="22"/>
          <w:szCs w:val="22"/>
        </w:rPr>
        <w:t xml:space="preserve"> </w:t>
      </w:r>
      <w:r w:rsidR="0078654A">
        <w:rPr>
          <w:rFonts w:ascii="Calibri" w:hAnsi="Calibri" w:cs="Calibri"/>
          <w:i/>
          <w:iCs/>
          <w:sz w:val="22"/>
          <w:szCs w:val="22"/>
        </w:rPr>
        <w:t>*</w:t>
      </w:r>
      <w:r w:rsidR="00BC2F90" w:rsidRPr="00BC2F90">
        <w:rPr>
          <w:rFonts w:ascii="Calibri" w:hAnsi="Calibri" w:cs="Calibri"/>
          <w:i/>
          <w:iCs/>
          <w:sz w:val="22"/>
          <w:szCs w:val="22"/>
        </w:rPr>
        <w:t xml:space="preserve">  </w:t>
      </w:r>
      <w:r w:rsidR="00F74645" w:rsidRPr="00F74645">
        <w:rPr>
          <w:rFonts w:ascii="Calibri" w:hAnsi="Calibri" w:cs="Calibri"/>
          <w:i/>
          <w:iCs/>
          <w:sz w:val="22"/>
          <w:szCs w:val="22"/>
        </w:rPr>
        <w:t>External legal hourly rate ($/hour)</w:t>
      </w:r>
      <w:r w:rsidR="00BC2F90" w:rsidRPr="00BC2F90">
        <w:rPr>
          <w:rFonts w:ascii="Calibri" w:hAnsi="Calibri" w:cs="Calibri"/>
          <w:i/>
          <w:iCs/>
          <w:sz w:val="22"/>
          <w:szCs w:val="22"/>
        </w:rPr>
        <w:t xml:space="preserve"> </w:t>
      </w:r>
      <w:r w:rsidR="00BC2F90" w:rsidRPr="00BC2F90" w:rsidDel="001D4161">
        <w:rPr>
          <w:rFonts w:ascii="Calibri" w:hAnsi="Calibri" w:cs="Calibri"/>
          <w:i/>
          <w:iCs/>
          <w:sz w:val="22"/>
          <w:szCs w:val="22"/>
        </w:rPr>
        <w:t>*</w:t>
      </w:r>
      <w:r w:rsidR="00BC2F90" w:rsidRPr="00BC2F90">
        <w:rPr>
          <w:rFonts w:ascii="Calibri" w:hAnsi="Calibri" w:cs="Calibri"/>
          <w:i/>
          <w:iCs/>
          <w:sz w:val="22"/>
          <w:szCs w:val="22"/>
        </w:rPr>
        <w:t xml:space="preserve"> </w:t>
      </w:r>
      <w:r w:rsidR="0022549A" w:rsidRPr="0022549A" w:rsidDel="00616870">
        <w:rPr>
          <w:rFonts w:ascii="Calibri" w:hAnsi="Calibri" w:cs="Calibri"/>
          <w:i/>
          <w:iCs/>
          <w:sz w:val="22"/>
          <w:szCs w:val="22"/>
        </w:rPr>
        <w:t>Legal advice hours (one-off)</w:t>
      </w:r>
    </w:p>
    <w:p w14:paraId="74159203" w14:textId="77777777" w:rsidR="0022549A" w:rsidRPr="0022549A" w:rsidRDefault="0022549A" w:rsidP="0022549A">
      <w:pPr>
        <w:spacing w:after="0"/>
        <w:jc w:val="center"/>
        <w:rPr>
          <w:rFonts w:ascii="Calibri" w:hAnsi="Calibri" w:cs="Calibri"/>
          <w:i/>
          <w:iCs/>
          <w:sz w:val="22"/>
          <w:szCs w:val="22"/>
        </w:rPr>
      </w:pPr>
    </w:p>
    <w:tbl>
      <w:tblPr>
        <w:tblStyle w:val="PlainTable4"/>
        <w:tblW w:w="5000" w:type="pct"/>
        <w:tblLook w:val="0480" w:firstRow="0" w:lastRow="0" w:firstColumn="1" w:lastColumn="0" w:noHBand="0" w:noVBand="1"/>
      </w:tblPr>
      <w:tblGrid>
        <w:gridCol w:w="1980"/>
        <w:gridCol w:w="1946"/>
        <w:gridCol w:w="1368"/>
        <w:gridCol w:w="1578"/>
        <w:gridCol w:w="2154"/>
      </w:tblGrid>
      <w:tr w:rsidR="00CE192D" w:rsidRPr="001045AB" w14:paraId="7E6405A7" w14:textId="77777777" w:rsidTr="003B0FC1">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097" w:type="pct"/>
            <w:vAlign w:val="center"/>
          </w:tcPr>
          <w:p w14:paraId="5156FED5" w14:textId="77777777" w:rsidR="00CE192D" w:rsidRPr="001045AB" w:rsidRDefault="00CE192D">
            <w:pPr>
              <w:jc w:val="center"/>
              <w:rPr>
                <w:rFonts w:ascii="Calibri" w:hAnsi="Calibri" w:cs="Calibri"/>
                <w:sz w:val="20"/>
                <w:szCs w:val="20"/>
              </w:rPr>
            </w:pPr>
            <w:r w:rsidRPr="001045AB">
              <w:rPr>
                <w:rFonts w:ascii="Calibri" w:hAnsi="Calibri" w:cs="Calibri"/>
                <w:sz w:val="20"/>
                <w:szCs w:val="20"/>
              </w:rPr>
              <w:lastRenderedPageBreak/>
              <w:t>Number of businesses impacted</w:t>
            </w:r>
          </w:p>
        </w:tc>
        <w:tc>
          <w:tcPr>
            <w:tcW w:w="1078" w:type="pct"/>
            <w:vAlign w:val="center"/>
          </w:tcPr>
          <w:p w14:paraId="037041F5" w14:textId="77777777" w:rsidR="00CE192D" w:rsidRPr="003F60DA" w:rsidRDefault="00CE192D" w:rsidP="003F60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sz w:val="20"/>
                <w:szCs w:val="20"/>
              </w:rPr>
            </w:pPr>
            <w:r w:rsidRPr="003F60DA">
              <w:rPr>
                <w:rFonts w:ascii="Calibri" w:hAnsi="Calibri" w:cs="Calibri"/>
                <w:b/>
                <w:bCs/>
                <w:i/>
                <w:iCs/>
                <w:sz w:val="20"/>
                <w:szCs w:val="20"/>
              </w:rPr>
              <w:t>External legal hourly rate ($/hour)</w:t>
            </w:r>
          </w:p>
          <w:p w14:paraId="117B2452" w14:textId="6800D820" w:rsidR="00CE192D" w:rsidRPr="001045AB" w:rsidRDefault="00CE192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c>
          <w:tcPr>
            <w:tcW w:w="758" w:type="pct"/>
            <w:vAlign w:val="center"/>
          </w:tcPr>
          <w:p w14:paraId="3C2D29B1" w14:textId="06FFF549" w:rsidR="00CE192D" w:rsidRPr="001045AB" w:rsidRDefault="00CE192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Legal Hour</w:t>
            </w:r>
            <w:r w:rsidR="00570E83">
              <w:rPr>
                <w:rFonts w:ascii="Calibri" w:hAnsi="Calibri" w:cs="Calibri"/>
                <w:b/>
                <w:bCs/>
                <w:sz w:val="20"/>
                <w:szCs w:val="20"/>
              </w:rPr>
              <w:t>s</w:t>
            </w:r>
          </w:p>
        </w:tc>
        <w:tc>
          <w:tcPr>
            <w:tcW w:w="874" w:type="pct"/>
            <w:vAlign w:val="center"/>
          </w:tcPr>
          <w:p w14:paraId="7E5D279E" w14:textId="20BDDE60" w:rsidR="00CE192D" w:rsidRPr="001045AB" w:rsidRDefault="00CE192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Cost</w:t>
            </w:r>
            <w:r w:rsidR="00437249">
              <w:rPr>
                <w:rFonts w:ascii="Calibri" w:hAnsi="Calibri" w:cs="Calibri"/>
                <w:b/>
                <w:bCs/>
                <w:sz w:val="20"/>
                <w:szCs w:val="20"/>
              </w:rPr>
              <w:t xml:space="preserve"> per retailer</w:t>
            </w:r>
          </w:p>
        </w:tc>
        <w:tc>
          <w:tcPr>
            <w:tcW w:w="1193" w:type="pct"/>
            <w:vAlign w:val="center"/>
          </w:tcPr>
          <w:p w14:paraId="56C5D407" w14:textId="77777777" w:rsidR="00CE192D" w:rsidRDefault="00CE192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Sector-Wide</w:t>
            </w:r>
          </w:p>
        </w:tc>
      </w:tr>
    </w:tbl>
    <w:tbl>
      <w:tblPr>
        <w:tblStyle w:val="PlainTable4"/>
        <w:tblW w:w="5000" w:type="pct"/>
        <w:tblLayout w:type="fixed"/>
        <w:tblLook w:val="0480" w:firstRow="0" w:lastRow="0" w:firstColumn="1" w:lastColumn="0" w:noHBand="0" w:noVBand="1"/>
      </w:tblPr>
      <w:tblGrid>
        <w:gridCol w:w="1980"/>
        <w:gridCol w:w="1946"/>
        <w:gridCol w:w="1368"/>
        <w:gridCol w:w="1578"/>
        <w:gridCol w:w="2154"/>
      </w:tblGrid>
      <w:tr w:rsidR="005675FC" w:rsidRPr="001045AB" w14:paraId="0FD8F363" w14:textId="77777777" w:rsidTr="00CE192D">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097" w:type="pct"/>
          </w:tcPr>
          <w:p w14:paraId="5E39D433" w14:textId="77777777" w:rsidR="00CE192D" w:rsidRPr="001045AB" w:rsidRDefault="00CE192D">
            <w:pPr>
              <w:jc w:val="center"/>
              <w:rPr>
                <w:rFonts w:ascii="Calibri" w:hAnsi="Calibri" w:cs="Calibri"/>
                <w:b w:val="0"/>
                <w:bCs w:val="0"/>
                <w:sz w:val="20"/>
                <w:szCs w:val="20"/>
              </w:rPr>
            </w:pPr>
            <w:r w:rsidRPr="001045AB">
              <w:rPr>
                <w:rFonts w:ascii="Calibri" w:hAnsi="Calibri" w:cs="Calibri"/>
                <w:b w:val="0"/>
                <w:bCs w:val="0"/>
                <w:sz w:val="20"/>
                <w:szCs w:val="20"/>
              </w:rPr>
              <w:t>24</w:t>
            </w:r>
          </w:p>
        </w:tc>
        <w:tc>
          <w:tcPr>
            <w:tcW w:w="1078" w:type="pct"/>
          </w:tcPr>
          <w:p w14:paraId="6B8E7E2B" w14:textId="0432F908" w:rsidR="00CE192D" w:rsidRPr="001045AB" w:rsidRDefault="00CE192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800</w:t>
            </w:r>
          </w:p>
        </w:tc>
        <w:tc>
          <w:tcPr>
            <w:tcW w:w="758" w:type="pct"/>
          </w:tcPr>
          <w:p w14:paraId="79B324F3" w14:textId="26D6B3ED" w:rsidR="00CE192D" w:rsidRPr="001045AB" w:rsidRDefault="005D653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60</w:t>
            </w:r>
          </w:p>
        </w:tc>
        <w:tc>
          <w:tcPr>
            <w:tcW w:w="874" w:type="pct"/>
          </w:tcPr>
          <w:p w14:paraId="580506B9" w14:textId="58AFD7B0" w:rsidR="00CE192D" w:rsidRPr="002F6848" w:rsidRDefault="00CE192D" w:rsidP="002F6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F6848">
              <w:rPr>
                <w:rFonts w:ascii="Calibri" w:hAnsi="Calibri" w:cs="Calibri"/>
                <w:sz w:val="20"/>
                <w:szCs w:val="20"/>
              </w:rPr>
              <w:t>$</w:t>
            </w:r>
            <w:r w:rsidR="008A5EDC">
              <w:rPr>
                <w:rFonts w:ascii="Calibri" w:hAnsi="Calibri" w:cs="Calibri"/>
                <w:sz w:val="20"/>
                <w:szCs w:val="20"/>
              </w:rPr>
              <w:t>48,000</w:t>
            </w:r>
            <w:r w:rsidR="00897CC7">
              <w:rPr>
                <w:rFonts w:ascii="Calibri" w:hAnsi="Calibri" w:cs="Calibri"/>
                <w:sz w:val="20"/>
                <w:szCs w:val="20"/>
              </w:rPr>
              <w:t>.00</w:t>
            </w:r>
          </w:p>
          <w:p w14:paraId="7A3E46B4" w14:textId="77777777" w:rsidR="00CE192D" w:rsidRPr="001045AB" w:rsidRDefault="00CE192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193" w:type="pct"/>
          </w:tcPr>
          <w:p w14:paraId="60E67C72" w14:textId="77777777" w:rsidR="008A5EDC" w:rsidRPr="008A5EDC" w:rsidRDefault="008A5EDC" w:rsidP="008A5ED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A5EDC">
              <w:rPr>
                <w:rFonts w:ascii="Calibri" w:hAnsi="Calibri" w:cs="Calibri"/>
                <w:sz w:val="20"/>
                <w:szCs w:val="20"/>
              </w:rPr>
              <w:t>$1,152,000.00</w:t>
            </w:r>
          </w:p>
          <w:p w14:paraId="16C49D73" w14:textId="77777777" w:rsidR="00CE192D" w:rsidRPr="001045AB" w:rsidRDefault="00CE192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bl>
    <w:p w14:paraId="78817E67" w14:textId="0A96AA65" w:rsidR="00096EFE" w:rsidRDefault="00096EFE" w:rsidP="00096EFE">
      <w:pPr>
        <w:pStyle w:val="Heading4"/>
        <w:numPr>
          <w:ilvl w:val="1"/>
          <w:numId w:val="10"/>
        </w:numPr>
        <w:rPr>
          <w:rFonts w:ascii="Calibri" w:hAnsi="Calibri" w:cs="Calibri"/>
          <w:sz w:val="22"/>
          <w:szCs w:val="22"/>
        </w:rPr>
      </w:pPr>
      <w:r>
        <w:rPr>
          <w:rFonts w:ascii="Calibri" w:hAnsi="Calibri" w:cs="Calibri"/>
          <w:sz w:val="22"/>
          <w:szCs w:val="22"/>
        </w:rPr>
        <w:t>Call Centre and Staff Training</w:t>
      </w:r>
    </w:p>
    <w:p w14:paraId="7834761E" w14:textId="5D397FA7" w:rsidR="00096EFE" w:rsidRDefault="00171EF9" w:rsidP="00096EFE">
      <w:pPr>
        <w:rPr>
          <w:rFonts w:ascii="Calibri" w:hAnsi="Calibri" w:cs="Calibri"/>
          <w:sz w:val="22"/>
          <w:szCs w:val="22"/>
        </w:rPr>
      </w:pPr>
      <w:r w:rsidRPr="00B6168A">
        <w:rPr>
          <w:rFonts w:ascii="Calibri" w:hAnsi="Calibri" w:cs="Calibri"/>
          <w:sz w:val="22"/>
          <w:szCs w:val="22"/>
        </w:rPr>
        <w:t xml:space="preserve">This estimate </w:t>
      </w:r>
      <w:proofErr w:type="gramStart"/>
      <w:r w:rsidRPr="00B6168A">
        <w:rPr>
          <w:rFonts w:ascii="Calibri" w:hAnsi="Calibri" w:cs="Calibri"/>
          <w:sz w:val="22"/>
          <w:szCs w:val="22"/>
        </w:rPr>
        <w:t>takes into account</w:t>
      </w:r>
      <w:proofErr w:type="gramEnd"/>
      <w:r>
        <w:rPr>
          <w:rFonts w:ascii="Calibri" w:hAnsi="Calibri" w:cs="Calibri"/>
          <w:sz w:val="22"/>
          <w:szCs w:val="22"/>
        </w:rPr>
        <w:t xml:space="preserve"> regulatory burden of training customer service staff, updating scripts, developing FAQs</w:t>
      </w:r>
      <w:r w:rsidR="00856A6B">
        <w:rPr>
          <w:rFonts w:ascii="Calibri" w:hAnsi="Calibri" w:cs="Calibri"/>
          <w:sz w:val="22"/>
          <w:szCs w:val="22"/>
        </w:rPr>
        <w:t xml:space="preserve"> and briefing frontline teams. </w:t>
      </w:r>
    </w:p>
    <w:p w14:paraId="0A1A9537" w14:textId="405FC65E" w:rsidR="005254C2" w:rsidRPr="005254C2" w:rsidRDefault="00F07264" w:rsidP="0078654A">
      <w:pPr>
        <w:jc w:val="both"/>
        <w:rPr>
          <w:rFonts w:ascii="Calibri" w:hAnsi="Calibri" w:cs="Calibri"/>
          <w:i/>
          <w:iCs/>
          <w:sz w:val="22"/>
          <w:szCs w:val="22"/>
        </w:rPr>
      </w:pPr>
      <w:r>
        <w:rPr>
          <w:rFonts w:ascii="Calibri" w:hAnsi="Calibri" w:cs="Calibri"/>
          <w:b/>
          <w:bCs/>
          <w:i/>
          <w:iCs/>
          <w:sz w:val="22"/>
          <w:szCs w:val="22"/>
        </w:rPr>
        <w:t>Training</w:t>
      </w:r>
      <w:r w:rsidR="00856A6B" w:rsidRPr="006F2D2A">
        <w:rPr>
          <w:rFonts w:ascii="Calibri" w:hAnsi="Calibri" w:cs="Calibri"/>
          <w:b/>
          <w:bCs/>
          <w:i/>
          <w:iCs/>
          <w:sz w:val="22"/>
          <w:szCs w:val="22"/>
        </w:rPr>
        <w:t xml:space="preserve"> Cost =</w:t>
      </w:r>
      <w:r w:rsidR="00856A6B">
        <w:rPr>
          <w:rFonts w:ascii="Calibri" w:hAnsi="Calibri" w:cs="Calibri"/>
          <w:b/>
          <w:bCs/>
          <w:i/>
          <w:iCs/>
          <w:sz w:val="22"/>
          <w:szCs w:val="22"/>
        </w:rPr>
        <w:t xml:space="preserve"> </w:t>
      </w:r>
      <w:r w:rsidR="00856A6B" w:rsidRPr="00BC2F90">
        <w:rPr>
          <w:rFonts w:ascii="Calibri" w:hAnsi="Calibri" w:cs="Calibri"/>
          <w:i/>
          <w:iCs/>
          <w:sz w:val="22"/>
          <w:szCs w:val="22"/>
        </w:rPr>
        <w:t xml:space="preserve">Number of Businesses Impacted * </w:t>
      </w:r>
      <w:r w:rsidR="003C2085">
        <w:rPr>
          <w:rFonts w:ascii="Calibri" w:hAnsi="Calibri" w:cs="Calibri"/>
          <w:i/>
          <w:iCs/>
          <w:sz w:val="22"/>
          <w:szCs w:val="22"/>
        </w:rPr>
        <w:t>Hourly Wage Rate</w:t>
      </w:r>
      <w:r w:rsidR="00856A6B" w:rsidRPr="00F74645">
        <w:rPr>
          <w:rFonts w:ascii="Calibri" w:hAnsi="Calibri" w:cs="Calibri"/>
          <w:i/>
          <w:iCs/>
          <w:sz w:val="22"/>
          <w:szCs w:val="22"/>
        </w:rPr>
        <w:t xml:space="preserve"> ($/hour)</w:t>
      </w:r>
      <w:r w:rsidR="003C2085">
        <w:rPr>
          <w:rFonts w:ascii="Calibri" w:hAnsi="Calibri" w:cs="Calibri"/>
          <w:i/>
          <w:iCs/>
          <w:sz w:val="22"/>
          <w:szCs w:val="22"/>
        </w:rPr>
        <w:t xml:space="preserve"> * </w:t>
      </w:r>
      <w:r w:rsidR="00DA7CBC" w:rsidRPr="00DA7CBC">
        <w:rPr>
          <w:rFonts w:ascii="Calibri" w:hAnsi="Calibri" w:cs="Calibri"/>
          <w:i/>
          <w:iCs/>
          <w:sz w:val="22"/>
          <w:szCs w:val="22"/>
        </w:rPr>
        <w:t>Call centre / training hours (one-off)</w:t>
      </w:r>
    </w:p>
    <w:tbl>
      <w:tblPr>
        <w:tblStyle w:val="PlainTable4"/>
        <w:tblW w:w="9214" w:type="dxa"/>
        <w:tblInd w:w="-142" w:type="dxa"/>
        <w:tblLayout w:type="fixed"/>
        <w:tblLook w:val="0480" w:firstRow="0" w:lastRow="0" w:firstColumn="1" w:lastColumn="0" w:noHBand="0" w:noVBand="1"/>
      </w:tblPr>
      <w:tblGrid>
        <w:gridCol w:w="1955"/>
        <w:gridCol w:w="1922"/>
        <w:gridCol w:w="301"/>
        <w:gridCol w:w="1182"/>
        <w:gridCol w:w="169"/>
        <w:gridCol w:w="67"/>
        <w:gridCol w:w="1492"/>
        <w:gridCol w:w="2126"/>
      </w:tblGrid>
      <w:tr w:rsidR="005254C2" w:rsidRPr="001045AB" w14:paraId="0C7E509F" w14:textId="77777777" w:rsidTr="00612EA0">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955" w:type="dxa"/>
          </w:tcPr>
          <w:p w14:paraId="13C438FC" w14:textId="77777777" w:rsidR="005254C2" w:rsidRPr="001045AB" w:rsidRDefault="005254C2">
            <w:pPr>
              <w:jc w:val="center"/>
              <w:rPr>
                <w:rFonts w:ascii="Calibri" w:hAnsi="Calibri" w:cs="Calibri"/>
                <w:sz w:val="20"/>
                <w:szCs w:val="20"/>
              </w:rPr>
            </w:pPr>
            <w:r w:rsidRPr="001045AB">
              <w:rPr>
                <w:rFonts w:ascii="Calibri" w:hAnsi="Calibri" w:cs="Calibri"/>
                <w:sz w:val="20"/>
                <w:szCs w:val="20"/>
              </w:rPr>
              <w:t>Number of businesses impacted</w:t>
            </w:r>
          </w:p>
        </w:tc>
        <w:tc>
          <w:tcPr>
            <w:tcW w:w="1922" w:type="dxa"/>
          </w:tcPr>
          <w:p w14:paraId="1BDF6C2B" w14:textId="77777777" w:rsidR="00612EA0" w:rsidRPr="00612EA0" w:rsidRDefault="00612EA0" w:rsidP="00612E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612EA0">
              <w:rPr>
                <w:rFonts w:ascii="Calibri" w:hAnsi="Calibri" w:cs="Calibri"/>
                <w:b/>
                <w:bCs/>
                <w:sz w:val="20"/>
                <w:szCs w:val="20"/>
              </w:rPr>
              <w:t>Call centre / training hours (one-off)</w:t>
            </w:r>
          </w:p>
          <w:p w14:paraId="69CAE174" w14:textId="032E4979" w:rsidR="005254C2" w:rsidRPr="001045AB" w:rsidRDefault="005254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c>
          <w:tcPr>
            <w:tcW w:w="1483" w:type="dxa"/>
            <w:gridSpan w:val="2"/>
          </w:tcPr>
          <w:p w14:paraId="27380B0A" w14:textId="77777777" w:rsidR="005254C2" w:rsidRPr="001045AB" w:rsidRDefault="005254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Hourly wage rate</w:t>
            </w:r>
          </w:p>
        </w:tc>
        <w:tc>
          <w:tcPr>
            <w:tcW w:w="236" w:type="dxa"/>
            <w:gridSpan w:val="2"/>
          </w:tcPr>
          <w:p w14:paraId="2C0C47B0" w14:textId="77777777" w:rsidR="005254C2" w:rsidRPr="001045AB" w:rsidRDefault="005254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c>
          <w:tcPr>
            <w:tcW w:w="1492" w:type="dxa"/>
          </w:tcPr>
          <w:p w14:paraId="6E270898" w14:textId="77777777" w:rsidR="005254C2" w:rsidRPr="001045AB" w:rsidRDefault="005254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Cost</w:t>
            </w:r>
          </w:p>
        </w:tc>
        <w:tc>
          <w:tcPr>
            <w:tcW w:w="2126" w:type="dxa"/>
          </w:tcPr>
          <w:p w14:paraId="6A81B15E" w14:textId="77777777" w:rsidR="005254C2" w:rsidRDefault="005254C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Sector-Wide</w:t>
            </w:r>
          </w:p>
        </w:tc>
      </w:tr>
      <w:tr w:rsidR="005254C2" w:rsidRPr="001045AB" w14:paraId="12EFA671" w14:textId="77777777">
        <w:trPr>
          <w:trHeight w:val="247"/>
        </w:trPr>
        <w:tc>
          <w:tcPr>
            <w:cnfStyle w:val="001000000000" w:firstRow="0" w:lastRow="0" w:firstColumn="1" w:lastColumn="0" w:oddVBand="0" w:evenVBand="0" w:oddHBand="0" w:evenHBand="0" w:firstRowFirstColumn="0" w:firstRowLastColumn="0" w:lastRowFirstColumn="0" w:lastRowLastColumn="0"/>
            <w:tcW w:w="1955" w:type="dxa"/>
          </w:tcPr>
          <w:p w14:paraId="64E7A5B2" w14:textId="77777777" w:rsidR="005254C2" w:rsidRPr="001045AB" w:rsidRDefault="005254C2">
            <w:pPr>
              <w:jc w:val="center"/>
              <w:rPr>
                <w:rFonts w:ascii="Calibri" w:hAnsi="Calibri" w:cs="Calibri"/>
                <w:b w:val="0"/>
                <w:bCs w:val="0"/>
                <w:sz w:val="20"/>
                <w:szCs w:val="20"/>
              </w:rPr>
            </w:pPr>
            <w:r w:rsidRPr="001045AB">
              <w:rPr>
                <w:rFonts w:ascii="Calibri" w:hAnsi="Calibri" w:cs="Calibri"/>
                <w:b w:val="0"/>
                <w:bCs w:val="0"/>
                <w:sz w:val="20"/>
                <w:szCs w:val="20"/>
              </w:rPr>
              <w:t>24</w:t>
            </w:r>
          </w:p>
        </w:tc>
        <w:tc>
          <w:tcPr>
            <w:tcW w:w="1922" w:type="dxa"/>
          </w:tcPr>
          <w:p w14:paraId="25CC97E0" w14:textId="3AD63FA7" w:rsidR="005254C2" w:rsidRPr="001045AB" w:rsidRDefault="00744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75 </w:t>
            </w:r>
          </w:p>
        </w:tc>
        <w:tc>
          <w:tcPr>
            <w:tcW w:w="301" w:type="dxa"/>
          </w:tcPr>
          <w:p w14:paraId="34EB29AB" w14:textId="77777777" w:rsidR="005254C2" w:rsidRPr="001045AB" w:rsidRDefault="005254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351" w:type="dxa"/>
            <w:gridSpan w:val="2"/>
          </w:tcPr>
          <w:p w14:paraId="3CAA4EED" w14:textId="77777777" w:rsidR="005254C2" w:rsidRPr="001045AB" w:rsidRDefault="005254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$85.17</w:t>
            </w:r>
          </w:p>
        </w:tc>
        <w:tc>
          <w:tcPr>
            <w:tcW w:w="1559" w:type="dxa"/>
            <w:gridSpan w:val="2"/>
          </w:tcPr>
          <w:p w14:paraId="715A336E" w14:textId="1622B4FC" w:rsidR="00870955" w:rsidRPr="00870955" w:rsidRDefault="00870955" w:rsidP="008709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70955">
              <w:rPr>
                <w:rFonts w:ascii="Calibri" w:hAnsi="Calibri" w:cs="Calibri"/>
                <w:sz w:val="20"/>
                <w:szCs w:val="20"/>
              </w:rPr>
              <w:t>$</w:t>
            </w:r>
            <w:r w:rsidR="00DF2952">
              <w:rPr>
                <w:rFonts w:ascii="Calibri" w:hAnsi="Calibri" w:cs="Calibri"/>
                <w:sz w:val="20"/>
                <w:szCs w:val="20"/>
              </w:rPr>
              <w:t xml:space="preserve">6,387.75 </w:t>
            </w:r>
          </w:p>
          <w:p w14:paraId="6CA2B0B6" w14:textId="529D68A5" w:rsidR="005254C2" w:rsidRPr="001045AB" w:rsidRDefault="005254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126" w:type="dxa"/>
          </w:tcPr>
          <w:p w14:paraId="5A1130E6" w14:textId="6F5A1645" w:rsidR="002456B0" w:rsidRPr="002456B0" w:rsidRDefault="002456B0" w:rsidP="002456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456B0">
              <w:rPr>
                <w:rFonts w:ascii="Calibri" w:hAnsi="Calibri" w:cs="Calibri"/>
                <w:sz w:val="20"/>
                <w:szCs w:val="20"/>
              </w:rPr>
              <w:t>$</w:t>
            </w:r>
            <w:r w:rsidR="00DF2952">
              <w:rPr>
                <w:rFonts w:ascii="Calibri" w:hAnsi="Calibri" w:cs="Calibri"/>
                <w:sz w:val="20"/>
                <w:szCs w:val="20"/>
              </w:rPr>
              <w:t>153,</w:t>
            </w:r>
            <w:r w:rsidR="00B84B45">
              <w:rPr>
                <w:rFonts w:ascii="Calibri" w:hAnsi="Calibri" w:cs="Calibri"/>
                <w:sz w:val="20"/>
                <w:szCs w:val="20"/>
              </w:rPr>
              <w:t>306</w:t>
            </w:r>
            <w:r w:rsidR="00A422E6">
              <w:rPr>
                <w:rFonts w:ascii="Calibri" w:hAnsi="Calibri" w:cs="Calibri"/>
                <w:sz w:val="20"/>
                <w:szCs w:val="20"/>
              </w:rPr>
              <w:t>.00</w:t>
            </w:r>
            <w:r w:rsidR="00B84B45">
              <w:rPr>
                <w:rFonts w:ascii="Calibri" w:hAnsi="Calibri" w:cs="Calibri"/>
                <w:sz w:val="20"/>
                <w:szCs w:val="20"/>
              </w:rPr>
              <w:t xml:space="preserve"> </w:t>
            </w:r>
          </w:p>
          <w:p w14:paraId="2AA83B17" w14:textId="77777777" w:rsidR="005254C2" w:rsidRPr="001045AB" w:rsidRDefault="005254C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007DB39D" w14:textId="77777777" w:rsidR="008327B5" w:rsidRPr="00637D75" w:rsidRDefault="008327B5" w:rsidP="00CF72F6">
      <w:pPr>
        <w:pStyle w:val="Heading4"/>
        <w:rPr>
          <w:rFonts w:ascii="Calibri" w:hAnsi="Calibri" w:cs="Calibri"/>
          <w:sz w:val="22"/>
          <w:szCs w:val="22"/>
        </w:rPr>
      </w:pPr>
    </w:p>
    <w:p w14:paraId="6250D8FF" w14:textId="05F969EE" w:rsidR="00356AAE" w:rsidRPr="00637D75" w:rsidRDefault="00356AAE" w:rsidP="00356AAE">
      <w:pPr>
        <w:pStyle w:val="Heading4"/>
        <w:numPr>
          <w:ilvl w:val="1"/>
          <w:numId w:val="10"/>
        </w:numPr>
        <w:rPr>
          <w:rFonts w:ascii="Calibri" w:hAnsi="Calibri" w:cs="Calibri"/>
          <w:sz w:val="22"/>
          <w:szCs w:val="22"/>
        </w:rPr>
      </w:pPr>
      <w:r w:rsidRPr="00637D75">
        <w:rPr>
          <w:rFonts w:ascii="Calibri" w:hAnsi="Calibri" w:cs="Calibri"/>
          <w:sz w:val="22"/>
          <w:szCs w:val="22"/>
        </w:rPr>
        <w:t>Total One-off Cost (Year 1)</w:t>
      </w:r>
      <w:r w:rsidR="00DB0401" w:rsidRPr="00637D75">
        <w:rPr>
          <w:rFonts w:ascii="Calibri" w:hAnsi="Calibri" w:cs="Calibri"/>
          <w:sz w:val="22"/>
          <w:szCs w:val="22"/>
        </w:rPr>
        <w:t xml:space="preserve"> </w:t>
      </w:r>
      <w:r w:rsidR="00F77E0F" w:rsidRPr="00637D75">
        <w:rPr>
          <w:rFonts w:ascii="Calibri" w:hAnsi="Calibri" w:cs="Calibri"/>
          <w:sz w:val="22"/>
          <w:szCs w:val="22"/>
        </w:rPr>
        <w:t xml:space="preserve">– Per Retailer and Sector wide </w:t>
      </w:r>
    </w:p>
    <w:tbl>
      <w:tblPr>
        <w:tblStyle w:val="PlainTable2"/>
        <w:tblW w:w="9083" w:type="dxa"/>
        <w:tblLayout w:type="fixed"/>
        <w:tblLook w:val="0480" w:firstRow="0" w:lastRow="0" w:firstColumn="1" w:lastColumn="0" w:noHBand="0" w:noVBand="1"/>
      </w:tblPr>
      <w:tblGrid>
        <w:gridCol w:w="2999"/>
        <w:gridCol w:w="2999"/>
        <w:gridCol w:w="2999"/>
        <w:gridCol w:w="86"/>
      </w:tblGrid>
      <w:tr w:rsidR="00E1064B" w:rsidRPr="009C5812" w14:paraId="3EF6E709" w14:textId="77777777" w:rsidTr="00A942BF">
        <w:trPr>
          <w:gridAfter w:val="1"/>
          <w:cnfStyle w:val="000000100000" w:firstRow="0" w:lastRow="0" w:firstColumn="0" w:lastColumn="0" w:oddVBand="0" w:evenVBand="0" w:oddHBand="1" w:evenHBand="0" w:firstRowFirstColumn="0" w:firstRowLastColumn="0" w:lastRowFirstColumn="0" w:lastRowLastColumn="0"/>
          <w:wAfter w:w="86" w:type="dxa"/>
          <w:trHeight w:val="172"/>
        </w:trPr>
        <w:tc>
          <w:tcPr>
            <w:cnfStyle w:val="001000000000" w:firstRow="0" w:lastRow="0" w:firstColumn="1" w:lastColumn="0" w:oddVBand="0" w:evenVBand="0" w:oddHBand="0" w:evenHBand="0" w:firstRowFirstColumn="0" w:firstRowLastColumn="0" w:lastRowFirstColumn="0" w:lastRowLastColumn="0"/>
            <w:tcW w:w="2999" w:type="dxa"/>
          </w:tcPr>
          <w:p w14:paraId="74301C0D" w14:textId="1C26A5BE" w:rsidR="00E1064B" w:rsidRPr="009632C3" w:rsidRDefault="00E1064B">
            <w:pPr>
              <w:jc w:val="center"/>
              <w:rPr>
                <w:rFonts w:ascii="Calibri" w:hAnsi="Calibri" w:cs="Calibri"/>
                <w:sz w:val="20"/>
                <w:szCs w:val="20"/>
              </w:rPr>
            </w:pPr>
            <w:r w:rsidRPr="009632C3">
              <w:rPr>
                <w:rFonts w:ascii="Calibri" w:hAnsi="Calibri" w:cs="Calibri"/>
                <w:sz w:val="20"/>
                <w:szCs w:val="20"/>
              </w:rPr>
              <w:t>Component</w:t>
            </w:r>
          </w:p>
        </w:tc>
        <w:tc>
          <w:tcPr>
            <w:tcW w:w="2999" w:type="dxa"/>
          </w:tcPr>
          <w:p w14:paraId="2FDB9BE6" w14:textId="77777777" w:rsidR="00B052E4" w:rsidRPr="009632C3" w:rsidRDefault="00B052E4" w:rsidP="00B05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9632C3">
              <w:rPr>
                <w:rFonts w:ascii="Calibri" w:hAnsi="Calibri" w:cs="Calibri"/>
                <w:b/>
                <w:sz w:val="20"/>
                <w:szCs w:val="20"/>
              </w:rPr>
              <w:t>Cost per Retailer ($)</w:t>
            </w:r>
          </w:p>
          <w:p w14:paraId="04CA796B" w14:textId="4CDCFD7E" w:rsidR="00E1064B" w:rsidRPr="009632C3" w:rsidRDefault="00E1064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p>
        </w:tc>
        <w:tc>
          <w:tcPr>
            <w:tcW w:w="2999" w:type="dxa"/>
          </w:tcPr>
          <w:p w14:paraId="66A0B970" w14:textId="58480465" w:rsidR="00E1064B" w:rsidRPr="009632C3" w:rsidRDefault="00B05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9632C3">
              <w:rPr>
                <w:rFonts w:ascii="Calibri" w:hAnsi="Calibri" w:cs="Calibri"/>
                <w:b/>
                <w:sz w:val="20"/>
                <w:szCs w:val="20"/>
              </w:rPr>
              <w:t>Cost (DMO) Sector Wide</w:t>
            </w:r>
          </w:p>
        </w:tc>
      </w:tr>
      <w:tr w:rsidR="009978A0" w:rsidRPr="009A20F0" w14:paraId="0EFD2CAA" w14:textId="77777777" w:rsidTr="00A942BF">
        <w:trPr>
          <w:gridAfter w:val="1"/>
          <w:wAfter w:w="86" w:type="dxa"/>
          <w:trHeight w:val="251"/>
        </w:trPr>
        <w:tc>
          <w:tcPr>
            <w:cnfStyle w:val="001000000000" w:firstRow="0" w:lastRow="0" w:firstColumn="1" w:lastColumn="0" w:oddVBand="0" w:evenVBand="0" w:oddHBand="0" w:evenHBand="0" w:firstRowFirstColumn="0" w:firstRowLastColumn="0" w:lastRowFirstColumn="0" w:lastRowLastColumn="0"/>
            <w:tcW w:w="2999" w:type="dxa"/>
          </w:tcPr>
          <w:p w14:paraId="4B8E7BD8" w14:textId="409FC3ED" w:rsidR="009978A0" w:rsidRPr="009632C3" w:rsidRDefault="009978A0" w:rsidP="009C5812">
            <w:pPr>
              <w:rPr>
                <w:rFonts w:ascii="Calibri" w:hAnsi="Calibri" w:cs="Calibri"/>
                <w:b w:val="0"/>
                <w:sz w:val="20"/>
                <w:szCs w:val="20"/>
              </w:rPr>
            </w:pPr>
            <w:r w:rsidRPr="009632C3">
              <w:rPr>
                <w:rFonts w:ascii="Calibri" w:hAnsi="Calibri" w:cs="Calibri"/>
                <w:b w:val="0"/>
                <w:sz w:val="20"/>
                <w:szCs w:val="20"/>
              </w:rPr>
              <w:t>Internal processes</w:t>
            </w:r>
          </w:p>
        </w:tc>
        <w:tc>
          <w:tcPr>
            <w:tcW w:w="2999" w:type="dxa"/>
          </w:tcPr>
          <w:p w14:paraId="3431D866" w14:textId="761D38FE" w:rsidR="009978A0" w:rsidRPr="009632C3" w:rsidRDefault="00541D1F" w:rsidP="005242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9A20F0">
              <w:rPr>
                <w:rFonts w:ascii="Calibri" w:hAnsi="Calibri" w:cs="Calibri"/>
                <w:sz w:val="20"/>
                <w:szCs w:val="20"/>
              </w:rPr>
              <w:t>$12,775.50</w:t>
            </w:r>
          </w:p>
        </w:tc>
        <w:tc>
          <w:tcPr>
            <w:tcW w:w="2999" w:type="dxa"/>
          </w:tcPr>
          <w:p w14:paraId="77478D1B" w14:textId="10044219" w:rsidR="009978A0" w:rsidRPr="009A20F0" w:rsidRDefault="00541D1F" w:rsidP="005242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A20F0">
              <w:rPr>
                <w:rFonts w:ascii="Calibri" w:hAnsi="Calibri" w:cs="Calibri"/>
                <w:sz w:val="20"/>
                <w:szCs w:val="20"/>
              </w:rPr>
              <w:t>$306,612.00</w:t>
            </w:r>
          </w:p>
        </w:tc>
      </w:tr>
      <w:tr w:rsidR="009978A0" w:rsidRPr="009A20F0" w14:paraId="18909592" w14:textId="77777777" w:rsidTr="00A942BF">
        <w:trPr>
          <w:gridAfter w:val="1"/>
          <w:cnfStyle w:val="000000100000" w:firstRow="0" w:lastRow="0" w:firstColumn="0" w:lastColumn="0" w:oddVBand="0" w:evenVBand="0" w:oddHBand="1" w:evenHBand="0" w:firstRowFirstColumn="0" w:firstRowLastColumn="0" w:lastRowFirstColumn="0" w:lastRowLastColumn="0"/>
          <w:wAfter w:w="86" w:type="dxa"/>
          <w:trHeight w:val="331"/>
        </w:trPr>
        <w:tc>
          <w:tcPr>
            <w:cnfStyle w:val="001000000000" w:firstRow="0" w:lastRow="0" w:firstColumn="1" w:lastColumn="0" w:oddVBand="0" w:evenVBand="0" w:oddHBand="0" w:evenHBand="0" w:firstRowFirstColumn="0" w:firstRowLastColumn="0" w:lastRowFirstColumn="0" w:lastRowLastColumn="0"/>
            <w:tcW w:w="2999" w:type="dxa"/>
          </w:tcPr>
          <w:p w14:paraId="5A836BE2" w14:textId="4C2C3FCD" w:rsidR="009978A0" w:rsidRPr="009632C3" w:rsidRDefault="009978A0" w:rsidP="009C5812">
            <w:pPr>
              <w:rPr>
                <w:rFonts w:ascii="Calibri" w:hAnsi="Calibri" w:cs="Calibri"/>
                <w:b w:val="0"/>
                <w:sz w:val="20"/>
                <w:szCs w:val="20"/>
              </w:rPr>
            </w:pPr>
            <w:r w:rsidRPr="009632C3">
              <w:rPr>
                <w:rFonts w:ascii="Calibri" w:hAnsi="Calibri" w:cs="Calibri"/>
                <w:b w:val="0"/>
                <w:sz w:val="20"/>
                <w:szCs w:val="20"/>
              </w:rPr>
              <w:t>System Configuration</w:t>
            </w:r>
          </w:p>
        </w:tc>
        <w:tc>
          <w:tcPr>
            <w:tcW w:w="2999" w:type="dxa"/>
          </w:tcPr>
          <w:p w14:paraId="7ECEA300" w14:textId="2599B866" w:rsidR="009978A0" w:rsidRPr="009632C3" w:rsidRDefault="00541D1F" w:rsidP="005242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9A20F0">
              <w:rPr>
                <w:rFonts w:ascii="Calibri" w:hAnsi="Calibri" w:cs="Calibri"/>
                <w:sz w:val="20"/>
                <w:szCs w:val="20"/>
              </w:rPr>
              <w:t>$21,000.00</w:t>
            </w:r>
          </w:p>
        </w:tc>
        <w:tc>
          <w:tcPr>
            <w:tcW w:w="2999" w:type="dxa"/>
          </w:tcPr>
          <w:p w14:paraId="58503866" w14:textId="2F9CD7D3" w:rsidR="009978A0" w:rsidRPr="009A20F0" w:rsidRDefault="00541D1F" w:rsidP="005242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A20F0">
              <w:rPr>
                <w:rFonts w:ascii="Calibri" w:hAnsi="Calibri" w:cs="Calibri"/>
                <w:sz w:val="20"/>
                <w:szCs w:val="20"/>
              </w:rPr>
              <w:t>$504,000.00</w:t>
            </w:r>
          </w:p>
        </w:tc>
      </w:tr>
      <w:tr w:rsidR="009978A0" w:rsidRPr="009A20F0" w14:paraId="7BA43D55" w14:textId="77777777" w:rsidTr="00A942BF">
        <w:trPr>
          <w:gridAfter w:val="1"/>
          <w:wAfter w:w="86" w:type="dxa"/>
          <w:trHeight w:val="293"/>
        </w:trPr>
        <w:tc>
          <w:tcPr>
            <w:cnfStyle w:val="001000000000" w:firstRow="0" w:lastRow="0" w:firstColumn="1" w:lastColumn="0" w:oddVBand="0" w:evenVBand="0" w:oddHBand="0" w:evenHBand="0" w:firstRowFirstColumn="0" w:firstRowLastColumn="0" w:lastRowFirstColumn="0" w:lastRowLastColumn="0"/>
            <w:tcW w:w="2999" w:type="dxa"/>
          </w:tcPr>
          <w:p w14:paraId="4E8925E3" w14:textId="58987A1B" w:rsidR="009978A0" w:rsidRPr="009632C3" w:rsidRDefault="009978A0" w:rsidP="009C5812">
            <w:pPr>
              <w:rPr>
                <w:rFonts w:ascii="Calibri" w:hAnsi="Calibri" w:cs="Calibri"/>
                <w:b w:val="0"/>
                <w:sz w:val="20"/>
                <w:szCs w:val="20"/>
              </w:rPr>
            </w:pPr>
            <w:r w:rsidRPr="009632C3">
              <w:rPr>
                <w:rFonts w:ascii="Calibri" w:hAnsi="Calibri" w:cs="Calibri"/>
                <w:b w:val="0"/>
                <w:sz w:val="20"/>
                <w:szCs w:val="20"/>
              </w:rPr>
              <w:t>Legal Advice</w:t>
            </w:r>
          </w:p>
        </w:tc>
        <w:tc>
          <w:tcPr>
            <w:tcW w:w="2999" w:type="dxa"/>
          </w:tcPr>
          <w:p w14:paraId="7E7F5B97" w14:textId="55535512" w:rsidR="009978A0" w:rsidRPr="009632C3" w:rsidRDefault="00541D1F" w:rsidP="005242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9A20F0">
              <w:rPr>
                <w:rFonts w:ascii="Calibri" w:hAnsi="Calibri" w:cs="Calibri"/>
                <w:sz w:val="20"/>
                <w:szCs w:val="20"/>
              </w:rPr>
              <w:t>$</w:t>
            </w:r>
            <w:r w:rsidR="0098536B">
              <w:rPr>
                <w:rFonts w:ascii="Calibri" w:hAnsi="Calibri" w:cs="Calibri"/>
                <w:sz w:val="20"/>
                <w:szCs w:val="20"/>
              </w:rPr>
              <w:t>48,000</w:t>
            </w:r>
            <w:r w:rsidR="00A03565">
              <w:rPr>
                <w:rFonts w:ascii="Calibri" w:hAnsi="Calibri" w:cs="Calibri"/>
                <w:sz w:val="20"/>
                <w:szCs w:val="20"/>
              </w:rPr>
              <w:t>.00</w:t>
            </w:r>
          </w:p>
        </w:tc>
        <w:tc>
          <w:tcPr>
            <w:tcW w:w="2999" w:type="dxa"/>
          </w:tcPr>
          <w:p w14:paraId="76E99FCC" w14:textId="011417B3" w:rsidR="009978A0" w:rsidRPr="009A20F0" w:rsidRDefault="00541D1F" w:rsidP="005242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A20F0">
              <w:rPr>
                <w:rFonts w:ascii="Calibri" w:hAnsi="Calibri" w:cs="Calibri"/>
                <w:sz w:val="20"/>
                <w:szCs w:val="20"/>
              </w:rPr>
              <w:t>$</w:t>
            </w:r>
            <w:r w:rsidR="00427858">
              <w:rPr>
                <w:rFonts w:ascii="Calibri" w:hAnsi="Calibri" w:cs="Calibri"/>
                <w:sz w:val="20"/>
                <w:szCs w:val="20"/>
              </w:rPr>
              <w:t>1,152,000</w:t>
            </w:r>
            <w:r w:rsidR="00044600">
              <w:rPr>
                <w:rFonts w:ascii="Calibri" w:hAnsi="Calibri" w:cs="Calibri"/>
                <w:sz w:val="20"/>
                <w:szCs w:val="20"/>
              </w:rPr>
              <w:t>.00</w:t>
            </w:r>
          </w:p>
        </w:tc>
      </w:tr>
      <w:tr w:rsidR="00E1064B" w:rsidRPr="009C5812" w14:paraId="7267EFDF" w14:textId="77777777" w:rsidTr="00A942B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99" w:type="dxa"/>
          </w:tcPr>
          <w:p w14:paraId="210A2CF2" w14:textId="6C914775" w:rsidR="00E1064B" w:rsidRPr="009632C3" w:rsidRDefault="009978A0" w:rsidP="009C5812">
            <w:pPr>
              <w:rPr>
                <w:rFonts w:ascii="Calibri" w:hAnsi="Calibri" w:cs="Calibri"/>
                <w:b w:val="0"/>
                <w:sz w:val="20"/>
                <w:szCs w:val="20"/>
              </w:rPr>
            </w:pPr>
            <w:r w:rsidRPr="009632C3">
              <w:rPr>
                <w:rFonts w:ascii="Calibri" w:hAnsi="Calibri" w:cs="Calibri"/>
                <w:b w:val="0"/>
                <w:sz w:val="20"/>
                <w:szCs w:val="20"/>
              </w:rPr>
              <w:t>Training</w:t>
            </w:r>
          </w:p>
        </w:tc>
        <w:tc>
          <w:tcPr>
            <w:tcW w:w="2999" w:type="dxa"/>
          </w:tcPr>
          <w:p w14:paraId="0BC56EE0" w14:textId="77777777" w:rsidR="003521BD" w:rsidRPr="005F539A" w:rsidRDefault="003521BD" w:rsidP="003521B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39A">
              <w:rPr>
                <w:rFonts w:ascii="Calibri" w:hAnsi="Calibri" w:cs="Calibri"/>
                <w:sz w:val="20"/>
                <w:szCs w:val="20"/>
              </w:rPr>
              <w:t>$6,387.75</w:t>
            </w:r>
          </w:p>
          <w:p w14:paraId="73F62466" w14:textId="01E1A49E" w:rsidR="00E1064B" w:rsidRPr="009632C3" w:rsidRDefault="00E1064B" w:rsidP="005242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3085" w:type="dxa"/>
            <w:gridSpan w:val="2"/>
          </w:tcPr>
          <w:p w14:paraId="472F088D" w14:textId="6B9A5EEE" w:rsidR="00E1064B" w:rsidRPr="009632C3" w:rsidRDefault="00F9058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F9058A">
              <w:rPr>
                <w:rFonts w:ascii="Calibri" w:hAnsi="Calibri" w:cs="Calibri"/>
                <w:sz w:val="20"/>
                <w:szCs w:val="20"/>
              </w:rPr>
              <w:t>$153,306.00</w:t>
            </w:r>
          </w:p>
        </w:tc>
      </w:tr>
      <w:tr w:rsidR="009978A0" w:rsidRPr="009C5812" w14:paraId="201430EF" w14:textId="77777777" w:rsidTr="00A942BF">
        <w:trPr>
          <w:trHeight w:val="625"/>
        </w:trPr>
        <w:tc>
          <w:tcPr>
            <w:cnfStyle w:val="001000000000" w:firstRow="0" w:lastRow="0" w:firstColumn="1" w:lastColumn="0" w:oddVBand="0" w:evenVBand="0" w:oddHBand="0" w:evenHBand="0" w:firstRowFirstColumn="0" w:firstRowLastColumn="0" w:lastRowFirstColumn="0" w:lastRowLastColumn="0"/>
            <w:tcW w:w="2999" w:type="dxa"/>
          </w:tcPr>
          <w:p w14:paraId="768957C0" w14:textId="5399EC47" w:rsidR="0052421B" w:rsidRPr="009632C3" w:rsidRDefault="0019588B" w:rsidP="003966A9">
            <w:pPr>
              <w:rPr>
                <w:rFonts w:ascii="Calibri" w:hAnsi="Calibri" w:cs="Calibri"/>
                <w:sz w:val="22"/>
                <w:szCs w:val="22"/>
              </w:rPr>
            </w:pPr>
            <w:r w:rsidRPr="009632C3">
              <w:rPr>
                <w:rFonts w:ascii="Calibri" w:hAnsi="Calibri" w:cs="Calibri"/>
                <w:sz w:val="20"/>
                <w:szCs w:val="20"/>
              </w:rPr>
              <w:t>Total</w:t>
            </w:r>
            <w:r w:rsidR="0052421B" w:rsidRPr="009632C3">
              <w:rPr>
                <w:rFonts w:ascii="Calibri" w:hAnsi="Calibri" w:cs="Calibri"/>
                <w:sz w:val="20"/>
                <w:szCs w:val="20"/>
              </w:rPr>
              <w:t xml:space="preserve"> One-Off Cost (Year 1)</w:t>
            </w:r>
          </w:p>
          <w:p w14:paraId="2A56A907" w14:textId="33A9F7EF" w:rsidR="009978A0" w:rsidRPr="009C5812" w:rsidRDefault="009978A0">
            <w:pPr>
              <w:jc w:val="center"/>
              <w:rPr>
                <w:rFonts w:ascii="Calibri" w:hAnsi="Calibri" w:cs="Calibri"/>
                <w:sz w:val="22"/>
                <w:szCs w:val="22"/>
              </w:rPr>
            </w:pPr>
          </w:p>
        </w:tc>
        <w:tc>
          <w:tcPr>
            <w:tcW w:w="2999" w:type="dxa"/>
          </w:tcPr>
          <w:p w14:paraId="6299C23F" w14:textId="1196AC2D" w:rsidR="002B142C" w:rsidRPr="002B142C" w:rsidRDefault="002B142C" w:rsidP="002B14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2B142C">
              <w:rPr>
                <w:rFonts w:ascii="Calibri" w:hAnsi="Calibri" w:cs="Calibri"/>
                <w:b/>
                <w:bCs/>
                <w:sz w:val="20"/>
                <w:szCs w:val="20"/>
              </w:rPr>
              <w:t>$</w:t>
            </w:r>
            <w:r w:rsidR="00BC74EC">
              <w:rPr>
                <w:rFonts w:ascii="Calibri" w:hAnsi="Calibri" w:cs="Calibri"/>
                <w:b/>
                <w:bCs/>
                <w:sz w:val="20"/>
                <w:szCs w:val="20"/>
              </w:rPr>
              <w:t>88,</w:t>
            </w:r>
            <w:r w:rsidR="00FE18E3">
              <w:rPr>
                <w:rFonts w:ascii="Calibri" w:hAnsi="Calibri" w:cs="Calibri"/>
                <w:b/>
                <w:bCs/>
                <w:sz w:val="20"/>
                <w:szCs w:val="20"/>
              </w:rPr>
              <w:t>163</w:t>
            </w:r>
            <w:r w:rsidR="000866B9">
              <w:rPr>
                <w:rFonts w:ascii="Calibri" w:hAnsi="Calibri" w:cs="Calibri"/>
                <w:b/>
                <w:bCs/>
                <w:sz w:val="20"/>
                <w:szCs w:val="20"/>
              </w:rPr>
              <w:t>.25</w:t>
            </w:r>
          </w:p>
          <w:p w14:paraId="599F3594" w14:textId="3C78FCDD" w:rsidR="009978A0" w:rsidRPr="009C5812" w:rsidRDefault="009978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3085" w:type="dxa"/>
            <w:gridSpan w:val="2"/>
          </w:tcPr>
          <w:p w14:paraId="20DF4D00" w14:textId="0EBF7F0F" w:rsidR="003D6AB9" w:rsidRPr="003D6AB9" w:rsidRDefault="003D6AB9" w:rsidP="003D6AB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FF0000"/>
                <w:sz w:val="20"/>
                <w:szCs w:val="20"/>
              </w:rPr>
            </w:pPr>
            <w:r w:rsidRPr="003D6AB9">
              <w:rPr>
                <w:rFonts w:ascii="Calibri" w:hAnsi="Calibri" w:cs="Calibri"/>
                <w:b/>
                <w:bCs/>
                <w:color w:val="FF0000"/>
                <w:sz w:val="20"/>
                <w:szCs w:val="20"/>
              </w:rPr>
              <w:t>$2,</w:t>
            </w:r>
            <w:r w:rsidR="007264D1">
              <w:rPr>
                <w:rFonts w:ascii="Calibri" w:hAnsi="Calibri" w:cs="Calibri"/>
                <w:b/>
                <w:bCs/>
                <w:color w:val="FF0000"/>
                <w:sz w:val="20"/>
                <w:szCs w:val="20"/>
              </w:rPr>
              <w:t>115,918.00</w:t>
            </w:r>
          </w:p>
          <w:p w14:paraId="4BD75CE9" w14:textId="0924D2C4" w:rsidR="009978A0" w:rsidRPr="009C5812" w:rsidRDefault="009978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bl>
    <w:p w14:paraId="17B99BB8" w14:textId="035E106E" w:rsidR="00F73135" w:rsidRDefault="00660EF1" w:rsidP="00077422">
      <w:pPr>
        <w:pStyle w:val="Heading3"/>
      </w:pPr>
      <w:r>
        <w:t xml:space="preserve">4. </w:t>
      </w:r>
      <w:r w:rsidRPr="00660EF1">
        <w:t>Ongoing Compliance Monitoring Costs</w:t>
      </w:r>
    </w:p>
    <w:p w14:paraId="75FC993B" w14:textId="38BBA23A" w:rsidR="006A5265" w:rsidRDefault="00077422" w:rsidP="00077422">
      <w:pPr>
        <w:rPr>
          <w:rFonts w:ascii="Calibri" w:eastAsiaTheme="majorEastAsia" w:hAnsi="Calibri" w:cs="Calibri"/>
          <w:sz w:val="22"/>
          <w:szCs w:val="22"/>
        </w:rPr>
      </w:pPr>
      <w:r w:rsidRPr="006A5265">
        <w:rPr>
          <w:rFonts w:ascii="Calibri" w:hAnsi="Calibri" w:cs="Calibri"/>
          <w:sz w:val="22"/>
          <w:szCs w:val="22"/>
        </w:rPr>
        <w:t xml:space="preserve">Ongoing costs reflect </w:t>
      </w:r>
      <w:r w:rsidR="00560BBE">
        <w:rPr>
          <w:rFonts w:ascii="Calibri" w:hAnsi="Calibri" w:cs="Calibri"/>
          <w:sz w:val="22"/>
          <w:szCs w:val="22"/>
        </w:rPr>
        <w:t xml:space="preserve">the </w:t>
      </w:r>
      <w:r w:rsidRPr="006A5265">
        <w:rPr>
          <w:rFonts w:ascii="Calibri" w:hAnsi="Calibri" w:cs="Calibri"/>
          <w:sz w:val="22"/>
          <w:szCs w:val="22"/>
        </w:rPr>
        <w:t>incremental monitoring requirements associated with administering the regulated SSO</w:t>
      </w:r>
      <w:r w:rsidR="008C44ED" w:rsidRPr="006A5265">
        <w:rPr>
          <w:rFonts w:ascii="Calibri" w:hAnsi="Calibri" w:cs="Calibri"/>
          <w:sz w:val="22"/>
          <w:szCs w:val="22"/>
        </w:rPr>
        <w:t xml:space="preserve"> in DMO </w:t>
      </w:r>
      <w:r w:rsidR="00992BA7" w:rsidRPr="006A5265">
        <w:rPr>
          <w:rFonts w:ascii="Calibri" w:hAnsi="Calibri" w:cs="Calibri"/>
          <w:sz w:val="22"/>
          <w:szCs w:val="22"/>
        </w:rPr>
        <w:t>jurisdictions after initial implementation</w:t>
      </w:r>
      <w:r w:rsidRPr="006A5265">
        <w:rPr>
          <w:rFonts w:ascii="Calibri" w:hAnsi="Calibri" w:cs="Calibri"/>
          <w:sz w:val="22"/>
          <w:szCs w:val="22"/>
        </w:rPr>
        <w:t>.</w:t>
      </w:r>
      <w:r w:rsidRPr="00984E95">
        <w:rPr>
          <w:rFonts w:ascii="Calibri" w:eastAsiaTheme="majorEastAsia" w:hAnsi="Calibri" w:cs="Calibri"/>
          <w:sz w:val="22"/>
          <w:szCs w:val="22"/>
        </w:rPr>
        <w:t xml:space="preserve"> </w:t>
      </w:r>
      <w:r w:rsidR="00992BA7" w:rsidRPr="00984E95">
        <w:rPr>
          <w:rFonts w:ascii="Calibri" w:eastAsiaTheme="majorEastAsia" w:hAnsi="Calibri" w:cs="Calibri"/>
          <w:sz w:val="22"/>
          <w:szCs w:val="22"/>
        </w:rPr>
        <w:t xml:space="preserve">These are ongoing compliance costs and are </w:t>
      </w:r>
      <w:r w:rsidR="006A5265" w:rsidRPr="00984E95">
        <w:rPr>
          <w:rFonts w:ascii="Calibri" w:eastAsiaTheme="majorEastAsia" w:hAnsi="Calibri" w:cs="Calibri"/>
          <w:sz w:val="22"/>
          <w:szCs w:val="22"/>
        </w:rPr>
        <w:t>distinct</w:t>
      </w:r>
      <w:r w:rsidR="00992BA7" w:rsidRPr="00984E95">
        <w:rPr>
          <w:rFonts w:ascii="Calibri" w:eastAsiaTheme="majorEastAsia" w:hAnsi="Calibri" w:cs="Calibri"/>
          <w:sz w:val="22"/>
          <w:szCs w:val="22"/>
        </w:rPr>
        <w:t xml:space="preserve"> from the one-off implementation costs set out in </w:t>
      </w:r>
      <w:r w:rsidR="006A5265" w:rsidRPr="00984E95">
        <w:rPr>
          <w:rFonts w:ascii="Calibri" w:eastAsiaTheme="majorEastAsia" w:hAnsi="Calibri" w:cs="Calibri"/>
          <w:sz w:val="22"/>
          <w:szCs w:val="22"/>
        </w:rPr>
        <w:t>Chapter</w:t>
      </w:r>
      <w:r w:rsidR="00992BA7" w:rsidRPr="00984E95">
        <w:rPr>
          <w:rFonts w:ascii="Calibri" w:eastAsiaTheme="majorEastAsia" w:hAnsi="Calibri" w:cs="Calibri"/>
          <w:sz w:val="22"/>
          <w:szCs w:val="22"/>
        </w:rPr>
        <w:t xml:space="preserve"> 3.</w:t>
      </w:r>
    </w:p>
    <w:p w14:paraId="05AEC593" w14:textId="07417A47" w:rsidR="00077422" w:rsidRPr="00984E95" w:rsidRDefault="00077422" w:rsidP="00077422">
      <w:pPr>
        <w:rPr>
          <w:rFonts w:ascii="Calibri" w:eastAsiaTheme="majorEastAsia" w:hAnsi="Calibri" w:cs="Calibri"/>
          <w:sz w:val="22"/>
          <w:szCs w:val="22"/>
        </w:rPr>
      </w:pPr>
      <w:r w:rsidRPr="006A5265">
        <w:rPr>
          <w:rFonts w:ascii="Calibri" w:hAnsi="Calibri" w:cs="Calibri"/>
          <w:sz w:val="22"/>
          <w:szCs w:val="22"/>
        </w:rPr>
        <w:t>These include:</w:t>
      </w:r>
    </w:p>
    <w:p w14:paraId="1CDE4E5A" w14:textId="77777777" w:rsidR="00077422" w:rsidRPr="005F539A" w:rsidRDefault="00077422" w:rsidP="00077422">
      <w:pPr>
        <w:numPr>
          <w:ilvl w:val="0"/>
          <w:numId w:val="17"/>
        </w:numPr>
        <w:spacing w:before="100" w:beforeAutospacing="1" w:after="100" w:afterAutospacing="1" w:line="240" w:lineRule="auto"/>
        <w:rPr>
          <w:rFonts w:ascii="Calibri" w:hAnsi="Calibri" w:cs="Calibri"/>
          <w:sz w:val="22"/>
          <w:szCs w:val="22"/>
        </w:rPr>
      </w:pPr>
      <w:r w:rsidRPr="005F539A">
        <w:rPr>
          <w:rFonts w:ascii="Calibri" w:hAnsi="Calibri" w:cs="Calibri"/>
          <w:sz w:val="22"/>
          <w:szCs w:val="22"/>
        </w:rPr>
        <w:t>Tariff compliance checks</w:t>
      </w:r>
    </w:p>
    <w:p w14:paraId="1770A425" w14:textId="5DCFF4D8" w:rsidR="00077422" w:rsidRPr="005F539A" w:rsidRDefault="00077422" w:rsidP="00077422">
      <w:pPr>
        <w:numPr>
          <w:ilvl w:val="0"/>
          <w:numId w:val="17"/>
        </w:numPr>
        <w:spacing w:before="100" w:beforeAutospacing="1" w:after="100" w:afterAutospacing="1" w:line="240" w:lineRule="auto"/>
        <w:rPr>
          <w:rFonts w:ascii="Calibri" w:hAnsi="Calibri" w:cs="Calibri"/>
          <w:sz w:val="22"/>
          <w:szCs w:val="22"/>
        </w:rPr>
      </w:pPr>
      <w:r w:rsidRPr="005F539A">
        <w:rPr>
          <w:rFonts w:ascii="Calibri" w:hAnsi="Calibri" w:cs="Calibri"/>
          <w:sz w:val="22"/>
          <w:szCs w:val="22"/>
        </w:rPr>
        <w:t xml:space="preserve">Monitoring </w:t>
      </w:r>
      <w:r w:rsidR="00D15C2E" w:rsidRPr="005F539A">
        <w:rPr>
          <w:rFonts w:ascii="Calibri" w:hAnsi="Calibri" w:cs="Calibri"/>
          <w:sz w:val="22"/>
          <w:szCs w:val="22"/>
        </w:rPr>
        <w:t xml:space="preserve">application of </w:t>
      </w:r>
      <w:r w:rsidRPr="005F539A">
        <w:rPr>
          <w:rFonts w:ascii="Calibri" w:hAnsi="Calibri" w:cs="Calibri"/>
          <w:sz w:val="22"/>
          <w:szCs w:val="22"/>
        </w:rPr>
        <w:t xml:space="preserve">reasonable-use </w:t>
      </w:r>
      <w:r w:rsidR="00D15C2E" w:rsidRPr="005F539A">
        <w:rPr>
          <w:rFonts w:ascii="Calibri" w:hAnsi="Calibri" w:cs="Calibri"/>
          <w:sz w:val="22"/>
          <w:szCs w:val="22"/>
        </w:rPr>
        <w:t>cap</w:t>
      </w:r>
    </w:p>
    <w:p w14:paraId="5755E3ED" w14:textId="7120FB70" w:rsidR="00077422" w:rsidRPr="005F539A" w:rsidRDefault="00077422" w:rsidP="00077422">
      <w:pPr>
        <w:numPr>
          <w:ilvl w:val="0"/>
          <w:numId w:val="17"/>
        </w:numPr>
        <w:spacing w:before="100" w:beforeAutospacing="1" w:after="100" w:afterAutospacing="1" w:line="240" w:lineRule="auto"/>
        <w:rPr>
          <w:rFonts w:ascii="Calibri" w:hAnsi="Calibri" w:cs="Calibri"/>
          <w:sz w:val="22"/>
          <w:szCs w:val="22"/>
        </w:rPr>
      </w:pPr>
      <w:r w:rsidRPr="005F539A">
        <w:rPr>
          <w:rFonts w:ascii="Calibri" w:hAnsi="Calibri" w:cs="Calibri"/>
          <w:sz w:val="22"/>
          <w:szCs w:val="22"/>
        </w:rPr>
        <w:t>Maintaining compliance documentation</w:t>
      </w:r>
      <w:r w:rsidR="006475BC" w:rsidRPr="005F539A">
        <w:rPr>
          <w:rFonts w:ascii="Calibri" w:hAnsi="Calibri" w:cs="Calibri"/>
          <w:sz w:val="22"/>
          <w:szCs w:val="22"/>
        </w:rPr>
        <w:t xml:space="preserve"> and record</w:t>
      </w:r>
      <w:r w:rsidR="00D71C83" w:rsidRPr="005F539A">
        <w:rPr>
          <w:rFonts w:ascii="Calibri" w:hAnsi="Calibri" w:cs="Calibri"/>
          <w:sz w:val="22"/>
          <w:szCs w:val="22"/>
        </w:rPr>
        <w:t xml:space="preserve"> keeping</w:t>
      </w:r>
    </w:p>
    <w:p w14:paraId="1515D5B0" w14:textId="77777777" w:rsidR="00077422" w:rsidRPr="005F539A" w:rsidRDefault="00077422" w:rsidP="00077422">
      <w:pPr>
        <w:numPr>
          <w:ilvl w:val="0"/>
          <w:numId w:val="17"/>
        </w:numPr>
        <w:spacing w:before="100" w:beforeAutospacing="1" w:after="100" w:afterAutospacing="1" w:line="240" w:lineRule="auto"/>
        <w:rPr>
          <w:rFonts w:ascii="Calibri" w:hAnsi="Calibri" w:cs="Calibri"/>
          <w:sz w:val="22"/>
          <w:szCs w:val="22"/>
        </w:rPr>
      </w:pPr>
      <w:r w:rsidRPr="005F539A">
        <w:rPr>
          <w:rFonts w:ascii="Calibri" w:hAnsi="Calibri" w:cs="Calibri"/>
          <w:sz w:val="22"/>
          <w:szCs w:val="22"/>
        </w:rPr>
        <w:t>Responding to regulator queries</w:t>
      </w:r>
    </w:p>
    <w:p w14:paraId="01B38B92" w14:textId="77777777" w:rsidR="00077422" w:rsidRPr="005F539A" w:rsidRDefault="00077422" w:rsidP="00077422">
      <w:pPr>
        <w:numPr>
          <w:ilvl w:val="0"/>
          <w:numId w:val="17"/>
        </w:numPr>
        <w:spacing w:before="100" w:beforeAutospacing="1" w:after="100" w:afterAutospacing="1" w:line="240" w:lineRule="auto"/>
        <w:rPr>
          <w:rFonts w:ascii="Calibri" w:hAnsi="Calibri" w:cs="Calibri"/>
          <w:sz w:val="22"/>
          <w:szCs w:val="22"/>
        </w:rPr>
      </w:pPr>
      <w:r w:rsidRPr="005F539A">
        <w:rPr>
          <w:rFonts w:ascii="Calibri" w:hAnsi="Calibri" w:cs="Calibri"/>
          <w:sz w:val="22"/>
          <w:szCs w:val="22"/>
        </w:rPr>
        <w:t>Internal reporting and governance</w:t>
      </w:r>
    </w:p>
    <w:p w14:paraId="59982BB5" w14:textId="3BBA58AA" w:rsidR="002A1497" w:rsidRDefault="002A1497" w:rsidP="002A1497">
      <w:pPr>
        <w:pStyle w:val="Heading4"/>
        <w:rPr>
          <w:rFonts w:ascii="Calibri" w:hAnsi="Calibri" w:cs="Calibri"/>
          <w:sz w:val="22"/>
          <w:szCs w:val="22"/>
        </w:rPr>
      </w:pPr>
      <w:r w:rsidRPr="002A1497">
        <w:rPr>
          <w:rFonts w:ascii="Calibri" w:hAnsi="Calibri" w:cs="Calibri"/>
          <w:sz w:val="22"/>
          <w:szCs w:val="22"/>
        </w:rPr>
        <w:t>4.1 Estimated Annual Hours Per Retailer</w:t>
      </w:r>
    </w:p>
    <w:p w14:paraId="54A012A4" w14:textId="77777777" w:rsidR="00172DCC" w:rsidRDefault="00384ADF" w:rsidP="002A1497">
      <w:pPr>
        <w:rPr>
          <w:rFonts w:ascii="Calibri" w:hAnsi="Calibri" w:cs="Calibri"/>
          <w:sz w:val="22"/>
          <w:szCs w:val="22"/>
        </w:rPr>
      </w:pPr>
      <w:r w:rsidRPr="00384ADF">
        <w:rPr>
          <w:rFonts w:ascii="Calibri" w:hAnsi="Calibri" w:cs="Calibri"/>
          <w:sz w:val="22"/>
          <w:szCs w:val="22"/>
        </w:rPr>
        <w:t>The estimated annual hours per retailer were developed using an activity-based costing approach. The time assumptions reflect the incremental compliance effort required to administer the regulated SSO within existing retail governance, billing and compliance systems</w:t>
      </w:r>
      <w:r w:rsidR="00705535">
        <w:rPr>
          <w:rFonts w:ascii="Calibri" w:hAnsi="Calibri" w:cs="Calibri"/>
          <w:sz w:val="22"/>
          <w:szCs w:val="22"/>
        </w:rPr>
        <w:t>.</w:t>
      </w:r>
      <w:r w:rsidR="007B1DB4">
        <w:rPr>
          <w:rFonts w:ascii="Calibri" w:hAnsi="Calibri" w:cs="Calibri"/>
          <w:sz w:val="22"/>
          <w:szCs w:val="22"/>
        </w:rPr>
        <w:t xml:space="preserve"> </w:t>
      </w:r>
    </w:p>
    <w:p w14:paraId="6F09A30E" w14:textId="0BCFC646" w:rsidR="006C5088" w:rsidRPr="002A1497" w:rsidRDefault="00EB246D" w:rsidP="002A1497">
      <w:pPr>
        <w:rPr>
          <w:rFonts w:ascii="Calibri" w:eastAsiaTheme="majorEastAsia" w:hAnsi="Calibri" w:cs="Calibri"/>
          <w:sz w:val="22"/>
          <w:szCs w:val="22"/>
        </w:rPr>
      </w:pPr>
      <w:r>
        <w:rPr>
          <w:rFonts w:ascii="Calibri" w:hAnsi="Calibri" w:cs="Calibri"/>
          <w:sz w:val="22"/>
          <w:szCs w:val="22"/>
        </w:rPr>
        <w:t>Rather than relying on</w:t>
      </w:r>
      <w:r w:rsidR="00132E1E">
        <w:rPr>
          <w:rFonts w:ascii="Calibri" w:hAnsi="Calibri" w:cs="Calibri"/>
          <w:sz w:val="22"/>
          <w:szCs w:val="22"/>
        </w:rPr>
        <w:t xml:space="preserve"> </w:t>
      </w:r>
      <w:r>
        <w:rPr>
          <w:rFonts w:ascii="Calibri" w:hAnsi="Calibri" w:cs="Calibri"/>
          <w:sz w:val="22"/>
          <w:szCs w:val="22"/>
        </w:rPr>
        <w:t xml:space="preserve">a single fixed </w:t>
      </w:r>
      <w:r w:rsidR="00FC3C20">
        <w:rPr>
          <w:rFonts w:ascii="Calibri" w:hAnsi="Calibri" w:cs="Calibri"/>
          <w:sz w:val="22"/>
          <w:szCs w:val="22"/>
        </w:rPr>
        <w:t xml:space="preserve">time assumption, this analysis </w:t>
      </w:r>
      <w:r w:rsidR="0047749B">
        <w:rPr>
          <w:rFonts w:ascii="Calibri" w:hAnsi="Calibri" w:cs="Calibri"/>
          <w:sz w:val="22"/>
          <w:szCs w:val="22"/>
        </w:rPr>
        <w:t xml:space="preserve">uses three annual </w:t>
      </w:r>
      <w:r w:rsidR="00132E1E">
        <w:rPr>
          <w:rFonts w:ascii="Calibri" w:hAnsi="Calibri" w:cs="Calibri"/>
          <w:sz w:val="22"/>
          <w:szCs w:val="22"/>
        </w:rPr>
        <w:t>compliance</w:t>
      </w:r>
      <w:r w:rsidR="0047749B">
        <w:rPr>
          <w:rFonts w:ascii="Calibri" w:hAnsi="Calibri" w:cs="Calibri"/>
          <w:sz w:val="22"/>
          <w:szCs w:val="22"/>
        </w:rPr>
        <w:t xml:space="preserve">-hour </w:t>
      </w:r>
      <w:r w:rsidR="00132E1E">
        <w:rPr>
          <w:rFonts w:ascii="Calibri" w:hAnsi="Calibri" w:cs="Calibri"/>
          <w:sz w:val="22"/>
          <w:szCs w:val="22"/>
        </w:rPr>
        <w:t>scenarios</w:t>
      </w:r>
      <w:r w:rsidR="0047749B">
        <w:rPr>
          <w:rFonts w:ascii="Calibri" w:hAnsi="Calibri" w:cs="Calibri"/>
          <w:sz w:val="22"/>
          <w:szCs w:val="22"/>
        </w:rPr>
        <w:t xml:space="preserve"> for the incremental effort required to administer the SSO</w:t>
      </w:r>
      <w:r w:rsidR="00C24E44">
        <w:rPr>
          <w:rFonts w:ascii="Calibri" w:hAnsi="Calibri" w:cs="Calibri"/>
          <w:sz w:val="22"/>
          <w:szCs w:val="22"/>
        </w:rPr>
        <w:t xml:space="preserve">. These </w:t>
      </w:r>
      <w:r w:rsidR="00A67776">
        <w:rPr>
          <w:rFonts w:ascii="Calibri" w:hAnsi="Calibri" w:cs="Calibri"/>
          <w:sz w:val="22"/>
          <w:szCs w:val="22"/>
        </w:rPr>
        <w:t>scenarios</w:t>
      </w:r>
      <w:r w:rsidR="00C24E44">
        <w:rPr>
          <w:rFonts w:ascii="Calibri" w:hAnsi="Calibri" w:cs="Calibri"/>
          <w:sz w:val="22"/>
          <w:szCs w:val="22"/>
        </w:rPr>
        <w:t xml:space="preserve"> are </w:t>
      </w:r>
      <w:r w:rsidR="00C24E44">
        <w:rPr>
          <w:rFonts w:ascii="Calibri" w:hAnsi="Calibri" w:cs="Calibri"/>
          <w:sz w:val="22"/>
          <w:szCs w:val="22"/>
        </w:rPr>
        <w:lastRenderedPageBreak/>
        <w:t xml:space="preserve">informed by the </w:t>
      </w:r>
      <w:r w:rsidR="00A67776">
        <w:rPr>
          <w:rFonts w:ascii="Calibri" w:hAnsi="Calibri" w:cs="Calibri"/>
          <w:sz w:val="22"/>
          <w:szCs w:val="22"/>
        </w:rPr>
        <w:t>indicative</w:t>
      </w:r>
      <w:r w:rsidR="00C24E44">
        <w:rPr>
          <w:rFonts w:ascii="Calibri" w:hAnsi="Calibri" w:cs="Calibri"/>
          <w:sz w:val="22"/>
          <w:szCs w:val="22"/>
        </w:rPr>
        <w:t xml:space="preserve"> </w:t>
      </w:r>
      <w:r w:rsidR="009F05EB">
        <w:rPr>
          <w:rFonts w:ascii="Calibri" w:hAnsi="Calibri" w:cs="Calibri"/>
          <w:sz w:val="22"/>
          <w:szCs w:val="22"/>
        </w:rPr>
        <w:t xml:space="preserve">activity ranges set out in Table 7. </w:t>
      </w:r>
      <w:r w:rsidR="00A67776" w:rsidRPr="00A67776">
        <w:rPr>
          <w:rFonts w:ascii="Calibri" w:hAnsi="Calibri" w:cs="Calibri"/>
          <w:sz w:val="22"/>
          <w:szCs w:val="22"/>
        </w:rPr>
        <w:t>To ensure the estimate reasonably captures uncertainty and operational variability, the scenario analysis uses values set slightly below and above the calculated indicative range in Table 7.</w:t>
      </w:r>
    </w:p>
    <w:p w14:paraId="05653344" w14:textId="6BAA53DA" w:rsidR="006F69FD" w:rsidRPr="003B0FC1" w:rsidRDefault="006F69FD" w:rsidP="003B0FC1">
      <w:pPr>
        <w:pStyle w:val="ListParagraph"/>
        <w:numPr>
          <w:ilvl w:val="0"/>
          <w:numId w:val="24"/>
        </w:numPr>
        <w:rPr>
          <w:rFonts w:ascii="Calibri" w:eastAsiaTheme="majorEastAsia" w:hAnsi="Calibri" w:cs="Calibri"/>
          <w:sz w:val="22"/>
          <w:szCs w:val="22"/>
        </w:rPr>
      </w:pPr>
      <w:r w:rsidRPr="003B0FC1">
        <w:rPr>
          <w:rFonts w:ascii="Calibri" w:eastAsiaTheme="majorEastAsia" w:hAnsi="Calibri" w:cs="Calibri"/>
          <w:b/>
          <w:bCs/>
          <w:sz w:val="22"/>
          <w:szCs w:val="22"/>
        </w:rPr>
        <w:t>Low scenario:</w:t>
      </w:r>
      <w:r w:rsidRPr="003B0FC1">
        <w:rPr>
          <w:rFonts w:ascii="Calibri" w:eastAsiaTheme="majorEastAsia" w:hAnsi="Calibri" w:cs="Calibri"/>
          <w:sz w:val="22"/>
          <w:szCs w:val="22"/>
        </w:rPr>
        <w:t xml:space="preserve"> 350 hours per retailer per year</w:t>
      </w:r>
    </w:p>
    <w:p w14:paraId="166C6B42" w14:textId="546C6E1F" w:rsidR="006F69FD" w:rsidRPr="003B0FC1" w:rsidRDefault="006F69FD" w:rsidP="003B0FC1">
      <w:pPr>
        <w:pStyle w:val="ListParagraph"/>
        <w:numPr>
          <w:ilvl w:val="0"/>
          <w:numId w:val="24"/>
        </w:numPr>
        <w:rPr>
          <w:rFonts w:ascii="Calibri" w:eastAsiaTheme="majorEastAsia" w:hAnsi="Calibri" w:cs="Calibri"/>
          <w:sz w:val="22"/>
          <w:szCs w:val="22"/>
        </w:rPr>
      </w:pPr>
      <w:r w:rsidRPr="003B0FC1">
        <w:rPr>
          <w:rFonts w:ascii="Calibri" w:eastAsiaTheme="majorEastAsia" w:hAnsi="Calibri" w:cs="Calibri"/>
          <w:b/>
          <w:bCs/>
          <w:sz w:val="22"/>
          <w:szCs w:val="22"/>
        </w:rPr>
        <w:t>Central scenario:</w:t>
      </w:r>
      <w:r w:rsidRPr="003B0FC1">
        <w:rPr>
          <w:rFonts w:ascii="Calibri" w:eastAsiaTheme="majorEastAsia" w:hAnsi="Calibri" w:cs="Calibri"/>
          <w:sz w:val="22"/>
          <w:szCs w:val="22"/>
        </w:rPr>
        <w:t xml:space="preserve"> 550 hours per retailer per year</w:t>
      </w:r>
    </w:p>
    <w:p w14:paraId="585B7541" w14:textId="1240AF56" w:rsidR="006F69FD" w:rsidRPr="003B0FC1" w:rsidRDefault="006F69FD" w:rsidP="003B0FC1">
      <w:pPr>
        <w:pStyle w:val="ListParagraph"/>
        <w:numPr>
          <w:ilvl w:val="0"/>
          <w:numId w:val="24"/>
        </w:numPr>
        <w:rPr>
          <w:rFonts w:ascii="Calibri" w:eastAsiaTheme="majorEastAsia" w:hAnsi="Calibri" w:cs="Calibri"/>
          <w:sz w:val="22"/>
          <w:szCs w:val="22"/>
        </w:rPr>
      </w:pPr>
      <w:r w:rsidRPr="003B0FC1">
        <w:rPr>
          <w:rFonts w:ascii="Calibri" w:eastAsiaTheme="majorEastAsia" w:hAnsi="Calibri" w:cs="Calibri"/>
          <w:b/>
          <w:bCs/>
          <w:sz w:val="22"/>
          <w:szCs w:val="22"/>
        </w:rPr>
        <w:t>High scenario:</w:t>
      </w:r>
      <w:r w:rsidRPr="003B0FC1">
        <w:rPr>
          <w:rFonts w:ascii="Calibri" w:eastAsiaTheme="majorEastAsia" w:hAnsi="Calibri" w:cs="Calibri"/>
          <w:sz w:val="22"/>
          <w:szCs w:val="22"/>
        </w:rPr>
        <w:t xml:space="preserve"> 800 hours per retailer per year</w:t>
      </w:r>
    </w:p>
    <w:p w14:paraId="7224E348" w14:textId="74E7F038" w:rsidR="007B1FCB" w:rsidRPr="002A1497" w:rsidRDefault="003D4EFD" w:rsidP="002A1497">
      <w:pPr>
        <w:rPr>
          <w:rFonts w:ascii="Calibri" w:eastAsiaTheme="majorEastAsia" w:hAnsi="Calibri" w:cs="Calibri"/>
          <w:sz w:val="22"/>
          <w:szCs w:val="22"/>
        </w:rPr>
      </w:pPr>
      <w:r w:rsidRPr="003D4EFD">
        <w:rPr>
          <w:rFonts w:ascii="Calibri" w:eastAsiaTheme="majorEastAsia" w:hAnsi="Calibri" w:cs="Calibri"/>
          <w:sz w:val="22"/>
          <w:szCs w:val="22"/>
        </w:rPr>
        <w:t>These estimates are intended to capture the incremental ongoing compliance effort associated with the regulated SSO, including activities such as tariff compliance checks, monitoring application of the reasonable-use cap, compliance record-keeping, internal governance and reporting, and responding to regulator queries.</w:t>
      </w:r>
    </w:p>
    <w:p w14:paraId="6E0BF93E" w14:textId="1212FF58" w:rsidR="00B434ED" w:rsidRPr="002D7869" w:rsidRDefault="00B434ED" w:rsidP="002A1497">
      <w:pPr>
        <w:rPr>
          <w:rFonts w:ascii="Calibri" w:eastAsiaTheme="majorEastAsia" w:hAnsi="Calibri" w:cs="Calibri"/>
          <w:bCs/>
          <w:sz w:val="22"/>
          <w:szCs w:val="22"/>
        </w:rPr>
      </w:pPr>
      <w:r w:rsidRPr="002D7869">
        <w:rPr>
          <w:rFonts w:ascii="Calibri" w:eastAsiaTheme="majorEastAsia" w:hAnsi="Calibri" w:cs="Calibri"/>
          <w:bCs/>
          <w:sz w:val="22"/>
          <w:szCs w:val="22"/>
        </w:rPr>
        <w:t>These estimates are intended to capture the incremental ongoing compliance effort associated with the regulated SSO, including activities such as tariff compliance checks, monitoring application of the reasonable-use cap, compliance record-keeping, internal governance and reporting, and responding to regulator queries.</w:t>
      </w:r>
    </w:p>
    <w:p w14:paraId="5F335B6F" w14:textId="3B5462BF" w:rsidR="002544E3" w:rsidRPr="0037210E" w:rsidRDefault="002544E3" w:rsidP="002A1497">
      <w:pPr>
        <w:rPr>
          <w:rFonts w:ascii="Calibri" w:eastAsiaTheme="majorEastAsia" w:hAnsi="Calibri" w:cs="Calibri"/>
          <w:b/>
          <w:sz w:val="22"/>
          <w:szCs w:val="22"/>
        </w:rPr>
      </w:pPr>
      <w:r w:rsidRPr="00637D75">
        <w:rPr>
          <w:rFonts w:ascii="Calibri" w:eastAsiaTheme="majorEastAsia" w:hAnsi="Calibri" w:cs="Calibri"/>
          <w:b/>
          <w:sz w:val="22"/>
          <w:szCs w:val="22"/>
        </w:rPr>
        <w:t xml:space="preserve">Table </w:t>
      </w:r>
      <w:r w:rsidR="00CF72F6" w:rsidRPr="00637D75">
        <w:rPr>
          <w:rFonts w:ascii="Calibri" w:eastAsiaTheme="majorEastAsia" w:hAnsi="Calibri" w:cs="Calibri"/>
          <w:b/>
          <w:sz w:val="22"/>
          <w:szCs w:val="22"/>
        </w:rPr>
        <w:t>7</w:t>
      </w:r>
      <w:r w:rsidRPr="00637D75">
        <w:rPr>
          <w:rFonts w:ascii="Calibri" w:eastAsiaTheme="majorEastAsia" w:hAnsi="Calibri" w:cs="Calibri"/>
          <w:b/>
          <w:sz w:val="22"/>
          <w:szCs w:val="22"/>
        </w:rPr>
        <w:t xml:space="preserve">: Estimated annual hours per </w:t>
      </w:r>
      <w:r w:rsidRPr="00637D75">
        <w:rPr>
          <w:rFonts w:ascii="Calibri" w:eastAsiaTheme="majorEastAsia" w:hAnsi="Calibri" w:cs="Calibri"/>
          <w:b/>
          <w:bCs/>
          <w:sz w:val="22"/>
          <w:szCs w:val="22"/>
        </w:rPr>
        <w:t>retaile</w:t>
      </w:r>
      <w:r w:rsidR="00B9322B">
        <w:rPr>
          <w:rFonts w:ascii="Calibri" w:eastAsiaTheme="majorEastAsia" w:hAnsi="Calibri" w:cs="Calibri"/>
          <w:b/>
          <w:bCs/>
          <w:sz w:val="22"/>
          <w:szCs w:val="22"/>
        </w:rPr>
        <w:t>r</w:t>
      </w:r>
    </w:p>
    <w:tbl>
      <w:tblPr>
        <w:tblStyle w:val="TableGridLight"/>
        <w:tblW w:w="5000" w:type="pct"/>
        <w:tblLook w:val="04A0" w:firstRow="1" w:lastRow="0" w:firstColumn="1" w:lastColumn="0" w:noHBand="0" w:noVBand="1"/>
      </w:tblPr>
      <w:tblGrid>
        <w:gridCol w:w="4917"/>
        <w:gridCol w:w="4099"/>
      </w:tblGrid>
      <w:tr w:rsidR="00777ED4" w:rsidRPr="00777ED4" w14:paraId="25650D6E" w14:textId="77777777" w:rsidTr="00CF72F6">
        <w:trPr>
          <w:trHeight w:val="381"/>
        </w:trPr>
        <w:tc>
          <w:tcPr>
            <w:tcW w:w="2727" w:type="pct"/>
            <w:hideMark/>
          </w:tcPr>
          <w:p w14:paraId="59F4CDC8" w14:textId="77777777" w:rsidR="00777ED4" w:rsidRPr="00777ED4" w:rsidRDefault="00777ED4" w:rsidP="00777ED4">
            <w:pPr>
              <w:spacing w:after="160" w:line="278" w:lineRule="auto"/>
              <w:rPr>
                <w:rFonts w:ascii="Calibri" w:hAnsi="Calibri" w:cs="Calibri"/>
                <w:b/>
                <w:bCs/>
                <w:sz w:val="20"/>
                <w:szCs w:val="20"/>
              </w:rPr>
            </w:pPr>
            <w:r w:rsidRPr="00777ED4">
              <w:rPr>
                <w:rFonts w:ascii="Calibri" w:hAnsi="Calibri" w:cs="Calibri"/>
                <w:b/>
                <w:bCs/>
                <w:sz w:val="20"/>
                <w:szCs w:val="20"/>
              </w:rPr>
              <w:t>Activity</w:t>
            </w:r>
          </w:p>
        </w:tc>
        <w:tc>
          <w:tcPr>
            <w:tcW w:w="2273" w:type="pct"/>
            <w:hideMark/>
          </w:tcPr>
          <w:p w14:paraId="1F875217" w14:textId="77777777" w:rsidR="00777ED4" w:rsidRPr="00777ED4" w:rsidRDefault="00777ED4" w:rsidP="00777ED4">
            <w:pPr>
              <w:spacing w:after="160" w:line="278" w:lineRule="auto"/>
              <w:rPr>
                <w:rFonts w:ascii="Calibri" w:hAnsi="Calibri" w:cs="Calibri"/>
                <w:b/>
                <w:bCs/>
                <w:sz w:val="20"/>
                <w:szCs w:val="20"/>
              </w:rPr>
            </w:pPr>
            <w:r w:rsidRPr="00777ED4">
              <w:rPr>
                <w:rFonts w:ascii="Calibri" w:hAnsi="Calibri" w:cs="Calibri"/>
                <w:b/>
                <w:bCs/>
                <w:sz w:val="20"/>
                <w:szCs w:val="20"/>
              </w:rPr>
              <w:t>Hours per year</w:t>
            </w:r>
          </w:p>
        </w:tc>
      </w:tr>
      <w:tr w:rsidR="00777ED4" w:rsidRPr="00777ED4" w14:paraId="2BD312DB" w14:textId="77777777" w:rsidTr="00CF72F6">
        <w:trPr>
          <w:trHeight w:val="381"/>
        </w:trPr>
        <w:tc>
          <w:tcPr>
            <w:tcW w:w="2727" w:type="pct"/>
            <w:hideMark/>
          </w:tcPr>
          <w:p w14:paraId="30C0FCF8" w14:textId="77777777" w:rsidR="00777ED4" w:rsidRPr="00777ED4" w:rsidRDefault="00777ED4" w:rsidP="00777ED4">
            <w:pPr>
              <w:spacing w:after="160" w:line="278" w:lineRule="auto"/>
              <w:rPr>
                <w:rFonts w:ascii="Calibri" w:hAnsi="Calibri" w:cs="Calibri"/>
                <w:sz w:val="20"/>
                <w:szCs w:val="20"/>
              </w:rPr>
            </w:pPr>
            <w:r w:rsidRPr="00777ED4">
              <w:rPr>
                <w:rFonts w:ascii="Calibri" w:hAnsi="Calibri" w:cs="Calibri"/>
                <w:sz w:val="20"/>
                <w:szCs w:val="20"/>
              </w:rPr>
              <w:t>Ongoing price monitoring</w:t>
            </w:r>
          </w:p>
        </w:tc>
        <w:tc>
          <w:tcPr>
            <w:tcW w:w="2273" w:type="pct"/>
            <w:hideMark/>
          </w:tcPr>
          <w:p w14:paraId="76B57EEC" w14:textId="0F27701E" w:rsidR="00777ED4" w:rsidRPr="00777ED4" w:rsidRDefault="00FF4473" w:rsidP="00777ED4">
            <w:pPr>
              <w:spacing w:after="160" w:line="278" w:lineRule="auto"/>
              <w:rPr>
                <w:rFonts w:ascii="Calibri" w:hAnsi="Calibri" w:cs="Calibri"/>
                <w:sz w:val="20"/>
                <w:szCs w:val="20"/>
              </w:rPr>
            </w:pPr>
            <w:r>
              <w:rPr>
                <w:rFonts w:ascii="Calibri" w:hAnsi="Calibri" w:cs="Calibri"/>
                <w:sz w:val="20"/>
                <w:szCs w:val="20"/>
              </w:rPr>
              <w:t>~</w:t>
            </w:r>
            <w:r w:rsidR="00777ED4" w:rsidRPr="00777ED4">
              <w:rPr>
                <w:rFonts w:ascii="Calibri" w:hAnsi="Calibri" w:cs="Calibri"/>
                <w:sz w:val="20"/>
                <w:szCs w:val="20"/>
              </w:rPr>
              <w:t>120–200</w:t>
            </w:r>
          </w:p>
        </w:tc>
      </w:tr>
      <w:tr w:rsidR="00777ED4" w:rsidRPr="00777ED4" w14:paraId="027F6AF4" w14:textId="77777777" w:rsidTr="00CF72F6">
        <w:trPr>
          <w:trHeight w:val="374"/>
        </w:trPr>
        <w:tc>
          <w:tcPr>
            <w:tcW w:w="2727" w:type="pct"/>
            <w:hideMark/>
          </w:tcPr>
          <w:p w14:paraId="5B871D6B" w14:textId="77777777" w:rsidR="00777ED4" w:rsidRPr="00777ED4" w:rsidRDefault="00777ED4" w:rsidP="00777ED4">
            <w:pPr>
              <w:spacing w:after="160" w:line="278" w:lineRule="auto"/>
              <w:rPr>
                <w:rFonts w:ascii="Calibri" w:hAnsi="Calibri" w:cs="Calibri"/>
                <w:sz w:val="20"/>
                <w:szCs w:val="20"/>
              </w:rPr>
            </w:pPr>
            <w:r w:rsidRPr="00777ED4">
              <w:rPr>
                <w:rFonts w:ascii="Calibri" w:hAnsi="Calibri" w:cs="Calibri"/>
                <w:sz w:val="20"/>
                <w:szCs w:val="20"/>
              </w:rPr>
              <w:t>Reporting &amp; record keeping</w:t>
            </w:r>
          </w:p>
        </w:tc>
        <w:tc>
          <w:tcPr>
            <w:tcW w:w="2273" w:type="pct"/>
            <w:hideMark/>
          </w:tcPr>
          <w:p w14:paraId="6980851C" w14:textId="0B74C4C3" w:rsidR="00777ED4" w:rsidRPr="00777ED4" w:rsidRDefault="00FF4473" w:rsidP="00777ED4">
            <w:pPr>
              <w:spacing w:after="160" w:line="278" w:lineRule="auto"/>
              <w:rPr>
                <w:rFonts w:ascii="Calibri" w:hAnsi="Calibri" w:cs="Calibri"/>
                <w:sz w:val="20"/>
                <w:szCs w:val="20"/>
              </w:rPr>
            </w:pPr>
            <w:r>
              <w:rPr>
                <w:rFonts w:ascii="Calibri" w:hAnsi="Calibri" w:cs="Calibri"/>
                <w:sz w:val="20"/>
                <w:szCs w:val="20"/>
              </w:rPr>
              <w:t>~</w:t>
            </w:r>
            <w:r w:rsidR="00777ED4" w:rsidRPr="00777ED4">
              <w:rPr>
                <w:rFonts w:ascii="Calibri" w:hAnsi="Calibri" w:cs="Calibri"/>
                <w:sz w:val="20"/>
                <w:szCs w:val="20"/>
              </w:rPr>
              <w:t>80–150</w:t>
            </w:r>
          </w:p>
        </w:tc>
      </w:tr>
      <w:tr w:rsidR="00777ED4" w:rsidRPr="00777ED4" w14:paraId="163FC161" w14:textId="77777777" w:rsidTr="00CF72F6">
        <w:trPr>
          <w:trHeight w:val="381"/>
        </w:trPr>
        <w:tc>
          <w:tcPr>
            <w:tcW w:w="2727" w:type="pct"/>
            <w:hideMark/>
          </w:tcPr>
          <w:p w14:paraId="6D36B5B4" w14:textId="77777777" w:rsidR="00777ED4" w:rsidRPr="00777ED4" w:rsidRDefault="00777ED4" w:rsidP="00777ED4">
            <w:pPr>
              <w:spacing w:after="160" w:line="278" w:lineRule="auto"/>
              <w:rPr>
                <w:rFonts w:ascii="Calibri" w:hAnsi="Calibri" w:cs="Calibri"/>
                <w:sz w:val="20"/>
                <w:szCs w:val="20"/>
              </w:rPr>
            </w:pPr>
            <w:r w:rsidRPr="00777ED4">
              <w:rPr>
                <w:rFonts w:ascii="Calibri" w:hAnsi="Calibri" w:cs="Calibri"/>
                <w:sz w:val="20"/>
                <w:szCs w:val="20"/>
              </w:rPr>
              <w:t>Internal governance</w:t>
            </w:r>
          </w:p>
        </w:tc>
        <w:tc>
          <w:tcPr>
            <w:tcW w:w="2273" w:type="pct"/>
            <w:hideMark/>
          </w:tcPr>
          <w:p w14:paraId="66E5BAE5" w14:textId="55E675E8" w:rsidR="00777ED4" w:rsidRPr="00777ED4" w:rsidRDefault="00FF4473" w:rsidP="00777ED4">
            <w:pPr>
              <w:spacing w:after="160" w:line="278" w:lineRule="auto"/>
              <w:rPr>
                <w:rFonts w:ascii="Calibri" w:hAnsi="Calibri" w:cs="Calibri"/>
                <w:sz w:val="20"/>
                <w:szCs w:val="20"/>
              </w:rPr>
            </w:pPr>
            <w:r>
              <w:rPr>
                <w:rFonts w:ascii="Calibri" w:hAnsi="Calibri" w:cs="Calibri"/>
                <w:sz w:val="20"/>
                <w:szCs w:val="20"/>
              </w:rPr>
              <w:t>~</w:t>
            </w:r>
            <w:r w:rsidR="00777ED4" w:rsidRPr="00777ED4">
              <w:rPr>
                <w:rFonts w:ascii="Calibri" w:hAnsi="Calibri" w:cs="Calibri"/>
                <w:sz w:val="20"/>
                <w:szCs w:val="20"/>
              </w:rPr>
              <w:t>60–120</w:t>
            </w:r>
          </w:p>
        </w:tc>
      </w:tr>
      <w:tr w:rsidR="00777ED4" w:rsidRPr="00777ED4" w14:paraId="7DFC5883" w14:textId="77777777" w:rsidTr="00CF72F6">
        <w:trPr>
          <w:trHeight w:val="381"/>
        </w:trPr>
        <w:tc>
          <w:tcPr>
            <w:tcW w:w="2727" w:type="pct"/>
            <w:hideMark/>
          </w:tcPr>
          <w:p w14:paraId="26EA6614" w14:textId="77777777" w:rsidR="00777ED4" w:rsidRPr="00777ED4" w:rsidRDefault="00777ED4" w:rsidP="00777ED4">
            <w:pPr>
              <w:spacing w:after="160" w:line="278" w:lineRule="auto"/>
              <w:rPr>
                <w:rFonts w:ascii="Calibri" w:hAnsi="Calibri" w:cs="Calibri"/>
                <w:sz w:val="20"/>
                <w:szCs w:val="20"/>
              </w:rPr>
            </w:pPr>
            <w:r w:rsidRPr="00777ED4">
              <w:rPr>
                <w:rFonts w:ascii="Calibri" w:hAnsi="Calibri" w:cs="Calibri"/>
                <w:sz w:val="20"/>
                <w:szCs w:val="20"/>
              </w:rPr>
              <w:t>Consumer compliance checks</w:t>
            </w:r>
          </w:p>
        </w:tc>
        <w:tc>
          <w:tcPr>
            <w:tcW w:w="2273" w:type="pct"/>
            <w:hideMark/>
          </w:tcPr>
          <w:p w14:paraId="095ADDD1" w14:textId="36452041" w:rsidR="00777ED4" w:rsidRPr="00777ED4" w:rsidRDefault="00FF4473" w:rsidP="00777ED4">
            <w:pPr>
              <w:spacing w:after="160" w:line="278" w:lineRule="auto"/>
              <w:rPr>
                <w:rFonts w:ascii="Calibri" w:hAnsi="Calibri" w:cs="Calibri"/>
                <w:sz w:val="20"/>
                <w:szCs w:val="20"/>
              </w:rPr>
            </w:pPr>
            <w:r>
              <w:rPr>
                <w:rFonts w:ascii="Calibri" w:hAnsi="Calibri" w:cs="Calibri"/>
                <w:sz w:val="20"/>
                <w:szCs w:val="20"/>
              </w:rPr>
              <w:t>~</w:t>
            </w:r>
            <w:r w:rsidR="00777ED4" w:rsidRPr="00777ED4">
              <w:rPr>
                <w:rFonts w:ascii="Calibri" w:hAnsi="Calibri" w:cs="Calibri"/>
                <w:sz w:val="20"/>
                <w:szCs w:val="20"/>
              </w:rPr>
              <w:t>100–200</w:t>
            </w:r>
          </w:p>
        </w:tc>
      </w:tr>
      <w:tr w:rsidR="00777ED4" w:rsidRPr="00777ED4" w14:paraId="198166DC" w14:textId="77777777" w:rsidTr="00CF72F6">
        <w:trPr>
          <w:trHeight w:val="381"/>
        </w:trPr>
        <w:tc>
          <w:tcPr>
            <w:tcW w:w="2727" w:type="pct"/>
            <w:hideMark/>
          </w:tcPr>
          <w:p w14:paraId="54DCA5A1" w14:textId="77777777" w:rsidR="00777ED4" w:rsidRPr="00777ED4" w:rsidRDefault="00777ED4" w:rsidP="00777ED4">
            <w:pPr>
              <w:spacing w:after="160" w:line="278" w:lineRule="auto"/>
              <w:rPr>
                <w:rFonts w:ascii="Calibri" w:hAnsi="Calibri" w:cs="Calibri"/>
                <w:sz w:val="20"/>
                <w:szCs w:val="20"/>
              </w:rPr>
            </w:pPr>
            <w:r w:rsidRPr="00777ED4">
              <w:rPr>
                <w:rFonts w:ascii="Calibri" w:hAnsi="Calibri" w:cs="Calibri"/>
                <w:sz w:val="20"/>
                <w:szCs w:val="20"/>
              </w:rPr>
              <w:t>Regulator engagement</w:t>
            </w:r>
          </w:p>
        </w:tc>
        <w:tc>
          <w:tcPr>
            <w:tcW w:w="2273" w:type="pct"/>
            <w:hideMark/>
          </w:tcPr>
          <w:p w14:paraId="2FCAFE10" w14:textId="50A01653" w:rsidR="00777ED4" w:rsidRPr="00777ED4" w:rsidRDefault="00FF4473" w:rsidP="00777ED4">
            <w:pPr>
              <w:spacing w:after="160" w:line="278" w:lineRule="auto"/>
              <w:rPr>
                <w:rFonts w:ascii="Calibri" w:hAnsi="Calibri" w:cs="Calibri"/>
                <w:sz w:val="20"/>
                <w:szCs w:val="20"/>
              </w:rPr>
            </w:pPr>
            <w:r>
              <w:rPr>
                <w:rFonts w:ascii="Calibri" w:hAnsi="Calibri" w:cs="Calibri"/>
                <w:sz w:val="20"/>
                <w:szCs w:val="20"/>
              </w:rPr>
              <w:t>~</w:t>
            </w:r>
            <w:r w:rsidR="00777ED4" w:rsidRPr="00777ED4">
              <w:rPr>
                <w:rFonts w:ascii="Calibri" w:hAnsi="Calibri" w:cs="Calibri"/>
                <w:sz w:val="20"/>
                <w:szCs w:val="20"/>
              </w:rPr>
              <w:t>40–100</w:t>
            </w:r>
          </w:p>
        </w:tc>
      </w:tr>
      <w:tr w:rsidR="00777ED4" w:rsidRPr="00777ED4" w14:paraId="373F8C87" w14:textId="77777777" w:rsidTr="00CF72F6">
        <w:trPr>
          <w:trHeight w:val="381"/>
        </w:trPr>
        <w:tc>
          <w:tcPr>
            <w:tcW w:w="2727" w:type="pct"/>
            <w:hideMark/>
          </w:tcPr>
          <w:p w14:paraId="1453BE7F" w14:textId="77777777" w:rsidR="00777ED4" w:rsidRPr="00777ED4" w:rsidRDefault="00777ED4" w:rsidP="00777ED4">
            <w:pPr>
              <w:spacing w:after="160" w:line="278" w:lineRule="auto"/>
              <w:rPr>
                <w:rFonts w:ascii="Calibri" w:hAnsi="Calibri" w:cs="Calibri"/>
                <w:sz w:val="20"/>
                <w:szCs w:val="20"/>
              </w:rPr>
            </w:pPr>
            <w:r w:rsidRPr="00777ED4">
              <w:rPr>
                <w:rFonts w:ascii="Calibri" w:hAnsi="Calibri" w:cs="Calibri"/>
                <w:b/>
                <w:bCs/>
                <w:sz w:val="20"/>
                <w:szCs w:val="20"/>
              </w:rPr>
              <w:t>Total</w:t>
            </w:r>
          </w:p>
        </w:tc>
        <w:tc>
          <w:tcPr>
            <w:tcW w:w="2273" w:type="pct"/>
            <w:hideMark/>
          </w:tcPr>
          <w:p w14:paraId="6BBFC6EE" w14:textId="116CE9C7" w:rsidR="00777ED4" w:rsidRPr="00777ED4" w:rsidRDefault="00FF4473" w:rsidP="00777ED4">
            <w:pPr>
              <w:spacing w:after="160" w:line="278" w:lineRule="auto"/>
              <w:rPr>
                <w:rFonts w:ascii="Calibri" w:hAnsi="Calibri" w:cs="Calibri"/>
                <w:sz w:val="20"/>
                <w:szCs w:val="20"/>
              </w:rPr>
            </w:pPr>
            <w:r>
              <w:rPr>
                <w:rFonts w:ascii="Calibri" w:hAnsi="Calibri" w:cs="Calibri"/>
                <w:b/>
                <w:bCs/>
                <w:sz w:val="20"/>
                <w:szCs w:val="20"/>
              </w:rPr>
              <w:t>~</w:t>
            </w:r>
            <w:r w:rsidR="00777ED4" w:rsidRPr="00777ED4">
              <w:rPr>
                <w:rFonts w:ascii="Calibri" w:hAnsi="Calibri" w:cs="Calibri"/>
                <w:b/>
                <w:bCs/>
                <w:sz w:val="20"/>
                <w:szCs w:val="20"/>
              </w:rPr>
              <w:t>400–770 hours per year</w:t>
            </w:r>
          </w:p>
        </w:tc>
      </w:tr>
    </w:tbl>
    <w:p w14:paraId="408CE9A5" w14:textId="0AD2C362" w:rsidR="005C3B4D" w:rsidRPr="005C3B4D" w:rsidRDefault="005C3B4D" w:rsidP="005C3B4D">
      <w:pPr>
        <w:rPr>
          <w:rFonts w:ascii="Calibri" w:hAnsi="Calibri" w:cs="Calibri"/>
          <w:sz w:val="22"/>
          <w:szCs w:val="22"/>
        </w:rPr>
      </w:pPr>
      <w:r w:rsidRPr="005C3B4D">
        <w:rPr>
          <w:rFonts w:ascii="Calibri" w:hAnsi="Calibri" w:cs="Calibri"/>
          <w:sz w:val="22"/>
          <w:szCs w:val="22"/>
        </w:rPr>
        <w:t>The total range of 400–770 hours per year represents the aggregated time across all incremental compliance activities.</w:t>
      </w:r>
      <w:r w:rsidR="00E04AF1">
        <w:rPr>
          <w:rFonts w:ascii="Calibri" w:hAnsi="Calibri" w:cs="Calibri"/>
          <w:sz w:val="22"/>
          <w:szCs w:val="22"/>
        </w:rPr>
        <w:t xml:space="preserve"> </w:t>
      </w:r>
    </w:p>
    <w:p w14:paraId="78EC4511" w14:textId="77777777" w:rsidR="005C3B4D" w:rsidRPr="005C3B4D" w:rsidRDefault="005C3B4D" w:rsidP="005C3B4D">
      <w:pPr>
        <w:rPr>
          <w:rFonts w:ascii="Calibri" w:hAnsi="Calibri" w:cs="Calibri"/>
          <w:sz w:val="22"/>
          <w:szCs w:val="22"/>
        </w:rPr>
      </w:pPr>
      <w:r w:rsidRPr="005C3B4D">
        <w:rPr>
          <w:rFonts w:ascii="Calibri" w:hAnsi="Calibri" w:cs="Calibri"/>
          <w:sz w:val="22"/>
          <w:szCs w:val="22"/>
        </w:rPr>
        <w:t>The lower bound assumes:</w:t>
      </w:r>
    </w:p>
    <w:p w14:paraId="1B228D1F" w14:textId="77777777" w:rsidR="005C3B4D" w:rsidRPr="005C3B4D" w:rsidRDefault="005C3B4D" w:rsidP="005C3B4D">
      <w:pPr>
        <w:pStyle w:val="ListParagraph"/>
        <w:numPr>
          <w:ilvl w:val="0"/>
          <w:numId w:val="20"/>
        </w:numPr>
        <w:rPr>
          <w:rFonts w:ascii="Calibri" w:hAnsi="Calibri" w:cs="Calibri"/>
          <w:sz w:val="22"/>
          <w:szCs w:val="22"/>
        </w:rPr>
      </w:pPr>
      <w:r w:rsidRPr="005C3B4D">
        <w:rPr>
          <w:rFonts w:ascii="Calibri" w:hAnsi="Calibri" w:cs="Calibri"/>
          <w:sz w:val="22"/>
          <w:szCs w:val="22"/>
        </w:rPr>
        <w:t>Strong system automation</w:t>
      </w:r>
    </w:p>
    <w:p w14:paraId="178CA020" w14:textId="77777777" w:rsidR="005C3B4D" w:rsidRPr="005C3B4D" w:rsidRDefault="005C3B4D" w:rsidP="005C3B4D">
      <w:pPr>
        <w:pStyle w:val="ListParagraph"/>
        <w:numPr>
          <w:ilvl w:val="0"/>
          <w:numId w:val="20"/>
        </w:numPr>
        <w:rPr>
          <w:rFonts w:ascii="Calibri" w:hAnsi="Calibri" w:cs="Calibri"/>
          <w:sz w:val="22"/>
          <w:szCs w:val="22"/>
        </w:rPr>
      </w:pPr>
      <w:r w:rsidRPr="005C3B4D">
        <w:rPr>
          <w:rFonts w:ascii="Calibri" w:hAnsi="Calibri" w:cs="Calibri"/>
          <w:sz w:val="22"/>
          <w:szCs w:val="22"/>
        </w:rPr>
        <w:t>Minimal consumer disputes</w:t>
      </w:r>
    </w:p>
    <w:p w14:paraId="08E7B881" w14:textId="77777777" w:rsidR="005C3B4D" w:rsidRPr="005C3B4D" w:rsidRDefault="005C3B4D" w:rsidP="005C3B4D">
      <w:pPr>
        <w:pStyle w:val="ListParagraph"/>
        <w:numPr>
          <w:ilvl w:val="0"/>
          <w:numId w:val="20"/>
        </w:numPr>
        <w:rPr>
          <w:rFonts w:ascii="Calibri" w:hAnsi="Calibri" w:cs="Calibri"/>
          <w:sz w:val="22"/>
          <w:szCs w:val="22"/>
        </w:rPr>
      </w:pPr>
      <w:r w:rsidRPr="005C3B4D">
        <w:rPr>
          <w:rFonts w:ascii="Calibri" w:hAnsi="Calibri" w:cs="Calibri"/>
          <w:sz w:val="22"/>
          <w:szCs w:val="22"/>
        </w:rPr>
        <w:t>Limited regulator follow-up</w:t>
      </w:r>
    </w:p>
    <w:p w14:paraId="3C9DEE47" w14:textId="77777777" w:rsidR="005C3B4D" w:rsidRPr="005C3B4D" w:rsidRDefault="005C3B4D" w:rsidP="005C3B4D">
      <w:pPr>
        <w:rPr>
          <w:rFonts w:ascii="Calibri" w:hAnsi="Calibri" w:cs="Calibri"/>
          <w:sz w:val="22"/>
          <w:szCs w:val="22"/>
        </w:rPr>
      </w:pPr>
      <w:r w:rsidRPr="005C3B4D">
        <w:rPr>
          <w:rFonts w:ascii="Calibri" w:hAnsi="Calibri" w:cs="Calibri"/>
          <w:sz w:val="22"/>
          <w:szCs w:val="22"/>
        </w:rPr>
        <w:t>The upper bound assumes:</w:t>
      </w:r>
    </w:p>
    <w:p w14:paraId="11CAE33A" w14:textId="77777777" w:rsidR="005C3B4D" w:rsidRPr="005C3B4D" w:rsidRDefault="005C3B4D" w:rsidP="005C3B4D">
      <w:pPr>
        <w:pStyle w:val="ListParagraph"/>
        <w:numPr>
          <w:ilvl w:val="0"/>
          <w:numId w:val="21"/>
        </w:numPr>
        <w:rPr>
          <w:rFonts w:ascii="Calibri" w:hAnsi="Calibri" w:cs="Calibri"/>
          <w:sz w:val="22"/>
          <w:szCs w:val="22"/>
        </w:rPr>
      </w:pPr>
      <w:r w:rsidRPr="005C3B4D">
        <w:rPr>
          <w:rFonts w:ascii="Calibri" w:hAnsi="Calibri" w:cs="Calibri"/>
          <w:sz w:val="22"/>
          <w:szCs w:val="22"/>
        </w:rPr>
        <w:t>Higher customer volumes</w:t>
      </w:r>
    </w:p>
    <w:p w14:paraId="2F7BDBD9" w14:textId="77777777" w:rsidR="005C3B4D" w:rsidRPr="005C3B4D" w:rsidRDefault="005C3B4D" w:rsidP="005C3B4D">
      <w:pPr>
        <w:pStyle w:val="ListParagraph"/>
        <w:numPr>
          <w:ilvl w:val="0"/>
          <w:numId w:val="21"/>
        </w:numPr>
        <w:rPr>
          <w:rFonts w:ascii="Calibri" w:hAnsi="Calibri" w:cs="Calibri"/>
          <w:sz w:val="22"/>
          <w:szCs w:val="22"/>
        </w:rPr>
      </w:pPr>
      <w:r w:rsidRPr="005C3B4D">
        <w:rPr>
          <w:rFonts w:ascii="Calibri" w:hAnsi="Calibri" w:cs="Calibri"/>
          <w:sz w:val="22"/>
          <w:szCs w:val="22"/>
        </w:rPr>
        <w:t>Greater manual intervention</w:t>
      </w:r>
    </w:p>
    <w:p w14:paraId="3DADDB04" w14:textId="77777777" w:rsidR="005C3B4D" w:rsidRPr="005C3B4D" w:rsidRDefault="005C3B4D" w:rsidP="005C3B4D">
      <w:pPr>
        <w:pStyle w:val="ListParagraph"/>
        <w:numPr>
          <w:ilvl w:val="0"/>
          <w:numId w:val="21"/>
        </w:numPr>
        <w:rPr>
          <w:rFonts w:ascii="Calibri" w:hAnsi="Calibri" w:cs="Calibri"/>
          <w:sz w:val="22"/>
          <w:szCs w:val="22"/>
        </w:rPr>
      </w:pPr>
      <w:r w:rsidRPr="005C3B4D">
        <w:rPr>
          <w:rFonts w:ascii="Calibri" w:hAnsi="Calibri" w:cs="Calibri"/>
          <w:sz w:val="22"/>
          <w:szCs w:val="22"/>
        </w:rPr>
        <w:t>Increased regulator engagement</w:t>
      </w:r>
    </w:p>
    <w:p w14:paraId="51B7F15C" w14:textId="77777777" w:rsidR="005C3B4D" w:rsidRPr="005C3B4D" w:rsidRDefault="005C3B4D" w:rsidP="005C3B4D">
      <w:pPr>
        <w:rPr>
          <w:rFonts w:ascii="Calibri" w:hAnsi="Calibri" w:cs="Calibri"/>
          <w:sz w:val="22"/>
          <w:szCs w:val="22"/>
        </w:rPr>
      </w:pPr>
      <w:r w:rsidRPr="005C3B4D">
        <w:rPr>
          <w:rFonts w:ascii="Calibri" w:hAnsi="Calibri" w:cs="Calibri"/>
          <w:sz w:val="22"/>
          <w:szCs w:val="22"/>
        </w:rPr>
        <w:t>This range reflects variability in retailer size, governance complexity and system maturity.</w:t>
      </w:r>
    </w:p>
    <w:p w14:paraId="471925EB" w14:textId="4561D270" w:rsidR="009632C3" w:rsidRPr="002A1497" w:rsidRDefault="002A1497" w:rsidP="002A1497">
      <w:pPr>
        <w:pStyle w:val="Heading4"/>
        <w:rPr>
          <w:rFonts w:ascii="Calibri" w:hAnsi="Calibri" w:cs="Calibri"/>
          <w:sz w:val="22"/>
          <w:szCs w:val="22"/>
        </w:rPr>
      </w:pPr>
      <w:r w:rsidRPr="002A1497">
        <w:rPr>
          <w:rFonts w:ascii="Calibri" w:hAnsi="Calibri" w:cs="Calibri"/>
          <w:sz w:val="22"/>
          <w:szCs w:val="22"/>
        </w:rPr>
        <w:lastRenderedPageBreak/>
        <w:t>4.2</w:t>
      </w:r>
      <w:r>
        <w:rPr>
          <w:rFonts w:ascii="Calibri" w:hAnsi="Calibri" w:cs="Calibri"/>
          <w:sz w:val="22"/>
          <w:szCs w:val="22"/>
        </w:rPr>
        <w:t xml:space="preserve"> </w:t>
      </w:r>
      <w:r w:rsidR="00A063A6">
        <w:rPr>
          <w:rFonts w:ascii="Calibri" w:hAnsi="Calibri" w:cs="Calibri"/>
          <w:sz w:val="22"/>
          <w:szCs w:val="22"/>
        </w:rPr>
        <w:t>Ongoing Compliance costs (Sector-wide)</w:t>
      </w:r>
      <w:r w:rsidR="00A15B1C">
        <w:rPr>
          <w:rStyle w:val="FootnoteReference"/>
          <w:rFonts w:ascii="Calibri" w:hAnsi="Calibri" w:cs="Calibri"/>
          <w:sz w:val="22"/>
          <w:szCs w:val="22"/>
        </w:rPr>
        <w:footnoteReference w:id="2"/>
      </w:r>
      <w:r w:rsidR="00A063A6">
        <w:rPr>
          <w:rFonts w:ascii="Calibri" w:hAnsi="Calibri" w:cs="Calibri"/>
          <w:sz w:val="22"/>
          <w:szCs w:val="22"/>
        </w:rPr>
        <w:t xml:space="preserve"> </w:t>
      </w:r>
    </w:p>
    <w:p w14:paraId="5BB61CA7" w14:textId="43AA2B56" w:rsidR="00C672BB" w:rsidRDefault="00A063A6" w:rsidP="00A063A6">
      <w:pPr>
        <w:rPr>
          <w:rFonts w:ascii="Calibri" w:hAnsi="Calibri" w:cs="Calibri"/>
          <w:sz w:val="22"/>
          <w:szCs w:val="22"/>
        </w:rPr>
      </w:pPr>
      <w:r w:rsidRPr="00A063A6">
        <w:rPr>
          <w:rFonts w:ascii="Calibri" w:hAnsi="Calibri" w:cs="Calibri"/>
          <w:sz w:val="22"/>
          <w:szCs w:val="22"/>
        </w:rPr>
        <w:t xml:space="preserve">Three </w:t>
      </w:r>
      <w:r>
        <w:rPr>
          <w:rFonts w:ascii="Calibri" w:hAnsi="Calibri" w:cs="Calibri"/>
          <w:sz w:val="22"/>
          <w:szCs w:val="22"/>
        </w:rPr>
        <w:t xml:space="preserve">scenarios are presented to reflect </w:t>
      </w:r>
      <w:r w:rsidR="00546CDA">
        <w:rPr>
          <w:rFonts w:ascii="Calibri" w:hAnsi="Calibri" w:cs="Calibri"/>
          <w:sz w:val="22"/>
          <w:szCs w:val="22"/>
        </w:rPr>
        <w:t>uncertainty</w:t>
      </w:r>
      <w:r>
        <w:rPr>
          <w:rFonts w:ascii="Calibri" w:hAnsi="Calibri" w:cs="Calibri"/>
          <w:sz w:val="22"/>
          <w:szCs w:val="22"/>
        </w:rPr>
        <w:t xml:space="preserve"> and variability in compliance effort. Scenario analysis is consistent with regulatory impact analysis best practice, which </w:t>
      </w:r>
      <w:r w:rsidR="00D542E5">
        <w:rPr>
          <w:rFonts w:ascii="Calibri" w:hAnsi="Calibri" w:cs="Calibri"/>
          <w:sz w:val="22"/>
          <w:szCs w:val="22"/>
        </w:rPr>
        <w:t>recommends</w:t>
      </w:r>
      <w:r w:rsidR="00131126">
        <w:rPr>
          <w:rFonts w:ascii="Calibri" w:hAnsi="Calibri" w:cs="Calibri"/>
          <w:sz w:val="22"/>
          <w:szCs w:val="22"/>
        </w:rPr>
        <w:t xml:space="preserve"> sensitivity testing where compliance time may vary across </w:t>
      </w:r>
      <w:r w:rsidR="00C672BB">
        <w:rPr>
          <w:rFonts w:ascii="Calibri" w:hAnsi="Calibri" w:cs="Calibri"/>
          <w:sz w:val="22"/>
          <w:szCs w:val="22"/>
        </w:rPr>
        <w:t>retailer businesses.</w:t>
      </w:r>
    </w:p>
    <w:p w14:paraId="48B8B2B0" w14:textId="456B5980" w:rsidR="003672CD" w:rsidRDefault="00CF1131" w:rsidP="00A063A6">
      <w:pPr>
        <w:rPr>
          <w:rFonts w:ascii="Calibri" w:hAnsi="Calibri" w:cs="Calibri"/>
          <w:sz w:val="22"/>
          <w:szCs w:val="22"/>
        </w:rPr>
      </w:pPr>
      <w:r>
        <w:rPr>
          <w:rFonts w:ascii="Calibri" w:hAnsi="Calibri" w:cs="Calibri"/>
          <w:sz w:val="22"/>
          <w:szCs w:val="22"/>
        </w:rPr>
        <w:t xml:space="preserve">Approach to scenario analysis </w:t>
      </w:r>
      <w:r w:rsidR="003672CD">
        <w:rPr>
          <w:rFonts w:ascii="Calibri" w:hAnsi="Calibri" w:cs="Calibri"/>
          <w:sz w:val="22"/>
          <w:szCs w:val="22"/>
        </w:rPr>
        <w:t>is used because:</w:t>
      </w:r>
    </w:p>
    <w:p w14:paraId="04DEA054" w14:textId="25D580B9" w:rsidR="003672CD" w:rsidRDefault="003672CD" w:rsidP="003672CD">
      <w:pPr>
        <w:pStyle w:val="ListParagraph"/>
        <w:numPr>
          <w:ilvl w:val="0"/>
          <w:numId w:val="23"/>
        </w:numPr>
        <w:rPr>
          <w:rFonts w:ascii="Calibri" w:hAnsi="Calibri" w:cs="Calibri"/>
          <w:sz w:val="22"/>
          <w:szCs w:val="22"/>
        </w:rPr>
      </w:pPr>
      <w:r>
        <w:rPr>
          <w:rFonts w:ascii="Calibri" w:hAnsi="Calibri" w:cs="Calibri"/>
          <w:sz w:val="22"/>
          <w:szCs w:val="22"/>
        </w:rPr>
        <w:t>Retailers vary significantly in size and operational capacity</w:t>
      </w:r>
    </w:p>
    <w:p w14:paraId="40781BF9" w14:textId="777F0EE7" w:rsidR="003672CD" w:rsidRDefault="003672CD" w:rsidP="003672CD">
      <w:pPr>
        <w:pStyle w:val="ListParagraph"/>
        <w:numPr>
          <w:ilvl w:val="0"/>
          <w:numId w:val="23"/>
        </w:numPr>
        <w:rPr>
          <w:rFonts w:ascii="Calibri" w:hAnsi="Calibri" w:cs="Calibri"/>
          <w:sz w:val="22"/>
          <w:szCs w:val="22"/>
        </w:rPr>
      </w:pPr>
      <w:r>
        <w:rPr>
          <w:rFonts w:ascii="Calibri" w:hAnsi="Calibri" w:cs="Calibri"/>
          <w:sz w:val="22"/>
          <w:szCs w:val="22"/>
        </w:rPr>
        <w:t>System maturity differs across retailers</w:t>
      </w:r>
    </w:p>
    <w:p w14:paraId="5D067E64" w14:textId="2705C1F0" w:rsidR="003672CD" w:rsidRDefault="003672CD" w:rsidP="003672CD">
      <w:pPr>
        <w:pStyle w:val="ListParagraph"/>
        <w:numPr>
          <w:ilvl w:val="0"/>
          <w:numId w:val="23"/>
        </w:numPr>
        <w:rPr>
          <w:rFonts w:ascii="Calibri" w:hAnsi="Calibri" w:cs="Calibri"/>
          <w:sz w:val="22"/>
          <w:szCs w:val="22"/>
        </w:rPr>
      </w:pPr>
      <w:r>
        <w:rPr>
          <w:rFonts w:ascii="Calibri" w:hAnsi="Calibri" w:cs="Calibri"/>
          <w:sz w:val="22"/>
          <w:szCs w:val="22"/>
        </w:rPr>
        <w:t>Regulatory engagement intensity may vary</w:t>
      </w:r>
    </w:p>
    <w:p w14:paraId="15F1895C" w14:textId="7A6C13F9" w:rsidR="003672CD" w:rsidRDefault="003672CD" w:rsidP="003672CD">
      <w:pPr>
        <w:pStyle w:val="ListParagraph"/>
        <w:numPr>
          <w:ilvl w:val="0"/>
          <w:numId w:val="23"/>
        </w:numPr>
        <w:rPr>
          <w:rFonts w:ascii="Calibri" w:hAnsi="Calibri" w:cs="Calibri"/>
          <w:sz w:val="22"/>
          <w:szCs w:val="22"/>
        </w:rPr>
      </w:pPr>
      <w:r>
        <w:rPr>
          <w:rFonts w:ascii="Calibri" w:hAnsi="Calibri" w:cs="Calibri"/>
          <w:sz w:val="22"/>
          <w:szCs w:val="22"/>
        </w:rPr>
        <w:t>Implementation effects may higher in early years</w:t>
      </w:r>
    </w:p>
    <w:p w14:paraId="32E68E64" w14:textId="6290EA33" w:rsidR="001C66E1" w:rsidRDefault="00706DE2" w:rsidP="003672CD">
      <w:pPr>
        <w:pStyle w:val="ListParagraph"/>
        <w:numPr>
          <w:ilvl w:val="0"/>
          <w:numId w:val="23"/>
        </w:numPr>
        <w:rPr>
          <w:rFonts w:ascii="Calibri" w:hAnsi="Calibri" w:cs="Calibri"/>
          <w:sz w:val="22"/>
          <w:szCs w:val="22"/>
        </w:rPr>
      </w:pPr>
      <w:r>
        <w:rPr>
          <w:rFonts w:ascii="Calibri" w:hAnsi="Calibri" w:cs="Calibri"/>
          <w:sz w:val="22"/>
          <w:szCs w:val="22"/>
        </w:rPr>
        <w:t>U</w:t>
      </w:r>
      <w:r w:rsidR="0091172F" w:rsidRPr="0091172F">
        <w:rPr>
          <w:rFonts w:ascii="Calibri" w:hAnsi="Calibri" w:cs="Calibri"/>
          <w:sz w:val="22"/>
          <w:szCs w:val="22"/>
        </w:rPr>
        <w:t>ptake</w:t>
      </w:r>
      <w:r w:rsidR="00AC6D26">
        <w:rPr>
          <w:rFonts w:ascii="Calibri" w:hAnsi="Calibri" w:cs="Calibri"/>
          <w:sz w:val="22"/>
          <w:szCs w:val="22"/>
        </w:rPr>
        <w:t xml:space="preserve"> of the </w:t>
      </w:r>
      <w:r w:rsidR="00AC6D26" w:rsidRPr="0091172F">
        <w:rPr>
          <w:rFonts w:ascii="Calibri" w:hAnsi="Calibri" w:cs="Calibri"/>
          <w:sz w:val="22"/>
          <w:szCs w:val="22"/>
        </w:rPr>
        <w:t>regulated SSO</w:t>
      </w:r>
      <w:r w:rsidR="0091172F" w:rsidRPr="0091172F">
        <w:rPr>
          <w:rFonts w:ascii="Calibri" w:hAnsi="Calibri" w:cs="Calibri"/>
          <w:sz w:val="22"/>
          <w:szCs w:val="22"/>
        </w:rPr>
        <w:t xml:space="preserve"> </w:t>
      </w:r>
      <w:r w:rsidR="00AC6D26">
        <w:rPr>
          <w:rFonts w:ascii="Calibri" w:hAnsi="Calibri" w:cs="Calibri"/>
          <w:sz w:val="22"/>
          <w:szCs w:val="22"/>
        </w:rPr>
        <w:t>is uncertain</w:t>
      </w:r>
      <w:r w:rsidR="0091172F" w:rsidRPr="0091172F">
        <w:rPr>
          <w:rFonts w:ascii="Calibri" w:hAnsi="Calibri" w:cs="Calibri"/>
          <w:sz w:val="22"/>
          <w:szCs w:val="22"/>
        </w:rPr>
        <w:t>.</w:t>
      </w:r>
    </w:p>
    <w:p w14:paraId="16D47808" w14:textId="0A2730A7" w:rsidR="00B8314E" w:rsidRPr="00984E95" w:rsidRDefault="00B8314E" w:rsidP="00B8314E">
      <w:pPr>
        <w:rPr>
          <w:rFonts w:ascii="Calibri" w:hAnsi="Calibri" w:cs="Calibri"/>
          <w:sz w:val="22"/>
          <w:szCs w:val="22"/>
        </w:rPr>
      </w:pPr>
      <w:r>
        <w:rPr>
          <w:rFonts w:ascii="Calibri" w:hAnsi="Calibri" w:cs="Calibri"/>
          <w:sz w:val="22"/>
          <w:szCs w:val="22"/>
        </w:rPr>
        <w:t xml:space="preserve">This demonstrates </w:t>
      </w:r>
      <w:r w:rsidR="00FE3EBE">
        <w:rPr>
          <w:rFonts w:ascii="Calibri" w:hAnsi="Calibri" w:cs="Calibri"/>
          <w:sz w:val="22"/>
          <w:szCs w:val="22"/>
        </w:rPr>
        <w:t>trans</w:t>
      </w:r>
      <w:r w:rsidR="003901AD">
        <w:rPr>
          <w:rFonts w:ascii="Calibri" w:hAnsi="Calibri" w:cs="Calibri"/>
          <w:sz w:val="22"/>
          <w:szCs w:val="22"/>
        </w:rPr>
        <w:t>parency in assumptions and avoids reliance in a single point estimate.</w:t>
      </w:r>
    </w:p>
    <w:tbl>
      <w:tblPr>
        <w:tblStyle w:val="PlainTable4"/>
        <w:tblW w:w="8967" w:type="dxa"/>
        <w:tblLook w:val="0480" w:firstRow="0" w:lastRow="0" w:firstColumn="1" w:lastColumn="0" w:noHBand="0" w:noVBand="1"/>
      </w:tblPr>
      <w:tblGrid>
        <w:gridCol w:w="1496"/>
        <w:gridCol w:w="1510"/>
        <w:gridCol w:w="3050"/>
        <w:gridCol w:w="2491"/>
        <w:gridCol w:w="420"/>
      </w:tblGrid>
      <w:tr w:rsidR="000D3086" w:rsidRPr="000D3086" w14:paraId="73F373EB" w14:textId="77777777" w:rsidTr="003B0FC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96" w:type="dxa"/>
            <w:hideMark/>
          </w:tcPr>
          <w:p w14:paraId="4DA57199" w14:textId="77777777" w:rsidR="000D3086" w:rsidRPr="00984E95" w:rsidRDefault="000D3086" w:rsidP="00984E95">
            <w:pPr>
              <w:jc w:val="center"/>
              <w:rPr>
                <w:rFonts w:ascii="Calibri" w:hAnsi="Calibri" w:cs="Calibri"/>
                <w:sz w:val="20"/>
                <w:szCs w:val="20"/>
              </w:rPr>
            </w:pPr>
            <w:r w:rsidRPr="00984E95">
              <w:rPr>
                <w:rFonts w:ascii="Calibri" w:hAnsi="Calibri" w:cs="Calibri"/>
                <w:sz w:val="20"/>
                <w:szCs w:val="20"/>
              </w:rPr>
              <w:t>Scenario</w:t>
            </w:r>
          </w:p>
        </w:tc>
        <w:tc>
          <w:tcPr>
            <w:tcW w:w="1510" w:type="dxa"/>
            <w:hideMark/>
          </w:tcPr>
          <w:p w14:paraId="5F03CF53" w14:textId="2F4BF26C" w:rsidR="000D3086" w:rsidRPr="00984E95" w:rsidRDefault="000D3086" w:rsidP="00984E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984E95">
              <w:rPr>
                <w:rFonts w:ascii="Calibri" w:hAnsi="Calibri" w:cs="Calibri"/>
                <w:b/>
                <w:bCs/>
                <w:sz w:val="20"/>
                <w:szCs w:val="20"/>
              </w:rPr>
              <w:t>Annual Hours</w:t>
            </w:r>
            <w:r w:rsidR="007661D2">
              <w:rPr>
                <w:rStyle w:val="FootnoteReference"/>
                <w:rFonts w:ascii="Calibri" w:hAnsi="Calibri" w:cs="Calibri"/>
                <w:sz w:val="20"/>
                <w:szCs w:val="20"/>
              </w:rPr>
              <w:footnoteReference w:id="3"/>
            </w:r>
          </w:p>
        </w:tc>
        <w:tc>
          <w:tcPr>
            <w:tcW w:w="3050" w:type="dxa"/>
            <w:hideMark/>
          </w:tcPr>
          <w:p w14:paraId="30358DB4" w14:textId="77777777" w:rsidR="000D3086" w:rsidRPr="00984E95" w:rsidRDefault="000D3086" w:rsidP="00984E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984E95">
              <w:rPr>
                <w:rFonts w:ascii="Calibri" w:hAnsi="Calibri" w:cs="Calibri"/>
                <w:b/>
                <w:bCs/>
                <w:sz w:val="20"/>
                <w:szCs w:val="20"/>
              </w:rPr>
              <w:t>Annual Cost per Retailer ($)</w:t>
            </w:r>
          </w:p>
        </w:tc>
        <w:tc>
          <w:tcPr>
            <w:tcW w:w="2911" w:type="dxa"/>
            <w:gridSpan w:val="2"/>
            <w:hideMark/>
          </w:tcPr>
          <w:p w14:paraId="1189F11C" w14:textId="77777777" w:rsidR="000D3086" w:rsidRPr="00984E95" w:rsidRDefault="000D3086" w:rsidP="00984E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984E95">
              <w:rPr>
                <w:rFonts w:ascii="Calibri" w:hAnsi="Calibri" w:cs="Calibri"/>
                <w:b/>
                <w:bCs/>
                <w:sz w:val="20"/>
                <w:szCs w:val="20"/>
              </w:rPr>
              <w:t>Sector-Wide Annual Cost ($)</w:t>
            </w:r>
          </w:p>
        </w:tc>
      </w:tr>
      <w:tr w:rsidR="000D3086" w:rsidRPr="00984E95" w14:paraId="62D9C24B" w14:textId="77777777" w:rsidTr="0078654A">
        <w:trPr>
          <w:gridAfter w:val="1"/>
          <w:wAfter w:w="420" w:type="dxa"/>
          <w:trHeight w:val="358"/>
        </w:trPr>
        <w:tc>
          <w:tcPr>
            <w:cnfStyle w:val="001000000000" w:firstRow="0" w:lastRow="0" w:firstColumn="1" w:lastColumn="0" w:oddVBand="0" w:evenVBand="0" w:oddHBand="0" w:evenHBand="0" w:firstRowFirstColumn="0" w:firstRowLastColumn="0" w:lastRowFirstColumn="0" w:lastRowLastColumn="0"/>
            <w:tcW w:w="1496" w:type="dxa"/>
            <w:hideMark/>
          </w:tcPr>
          <w:p w14:paraId="5DB2F9C7" w14:textId="77777777" w:rsidR="000D3086" w:rsidRPr="00984E95" w:rsidRDefault="000D3086" w:rsidP="00984E95">
            <w:pPr>
              <w:jc w:val="center"/>
              <w:rPr>
                <w:rFonts w:ascii="Calibri" w:hAnsi="Calibri" w:cs="Calibri"/>
                <w:b w:val="0"/>
                <w:bCs w:val="0"/>
                <w:sz w:val="20"/>
                <w:szCs w:val="20"/>
              </w:rPr>
            </w:pPr>
            <w:r w:rsidRPr="00984E95">
              <w:rPr>
                <w:rFonts w:ascii="Calibri" w:hAnsi="Calibri" w:cs="Calibri"/>
                <w:b w:val="0"/>
                <w:bCs w:val="0"/>
                <w:sz w:val="20"/>
                <w:szCs w:val="20"/>
              </w:rPr>
              <w:t>Low</w:t>
            </w:r>
          </w:p>
        </w:tc>
        <w:tc>
          <w:tcPr>
            <w:tcW w:w="1510" w:type="dxa"/>
            <w:hideMark/>
          </w:tcPr>
          <w:p w14:paraId="3625276D" w14:textId="21891649" w:rsidR="000D3086" w:rsidRPr="00984E95" w:rsidRDefault="000D3086" w:rsidP="00984E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84E95">
              <w:rPr>
                <w:rFonts w:ascii="Calibri" w:hAnsi="Calibri" w:cs="Calibri"/>
                <w:sz w:val="20"/>
                <w:szCs w:val="20"/>
              </w:rPr>
              <w:t>350</w:t>
            </w:r>
          </w:p>
        </w:tc>
        <w:tc>
          <w:tcPr>
            <w:tcW w:w="3050" w:type="dxa"/>
            <w:hideMark/>
          </w:tcPr>
          <w:p w14:paraId="4A665C29" w14:textId="77777777" w:rsidR="000D3086" w:rsidRPr="00984E95" w:rsidRDefault="000D3086" w:rsidP="00984E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84E95">
              <w:rPr>
                <w:rFonts w:ascii="Calibri" w:hAnsi="Calibri" w:cs="Calibri"/>
                <w:sz w:val="20"/>
                <w:szCs w:val="20"/>
              </w:rPr>
              <w:t>$29,809.50</w:t>
            </w:r>
          </w:p>
        </w:tc>
        <w:tc>
          <w:tcPr>
            <w:tcW w:w="2491" w:type="dxa"/>
            <w:hideMark/>
          </w:tcPr>
          <w:p w14:paraId="53EA6962" w14:textId="650CED5A" w:rsidR="000D3086" w:rsidRPr="00984E95" w:rsidRDefault="000D3086" w:rsidP="00984E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84E95">
              <w:rPr>
                <w:rFonts w:ascii="Calibri" w:hAnsi="Calibri" w:cs="Calibri"/>
                <w:sz w:val="20"/>
                <w:szCs w:val="20"/>
              </w:rPr>
              <w:t>$715,428</w:t>
            </w:r>
            <w:r w:rsidR="00467516">
              <w:rPr>
                <w:rFonts w:ascii="Calibri" w:hAnsi="Calibri" w:cs="Calibri"/>
                <w:sz w:val="20"/>
                <w:szCs w:val="20"/>
              </w:rPr>
              <w:t>.00</w:t>
            </w:r>
          </w:p>
        </w:tc>
      </w:tr>
      <w:tr w:rsidR="00726C7A" w:rsidRPr="00D92685" w14:paraId="70A6B1D2" w14:textId="77777777" w:rsidTr="00295FEC">
        <w:trPr>
          <w:gridAfter w:val="1"/>
          <w:cnfStyle w:val="000000100000" w:firstRow="0" w:lastRow="0" w:firstColumn="0" w:lastColumn="0" w:oddVBand="0" w:evenVBand="0" w:oddHBand="1" w:evenHBand="0" w:firstRowFirstColumn="0" w:firstRowLastColumn="0" w:lastRowFirstColumn="0" w:lastRowLastColumn="0"/>
          <w:wAfter w:w="420" w:type="dxa"/>
          <w:trHeight w:val="358"/>
        </w:trPr>
        <w:tc>
          <w:tcPr>
            <w:cnfStyle w:val="001000000000" w:firstRow="0" w:lastRow="0" w:firstColumn="1" w:lastColumn="0" w:oddVBand="0" w:evenVBand="0" w:oddHBand="0" w:evenHBand="0" w:firstRowFirstColumn="0" w:firstRowLastColumn="0" w:lastRowFirstColumn="0" w:lastRowLastColumn="0"/>
            <w:tcW w:w="1496" w:type="dxa"/>
            <w:hideMark/>
          </w:tcPr>
          <w:p w14:paraId="56FFB473" w14:textId="77777777" w:rsidR="000D3086" w:rsidRPr="00984E95" w:rsidRDefault="000D3086" w:rsidP="00984E95">
            <w:pPr>
              <w:jc w:val="center"/>
              <w:rPr>
                <w:rFonts w:ascii="Calibri" w:hAnsi="Calibri" w:cs="Calibri"/>
                <w:b w:val="0"/>
                <w:bCs w:val="0"/>
                <w:sz w:val="20"/>
                <w:szCs w:val="20"/>
              </w:rPr>
            </w:pPr>
            <w:r w:rsidRPr="00984E95">
              <w:rPr>
                <w:rFonts w:ascii="Calibri" w:hAnsi="Calibri" w:cs="Calibri"/>
                <w:b w:val="0"/>
                <w:bCs w:val="0"/>
                <w:sz w:val="20"/>
                <w:szCs w:val="20"/>
              </w:rPr>
              <w:t>Central</w:t>
            </w:r>
          </w:p>
        </w:tc>
        <w:tc>
          <w:tcPr>
            <w:tcW w:w="1510" w:type="dxa"/>
            <w:hideMark/>
          </w:tcPr>
          <w:p w14:paraId="2ABA8DA0" w14:textId="77777777" w:rsidR="000D3086" w:rsidRPr="00984E95" w:rsidRDefault="000D3086" w:rsidP="00984E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84E95">
              <w:rPr>
                <w:rFonts w:ascii="Calibri" w:hAnsi="Calibri" w:cs="Calibri"/>
                <w:sz w:val="20"/>
                <w:szCs w:val="20"/>
              </w:rPr>
              <w:t>550</w:t>
            </w:r>
          </w:p>
        </w:tc>
        <w:tc>
          <w:tcPr>
            <w:tcW w:w="3050" w:type="dxa"/>
            <w:hideMark/>
          </w:tcPr>
          <w:p w14:paraId="51D7F18A" w14:textId="77777777" w:rsidR="000D3086" w:rsidRPr="00984E95" w:rsidRDefault="000D3086" w:rsidP="00984E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84E95">
              <w:rPr>
                <w:rFonts w:ascii="Calibri" w:hAnsi="Calibri" w:cs="Calibri"/>
                <w:sz w:val="20"/>
                <w:szCs w:val="20"/>
              </w:rPr>
              <w:t>$46,843.50</w:t>
            </w:r>
          </w:p>
        </w:tc>
        <w:tc>
          <w:tcPr>
            <w:tcW w:w="2491" w:type="dxa"/>
            <w:hideMark/>
          </w:tcPr>
          <w:p w14:paraId="645A20BC" w14:textId="5CDF5ECA" w:rsidR="000D3086" w:rsidRPr="00984E95" w:rsidRDefault="000D3086" w:rsidP="00984E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984E95">
              <w:rPr>
                <w:rFonts w:ascii="Calibri" w:hAnsi="Calibri" w:cs="Calibri"/>
                <w:sz w:val="20"/>
                <w:szCs w:val="20"/>
              </w:rPr>
              <w:t>$1,124,244</w:t>
            </w:r>
            <w:r w:rsidR="00467516">
              <w:rPr>
                <w:rFonts w:ascii="Calibri" w:hAnsi="Calibri" w:cs="Calibri"/>
                <w:sz w:val="20"/>
                <w:szCs w:val="20"/>
              </w:rPr>
              <w:t>.00</w:t>
            </w:r>
          </w:p>
        </w:tc>
      </w:tr>
      <w:tr w:rsidR="000D3086" w:rsidRPr="00984E95" w14:paraId="7D58DD37" w14:textId="77777777" w:rsidTr="0078654A">
        <w:trPr>
          <w:gridAfter w:val="1"/>
          <w:wAfter w:w="420" w:type="dxa"/>
          <w:trHeight w:val="358"/>
        </w:trPr>
        <w:tc>
          <w:tcPr>
            <w:cnfStyle w:val="001000000000" w:firstRow="0" w:lastRow="0" w:firstColumn="1" w:lastColumn="0" w:oddVBand="0" w:evenVBand="0" w:oddHBand="0" w:evenHBand="0" w:firstRowFirstColumn="0" w:firstRowLastColumn="0" w:lastRowFirstColumn="0" w:lastRowLastColumn="0"/>
            <w:tcW w:w="1496" w:type="dxa"/>
            <w:hideMark/>
          </w:tcPr>
          <w:p w14:paraId="4600CA36" w14:textId="77777777" w:rsidR="000D3086" w:rsidRPr="00984E95" w:rsidRDefault="000D3086" w:rsidP="00984E95">
            <w:pPr>
              <w:jc w:val="center"/>
              <w:rPr>
                <w:rFonts w:ascii="Calibri" w:hAnsi="Calibri" w:cs="Calibri"/>
                <w:b w:val="0"/>
                <w:bCs w:val="0"/>
                <w:sz w:val="20"/>
                <w:szCs w:val="20"/>
              </w:rPr>
            </w:pPr>
            <w:r w:rsidRPr="00984E95">
              <w:rPr>
                <w:rFonts w:ascii="Calibri" w:hAnsi="Calibri" w:cs="Calibri"/>
                <w:b w:val="0"/>
                <w:bCs w:val="0"/>
                <w:sz w:val="20"/>
                <w:szCs w:val="20"/>
              </w:rPr>
              <w:t>High</w:t>
            </w:r>
          </w:p>
        </w:tc>
        <w:tc>
          <w:tcPr>
            <w:tcW w:w="1510" w:type="dxa"/>
            <w:hideMark/>
          </w:tcPr>
          <w:p w14:paraId="275A5C73" w14:textId="77777777" w:rsidR="000D3086" w:rsidRPr="00984E95" w:rsidRDefault="000D3086" w:rsidP="00984E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84E95">
              <w:rPr>
                <w:rFonts w:ascii="Calibri" w:hAnsi="Calibri" w:cs="Calibri"/>
                <w:sz w:val="20"/>
                <w:szCs w:val="20"/>
              </w:rPr>
              <w:t>800</w:t>
            </w:r>
          </w:p>
        </w:tc>
        <w:tc>
          <w:tcPr>
            <w:tcW w:w="3050" w:type="dxa"/>
            <w:hideMark/>
          </w:tcPr>
          <w:p w14:paraId="509971A8" w14:textId="77777777" w:rsidR="000D3086" w:rsidRPr="00984E95" w:rsidRDefault="000D3086" w:rsidP="00984E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84E95">
              <w:rPr>
                <w:rFonts w:ascii="Calibri" w:hAnsi="Calibri" w:cs="Calibri"/>
                <w:sz w:val="20"/>
                <w:szCs w:val="20"/>
              </w:rPr>
              <w:t>$68,136.00</w:t>
            </w:r>
          </w:p>
        </w:tc>
        <w:tc>
          <w:tcPr>
            <w:tcW w:w="2491" w:type="dxa"/>
            <w:hideMark/>
          </w:tcPr>
          <w:p w14:paraId="29AA179E" w14:textId="4C9044CD" w:rsidR="000D3086" w:rsidRPr="00984E95" w:rsidRDefault="000D3086" w:rsidP="00984E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84E95">
              <w:rPr>
                <w:rFonts w:ascii="Calibri" w:hAnsi="Calibri" w:cs="Calibri"/>
                <w:sz w:val="20"/>
                <w:szCs w:val="20"/>
              </w:rPr>
              <w:t>$1,635,264</w:t>
            </w:r>
            <w:r w:rsidR="00467516">
              <w:rPr>
                <w:rFonts w:ascii="Calibri" w:hAnsi="Calibri" w:cs="Calibri"/>
                <w:sz w:val="20"/>
                <w:szCs w:val="20"/>
              </w:rPr>
              <w:t>.00</w:t>
            </w:r>
          </w:p>
        </w:tc>
      </w:tr>
    </w:tbl>
    <w:p w14:paraId="47CD49B7" w14:textId="7D0B13FD" w:rsidR="009632C3" w:rsidRDefault="0059269B" w:rsidP="00984E95">
      <w:pPr>
        <w:pStyle w:val="Heading3"/>
      </w:pPr>
      <w:r>
        <w:t xml:space="preserve">5. </w:t>
      </w:r>
      <w:r w:rsidR="00FA62D7">
        <w:t>Total Regulatory Burden (10-Year Horizon)</w:t>
      </w:r>
    </w:p>
    <w:p w14:paraId="11C11B5B" w14:textId="769B7B8C" w:rsidR="008B75A0" w:rsidRPr="005F539A" w:rsidRDefault="00855B8C" w:rsidP="007618B3">
      <w:pPr>
        <w:rPr>
          <w:rFonts w:ascii="Calibri" w:hAnsi="Calibri" w:cs="Calibri"/>
          <w:sz w:val="22"/>
          <w:szCs w:val="22"/>
        </w:rPr>
      </w:pPr>
      <w:r w:rsidRPr="00984E95">
        <w:rPr>
          <w:rFonts w:ascii="Calibri" w:hAnsi="Calibri" w:cs="Calibri"/>
          <w:sz w:val="22"/>
          <w:szCs w:val="22"/>
        </w:rPr>
        <w:t>In line with the OIA framework</w:t>
      </w:r>
      <w:r w:rsidR="001A7CF2">
        <w:rPr>
          <w:rStyle w:val="FootnoteReference"/>
          <w:rFonts w:ascii="Calibri" w:hAnsi="Calibri" w:cs="Calibri"/>
          <w:sz w:val="22"/>
          <w:szCs w:val="22"/>
        </w:rPr>
        <w:footnoteReference w:id="4"/>
      </w:r>
      <w:r w:rsidRPr="00984E95">
        <w:rPr>
          <w:rFonts w:ascii="Calibri" w:hAnsi="Calibri" w:cs="Calibri"/>
          <w:sz w:val="22"/>
          <w:szCs w:val="22"/>
        </w:rPr>
        <w:t xml:space="preserve">, </w:t>
      </w:r>
      <w:r>
        <w:rPr>
          <w:rFonts w:ascii="Calibri" w:hAnsi="Calibri" w:cs="Calibri"/>
          <w:sz w:val="22"/>
          <w:szCs w:val="22"/>
        </w:rPr>
        <w:t>we assume variable</w:t>
      </w:r>
      <w:r w:rsidRPr="00855B8C">
        <w:rPr>
          <w:rFonts w:ascii="Calibri" w:hAnsi="Calibri" w:cs="Calibri"/>
          <w:sz w:val="22"/>
          <w:szCs w:val="22"/>
        </w:rPr>
        <w:t xml:space="preserve"> costs are expected to change from year to year. </w:t>
      </w:r>
      <w:r>
        <w:rPr>
          <w:rFonts w:ascii="Calibri" w:hAnsi="Calibri" w:cs="Calibri"/>
          <w:sz w:val="22"/>
          <w:szCs w:val="22"/>
        </w:rPr>
        <w:t>Using</w:t>
      </w:r>
      <w:r w:rsidRPr="00855B8C">
        <w:rPr>
          <w:rFonts w:ascii="Calibri" w:hAnsi="Calibri" w:cs="Calibri"/>
          <w:sz w:val="22"/>
          <w:szCs w:val="22"/>
        </w:rPr>
        <w:t xml:space="preserve"> the default 10-year duration of a policy, if a business incurs regulatory costs every two years into perpetuity</w:t>
      </w:r>
      <w:r w:rsidR="00A90A44" w:rsidRPr="00855B8C">
        <w:rPr>
          <w:rFonts w:ascii="Calibri" w:hAnsi="Calibri" w:cs="Calibri"/>
          <w:sz w:val="22"/>
          <w:szCs w:val="22"/>
        </w:rPr>
        <w:t>,</w:t>
      </w:r>
      <w:r w:rsidRPr="00855B8C">
        <w:rPr>
          <w:rFonts w:ascii="Calibri" w:hAnsi="Calibri" w:cs="Calibri"/>
          <w:sz w:val="22"/>
          <w:szCs w:val="22"/>
        </w:rPr>
        <w:t xml:space="preserve"> then to calculate the average annual regulatory cost of the proposal the costs over 10 years should be summed and then divided by 10.</w:t>
      </w:r>
    </w:p>
    <w:p w14:paraId="7C631639" w14:textId="63F1C8C3" w:rsidR="002B768E" w:rsidRDefault="002B768E" w:rsidP="00984E95">
      <w:pPr>
        <w:pStyle w:val="Heading4"/>
        <w:ind w:left="360"/>
        <w:rPr>
          <w:rFonts w:ascii="Calibri" w:hAnsi="Calibri" w:cs="Calibri"/>
          <w:sz w:val="22"/>
          <w:szCs w:val="22"/>
        </w:rPr>
      </w:pPr>
      <w:r>
        <w:rPr>
          <w:rFonts w:ascii="Calibri" w:hAnsi="Calibri" w:cs="Calibri"/>
          <w:sz w:val="22"/>
          <w:szCs w:val="22"/>
        </w:rPr>
        <w:t xml:space="preserve">Total 10 year forecast recurring Costs  – Per Retailer and Sector wide </w:t>
      </w:r>
    </w:p>
    <w:tbl>
      <w:tblPr>
        <w:tblStyle w:val="PlainTable1"/>
        <w:tblW w:w="8997" w:type="dxa"/>
        <w:tblLayout w:type="fixed"/>
        <w:tblLook w:val="0480" w:firstRow="0" w:lastRow="0" w:firstColumn="1" w:lastColumn="0" w:noHBand="0" w:noVBand="1"/>
      </w:tblPr>
      <w:tblGrid>
        <w:gridCol w:w="2999"/>
        <w:gridCol w:w="2999"/>
        <w:gridCol w:w="2999"/>
      </w:tblGrid>
      <w:tr w:rsidR="00984E95" w:rsidRPr="009C5812" w14:paraId="4513D782" w14:textId="77777777" w:rsidTr="00984E95">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999" w:type="dxa"/>
          </w:tcPr>
          <w:p w14:paraId="00588864" w14:textId="06E36C01" w:rsidR="002B768E" w:rsidRPr="009632C3" w:rsidRDefault="00555F09" w:rsidP="00EB0BEB">
            <w:pPr>
              <w:jc w:val="center"/>
              <w:rPr>
                <w:rFonts w:ascii="Calibri" w:hAnsi="Calibri" w:cs="Calibri"/>
                <w:sz w:val="20"/>
                <w:szCs w:val="20"/>
              </w:rPr>
            </w:pPr>
            <w:r>
              <w:rPr>
                <w:rFonts w:ascii="Calibri" w:hAnsi="Calibri" w:cs="Calibri"/>
                <w:sz w:val="20"/>
                <w:szCs w:val="20"/>
              </w:rPr>
              <w:t>Scenario</w:t>
            </w:r>
          </w:p>
        </w:tc>
        <w:tc>
          <w:tcPr>
            <w:tcW w:w="2999" w:type="dxa"/>
          </w:tcPr>
          <w:p w14:paraId="5F750538" w14:textId="5DC6386F" w:rsidR="002B768E" w:rsidRPr="00A8721D" w:rsidRDefault="00580C7C" w:rsidP="00EB0B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A8721D">
              <w:rPr>
                <w:rFonts w:ascii="Calibri" w:hAnsi="Calibri" w:cs="Calibri"/>
                <w:b/>
                <w:sz w:val="20"/>
                <w:szCs w:val="20"/>
              </w:rPr>
              <w:t xml:space="preserve">10-year Ongoing Cost </w:t>
            </w:r>
            <w:r w:rsidR="008E3754" w:rsidRPr="00A8721D">
              <w:rPr>
                <w:rFonts w:ascii="Calibri" w:hAnsi="Calibri" w:cs="Calibri"/>
                <w:b/>
                <w:sz w:val="20"/>
                <w:szCs w:val="20"/>
              </w:rPr>
              <w:t>($)</w:t>
            </w:r>
          </w:p>
          <w:p w14:paraId="27562B95" w14:textId="77777777" w:rsidR="002B768E" w:rsidRPr="00A8721D" w:rsidRDefault="002B768E" w:rsidP="00EB0B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p>
        </w:tc>
        <w:tc>
          <w:tcPr>
            <w:tcW w:w="2999" w:type="dxa"/>
          </w:tcPr>
          <w:p w14:paraId="5175F8A5" w14:textId="77777777" w:rsidR="009A5A6E" w:rsidRPr="007D1355" w:rsidRDefault="009A5A6E" w:rsidP="009A5A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7D1355">
              <w:rPr>
                <w:rFonts w:ascii="Calibri" w:hAnsi="Calibri" w:cs="Calibri"/>
                <w:b/>
                <w:bCs/>
                <w:sz w:val="20"/>
                <w:szCs w:val="20"/>
              </w:rPr>
              <w:t>Total Cost Including Year 1 One-Off ($)</w:t>
            </w:r>
          </w:p>
          <w:p w14:paraId="2FD2CD1E" w14:textId="0075329D" w:rsidR="002B768E" w:rsidRPr="00984E95" w:rsidRDefault="002B768E" w:rsidP="00EB0B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8958FD" w:rsidRPr="009632C3" w14:paraId="4B665C69" w14:textId="77777777" w:rsidTr="00984E95">
        <w:trPr>
          <w:trHeight w:val="251"/>
        </w:trPr>
        <w:tc>
          <w:tcPr>
            <w:cnfStyle w:val="001000000000" w:firstRow="0" w:lastRow="0" w:firstColumn="1" w:lastColumn="0" w:oddVBand="0" w:evenVBand="0" w:oddHBand="0" w:evenHBand="0" w:firstRowFirstColumn="0" w:firstRowLastColumn="0" w:lastRowFirstColumn="0" w:lastRowLastColumn="0"/>
            <w:tcW w:w="2999" w:type="dxa"/>
          </w:tcPr>
          <w:p w14:paraId="253F6760" w14:textId="206A54B9" w:rsidR="008958FD" w:rsidRPr="00984E95" w:rsidRDefault="008958FD" w:rsidP="008958FD">
            <w:pPr>
              <w:jc w:val="center"/>
              <w:rPr>
                <w:rFonts w:ascii="Calibri" w:hAnsi="Calibri" w:cs="Calibri"/>
                <w:sz w:val="20"/>
                <w:szCs w:val="20"/>
              </w:rPr>
            </w:pPr>
            <w:r w:rsidRPr="00984E95">
              <w:rPr>
                <w:rFonts w:ascii="Calibri" w:hAnsi="Calibri" w:cs="Calibri"/>
                <w:sz w:val="20"/>
                <w:szCs w:val="20"/>
              </w:rPr>
              <w:t>Low</w:t>
            </w:r>
          </w:p>
        </w:tc>
        <w:tc>
          <w:tcPr>
            <w:tcW w:w="2999" w:type="dxa"/>
          </w:tcPr>
          <w:p w14:paraId="0C6D9CDA" w14:textId="1AF34F64" w:rsidR="008958FD" w:rsidRPr="009632C3" w:rsidRDefault="008958FD" w:rsidP="008958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984E95">
              <w:rPr>
                <w:rFonts w:ascii="Calibri" w:hAnsi="Calibri" w:cs="Calibri"/>
                <w:sz w:val="20"/>
                <w:szCs w:val="20"/>
              </w:rPr>
              <w:t xml:space="preserve"> 7,154,280</w:t>
            </w:r>
            <w:r w:rsidR="00F21109">
              <w:rPr>
                <w:rFonts w:ascii="Calibri" w:hAnsi="Calibri" w:cs="Calibri"/>
                <w:sz w:val="20"/>
                <w:szCs w:val="20"/>
              </w:rPr>
              <w:t>.00</w:t>
            </w:r>
          </w:p>
        </w:tc>
        <w:tc>
          <w:tcPr>
            <w:tcW w:w="2999" w:type="dxa"/>
          </w:tcPr>
          <w:p w14:paraId="64271BE7" w14:textId="3B52227F" w:rsidR="008958FD" w:rsidRPr="00A8721D" w:rsidRDefault="008958FD" w:rsidP="008958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39A">
              <w:rPr>
                <w:rFonts w:ascii="Calibri" w:hAnsi="Calibri" w:cs="Calibri"/>
                <w:sz w:val="20"/>
                <w:szCs w:val="20"/>
              </w:rPr>
              <w:t xml:space="preserve"> </w:t>
            </w:r>
            <w:r w:rsidR="0084078E">
              <w:rPr>
                <w:rFonts w:ascii="Calibri" w:hAnsi="Calibri" w:cs="Calibri"/>
                <w:sz w:val="20"/>
                <w:szCs w:val="20"/>
              </w:rPr>
              <w:t>9,270,198</w:t>
            </w:r>
            <w:r w:rsidR="00F21109">
              <w:rPr>
                <w:rFonts w:ascii="Calibri" w:hAnsi="Calibri" w:cs="Calibri"/>
                <w:sz w:val="20"/>
                <w:szCs w:val="20"/>
              </w:rPr>
              <w:t>.00</w:t>
            </w:r>
            <w:r w:rsidRPr="005F539A">
              <w:rPr>
                <w:rFonts w:ascii="Calibri" w:hAnsi="Calibri" w:cs="Calibri"/>
                <w:sz w:val="20"/>
                <w:szCs w:val="20"/>
              </w:rPr>
              <w:t xml:space="preserve"> </w:t>
            </w:r>
          </w:p>
        </w:tc>
      </w:tr>
      <w:tr w:rsidR="008958FD" w:rsidRPr="009632C3" w14:paraId="3A1F42B9" w14:textId="77777777" w:rsidTr="00984E9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99" w:type="dxa"/>
          </w:tcPr>
          <w:p w14:paraId="30F40CC6" w14:textId="38A342EE" w:rsidR="008958FD" w:rsidRPr="00984E95" w:rsidRDefault="008958FD" w:rsidP="008958FD">
            <w:pPr>
              <w:jc w:val="center"/>
              <w:rPr>
                <w:rFonts w:ascii="Calibri" w:hAnsi="Calibri" w:cs="Calibri"/>
                <w:sz w:val="20"/>
                <w:szCs w:val="20"/>
              </w:rPr>
            </w:pPr>
            <w:r w:rsidRPr="00984E95">
              <w:rPr>
                <w:rFonts w:ascii="Calibri" w:hAnsi="Calibri" w:cs="Calibri"/>
                <w:sz w:val="20"/>
                <w:szCs w:val="20"/>
              </w:rPr>
              <w:t>Central</w:t>
            </w:r>
          </w:p>
        </w:tc>
        <w:tc>
          <w:tcPr>
            <w:tcW w:w="2999" w:type="dxa"/>
          </w:tcPr>
          <w:p w14:paraId="1D9ADF99" w14:textId="2888A828" w:rsidR="008958FD" w:rsidRPr="009632C3" w:rsidRDefault="008958FD" w:rsidP="008958F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984E95">
              <w:rPr>
                <w:rFonts w:ascii="Calibri" w:hAnsi="Calibri" w:cs="Calibri"/>
                <w:sz w:val="20"/>
                <w:szCs w:val="20"/>
              </w:rPr>
              <w:t xml:space="preserve"> 11,242,440</w:t>
            </w:r>
            <w:r w:rsidR="00F21109">
              <w:rPr>
                <w:rFonts w:ascii="Calibri" w:hAnsi="Calibri" w:cs="Calibri"/>
                <w:sz w:val="20"/>
                <w:szCs w:val="20"/>
              </w:rPr>
              <w:t>.00</w:t>
            </w:r>
          </w:p>
        </w:tc>
        <w:tc>
          <w:tcPr>
            <w:tcW w:w="2999" w:type="dxa"/>
          </w:tcPr>
          <w:p w14:paraId="5980B7FD" w14:textId="3424BF56" w:rsidR="008958FD" w:rsidRPr="00A8721D" w:rsidRDefault="008958FD" w:rsidP="008958F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F539A">
              <w:rPr>
                <w:rFonts w:ascii="Calibri" w:hAnsi="Calibri" w:cs="Calibri"/>
                <w:sz w:val="20"/>
                <w:szCs w:val="20"/>
              </w:rPr>
              <w:t xml:space="preserve"> 1</w:t>
            </w:r>
            <w:r w:rsidR="0084078E">
              <w:rPr>
                <w:rFonts w:ascii="Calibri" w:hAnsi="Calibri" w:cs="Calibri"/>
                <w:sz w:val="20"/>
                <w:szCs w:val="20"/>
              </w:rPr>
              <w:t>3,</w:t>
            </w:r>
            <w:r w:rsidR="00AB3D7D">
              <w:rPr>
                <w:rFonts w:ascii="Calibri" w:hAnsi="Calibri" w:cs="Calibri"/>
                <w:sz w:val="20"/>
                <w:szCs w:val="20"/>
              </w:rPr>
              <w:t>358,358</w:t>
            </w:r>
            <w:r w:rsidR="00F21109">
              <w:rPr>
                <w:rFonts w:ascii="Calibri" w:hAnsi="Calibri" w:cs="Calibri"/>
                <w:sz w:val="20"/>
                <w:szCs w:val="20"/>
              </w:rPr>
              <w:t>.00</w:t>
            </w:r>
          </w:p>
        </w:tc>
      </w:tr>
      <w:tr w:rsidR="008958FD" w:rsidRPr="009632C3" w14:paraId="3D626014" w14:textId="77777777" w:rsidTr="00984E95">
        <w:trPr>
          <w:trHeight w:val="293"/>
        </w:trPr>
        <w:tc>
          <w:tcPr>
            <w:cnfStyle w:val="001000000000" w:firstRow="0" w:lastRow="0" w:firstColumn="1" w:lastColumn="0" w:oddVBand="0" w:evenVBand="0" w:oddHBand="0" w:evenHBand="0" w:firstRowFirstColumn="0" w:firstRowLastColumn="0" w:lastRowFirstColumn="0" w:lastRowLastColumn="0"/>
            <w:tcW w:w="2999" w:type="dxa"/>
          </w:tcPr>
          <w:p w14:paraId="5C4F7691" w14:textId="7658D82F" w:rsidR="008958FD" w:rsidRPr="00984E95" w:rsidRDefault="008958FD" w:rsidP="008958FD">
            <w:pPr>
              <w:jc w:val="center"/>
              <w:rPr>
                <w:rFonts w:ascii="Calibri" w:hAnsi="Calibri" w:cs="Calibri"/>
                <w:sz w:val="20"/>
                <w:szCs w:val="20"/>
              </w:rPr>
            </w:pPr>
            <w:r w:rsidRPr="00984E95">
              <w:rPr>
                <w:rFonts w:ascii="Calibri" w:hAnsi="Calibri" w:cs="Calibri"/>
                <w:sz w:val="20"/>
                <w:szCs w:val="20"/>
              </w:rPr>
              <w:t>High</w:t>
            </w:r>
          </w:p>
        </w:tc>
        <w:tc>
          <w:tcPr>
            <w:tcW w:w="2999" w:type="dxa"/>
          </w:tcPr>
          <w:p w14:paraId="6F847DD4" w14:textId="1CCABCA4" w:rsidR="008958FD" w:rsidRPr="009632C3" w:rsidRDefault="008958FD" w:rsidP="008958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984E95">
              <w:rPr>
                <w:rFonts w:ascii="Calibri" w:hAnsi="Calibri" w:cs="Calibri"/>
                <w:sz w:val="20"/>
                <w:szCs w:val="20"/>
              </w:rPr>
              <w:t xml:space="preserve"> 16,352,640</w:t>
            </w:r>
            <w:r w:rsidR="00F21109">
              <w:rPr>
                <w:rFonts w:ascii="Calibri" w:hAnsi="Calibri" w:cs="Calibri"/>
                <w:sz w:val="20"/>
                <w:szCs w:val="20"/>
              </w:rPr>
              <w:t>.00</w:t>
            </w:r>
          </w:p>
        </w:tc>
        <w:tc>
          <w:tcPr>
            <w:tcW w:w="2999" w:type="dxa"/>
          </w:tcPr>
          <w:p w14:paraId="48DC1019" w14:textId="6A69439C" w:rsidR="008958FD" w:rsidRPr="007D1355" w:rsidRDefault="008958FD" w:rsidP="008958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5F539A">
              <w:rPr>
                <w:rFonts w:ascii="Calibri" w:hAnsi="Calibri" w:cs="Calibri"/>
                <w:sz w:val="20"/>
                <w:szCs w:val="20"/>
              </w:rPr>
              <w:t xml:space="preserve"> 1</w:t>
            </w:r>
            <w:r w:rsidR="00A96731">
              <w:rPr>
                <w:rFonts w:ascii="Calibri" w:hAnsi="Calibri" w:cs="Calibri"/>
                <w:sz w:val="20"/>
                <w:szCs w:val="20"/>
              </w:rPr>
              <w:t>8</w:t>
            </w:r>
            <w:r w:rsidRPr="005F539A">
              <w:rPr>
                <w:rFonts w:ascii="Calibri" w:hAnsi="Calibri" w:cs="Calibri"/>
                <w:sz w:val="20"/>
                <w:szCs w:val="20"/>
              </w:rPr>
              <w:t>,</w:t>
            </w:r>
            <w:r w:rsidR="00A96731">
              <w:rPr>
                <w:rFonts w:ascii="Calibri" w:hAnsi="Calibri" w:cs="Calibri"/>
                <w:sz w:val="20"/>
                <w:szCs w:val="20"/>
              </w:rPr>
              <w:t>486</w:t>
            </w:r>
            <w:r w:rsidRPr="005F539A">
              <w:rPr>
                <w:rFonts w:ascii="Calibri" w:hAnsi="Calibri" w:cs="Calibri"/>
                <w:sz w:val="20"/>
                <w:szCs w:val="20"/>
              </w:rPr>
              <w:t>,558.00</w:t>
            </w:r>
          </w:p>
        </w:tc>
      </w:tr>
    </w:tbl>
    <w:p w14:paraId="6C2730AA" w14:textId="77777777" w:rsidR="0075478D" w:rsidRDefault="0075478D" w:rsidP="0075478D">
      <w:pPr>
        <w:pStyle w:val="Heading4"/>
      </w:pPr>
    </w:p>
    <w:p w14:paraId="049D2B77" w14:textId="06239327" w:rsidR="0003002A" w:rsidRPr="00684D3C" w:rsidRDefault="00684D3C" w:rsidP="0078654A">
      <w:pPr>
        <w:pStyle w:val="Heading3"/>
      </w:pPr>
      <w:r>
        <w:t>6.</w:t>
      </w:r>
      <w:r w:rsidR="00AF0504" w:rsidRPr="00C75314">
        <w:t xml:space="preserve"> Average annual </w:t>
      </w:r>
      <w:r w:rsidR="0075478D" w:rsidRPr="00684D3C">
        <w:t>regulatory</w:t>
      </w:r>
      <w:r w:rsidR="00AF0504" w:rsidRPr="00C75314">
        <w:t xml:space="preserve"> Burden (Central Scenario)</w:t>
      </w:r>
    </w:p>
    <w:p w14:paraId="367C768C" w14:textId="59AA3678" w:rsidR="00172D8B" w:rsidRDefault="00F17850" w:rsidP="00D717BE">
      <w:pPr>
        <w:rPr>
          <w:rFonts w:ascii="Calibri" w:hAnsi="Calibri" w:cs="Calibri"/>
          <w:sz w:val="22"/>
          <w:szCs w:val="22"/>
        </w:rPr>
      </w:pPr>
      <w:r>
        <w:rPr>
          <w:rFonts w:ascii="Calibri" w:hAnsi="Calibri" w:cs="Calibri"/>
          <w:sz w:val="22"/>
          <w:szCs w:val="22"/>
        </w:rPr>
        <w:t xml:space="preserve">The regulatory burden associated with implementing the SSO under the DMO framework is </w:t>
      </w:r>
      <w:r w:rsidR="00D717BE" w:rsidRPr="00D717BE">
        <w:rPr>
          <w:rFonts w:ascii="Calibri" w:hAnsi="Calibri" w:cs="Calibri"/>
          <w:sz w:val="22"/>
          <w:szCs w:val="22"/>
        </w:rPr>
        <w:t xml:space="preserve">assessed as </w:t>
      </w:r>
      <w:r>
        <w:rPr>
          <w:rFonts w:ascii="Calibri" w:hAnsi="Calibri" w:cs="Calibri"/>
          <w:sz w:val="22"/>
          <w:szCs w:val="22"/>
        </w:rPr>
        <w:t xml:space="preserve">moderate relative to </w:t>
      </w:r>
      <w:r w:rsidR="00D717BE" w:rsidRPr="00D717BE">
        <w:rPr>
          <w:rFonts w:ascii="Calibri" w:hAnsi="Calibri" w:cs="Calibri"/>
          <w:sz w:val="22"/>
          <w:szCs w:val="22"/>
        </w:rPr>
        <w:t>comparable</w:t>
      </w:r>
      <w:r>
        <w:rPr>
          <w:rFonts w:ascii="Calibri" w:hAnsi="Calibri" w:cs="Calibri"/>
          <w:sz w:val="22"/>
          <w:szCs w:val="22"/>
        </w:rPr>
        <w:t xml:space="preserve"> tariff </w:t>
      </w:r>
      <w:r w:rsidR="00D717BE" w:rsidRPr="00D717BE">
        <w:rPr>
          <w:rFonts w:ascii="Calibri" w:hAnsi="Calibri" w:cs="Calibri"/>
          <w:sz w:val="22"/>
          <w:szCs w:val="22"/>
        </w:rPr>
        <w:t>reforms</w:t>
      </w:r>
      <w:r w:rsidR="00424FD1">
        <w:rPr>
          <w:rFonts w:ascii="Calibri" w:hAnsi="Calibri" w:cs="Calibri"/>
          <w:sz w:val="22"/>
          <w:szCs w:val="22"/>
        </w:rPr>
        <w:t xml:space="preserve"> and </w:t>
      </w:r>
      <w:r w:rsidR="00D717BE" w:rsidRPr="00D717BE">
        <w:rPr>
          <w:rFonts w:ascii="Calibri" w:hAnsi="Calibri" w:cs="Calibri"/>
          <w:sz w:val="22"/>
          <w:szCs w:val="22"/>
        </w:rPr>
        <w:t xml:space="preserve">is </w:t>
      </w:r>
      <w:r w:rsidR="00424FD1">
        <w:rPr>
          <w:rFonts w:ascii="Calibri" w:hAnsi="Calibri" w:cs="Calibri"/>
          <w:sz w:val="22"/>
          <w:szCs w:val="22"/>
        </w:rPr>
        <w:t>primarily driven by one-off implementation costs</w:t>
      </w:r>
      <w:r w:rsidR="00D717BE" w:rsidRPr="00D717BE">
        <w:rPr>
          <w:rFonts w:ascii="Calibri" w:hAnsi="Calibri" w:cs="Calibri"/>
          <w:sz w:val="22"/>
          <w:szCs w:val="22"/>
        </w:rPr>
        <w:t xml:space="preserve"> incurred in Year 1. Ongoing</w:t>
      </w:r>
      <w:r w:rsidR="00D7330D">
        <w:rPr>
          <w:rFonts w:ascii="Calibri" w:hAnsi="Calibri" w:cs="Calibri"/>
          <w:sz w:val="22"/>
          <w:szCs w:val="22"/>
        </w:rPr>
        <w:t xml:space="preserve"> compliance </w:t>
      </w:r>
      <w:r w:rsidR="00D717BE" w:rsidRPr="00D717BE">
        <w:rPr>
          <w:rFonts w:ascii="Calibri" w:hAnsi="Calibri" w:cs="Calibri"/>
          <w:sz w:val="22"/>
          <w:szCs w:val="22"/>
        </w:rPr>
        <w:t>costs are expected to be recurring</w:t>
      </w:r>
      <w:r w:rsidR="00D7330D">
        <w:rPr>
          <w:rFonts w:ascii="Calibri" w:hAnsi="Calibri" w:cs="Calibri"/>
          <w:sz w:val="22"/>
          <w:szCs w:val="22"/>
        </w:rPr>
        <w:t xml:space="preserve"> but manageable </w:t>
      </w:r>
      <w:r w:rsidR="002F5F51">
        <w:rPr>
          <w:rFonts w:ascii="Calibri" w:hAnsi="Calibri" w:cs="Calibri"/>
          <w:sz w:val="22"/>
          <w:szCs w:val="22"/>
        </w:rPr>
        <w:t>and proportion</w:t>
      </w:r>
      <w:r w:rsidR="00874ACD">
        <w:rPr>
          <w:rFonts w:ascii="Calibri" w:hAnsi="Calibri" w:cs="Calibri"/>
          <w:sz w:val="22"/>
          <w:szCs w:val="22"/>
        </w:rPr>
        <w:t xml:space="preserve">ate to the </w:t>
      </w:r>
      <w:r w:rsidR="00500821">
        <w:rPr>
          <w:rFonts w:ascii="Calibri" w:hAnsi="Calibri" w:cs="Calibri"/>
          <w:sz w:val="22"/>
          <w:szCs w:val="22"/>
        </w:rPr>
        <w:t>scale</w:t>
      </w:r>
      <w:r w:rsidR="00874ACD">
        <w:rPr>
          <w:rFonts w:ascii="Calibri" w:hAnsi="Calibri" w:cs="Calibri"/>
          <w:sz w:val="22"/>
          <w:szCs w:val="22"/>
        </w:rPr>
        <w:t xml:space="preserve"> of regulated tariff over</w:t>
      </w:r>
      <w:r w:rsidR="00500821">
        <w:rPr>
          <w:rFonts w:ascii="Calibri" w:hAnsi="Calibri" w:cs="Calibri"/>
          <w:sz w:val="22"/>
          <w:szCs w:val="22"/>
        </w:rPr>
        <w:t>sight.</w:t>
      </w:r>
    </w:p>
    <w:p w14:paraId="0E671033" w14:textId="77FB5A09" w:rsidR="00E5158B" w:rsidRPr="00EE1E58" w:rsidRDefault="00B1020E" w:rsidP="009A1BC3">
      <w:pPr>
        <w:rPr>
          <w:rFonts w:ascii="Calibri" w:hAnsi="Calibri" w:cs="Calibri"/>
          <w:sz w:val="22"/>
          <w:szCs w:val="22"/>
        </w:rPr>
      </w:pPr>
      <w:r w:rsidRPr="00764DF2">
        <w:rPr>
          <w:rFonts w:ascii="Calibri" w:hAnsi="Calibri" w:cs="Calibri"/>
          <w:sz w:val="22"/>
          <w:szCs w:val="22"/>
        </w:rPr>
        <w:lastRenderedPageBreak/>
        <w:t xml:space="preserve">Under the </w:t>
      </w:r>
      <w:r w:rsidRPr="00235B9E">
        <w:rPr>
          <w:rFonts w:ascii="Calibri" w:hAnsi="Calibri" w:cs="Calibri"/>
          <w:sz w:val="22"/>
          <w:szCs w:val="22"/>
        </w:rPr>
        <w:t>central scenario,</w:t>
      </w:r>
      <w:r w:rsidRPr="00764DF2">
        <w:rPr>
          <w:rFonts w:ascii="Calibri" w:hAnsi="Calibri" w:cs="Calibri"/>
          <w:sz w:val="22"/>
          <w:szCs w:val="22"/>
        </w:rPr>
        <w:t xml:space="preserve"> the total regulatory burden over the 10-year horizon</w:t>
      </w:r>
      <w:r w:rsidR="00A02D8C">
        <w:rPr>
          <w:rFonts w:ascii="Calibri" w:hAnsi="Calibri" w:cs="Calibri"/>
          <w:sz w:val="22"/>
          <w:szCs w:val="22"/>
        </w:rPr>
        <w:t xml:space="preserve"> (including the one-</w:t>
      </w:r>
      <w:r w:rsidR="00DC2825">
        <w:rPr>
          <w:rFonts w:ascii="Calibri" w:hAnsi="Calibri" w:cs="Calibri"/>
          <w:sz w:val="22"/>
          <w:szCs w:val="22"/>
        </w:rPr>
        <w:t>off year 1 costs)</w:t>
      </w:r>
      <w:r w:rsidRPr="00764DF2">
        <w:rPr>
          <w:rFonts w:ascii="Calibri" w:hAnsi="Calibri" w:cs="Calibri"/>
          <w:sz w:val="22"/>
          <w:szCs w:val="22"/>
        </w:rPr>
        <w:t xml:space="preserve"> is estimated at </w:t>
      </w:r>
      <w:r w:rsidRPr="00764DF2">
        <w:rPr>
          <w:rFonts w:ascii="Calibri" w:hAnsi="Calibri" w:cs="Calibri"/>
          <w:b/>
          <w:bCs/>
          <w:sz w:val="22"/>
          <w:szCs w:val="22"/>
        </w:rPr>
        <w:t>$</w:t>
      </w:r>
      <w:r w:rsidR="00764DF2" w:rsidRPr="00764DF2">
        <w:rPr>
          <w:rFonts w:ascii="Calibri" w:hAnsi="Calibri" w:cs="Calibri"/>
          <w:b/>
          <w:bCs/>
          <w:sz w:val="22"/>
          <w:szCs w:val="22"/>
        </w:rPr>
        <w:t>1</w:t>
      </w:r>
      <w:r w:rsidR="00FD107B">
        <w:rPr>
          <w:rFonts w:ascii="Calibri" w:hAnsi="Calibri" w:cs="Calibri"/>
          <w:b/>
          <w:bCs/>
          <w:sz w:val="22"/>
          <w:szCs w:val="22"/>
        </w:rPr>
        <w:t>3</w:t>
      </w:r>
      <w:r w:rsidR="00764DF2" w:rsidRPr="00764DF2">
        <w:rPr>
          <w:rFonts w:ascii="Calibri" w:hAnsi="Calibri" w:cs="Calibri"/>
          <w:b/>
          <w:bCs/>
          <w:sz w:val="22"/>
          <w:szCs w:val="22"/>
        </w:rPr>
        <w:t>,</w:t>
      </w:r>
      <w:r w:rsidR="00051245">
        <w:rPr>
          <w:rFonts w:ascii="Calibri" w:hAnsi="Calibri" w:cs="Calibri"/>
          <w:b/>
          <w:bCs/>
          <w:sz w:val="22"/>
          <w:szCs w:val="22"/>
        </w:rPr>
        <w:t>358</w:t>
      </w:r>
      <w:r w:rsidR="008958FD" w:rsidRPr="008958FD">
        <w:rPr>
          <w:rFonts w:ascii="Calibri" w:hAnsi="Calibri" w:cs="Calibri"/>
          <w:b/>
          <w:bCs/>
          <w:sz w:val="22"/>
          <w:szCs w:val="22"/>
        </w:rPr>
        <w:t xml:space="preserve">,358.00 </w:t>
      </w:r>
      <w:r w:rsidRPr="00764DF2">
        <w:rPr>
          <w:rFonts w:ascii="Calibri" w:hAnsi="Calibri" w:cs="Calibri"/>
          <w:sz w:val="22"/>
          <w:szCs w:val="22"/>
        </w:rPr>
        <w:t>(sector-wide). Consistent</w:t>
      </w:r>
      <w:r w:rsidRPr="00B1020E">
        <w:rPr>
          <w:rFonts w:ascii="Calibri" w:hAnsi="Calibri" w:cs="Calibri"/>
          <w:sz w:val="22"/>
          <w:szCs w:val="22"/>
        </w:rPr>
        <w:t xml:space="preserve"> with Regulatory Burden Measurement guidance, this total is averaged over 10 years to derive an average annual regulatory burden of:</w:t>
      </w:r>
      <w:r w:rsidR="00684D3C">
        <w:rPr>
          <w:rFonts w:ascii="Calibri" w:hAnsi="Calibri" w:cs="Calibri"/>
          <w:sz w:val="22"/>
          <w:szCs w:val="22"/>
        </w:rPr>
        <w:t xml:space="preserve"> </w:t>
      </w:r>
      <w:r w:rsidRPr="00B1020E">
        <w:rPr>
          <w:rFonts w:ascii="Calibri" w:hAnsi="Calibri" w:cs="Calibri"/>
          <w:b/>
          <w:bCs/>
          <w:sz w:val="22"/>
          <w:szCs w:val="22"/>
        </w:rPr>
        <w:t>$</w:t>
      </w:r>
      <w:r w:rsidR="00871FBB">
        <w:rPr>
          <w:rFonts w:ascii="Calibri" w:hAnsi="Calibri" w:cs="Calibri"/>
          <w:b/>
          <w:bCs/>
          <w:sz w:val="22"/>
          <w:szCs w:val="22"/>
        </w:rPr>
        <w:t>1,</w:t>
      </w:r>
      <w:r w:rsidR="00B77998">
        <w:rPr>
          <w:rFonts w:ascii="Calibri" w:hAnsi="Calibri" w:cs="Calibri"/>
          <w:b/>
          <w:bCs/>
          <w:sz w:val="22"/>
          <w:szCs w:val="22"/>
        </w:rPr>
        <w:t>335</w:t>
      </w:r>
      <w:r w:rsidR="00D34355">
        <w:rPr>
          <w:rFonts w:ascii="Calibri" w:hAnsi="Calibri" w:cs="Calibri"/>
          <w:b/>
          <w:bCs/>
          <w:sz w:val="22"/>
          <w:szCs w:val="22"/>
        </w:rPr>
        <w:t>,</w:t>
      </w:r>
      <w:r w:rsidR="00B77998">
        <w:rPr>
          <w:rFonts w:ascii="Calibri" w:hAnsi="Calibri" w:cs="Calibri"/>
          <w:b/>
          <w:bCs/>
          <w:sz w:val="22"/>
          <w:szCs w:val="22"/>
        </w:rPr>
        <w:t>8</w:t>
      </w:r>
      <w:r w:rsidR="00D34355">
        <w:rPr>
          <w:rFonts w:ascii="Calibri" w:hAnsi="Calibri" w:cs="Calibri"/>
          <w:b/>
          <w:bCs/>
          <w:sz w:val="22"/>
          <w:szCs w:val="22"/>
        </w:rPr>
        <w:t>35.80</w:t>
      </w:r>
      <w:r w:rsidR="00F7447E">
        <w:rPr>
          <w:rFonts w:ascii="Calibri" w:hAnsi="Calibri" w:cs="Calibri"/>
          <w:b/>
          <w:bCs/>
          <w:sz w:val="22"/>
          <w:szCs w:val="22"/>
        </w:rPr>
        <w:t xml:space="preserve"> </w:t>
      </w:r>
      <w:r w:rsidRPr="00B1020E">
        <w:rPr>
          <w:rFonts w:ascii="Calibri" w:hAnsi="Calibri" w:cs="Calibri"/>
          <w:b/>
          <w:bCs/>
          <w:sz w:val="22"/>
          <w:szCs w:val="22"/>
        </w:rPr>
        <w:t>per year (sector-wide</w:t>
      </w:r>
      <w:r w:rsidR="00684D3C">
        <w:rPr>
          <w:rFonts w:ascii="Calibri" w:hAnsi="Calibri" w:cs="Calibri"/>
          <w:b/>
          <w:bCs/>
          <w:sz w:val="22"/>
          <w:szCs w:val="22"/>
        </w:rPr>
        <w:t xml:space="preserve">). </w:t>
      </w:r>
      <w:r w:rsidRPr="00B1020E">
        <w:rPr>
          <w:rFonts w:ascii="Calibri" w:hAnsi="Calibri" w:cs="Calibri"/>
          <w:sz w:val="22"/>
          <w:szCs w:val="22"/>
        </w:rPr>
        <w:t>This equates to an average annual cost of approximately:</w:t>
      </w:r>
      <w:r w:rsidR="00684D3C">
        <w:rPr>
          <w:rFonts w:ascii="Calibri" w:hAnsi="Calibri" w:cs="Calibri"/>
          <w:sz w:val="22"/>
          <w:szCs w:val="22"/>
        </w:rPr>
        <w:t xml:space="preserve"> </w:t>
      </w:r>
      <w:r w:rsidRPr="00B1020E">
        <w:rPr>
          <w:rFonts w:ascii="Calibri" w:hAnsi="Calibri" w:cs="Calibri"/>
          <w:b/>
          <w:bCs/>
          <w:sz w:val="22"/>
          <w:szCs w:val="22"/>
        </w:rPr>
        <w:t>$</w:t>
      </w:r>
      <w:r w:rsidR="00046AA9" w:rsidRPr="00046AA9">
        <w:rPr>
          <w:rFonts w:ascii="Calibri" w:hAnsi="Calibri" w:cs="Calibri"/>
          <w:b/>
          <w:bCs/>
          <w:sz w:val="22"/>
          <w:szCs w:val="22"/>
        </w:rPr>
        <w:t>5</w:t>
      </w:r>
      <w:r w:rsidR="002E56AE">
        <w:rPr>
          <w:rFonts w:ascii="Calibri" w:hAnsi="Calibri" w:cs="Calibri"/>
          <w:b/>
          <w:bCs/>
          <w:sz w:val="22"/>
          <w:szCs w:val="22"/>
        </w:rPr>
        <w:t>5</w:t>
      </w:r>
      <w:r w:rsidR="00046AA9" w:rsidRPr="00046AA9">
        <w:rPr>
          <w:rFonts w:ascii="Calibri" w:hAnsi="Calibri" w:cs="Calibri"/>
          <w:b/>
          <w:bCs/>
          <w:sz w:val="22"/>
          <w:szCs w:val="22"/>
        </w:rPr>
        <w:t>,</w:t>
      </w:r>
      <w:r w:rsidR="00B77998">
        <w:rPr>
          <w:rFonts w:ascii="Calibri" w:hAnsi="Calibri" w:cs="Calibri"/>
          <w:b/>
          <w:bCs/>
          <w:sz w:val="22"/>
          <w:szCs w:val="22"/>
        </w:rPr>
        <w:t>6</w:t>
      </w:r>
      <w:r w:rsidR="00AE5911">
        <w:rPr>
          <w:rFonts w:ascii="Calibri" w:hAnsi="Calibri" w:cs="Calibri"/>
          <w:b/>
          <w:bCs/>
          <w:sz w:val="22"/>
          <w:szCs w:val="22"/>
        </w:rPr>
        <w:t>59.83</w:t>
      </w:r>
      <w:r w:rsidR="00487D2F">
        <w:rPr>
          <w:rFonts w:ascii="Calibri" w:hAnsi="Calibri" w:cs="Calibri"/>
          <w:b/>
          <w:bCs/>
          <w:sz w:val="22"/>
          <w:szCs w:val="22"/>
        </w:rPr>
        <w:t xml:space="preserve"> </w:t>
      </w:r>
      <w:r w:rsidRPr="00B1020E">
        <w:rPr>
          <w:rFonts w:ascii="Calibri" w:hAnsi="Calibri" w:cs="Calibri"/>
          <w:b/>
          <w:bCs/>
          <w:sz w:val="22"/>
          <w:szCs w:val="22"/>
        </w:rPr>
        <w:t>per retailer per year</w:t>
      </w:r>
      <w:r w:rsidR="00684D3C">
        <w:rPr>
          <w:rFonts w:ascii="Calibri" w:hAnsi="Calibri" w:cs="Calibri"/>
          <w:b/>
          <w:bCs/>
          <w:sz w:val="22"/>
          <w:szCs w:val="22"/>
        </w:rPr>
        <w:t>.</w:t>
      </w:r>
    </w:p>
    <w:sectPr w:rsidR="00E5158B" w:rsidRPr="00EE1E58">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21D8" w14:textId="77777777" w:rsidR="00692A0F" w:rsidRDefault="00692A0F" w:rsidP="007618B3">
      <w:pPr>
        <w:spacing w:after="0" w:line="240" w:lineRule="auto"/>
      </w:pPr>
      <w:r>
        <w:separator/>
      </w:r>
    </w:p>
  </w:endnote>
  <w:endnote w:type="continuationSeparator" w:id="0">
    <w:p w14:paraId="24FE5A5F" w14:textId="77777777" w:rsidR="00692A0F" w:rsidRDefault="00692A0F" w:rsidP="0076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2A36" w14:textId="670DDB9E" w:rsidR="007618B3" w:rsidRDefault="007618B3">
    <w:pPr>
      <w:pStyle w:val="Footer"/>
    </w:pPr>
    <w:r>
      <w:rPr>
        <w:noProof/>
      </w:rPr>
      <mc:AlternateContent>
        <mc:Choice Requires="wps">
          <w:drawing>
            <wp:anchor distT="0" distB="0" distL="0" distR="0" simplePos="0" relativeHeight="251658244" behindDoc="0" locked="0" layoutInCell="1" allowOverlap="1" wp14:anchorId="19AF181D" wp14:editId="50EA5BDB">
              <wp:simplePos x="635" y="635"/>
              <wp:positionH relativeFrom="page">
                <wp:align>center</wp:align>
              </wp:positionH>
              <wp:positionV relativeFrom="page">
                <wp:align>bottom</wp:align>
              </wp:positionV>
              <wp:extent cx="622300" cy="405765"/>
              <wp:effectExtent l="0" t="0" r="6350" b="0"/>
              <wp:wrapNone/>
              <wp:docPr id="387173645" name="Text Box 5" descr="OFFICIAL">
                <a:extLst xmlns:a="http://schemas.openxmlformats.org/drawingml/2006/main">
                  <a:ext uri="{FF2B5EF4-FFF2-40B4-BE49-F238E27FC236}">
                    <a16:creationId xmlns:a16="http://schemas.microsoft.com/office/drawing/2014/main" id="{E73EBC35-D6EE-44B6-A68E-DEFBB9E5D16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2B32803" w14:textId="4E12C977" w:rsidR="007618B3" w:rsidRPr="007618B3" w:rsidRDefault="007618B3" w:rsidP="007618B3">
                          <w:pPr>
                            <w:spacing w:after="0"/>
                            <w:rPr>
                              <w:rFonts w:ascii="Aptos" w:eastAsia="Aptos" w:hAnsi="Aptos" w:cs="Aptos"/>
                              <w:noProof/>
                              <w:color w:val="FF0000"/>
                            </w:rPr>
                          </w:pPr>
                          <w:r w:rsidRPr="007618B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AF181D" id="_x0000_t202" coordsize="21600,21600" o:spt="202" path="m,l,21600r21600,l21600,xe">
              <v:stroke joinstyle="miter"/>
              <v:path gradientshapeok="t" o:connecttype="rect"/>
            </v:shapetype>
            <v:shape id="Text Box 5" o:spid="_x0000_s1027" type="#_x0000_t202" alt="OFFICIAL" style="position:absolute;margin-left:0;margin-top:0;width:49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textbox style="mso-fit-shape-to-text:t" inset="0,0,0,15pt">
                <w:txbxContent>
                  <w:p w14:paraId="22B32803" w14:textId="4E12C977" w:rsidR="007618B3" w:rsidRPr="007618B3" w:rsidRDefault="007618B3" w:rsidP="007618B3">
                    <w:pPr>
                      <w:spacing w:after="0"/>
                      <w:rPr>
                        <w:rFonts w:ascii="Aptos" w:eastAsia="Aptos" w:hAnsi="Aptos" w:cs="Aptos"/>
                        <w:noProof/>
                        <w:color w:val="FF0000"/>
                      </w:rPr>
                    </w:pPr>
                    <w:r w:rsidRPr="007618B3">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D2B1" w14:textId="34C4270A" w:rsidR="007618B3" w:rsidRDefault="007618B3">
    <w:pPr>
      <w:pStyle w:val="Footer"/>
    </w:pPr>
    <w:r>
      <w:rPr>
        <w:noProof/>
      </w:rPr>
      <mc:AlternateContent>
        <mc:Choice Requires="wps">
          <w:drawing>
            <wp:anchor distT="0" distB="0" distL="0" distR="0" simplePos="0" relativeHeight="251658245" behindDoc="0" locked="0" layoutInCell="1" allowOverlap="1" wp14:anchorId="641A6826" wp14:editId="26D73939">
              <wp:simplePos x="914400" y="10058400"/>
              <wp:positionH relativeFrom="page">
                <wp:align>center</wp:align>
              </wp:positionH>
              <wp:positionV relativeFrom="page">
                <wp:align>bottom</wp:align>
              </wp:positionV>
              <wp:extent cx="622300" cy="405765"/>
              <wp:effectExtent l="0" t="0" r="6350" b="0"/>
              <wp:wrapNone/>
              <wp:docPr id="834298138" name="Text Box 6" descr="OFFICIAL">
                <a:extLst xmlns:a="http://schemas.openxmlformats.org/drawingml/2006/main">
                  <a:ext uri="{FF2B5EF4-FFF2-40B4-BE49-F238E27FC236}">
                    <a16:creationId xmlns:a16="http://schemas.microsoft.com/office/drawing/2014/main" id="{5701EF4E-A07A-42AB-A827-A892B0E1E31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F3CED50" w14:textId="75AF5C39" w:rsidR="007618B3" w:rsidRPr="007618B3" w:rsidRDefault="007618B3" w:rsidP="007618B3">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1A6826" id="_x0000_t202" coordsize="21600,21600" o:spt="202" path="m,l,21600r21600,l21600,xe">
              <v:stroke joinstyle="miter"/>
              <v:path gradientshapeok="t" o:connecttype="rect"/>
            </v:shapetype>
            <v:shape id="Text Box 6" o:spid="_x0000_s1028" type="#_x0000_t202" alt="OFFICIAL" style="position:absolute;margin-left:0;margin-top:0;width:49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7F3CED50" w14:textId="75AF5C39" w:rsidR="007618B3" w:rsidRPr="007618B3" w:rsidRDefault="007618B3" w:rsidP="007618B3">
                    <w:pPr>
                      <w:spacing w:after="0"/>
                      <w:rPr>
                        <w:rFonts w:ascii="Aptos" w:eastAsia="Aptos" w:hAnsi="Aptos" w:cs="Aptos"/>
                        <w:noProof/>
                        <w:color w:val="FF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2FF7" w14:textId="6F1CBB98" w:rsidR="007618B3" w:rsidRDefault="007618B3">
    <w:pPr>
      <w:pStyle w:val="Footer"/>
    </w:pPr>
    <w:r>
      <w:rPr>
        <w:noProof/>
      </w:rPr>
      <mc:AlternateContent>
        <mc:Choice Requires="wps">
          <w:drawing>
            <wp:anchor distT="0" distB="0" distL="0" distR="0" simplePos="0" relativeHeight="251658243" behindDoc="0" locked="0" layoutInCell="1" allowOverlap="1" wp14:anchorId="3C559D8C" wp14:editId="4FF8D6F0">
              <wp:simplePos x="635" y="635"/>
              <wp:positionH relativeFrom="page">
                <wp:align>center</wp:align>
              </wp:positionH>
              <wp:positionV relativeFrom="page">
                <wp:align>bottom</wp:align>
              </wp:positionV>
              <wp:extent cx="622300" cy="405765"/>
              <wp:effectExtent l="0" t="0" r="6350" b="0"/>
              <wp:wrapNone/>
              <wp:docPr id="1850567271" name="Text Box 4" descr="OFFICIAL">
                <a:extLst xmlns:a="http://schemas.openxmlformats.org/drawingml/2006/main">
                  <a:ext uri="{FF2B5EF4-FFF2-40B4-BE49-F238E27FC236}">
                    <a16:creationId xmlns:a16="http://schemas.microsoft.com/office/drawing/2014/main" id="{FA074951-ED54-4324-AD81-4D81579317C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CB09249" w14:textId="6CE8B290" w:rsidR="007618B3" w:rsidRPr="007618B3" w:rsidRDefault="007618B3" w:rsidP="007618B3">
                          <w:pPr>
                            <w:spacing w:after="0"/>
                            <w:rPr>
                              <w:rFonts w:ascii="Aptos" w:eastAsia="Aptos" w:hAnsi="Aptos" w:cs="Aptos"/>
                              <w:noProof/>
                              <w:color w:val="FF0000"/>
                            </w:rPr>
                          </w:pPr>
                          <w:r w:rsidRPr="007618B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559D8C" id="_x0000_t202" coordsize="21600,21600" o:spt="202" path="m,l,21600r21600,l21600,xe">
              <v:stroke joinstyle="miter"/>
              <v:path gradientshapeok="t" o:connecttype="rect"/>
            </v:shapetype>
            <v:shape id="Text Box 4" o:spid="_x0000_s1030" type="#_x0000_t202" alt="OFFICIAL" style="position:absolute;margin-left:0;margin-top:0;width:49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textbox style="mso-fit-shape-to-text:t" inset="0,0,0,15pt">
                <w:txbxContent>
                  <w:p w14:paraId="0CB09249" w14:textId="6CE8B290" w:rsidR="007618B3" w:rsidRPr="007618B3" w:rsidRDefault="007618B3" w:rsidP="007618B3">
                    <w:pPr>
                      <w:spacing w:after="0"/>
                      <w:rPr>
                        <w:rFonts w:ascii="Aptos" w:eastAsia="Aptos" w:hAnsi="Aptos" w:cs="Aptos"/>
                        <w:noProof/>
                        <w:color w:val="FF0000"/>
                      </w:rPr>
                    </w:pPr>
                    <w:r w:rsidRPr="007618B3">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8776" w14:textId="77777777" w:rsidR="00692A0F" w:rsidRDefault="00692A0F" w:rsidP="007618B3">
      <w:pPr>
        <w:spacing w:after="0" w:line="240" w:lineRule="auto"/>
      </w:pPr>
      <w:r>
        <w:separator/>
      </w:r>
    </w:p>
  </w:footnote>
  <w:footnote w:type="continuationSeparator" w:id="0">
    <w:p w14:paraId="27DDAE76" w14:textId="77777777" w:rsidR="00692A0F" w:rsidRDefault="00692A0F" w:rsidP="007618B3">
      <w:pPr>
        <w:spacing w:after="0" w:line="240" w:lineRule="auto"/>
      </w:pPr>
      <w:r>
        <w:continuationSeparator/>
      </w:r>
    </w:p>
  </w:footnote>
  <w:footnote w:id="1">
    <w:p w14:paraId="5167548C" w14:textId="234D1654" w:rsidR="00317BE1" w:rsidRDefault="00317BE1">
      <w:pPr>
        <w:pStyle w:val="FootnoteText"/>
      </w:pPr>
      <w:r w:rsidRPr="007D1355">
        <w:rPr>
          <w:rStyle w:val="FootnoteReference"/>
          <w:sz w:val="18"/>
          <w:szCs w:val="18"/>
        </w:rPr>
        <w:footnoteRef/>
      </w:r>
      <w:r w:rsidRPr="007D1355">
        <w:rPr>
          <w:sz w:val="18"/>
          <w:szCs w:val="18"/>
        </w:rPr>
        <w:t xml:space="preserve"> </w:t>
      </w:r>
      <w:hyperlink r:id="rId1" w:history="1">
        <w:r w:rsidR="002A3CFA" w:rsidRPr="007D1355">
          <w:rPr>
            <w:rStyle w:val="Hyperlink"/>
            <w:sz w:val="18"/>
            <w:szCs w:val="18"/>
          </w:rPr>
          <w:t>Schedule 2 - Quarter 2 2024–25 retail performance data | Australian Energy Regulator (AER)</w:t>
        </w:r>
      </w:hyperlink>
    </w:p>
  </w:footnote>
  <w:footnote w:id="2">
    <w:p w14:paraId="54D2DA18" w14:textId="48A4F189" w:rsidR="00A15B1C" w:rsidRPr="00B04390" w:rsidRDefault="00A15B1C">
      <w:pPr>
        <w:pStyle w:val="FootnoteText"/>
        <w:rPr>
          <w:sz w:val="18"/>
          <w:szCs w:val="18"/>
        </w:rPr>
      </w:pPr>
      <w:r>
        <w:rPr>
          <w:rStyle w:val="FootnoteReference"/>
        </w:rPr>
        <w:footnoteRef/>
      </w:r>
      <w:r>
        <w:t xml:space="preserve"> </w:t>
      </w:r>
      <w:r w:rsidRPr="00B04390">
        <w:rPr>
          <w:sz w:val="18"/>
          <w:szCs w:val="18"/>
        </w:rPr>
        <w:t>Ongoing compliance costs are calculated as: Annual hours per retailer × OIA hourly wage rate ($85.17) × 24 impacted retailers.</w:t>
      </w:r>
    </w:p>
  </w:footnote>
  <w:footnote w:id="3">
    <w:p w14:paraId="0F9FDABA" w14:textId="6AB443CE" w:rsidR="007661D2" w:rsidRDefault="007661D2" w:rsidP="007661D2">
      <w:pPr>
        <w:pStyle w:val="FootnoteText"/>
      </w:pPr>
      <w:r w:rsidRPr="00B04390">
        <w:rPr>
          <w:rStyle w:val="FootnoteReference"/>
          <w:sz w:val="18"/>
          <w:szCs w:val="18"/>
        </w:rPr>
        <w:footnoteRef/>
      </w:r>
      <w:r w:rsidRPr="00B04390">
        <w:rPr>
          <w:sz w:val="18"/>
          <w:szCs w:val="18"/>
        </w:rPr>
        <w:t xml:space="preserve"> </w:t>
      </w:r>
      <w:r w:rsidR="00D162A2" w:rsidRPr="00B04390">
        <w:rPr>
          <w:sz w:val="18"/>
          <w:szCs w:val="18"/>
        </w:rPr>
        <w:t xml:space="preserve">To ensure </w:t>
      </w:r>
      <w:r w:rsidR="000F0BED" w:rsidRPr="00B04390">
        <w:rPr>
          <w:sz w:val="18"/>
          <w:szCs w:val="18"/>
        </w:rPr>
        <w:t xml:space="preserve">the estimate approximately captures uncertainty and operational variability, the scenario analysis was set slightly below and above the </w:t>
      </w:r>
      <w:r w:rsidR="006843E3" w:rsidRPr="00B04390">
        <w:rPr>
          <w:sz w:val="18"/>
          <w:szCs w:val="18"/>
        </w:rPr>
        <w:t xml:space="preserve">calculated range in Table </w:t>
      </w:r>
      <w:r w:rsidR="00CF72F6" w:rsidRPr="00B04390">
        <w:rPr>
          <w:sz w:val="18"/>
          <w:szCs w:val="18"/>
        </w:rPr>
        <w:t>7</w:t>
      </w:r>
    </w:p>
  </w:footnote>
  <w:footnote w:id="4">
    <w:p w14:paraId="2CBEF392" w14:textId="46E93008" w:rsidR="001A7CF2" w:rsidRDefault="001A7CF2">
      <w:pPr>
        <w:pStyle w:val="FootnoteText"/>
      </w:pPr>
      <w:r>
        <w:rPr>
          <w:rStyle w:val="FootnoteReference"/>
        </w:rPr>
        <w:footnoteRef/>
      </w:r>
      <w:r>
        <w:t xml:space="preserve"> </w:t>
      </w:r>
      <w:hyperlink r:id="rId2" w:history="1">
        <w:r w:rsidR="00F563E8" w:rsidRPr="00B04390">
          <w:rPr>
            <w:rStyle w:val="Hyperlink"/>
            <w:sz w:val="18"/>
            <w:szCs w:val="18"/>
          </w:rPr>
          <w:t>Regulatory Burden Measurement 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7D24" w14:textId="443B1C19" w:rsidR="007618B3" w:rsidRDefault="007618B3">
    <w:pPr>
      <w:pStyle w:val="Header"/>
    </w:pPr>
    <w:r>
      <w:rPr>
        <w:noProof/>
      </w:rPr>
      <mc:AlternateContent>
        <mc:Choice Requires="wps">
          <w:drawing>
            <wp:anchor distT="0" distB="0" distL="0" distR="0" simplePos="0" relativeHeight="251658241" behindDoc="0" locked="0" layoutInCell="1" allowOverlap="1" wp14:anchorId="2AB1D27C" wp14:editId="0ECC511D">
              <wp:simplePos x="635" y="635"/>
              <wp:positionH relativeFrom="page">
                <wp:align>center</wp:align>
              </wp:positionH>
              <wp:positionV relativeFrom="page">
                <wp:align>top</wp:align>
              </wp:positionV>
              <wp:extent cx="622300" cy="405765"/>
              <wp:effectExtent l="0" t="0" r="6350" b="13335"/>
              <wp:wrapNone/>
              <wp:docPr id="726907349" name="Text Box 2" descr="OFFICIAL">
                <a:extLst xmlns:a="http://schemas.openxmlformats.org/drawingml/2006/main">
                  <a:ext uri="{FF2B5EF4-FFF2-40B4-BE49-F238E27FC236}">
                    <a16:creationId xmlns:a16="http://schemas.microsoft.com/office/drawing/2014/main" id="{82680FA3-00C7-447B-8808-238E1BF571A2}"/>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0F728EA" w14:textId="64E96429" w:rsidR="007618B3" w:rsidRPr="007618B3" w:rsidRDefault="007618B3" w:rsidP="007618B3">
                          <w:pPr>
                            <w:spacing w:after="0"/>
                            <w:rPr>
                              <w:rFonts w:ascii="Aptos" w:eastAsia="Aptos" w:hAnsi="Aptos" w:cs="Aptos"/>
                              <w:noProof/>
                              <w:color w:val="FF0000"/>
                            </w:rPr>
                          </w:pPr>
                          <w:r w:rsidRPr="007618B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B1D27C"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40F728EA" w14:textId="64E96429" w:rsidR="007618B3" w:rsidRPr="007618B3" w:rsidRDefault="007618B3" w:rsidP="007618B3">
                    <w:pPr>
                      <w:spacing w:after="0"/>
                      <w:rPr>
                        <w:rFonts w:ascii="Aptos" w:eastAsia="Aptos" w:hAnsi="Aptos" w:cs="Aptos"/>
                        <w:noProof/>
                        <w:color w:val="FF0000"/>
                      </w:rPr>
                    </w:pPr>
                    <w:r w:rsidRPr="007618B3">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29B6" w14:textId="2F252D67" w:rsidR="007618B3" w:rsidRDefault="007618B3">
    <w:pPr>
      <w:pStyle w:val="Header"/>
    </w:pPr>
    <w:r>
      <w:rPr>
        <w:noProof/>
      </w:rPr>
      <mc:AlternateContent>
        <mc:Choice Requires="wps">
          <w:drawing>
            <wp:anchor distT="0" distB="0" distL="0" distR="0" simplePos="0" relativeHeight="251658240" behindDoc="0" locked="0" layoutInCell="1" allowOverlap="1" wp14:anchorId="404BA4CE" wp14:editId="74CBF830">
              <wp:simplePos x="635" y="635"/>
              <wp:positionH relativeFrom="page">
                <wp:align>center</wp:align>
              </wp:positionH>
              <wp:positionV relativeFrom="page">
                <wp:align>top</wp:align>
              </wp:positionV>
              <wp:extent cx="622300" cy="405765"/>
              <wp:effectExtent l="0" t="0" r="6350" b="13335"/>
              <wp:wrapNone/>
              <wp:docPr id="617180738" name="Text Box 1" descr="OFFICIAL">
                <a:extLst xmlns:a="http://schemas.openxmlformats.org/drawingml/2006/main">
                  <a:ext uri="{FF2B5EF4-FFF2-40B4-BE49-F238E27FC236}">
                    <a16:creationId xmlns:a16="http://schemas.microsoft.com/office/drawing/2014/main" id="{722D09BF-C3DE-450C-B46D-38D2F2CCA68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22AAC11" w14:textId="0A17D14F" w:rsidR="007618B3" w:rsidRPr="007618B3" w:rsidRDefault="007618B3" w:rsidP="007618B3">
                          <w:pPr>
                            <w:spacing w:after="0"/>
                            <w:rPr>
                              <w:rFonts w:ascii="Aptos" w:eastAsia="Aptos" w:hAnsi="Aptos" w:cs="Aptos"/>
                              <w:noProof/>
                              <w:color w:val="FF0000"/>
                            </w:rPr>
                          </w:pPr>
                          <w:r w:rsidRPr="007618B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BA4CE" id="_x0000_t202" coordsize="21600,21600" o:spt="202" path="m,l,21600r21600,l21600,xe">
              <v:stroke joinstyle="miter"/>
              <v:path gradientshapeok="t" o:connecttype="rect"/>
            </v:shapetype>
            <v:shape id="Text Box 1" o:spid="_x0000_s1029"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textbox style="mso-fit-shape-to-text:t" inset="0,15pt,0,0">
                <w:txbxContent>
                  <w:p w14:paraId="122AAC11" w14:textId="0A17D14F" w:rsidR="007618B3" w:rsidRPr="007618B3" w:rsidRDefault="007618B3" w:rsidP="007618B3">
                    <w:pPr>
                      <w:spacing w:after="0"/>
                      <w:rPr>
                        <w:rFonts w:ascii="Aptos" w:eastAsia="Aptos" w:hAnsi="Aptos" w:cs="Aptos"/>
                        <w:noProof/>
                        <w:color w:val="FF0000"/>
                      </w:rPr>
                    </w:pPr>
                    <w:r w:rsidRPr="007618B3">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AEE"/>
    <w:multiLevelType w:val="hybridMultilevel"/>
    <w:tmpl w:val="4DA052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55062AF"/>
    <w:multiLevelType w:val="hybridMultilevel"/>
    <w:tmpl w:val="3146B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0CD02B7"/>
    <w:multiLevelType w:val="multilevel"/>
    <w:tmpl w:val="B322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92EA1"/>
    <w:multiLevelType w:val="multilevel"/>
    <w:tmpl w:val="37D0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A62AF"/>
    <w:multiLevelType w:val="hybridMultilevel"/>
    <w:tmpl w:val="28C440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9E50417"/>
    <w:multiLevelType w:val="multilevel"/>
    <w:tmpl w:val="9A4E3BF4"/>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E234F2"/>
    <w:multiLevelType w:val="multilevel"/>
    <w:tmpl w:val="9A4E3BF4"/>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794EC2"/>
    <w:multiLevelType w:val="multilevel"/>
    <w:tmpl w:val="4F76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47408"/>
    <w:multiLevelType w:val="multilevel"/>
    <w:tmpl w:val="2DB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417F2"/>
    <w:multiLevelType w:val="multilevel"/>
    <w:tmpl w:val="9A4E3BF4"/>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346153"/>
    <w:multiLevelType w:val="hybridMultilevel"/>
    <w:tmpl w:val="D9287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466403"/>
    <w:multiLevelType w:val="multilevel"/>
    <w:tmpl w:val="9A4E3BF4"/>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A5491A"/>
    <w:multiLevelType w:val="hybridMultilevel"/>
    <w:tmpl w:val="E5CED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0154A1"/>
    <w:multiLevelType w:val="multilevel"/>
    <w:tmpl w:val="9A4E3BF4"/>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9B11FA"/>
    <w:multiLevelType w:val="multilevel"/>
    <w:tmpl w:val="BBAE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C35F6B"/>
    <w:multiLevelType w:val="hybridMultilevel"/>
    <w:tmpl w:val="C68A3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E4E"/>
    <w:multiLevelType w:val="hybridMultilevel"/>
    <w:tmpl w:val="985EC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85596F"/>
    <w:multiLevelType w:val="multilevel"/>
    <w:tmpl w:val="8A68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61718"/>
    <w:multiLevelType w:val="hybridMultilevel"/>
    <w:tmpl w:val="3274E7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B952FED"/>
    <w:multiLevelType w:val="hybridMultilevel"/>
    <w:tmpl w:val="8A1237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7770823"/>
    <w:multiLevelType w:val="hybridMultilevel"/>
    <w:tmpl w:val="C5A84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B03CD3"/>
    <w:multiLevelType w:val="hybridMultilevel"/>
    <w:tmpl w:val="78562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5D94C29"/>
    <w:multiLevelType w:val="multilevel"/>
    <w:tmpl w:val="2C8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C71DE9"/>
    <w:multiLevelType w:val="multilevel"/>
    <w:tmpl w:val="6D4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424537">
    <w:abstractNumId w:val="12"/>
  </w:num>
  <w:num w:numId="2" w16cid:durableId="934938519">
    <w:abstractNumId w:val="15"/>
  </w:num>
  <w:num w:numId="3" w16cid:durableId="32389874">
    <w:abstractNumId w:val="14"/>
  </w:num>
  <w:num w:numId="4" w16cid:durableId="1938757415">
    <w:abstractNumId w:val="3"/>
  </w:num>
  <w:num w:numId="5" w16cid:durableId="2118400071">
    <w:abstractNumId w:val="4"/>
  </w:num>
  <w:num w:numId="6" w16cid:durableId="1373731681">
    <w:abstractNumId w:val="1"/>
  </w:num>
  <w:num w:numId="7" w16cid:durableId="121845277">
    <w:abstractNumId w:val="8"/>
  </w:num>
  <w:num w:numId="8" w16cid:durableId="155414425">
    <w:abstractNumId w:val="2"/>
  </w:num>
  <w:num w:numId="9" w16cid:durableId="656420652">
    <w:abstractNumId w:val="18"/>
  </w:num>
  <w:num w:numId="10" w16cid:durableId="1688172132">
    <w:abstractNumId w:val="6"/>
  </w:num>
  <w:num w:numId="11" w16cid:durableId="123930257">
    <w:abstractNumId w:val="7"/>
  </w:num>
  <w:num w:numId="12" w16cid:durableId="284896381">
    <w:abstractNumId w:val="21"/>
  </w:num>
  <w:num w:numId="13" w16cid:durableId="351761010">
    <w:abstractNumId w:val="16"/>
  </w:num>
  <w:num w:numId="14" w16cid:durableId="1368334560">
    <w:abstractNumId w:val="9"/>
  </w:num>
  <w:num w:numId="15" w16cid:durableId="597447889">
    <w:abstractNumId w:val="11"/>
  </w:num>
  <w:num w:numId="16" w16cid:durableId="416904624">
    <w:abstractNumId w:val="5"/>
  </w:num>
  <w:num w:numId="17" w16cid:durableId="1560940772">
    <w:abstractNumId w:val="23"/>
  </w:num>
  <w:num w:numId="18" w16cid:durableId="450517154">
    <w:abstractNumId w:val="17"/>
  </w:num>
  <w:num w:numId="19" w16cid:durableId="1786801052">
    <w:abstractNumId w:val="22"/>
  </w:num>
  <w:num w:numId="20" w16cid:durableId="1928879356">
    <w:abstractNumId w:val="0"/>
  </w:num>
  <w:num w:numId="21" w16cid:durableId="1413891632">
    <w:abstractNumId w:val="19"/>
  </w:num>
  <w:num w:numId="22" w16cid:durableId="2031908108">
    <w:abstractNumId w:val="13"/>
  </w:num>
  <w:num w:numId="23" w16cid:durableId="313607084">
    <w:abstractNumId w:val="20"/>
  </w:num>
  <w:num w:numId="24" w16cid:durableId="145711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63"/>
    <w:rsid w:val="000004AA"/>
    <w:rsid w:val="00002907"/>
    <w:rsid w:val="00003442"/>
    <w:rsid w:val="00004062"/>
    <w:rsid w:val="00005A57"/>
    <w:rsid w:val="00006F5E"/>
    <w:rsid w:val="00011EC3"/>
    <w:rsid w:val="0001239C"/>
    <w:rsid w:val="00014114"/>
    <w:rsid w:val="00014706"/>
    <w:rsid w:val="000205CC"/>
    <w:rsid w:val="00020CE5"/>
    <w:rsid w:val="000210AE"/>
    <w:rsid w:val="00022054"/>
    <w:rsid w:val="00022EFD"/>
    <w:rsid w:val="00023115"/>
    <w:rsid w:val="00024B61"/>
    <w:rsid w:val="00025099"/>
    <w:rsid w:val="0003002A"/>
    <w:rsid w:val="00030642"/>
    <w:rsid w:val="00031D2C"/>
    <w:rsid w:val="00032539"/>
    <w:rsid w:val="00033377"/>
    <w:rsid w:val="000357AB"/>
    <w:rsid w:val="000366F5"/>
    <w:rsid w:val="00036D0E"/>
    <w:rsid w:val="00037A60"/>
    <w:rsid w:val="00037D1C"/>
    <w:rsid w:val="00040492"/>
    <w:rsid w:val="0004061F"/>
    <w:rsid w:val="00041F4B"/>
    <w:rsid w:val="00044600"/>
    <w:rsid w:val="00045057"/>
    <w:rsid w:val="00045664"/>
    <w:rsid w:val="00046AA9"/>
    <w:rsid w:val="00051245"/>
    <w:rsid w:val="000519E2"/>
    <w:rsid w:val="00055465"/>
    <w:rsid w:val="00055C49"/>
    <w:rsid w:val="00055F7F"/>
    <w:rsid w:val="00056A52"/>
    <w:rsid w:val="00056E3F"/>
    <w:rsid w:val="00057AFD"/>
    <w:rsid w:val="00057D0E"/>
    <w:rsid w:val="00060EA5"/>
    <w:rsid w:val="00062E77"/>
    <w:rsid w:val="0006399B"/>
    <w:rsid w:val="000640BF"/>
    <w:rsid w:val="00067F18"/>
    <w:rsid w:val="00073109"/>
    <w:rsid w:val="00074879"/>
    <w:rsid w:val="000769D1"/>
    <w:rsid w:val="00077422"/>
    <w:rsid w:val="00080BB6"/>
    <w:rsid w:val="000815AF"/>
    <w:rsid w:val="00081672"/>
    <w:rsid w:val="0008418F"/>
    <w:rsid w:val="000848E6"/>
    <w:rsid w:val="00084B4B"/>
    <w:rsid w:val="000850D7"/>
    <w:rsid w:val="000866B9"/>
    <w:rsid w:val="00090F03"/>
    <w:rsid w:val="00091186"/>
    <w:rsid w:val="000914C2"/>
    <w:rsid w:val="0009428E"/>
    <w:rsid w:val="00094AD5"/>
    <w:rsid w:val="00095574"/>
    <w:rsid w:val="000956B9"/>
    <w:rsid w:val="00096EFE"/>
    <w:rsid w:val="0009718B"/>
    <w:rsid w:val="000A0DC2"/>
    <w:rsid w:val="000A23E8"/>
    <w:rsid w:val="000A47E7"/>
    <w:rsid w:val="000A560C"/>
    <w:rsid w:val="000A7D20"/>
    <w:rsid w:val="000B340A"/>
    <w:rsid w:val="000B3498"/>
    <w:rsid w:val="000B511C"/>
    <w:rsid w:val="000B794A"/>
    <w:rsid w:val="000C0124"/>
    <w:rsid w:val="000C02BA"/>
    <w:rsid w:val="000C0483"/>
    <w:rsid w:val="000C0951"/>
    <w:rsid w:val="000C0D82"/>
    <w:rsid w:val="000C176B"/>
    <w:rsid w:val="000C2AE9"/>
    <w:rsid w:val="000C2D90"/>
    <w:rsid w:val="000C415E"/>
    <w:rsid w:val="000C78AD"/>
    <w:rsid w:val="000D0C29"/>
    <w:rsid w:val="000D3086"/>
    <w:rsid w:val="000D4A6B"/>
    <w:rsid w:val="000D4DA5"/>
    <w:rsid w:val="000D78D1"/>
    <w:rsid w:val="000E2571"/>
    <w:rsid w:val="000F0BED"/>
    <w:rsid w:val="000F1628"/>
    <w:rsid w:val="000F2729"/>
    <w:rsid w:val="000F2E0F"/>
    <w:rsid w:val="000F3325"/>
    <w:rsid w:val="0010064A"/>
    <w:rsid w:val="00101F55"/>
    <w:rsid w:val="001045AB"/>
    <w:rsid w:val="001111BB"/>
    <w:rsid w:val="00111BAA"/>
    <w:rsid w:val="0011434F"/>
    <w:rsid w:val="00114CEF"/>
    <w:rsid w:val="001172E1"/>
    <w:rsid w:val="0012048D"/>
    <w:rsid w:val="00121915"/>
    <w:rsid w:val="00123BA9"/>
    <w:rsid w:val="0012573C"/>
    <w:rsid w:val="00125904"/>
    <w:rsid w:val="00127918"/>
    <w:rsid w:val="00131126"/>
    <w:rsid w:val="00132E1E"/>
    <w:rsid w:val="00132F89"/>
    <w:rsid w:val="001346EF"/>
    <w:rsid w:val="00135057"/>
    <w:rsid w:val="001352A6"/>
    <w:rsid w:val="00137109"/>
    <w:rsid w:val="0014033F"/>
    <w:rsid w:val="001412D7"/>
    <w:rsid w:val="00141B79"/>
    <w:rsid w:val="001435D5"/>
    <w:rsid w:val="00143D89"/>
    <w:rsid w:val="00151A4E"/>
    <w:rsid w:val="00153076"/>
    <w:rsid w:val="001533D0"/>
    <w:rsid w:val="00153D97"/>
    <w:rsid w:val="001553F1"/>
    <w:rsid w:val="00155E58"/>
    <w:rsid w:val="001575F2"/>
    <w:rsid w:val="0016075C"/>
    <w:rsid w:val="0016761C"/>
    <w:rsid w:val="0017057A"/>
    <w:rsid w:val="00170EDF"/>
    <w:rsid w:val="00171EF9"/>
    <w:rsid w:val="001724DB"/>
    <w:rsid w:val="00172D8B"/>
    <w:rsid w:val="00172DCC"/>
    <w:rsid w:val="00175C12"/>
    <w:rsid w:val="0017781C"/>
    <w:rsid w:val="00177B0D"/>
    <w:rsid w:val="00180319"/>
    <w:rsid w:val="0018142D"/>
    <w:rsid w:val="00190233"/>
    <w:rsid w:val="00193314"/>
    <w:rsid w:val="0019457B"/>
    <w:rsid w:val="0019588B"/>
    <w:rsid w:val="0019636B"/>
    <w:rsid w:val="001978B4"/>
    <w:rsid w:val="0019793B"/>
    <w:rsid w:val="001A1813"/>
    <w:rsid w:val="001A3A34"/>
    <w:rsid w:val="001A5FD8"/>
    <w:rsid w:val="001A66FF"/>
    <w:rsid w:val="001A7582"/>
    <w:rsid w:val="001A799E"/>
    <w:rsid w:val="001A7CF2"/>
    <w:rsid w:val="001B0874"/>
    <w:rsid w:val="001B2092"/>
    <w:rsid w:val="001B46C6"/>
    <w:rsid w:val="001B50D7"/>
    <w:rsid w:val="001B749F"/>
    <w:rsid w:val="001C04AB"/>
    <w:rsid w:val="001C0CDA"/>
    <w:rsid w:val="001C0EB2"/>
    <w:rsid w:val="001C27CC"/>
    <w:rsid w:val="001C2B6A"/>
    <w:rsid w:val="001C3137"/>
    <w:rsid w:val="001C4B27"/>
    <w:rsid w:val="001C66E1"/>
    <w:rsid w:val="001C6E16"/>
    <w:rsid w:val="001C7907"/>
    <w:rsid w:val="001D036D"/>
    <w:rsid w:val="001D321E"/>
    <w:rsid w:val="001D3BEC"/>
    <w:rsid w:val="001D3F4B"/>
    <w:rsid w:val="001D3F88"/>
    <w:rsid w:val="001D4161"/>
    <w:rsid w:val="001D554E"/>
    <w:rsid w:val="001D626A"/>
    <w:rsid w:val="001D7CE8"/>
    <w:rsid w:val="001E05E0"/>
    <w:rsid w:val="001E30AF"/>
    <w:rsid w:val="001E3CC3"/>
    <w:rsid w:val="001E6363"/>
    <w:rsid w:val="001E6B66"/>
    <w:rsid w:val="001F1679"/>
    <w:rsid w:val="001F35FC"/>
    <w:rsid w:val="001F510D"/>
    <w:rsid w:val="001F6CB3"/>
    <w:rsid w:val="001F7334"/>
    <w:rsid w:val="001F78E1"/>
    <w:rsid w:val="001F7D59"/>
    <w:rsid w:val="00201886"/>
    <w:rsid w:val="0020691F"/>
    <w:rsid w:val="002108E6"/>
    <w:rsid w:val="00212687"/>
    <w:rsid w:val="00212B64"/>
    <w:rsid w:val="00212F9F"/>
    <w:rsid w:val="00213744"/>
    <w:rsid w:val="00213BA6"/>
    <w:rsid w:val="00214932"/>
    <w:rsid w:val="002167D4"/>
    <w:rsid w:val="002211F6"/>
    <w:rsid w:val="00221558"/>
    <w:rsid w:val="00222620"/>
    <w:rsid w:val="002231E6"/>
    <w:rsid w:val="0022321E"/>
    <w:rsid w:val="00223FB8"/>
    <w:rsid w:val="00224442"/>
    <w:rsid w:val="00224BCC"/>
    <w:rsid w:val="0022549A"/>
    <w:rsid w:val="002273DF"/>
    <w:rsid w:val="00231420"/>
    <w:rsid w:val="00232170"/>
    <w:rsid w:val="002329DB"/>
    <w:rsid w:val="00233414"/>
    <w:rsid w:val="002334A9"/>
    <w:rsid w:val="00234DAF"/>
    <w:rsid w:val="00235937"/>
    <w:rsid w:val="00235B9E"/>
    <w:rsid w:val="00237DC5"/>
    <w:rsid w:val="00237E18"/>
    <w:rsid w:val="00242C94"/>
    <w:rsid w:val="00244C6E"/>
    <w:rsid w:val="0024524D"/>
    <w:rsid w:val="002456B0"/>
    <w:rsid w:val="00246E0A"/>
    <w:rsid w:val="00250921"/>
    <w:rsid w:val="002511D3"/>
    <w:rsid w:val="00251C36"/>
    <w:rsid w:val="002544E3"/>
    <w:rsid w:val="002559DB"/>
    <w:rsid w:val="00255CC0"/>
    <w:rsid w:val="002603CD"/>
    <w:rsid w:val="002628AD"/>
    <w:rsid w:val="0026351F"/>
    <w:rsid w:val="00263614"/>
    <w:rsid w:val="00267DC2"/>
    <w:rsid w:val="0027064E"/>
    <w:rsid w:val="00272755"/>
    <w:rsid w:val="00272C5A"/>
    <w:rsid w:val="00273EE7"/>
    <w:rsid w:val="00274CAA"/>
    <w:rsid w:val="00276498"/>
    <w:rsid w:val="0027692D"/>
    <w:rsid w:val="00277063"/>
    <w:rsid w:val="002774A6"/>
    <w:rsid w:val="00277F76"/>
    <w:rsid w:val="002818DC"/>
    <w:rsid w:val="00282D40"/>
    <w:rsid w:val="00283B86"/>
    <w:rsid w:val="002843E8"/>
    <w:rsid w:val="0028494B"/>
    <w:rsid w:val="002851A5"/>
    <w:rsid w:val="002859BA"/>
    <w:rsid w:val="00287A53"/>
    <w:rsid w:val="00290633"/>
    <w:rsid w:val="00293486"/>
    <w:rsid w:val="00293766"/>
    <w:rsid w:val="0029379B"/>
    <w:rsid w:val="00294B8F"/>
    <w:rsid w:val="00295F78"/>
    <w:rsid w:val="00295FEC"/>
    <w:rsid w:val="0029610B"/>
    <w:rsid w:val="002A1497"/>
    <w:rsid w:val="002A2C9D"/>
    <w:rsid w:val="002A3CFA"/>
    <w:rsid w:val="002B0339"/>
    <w:rsid w:val="002B142C"/>
    <w:rsid w:val="002B2F5D"/>
    <w:rsid w:val="002B3835"/>
    <w:rsid w:val="002B38D3"/>
    <w:rsid w:val="002B4977"/>
    <w:rsid w:val="002B6B02"/>
    <w:rsid w:val="002B768E"/>
    <w:rsid w:val="002B7B0B"/>
    <w:rsid w:val="002C03B3"/>
    <w:rsid w:val="002C3759"/>
    <w:rsid w:val="002C3D8A"/>
    <w:rsid w:val="002C79F7"/>
    <w:rsid w:val="002D1DEB"/>
    <w:rsid w:val="002D2B01"/>
    <w:rsid w:val="002D2DE1"/>
    <w:rsid w:val="002D4BE4"/>
    <w:rsid w:val="002D4DC6"/>
    <w:rsid w:val="002D6489"/>
    <w:rsid w:val="002D7869"/>
    <w:rsid w:val="002E3E78"/>
    <w:rsid w:val="002E56AE"/>
    <w:rsid w:val="002E6219"/>
    <w:rsid w:val="002E64D9"/>
    <w:rsid w:val="002E6ECD"/>
    <w:rsid w:val="002F023E"/>
    <w:rsid w:val="002F2F8E"/>
    <w:rsid w:val="002F4B28"/>
    <w:rsid w:val="002F4BEE"/>
    <w:rsid w:val="002F5F51"/>
    <w:rsid w:val="002F6848"/>
    <w:rsid w:val="002F7466"/>
    <w:rsid w:val="00302774"/>
    <w:rsid w:val="00304FD8"/>
    <w:rsid w:val="00306702"/>
    <w:rsid w:val="003067BD"/>
    <w:rsid w:val="00306904"/>
    <w:rsid w:val="00306EC8"/>
    <w:rsid w:val="00307595"/>
    <w:rsid w:val="003162EE"/>
    <w:rsid w:val="00317BE1"/>
    <w:rsid w:val="00322E9A"/>
    <w:rsid w:val="00324141"/>
    <w:rsid w:val="003262F9"/>
    <w:rsid w:val="00327405"/>
    <w:rsid w:val="003345CB"/>
    <w:rsid w:val="00334873"/>
    <w:rsid w:val="00335AC2"/>
    <w:rsid w:val="00337DC2"/>
    <w:rsid w:val="00340A45"/>
    <w:rsid w:val="0034154C"/>
    <w:rsid w:val="0034309A"/>
    <w:rsid w:val="00346559"/>
    <w:rsid w:val="0034685C"/>
    <w:rsid w:val="003469AA"/>
    <w:rsid w:val="003521BD"/>
    <w:rsid w:val="00352E49"/>
    <w:rsid w:val="00356AAE"/>
    <w:rsid w:val="00356D0A"/>
    <w:rsid w:val="00362982"/>
    <w:rsid w:val="00363675"/>
    <w:rsid w:val="003649B4"/>
    <w:rsid w:val="003654CD"/>
    <w:rsid w:val="003665B3"/>
    <w:rsid w:val="00366921"/>
    <w:rsid w:val="003672CD"/>
    <w:rsid w:val="0037210E"/>
    <w:rsid w:val="003736B0"/>
    <w:rsid w:val="0037610A"/>
    <w:rsid w:val="00376F8E"/>
    <w:rsid w:val="00376FD7"/>
    <w:rsid w:val="0038097A"/>
    <w:rsid w:val="00381B5C"/>
    <w:rsid w:val="00383E9C"/>
    <w:rsid w:val="0038477E"/>
    <w:rsid w:val="00384ADF"/>
    <w:rsid w:val="003858BE"/>
    <w:rsid w:val="00386611"/>
    <w:rsid w:val="003901AD"/>
    <w:rsid w:val="003903AD"/>
    <w:rsid w:val="00390BD5"/>
    <w:rsid w:val="00392917"/>
    <w:rsid w:val="003930A4"/>
    <w:rsid w:val="003937F4"/>
    <w:rsid w:val="0039395A"/>
    <w:rsid w:val="003966A9"/>
    <w:rsid w:val="00397B26"/>
    <w:rsid w:val="00397B75"/>
    <w:rsid w:val="003A01AC"/>
    <w:rsid w:val="003A1B2E"/>
    <w:rsid w:val="003A1D97"/>
    <w:rsid w:val="003A2D9E"/>
    <w:rsid w:val="003A577E"/>
    <w:rsid w:val="003A6378"/>
    <w:rsid w:val="003B0F03"/>
    <w:rsid w:val="003B0FC1"/>
    <w:rsid w:val="003B1F8A"/>
    <w:rsid w:val="003B238A"/>
    <w:rsid w:val="003B3E42"/>
    <w:rsid w:val="003B49CF"/>
    <w:rsid w:val="003B5FB4"/>
    <w:rsid w:val="003B6E6A"/>
    <w:rsid w:val="003B6E90"/>
    <w:rsid w:val="003B7327"/>
    <w:rsid w:val="003C06F7"/>
    <w:rsid w:val="003C0AC9"/>
    <w:rsid w:val="003C2085"/>
    <w:rsid w:val="003C3721"/>
    <w:rsid w:val="003C38F9"/>
    <w:rsid w:val="003C493D"/>
    <w:rsid w:val="003C4A12"/>
    <w:rsid w:val="003C5267"/>
    <w:rsid w:val="003C762A"/>
    <w:rsid w:val="003C79F4"/>
    <w:rsid w:val="003D0C13"/>
    <w:rsid w:val="003D2D49"/>
    <w:rsid w:val="003D4EFD"/>
    <w:rsid w:val="003D6AB9"/>
    <w:rsid w:val="003E0C87"/>
    <w:rsid w:val="003E2E9F"/>
    <w:rsid w:val="003E4C8D"/>
    <w:rsid w:val="003E5423"/>
    <w:rsid w:val="003E5ADD"/>
    <w:rsid w:val="003E6518"/>
    <w:rsid w:val="003E666B"/>
    <w:rsid w:val="003E6D5D"/>
    <w:rsid w:val="003F204D"/>
    <w:rsid w:val="003F3611"/>
    <w:rsid w:val="003F60DA"/>
    <w:rsid w:val="003F7789"/>
    <w:rsid w:val="0040032A"/>
    <w:rsid w:val="004011D1"/>
    <w:rsid w:val="004025A8"/>
    <w:rsid w:val="00406701"/>
    <w:rsid w:val="004067A4"/>
    <w:rsid w:val="0040783C"/>
    <w:rsid w:val="0040791A"/>
    <w:rsid w:val="00407E40"/>
    <w:rsid w:val="00412479"/>
    <w:rsid w:val="00413EC0"/>
    <w:rsid w:val="0041612B"/>
    <w:rsid w:val="004202FA"/>
    <w:rsid w:val="004208DB"/>
    <w:rsid w:val="00424FD1"/>
    <w:rsid w:val="004276C5"/>
    <w:rsid w:val="00427858"/>
    <w:rsid w:val="004300BD"/>
    <w:rsid w:val="004319AE"/>
    <w:rsid w:val="004332AC"/>
    <w:rsid w:val="00436406"/>
    <w:rsid w:val="00436804"/>
    <w:rsid w:val="00437249"/>
    <w:rsid w:val="00442AA1"/>
    <w:rsid w:val="0044316E"/>
    <w:rsid w:val="00443AA4"/>
    <w:rsid w:val="004451D2"/>
    <w:rsid w:val="00447E0A"/>
    <w:rsid w:val="004505DE"/>
    <w:rsid w:val="004509F1"/>
    <w:rsid w:val="00451907"/>
    <w:rsid w:val="00452A68"/>
    <w:rsid w:val="00452C63"/>
    <w:rsid w:val="004530C2"/>
    <w:rsid w:val="00457F9B"/>
    <w:rsid w:val="00466D25"/>
    <w:rsid w:val="00467516"/>
    <w:rsid w:val="0046788C"/>
    <w:rsid w:val="0047114E"/>
    <w:rsid w:val="00472B5D"/>
    <w:rsid w:val="0047683D"/>
    <w:rsid w:val="00476A37"/>
    <w:rsid w:val="00476C0D"/>
    <w:rsid w:val="0047749B"/>
    <w:rsid w:val="00477843"/>
    <w:rsid w:val="00477B75"/>
    <w:rsid w:val="0048435E"/>
    <w:rsid w:val="004854F1"/>
    <w:rsid w:val="00486994"/>
    <w:rsid w:val="00487D2F"/>
    <w:rsid w:val="00491BE1"/>
    <w:rsid w:val="00491F24"/>
    <w:rsid w:val="00495DBA"/>
    <w:rsid w:val="004A505C"/>
    <w:rsid w:val="004A64BE"/>
    <w:rsid w:val="004A6C70"/>
    <w:rsid w:val="004A7587"/>
    <w:rsid w:val="004B1096"/>
    <w:rsid w:val="004B5F71"/>
    <w:rsid w:val="004C0F4F"/>
    <w:rsid w:val="004C7DF9"/>
    <w:rsid w:val="004D1561"/>
    <w:rsid w:val="004D17AD"/>
    <w:rsid w:val="004D34C1"/>
    <w:rsid w:val="004D3812"/>
    <w:rsid w:val="004E03B3"/>
    <w:rsid w:val="004E12AC"/>
    <w:rsid w:val="004E258A"/>
    <w:rsid w:val="004E4EC8"/>
    <w:rsid w:val="004E6323"/>
    <w:rsid w:val="004E7006"/>
    <w:rsid w:val="004E704F"/>
    <w:rsid w:val="004F1292"/>
    <w:rsid w:val="004F239B"/>
    <w:rsid w:val="004F2EF1"/>
    <w:rsid w:val="004F33A2"/>
    <w:rsid w:val="004F4A33"/>
    <w:rsid w:val="004F633D"/>
    <w:rsid w:val="004F7E1E"/>
    <w:rsid w:val="00500821"/>
    <w:rsid w:val="0050089A"/>
    <w:rsid w:val="005027C6"/>
    <w:rsid w:val="00503373"/>
    <w:rsid w:val="0050426A"/>
    <w:rsid w:val="005065DB"/>
    <w:rsid w:val="0051796A"/>
    <w:rsid w:val="005211DB"/>
    <w:rsid w:val="00522485"/>
    <w:rsid w:val="0052307A"/>
    <w:rsid w:val="005235C2"/>
    <w:rsid w:val="0052421B"/>
    <w:rsid w:val="005254C2"/>
    <w:rsid w:val="0053069C"/>
    <w:rsid w:val="00534BEF"/>
    <w:rsid w:val="00534EBB"/>
    <w:rsid w:val="00535A9D"/>
    <w:rsid w:val="00536319"/>
    <w:rsid w:val="00540A45"/>
    <w:rsid w:val="005414DD"/>
    <w:rsid w:val="00541D1F"/>
    <w:rsid w:val="00542086"/>
    <w:rsid w:val="00543AC5"/>
    <w:rsid w:val="00546CDA"/>
    <w:rsid w:val="0054725D"/>
    <w:rsid w:val="005479BE"/>
    <w:rsid w:val="00547EE0"/>
    <w:rsid w:val="00554059"/>
    <w:rsid w:val="005549ED"/>
    <w:rsid w:val="00555F09"/>
    <w:rsid w:val="00556056"/>
    <w:rsid w:val="005609EE"/>
    <w:rsid w:val="00560BBE"/>
    <w:rsid w:val="0056176B"/>
    <w:rsid w:val="005618B2"/>
    <w:rsid w:val="0056243A"/>
    <w:rsid w:val="00564291"/>
    <w:rsid w:val="00566B16"/>
    <w:rsid w:val="0056737C"/>
    <w:rsid w:val="005673D4"/>
    <w:rsid w:val="005675FC"/>
    <w:rsid w:val="0056780B"/>
    <w:rsid w:val="00567A4F"/>
    <w:rsid w:val="00567F07"/>
    <w:rsid w:val="00570048"/>
    <w:rsid w:val="00570E83"/>
    <w:rsid w:val="005716AA"/>
    <w:rsid w:val="00571D33"/>
    <w:rsid w:val="00572272"/>
    <w:rsid w:val="0057406C"/>
    <w:rsid w:val="005758A7"/>
    <w:rsid w:val="00575C6C"/>
    <w:rsid w:val="00580C7C"/>
    <w:rsid w:val="00582695"/>
    <w:rsid w:val="005846C1"/>
    <w:rsid w:val="005854E7"/>
    <w:rsid w:val="0058622F"/>
    <w:rsid w:val="005865E5"/>
    <w:rsid w:val="005873A5"/>
    <w:rsid w:val="005877D9"/>
    <w:rsid w:val="00587CBA"/>
    <w:rsid w:val="00590437"/>
    <w:rsid w:val="00591532"/>
    <w:rsid w:val="0059269B"/>
    <w:rsid w:val="005932FA"/>
    <w:rsid w:val="0059422E"/>
    <w:rsid w:val="005977BD"/>
    <w:rsid w:val="00597F4D"/>
    <w:rsid w:val="005A0985"/>
    <w:rsid w:val="005A0AA9"/>
    <w:rsid w:val="005A0E5F"/>
    <w:rsid w:val="005A51D1"/>
    <w:rsid w:val="005A7052"/>
    <w:rsid w:val="005A74C7"/>
    <w:rsid w:val="005B0412"/>
    <w:rsid w:val="005B1C82"/>
    <w:rsid w:val="005B225B"/>
    <w:rsid w:val="005B4BD8"/>
    <w:rsid w:val="005B7264"/>
    <w:rsid w:val="005B7F33"/>
    <w:rsid w:val="005C0A60"/>
    <w:rsid w:val="005C1041"/>
    <w:rsid w:val="005C3B4D"/>
    <w:rsid w:val="005C4B47"/>
    <w:rsid w:val="005C5837"/>
    <w:rsid w:val="005C5C87"/>
    <w:rsid w:val="005C7120"/>
    <w:rsid w:val="005D221C"/>
    <w:rsid w:val="005D2227"/>
    <w:rsid w:val="005D3A83"/>
    <w:rsid w:val="005D4ADF"/>
    <w:rsid w:val="005D653A"/>
    <w:rsid w:val="005E1ACC"/>
    <w:rsid w:val="005E33EB"/>
    <w:rsid w:val="005E3C17"/>
    <w:rsid w:val="005E49FF"/>
    <w:rsid w:val="005E5369"/>
    <w:rsid w:val="005F0574"/>
    <w:rsid w:val="005F159B"/>
    <w:rsid w:val="005F4A16"/>
    <w:rsid w:val="005F4AF4"/>
    <w:rsid w:val="005F539A"/>
    <w:rsid w:val="005F7140"/>
    <w:rsid w:val="00600021"/>
    <w:rsid w:val="00600EDB"/>
    <w:rsid w:val="00600F3D"/>
    <w:rsid w:val="006012FA"/>
    <w:rsid w:val="00601B71"/>
    <w:rsid w:val="0060213C"/>
    <w:rsid w:val="00606567"/>
    <w:rsid w:val="00607714"/>
    <w:rsid w:val="00611777"/>
    <w:rsid w:val="00612EA0"/>
    <w:rsid w:val="00612EBA"/>
    <w:rsid w:val="00614AED"/>
    <w:rsid w:val="00615A18"/>
    <w:rsid w:val="00616870"/>
    <w:rsid w:val="006169AC"/>
    <w:rsid w:val="006171D4"/>
    <w:rsid w:val="006219E3"/>
    <w:rsid w:val="00623B11"/>
    <w:rsid w:val="00625B3D"/>
    <w:rsid w:val="00626C77"/>
    <w:rsid w:val="00631D6C"/>
    <w:rsid w:val="00632026"/>
    <w:rsid w:val="00632032"/>
    <w:rsid w:val="0063247A"/>
    <w:rsid w:val="00634020"/>
    <w:rsid w:val="0063590D"/>
    <w:rsid w:val="00637214"/>
    <w:rsid w:val="00637D75"/>
    <w:rsid w:val="0064168B"/>
    <w:rsid w:val="00643A7E"/>
    <w:rsid w:val="00643FD1"/>
    <w:rsid w:val="0064402B"/>
    <w:rsid w:val="00645D79"/>
    <w:rsid w:val="006471F3"/>
    <w:rsid w:val="006475BC"/>
    <w:rsid w:val="006504C2"/>
    <w:rsid w:val="00650F9D"/>
    <w:rsid w:val="00653D6E"/>
    <w:rsid w:val="0065407B"/>
    <w:rsid w:val="00654B61"/>
    <w:rsid w:val="00655E76"/>
    <w:rsid w:val="0066083B"/>
    <w:rsid w:val="00660EF1"/>
    <w:rsid w:val="006629E4"/>
    <w:rsid w:val="00667096"/>
    <w:rsid w:val="0066763F"/>
    <w:rsid w:val="0066776E"/>
    <w:rsid w:val="006729DE"/>
    <w:rsid w:val="006770A0"/>
    <w:rsid w:val="00677636"/>
    <w:rsid w:val="006803E1"/>
    <w:rsid w:val="00680745"/>
    <w:rsid w:val="00680C04"/>
    <w:rsid w:val="00681761"/>
    <w:rsid w:val="00681AC1"/>
    <w:rsid w:val="00681B58"/>
    <w:rsid w:val="006843E3"/>
    <w:rsid w:val="00684603"/>
    <w:rsid w:val="00684D3C"/>
    <w:rsid w:val="006860E6"/>
    <w:rsid w:val="00692A0F"/>
    <w:rsid w:val="006949DD"/>
    <w:rsid w:val="00696D99"/>
    <w:rsid w:val="00697988"/>
    <w:rsid w:val="006A1809"/>
    <w:rsid w:val="006A1B43"/>
    <w:rsid w:val="006A1B87"/>
    <w:rsid w:val="006A5265"/>
    <w:rsid w:val="006A7009"/>
    <w:rsid w:val="006B095C"/>
    <w:rsid w:val="006B1E6B"/>
    <w:rsid w:val="006B3AED"/>
    <w:rsid w:val="006B3F96"/>
    <w:rsid w:val="006B53D5"/>
    <w:rsid w:val="006B6771"/>
    <w:rsid w:val="006B6CD9"/>
    <w:rsid w:val="006B706F"/>
    <w:rsid w:val="006C1C29"/>
    <w:rsid w:val="006C5088"/>
    <w:rsid w:val="006C51BC"/>
    <w:rsid w:val="006C61BE"/>
    <w:rsid w:val="006C6F7B"/>
    <w:rsid w:val="006C7157"/>
    <w:rsid w:val="006C77B5"/>
    <w:rsid w:val="006C7909"/>
    <w:rsid w:val="006D0096"/>
    <w:rsid w:val="006D0E57"/>
    <w:rsid w:val="006D205F"/>
    <w:rsid w:val="006D2C02"/>
    <w:rsid w:val="006E00AE"/>
    <w:rsid w:val="006E06CC"/>
    <w:rsid w:val="006E083E"/>
    <w:rsid w:val="006E1577"/>
    <w:rsid w:val="006E36D4"/>
    <w:rsid w:val="006E4987"/>
    <w:rsid w:val="006F0EA6"/>
    <w:rsid w:val="006F1397"/>
    <w:rsid w:val="006F2D2A"/>
    <w:rsid w:val="006F2EDA"/>
    <w:rsid w:val="006F5164"/>
    <w:rsid w:val="006F69FD"/>
    <w:rsid w:val="00705535"/>
    <w:rsid w:val="00705F30"/>
    <w:rsid w:val="00706DE2"/>
    <w:rsid w:val="0071240B"/>
    <w:rsid w:val="007133E0"/>
    <w:rsid w:val="007144FE"/>
    <w:rsid w:val="00714F23"/>
    <w:rsid w:val="00715F29"/>
    <w:rsid w:val="00716417"/>
    <w:rsid w:val="00721730"/>
    <w:rsid w:val="00722F89"/>
    <w:rsid w:val="00724152"/>
    <w:rsid w:val="007251D5"/>
    <w:rsid w:val="0072595F"/>
    <w:rsid w:val="007264D1"/>
    <w:rsid w:val="00726972"/>
    <w:rsid w:val="00726C18"/>
    <w:rsid w:val="00726C7A"/>
    <w:rsid w:val="00731426"/>
    <w:rsid w:val="007334C3"/>
    <w:rsid w:val="00737344"/>
    <w:rsid w:val="00741CB9"/>
    <w:rsid w:val="007420B3"/>
    <w:rsid w:val="00742D47"/>
    <w:rsid w:val="007433EA"/>
    <w:rsid w:val="00744962"/>
    <w:rsid w:val="007456B1"/>
    <w:rsid w:val="007463C6"/>
    <w:rsid w:val="007471AB"/>
    <w:rsid w:val="007525E3"/>
    <w:rsid w:val="0075478D"/>
    <w:rsid w:val="0075494F"/>
    <w:rsid w:val="0075525D"/>
    <w:rsid w:val="007562B3"/>
    <w:rsid w:val="00756F96"/>
    <w:rsid w:val="0075757B"/>
    <w:rsid w:val="007601E7"/>
    <w:rsid w:val="00760B70"/>
    <w:rsid w:val="00760F02"/>
    <w:rsid w:val="0076179E"/>
    <w:rsid w:val="007618B3"/>
    <w:rsid w:val="00761F5D"/>
    <w:rsid w:val="00762134"/>
    <w:rsid w:val="00764DF2"/>
    <w:rsid w:val="007661D2"/>
    <w:rsid w:val="007671E1"/>
    <w:rsid w:val="007679E3"/>
    <w:rsid w:val="0077343E"/>
    <w:rsid w:val="00774CEE"/>
    <w:rsid w:val="00774F92"/>
    <w:rsid w:val="007764E4"/>
    <w:rsid w:val="007772E0"/>
    <w:rsid w:val="00777ED4"/>
    <w:rsid w:val="00781695"/>
    <w:rsid w:val="0078181B"/>
    <w:rsid w:val="007834FA"/>
    <w:rsid w:val="00783AB7"/>
    <w:rsid w:val="007860E5"/>
    <w:rsid w:val="0078654A"/>
    <w:rsid w:val="00787970"/>
    <w:rsid w:val="00787983"/>
    <w:rsid w:val="007914F2"/>
    <w:rsid w:val="00791841"/>
    <w:rsid w:val="00792591"/>
    <w:rsid w:val="00792F01"/>
    <w:rsid w:val="00793005"/>
    <w:rsid w:val="007949E8"/>
    <w:rsid w:val="0079502D"/>
    <w:rsid w:val="007974FB"/>
    <w:rsid w:val="00797738"/>
    <w:rsid w:val="007A0B22"/>
    <w:rsid w:val="007A1376"/>
    <w:rsid w:val="007A2036"/>
    <w:rsid w:val="007A2372"/>
    <w:rsid w:val="007A2B33"/>
    <w:rsid w:val="007B1DB4"/>
    <w:rsid w:val="007B1FCB"/>
    <w:rsid w:val="007B2980"/>
    <w:rsid w:val="007C1E7F"/>
    <w:rsid w:val="007C33BD"/>
    <w:rsid w:val="007C4341"/>
    <w:rsid w:val="007C5BCD"/>
    <w:rsid w:val="007C7CF5"/>
    <w:rsid w:val="007C7F0F"/>
    <w:rsid w:val="007D01F9"/>
    <w:rsid w:val="007D07FF"/>
    <w:rsid w:val="007D0C94"/>
    <w:rsid w:val="007D1355"/>
    <w:rsid w:val="007D3F2B"/>
    <w:rsid w:val="007D53C8"/>
    <w:rsid w:val="007D5AE8"/>
    <w:rsid w:val="007D6B98"/>
    <w:rsid w:val="007E0C1C"/>
    <w:rsid w:val="007E0F36"/>
    <w:rsid w:val="007E1675"/>
    <w:rsid w:val="007E2467"/>
    <w:rsid w:val="007E5435"/>
    <w:rsid w:val="007E5D0B"/>
    <w:rsid w:val="007E74F6"/>
    <w:rsid w:val="007F0B53"/>
    <w:rsid w:val="007F2013"/>
    <w:rsid w:val="007F35E7"/>
    <w:rsid w:val="007F3D21"/>
    <w:rsid w:val="007F3FAD"/>
    <w:rsid w:val="007F5D10"/>
    <w:rsid w:val="008012D7"/>
    <w:rsid w:val="00804C11"/>
    <w:rsid w:val="00806493"/>
    <w:rsid w:val="008064DC"/>
    <w:rsid w:val="0080727B"/>
    <w:rsid w:val="008106B0"/>
    <w:rsid w:val="0081215E"/>
    <w:rsid w:val="0081383A"/>
    <w:rsid w:val="00814335"/>
    <w:rsid w:val="008144CF"/>
    <w:rsid w:val="00815427"/>
    <w:rsid w:val="00816D8E"/>
    <w:rsid w:val="00820E0A"/>
    <w:rsid w:val="008212B5"/>
    <w:rsid w:val="0082261C"/>
    <w:rsid w:val="00826B38"/>
    <w:rsid w:val="00830A3F"/>
    <w:rsid w:val="008327B5"/>
    <w:rsid w:val="008339AE"/>
    <w:rsid w:val="00836358"/>
    <w:rsid w:val="0084078E"/>
    <w:rsid w:val="00842DEF"/>
    <w:rsid w:val="008433B0"/>
    <w:rsid w:val="00844B13"/>
    <w:rsid w:val="008452BF"/>
    <w:rsid w:val="00845819"/>
    <w:rsid w:val="008470F8"/>
    <w:rsid w:val="00850FBF"/>
    <w:rsid w:val="0085135E"/>
    <w:rsid w:val="00851ADD"/>
    <w:rsid w:val="00854428"/>
    <w:rsid w:val="008552B3"/>
    <w:rsid w:val="00855B8C"/>
    <w:rsid w:val="008568E6"/>
    <w:rsid w:val="00856A6B"/>
    <w:rsid w:val="00857ADB"/>
    <w:rsid w:val="0086145A"/>
    <w:rsid w:val="00862DBF"/>
    <w:rsid w:val="0086305D"/>
    <w:rsid w:val="00867ED1"/>
    <w:rsid w:val="00870955"/>
    <w:rsid w:val="008714ED"/>
    <w:rsid w:val="00871951"/>
    <w:rsid w:val="00871FBB"/>
    <w:rsid w:val="008749B0"/>
    <w:rsid w:val="00874ACD"/>
    <w:rsid w:val="0087680E"/>
    <w:rsid w:val="00877A0F"/>
    <w:rsid w:val="00883929"/>
    <w:rsid w:val="00884E3D"/>
    <w:rsid w:val="00890778"/>
    <w:rsid w:val="00890D9F"/>
    <w:rsid w:val="00894A07"/>
    <w:rsid w:val="008958FD"/>
    <w:rsid w:val="00896E7B"/>
    <w:rsid w:val="00897CC7"/>
    <w:rsid w:val="008A0118"/>
    <w:rsid w:val="008A3781"/>
    <w:rsid w:val="008A3D60"/>
    <w:rsid w:val="008A5EDC"/>
    <w:rsid w:val="008A64D8"/>
    <w:rsid w:val="008B2C4C"/>
    <w:rsid w:val="008B320D"/>
    <w:rsid w:val="008B3A2D"/>
    <w:rsid w:val="008B418E"/>
    <w:rsid w:val="008B5323"/>
    <w:rsid w:val="008B5AF2"/>
    <w:rsid w:val="008B734D"/>
    <w:rsid w:val="008B75A0"/>
    <w:rsid w:val="008C0D47"/>
    <w:rsid w:val="008C4160"/>
    <w:rsid w:val="008C4443"/>
    <w:rsid w:val="008C44ED"/>
    <w:rsid w:val="008C4D6D"/>
    <w:rsid w:val="008C6281"/>
    <w:rsid w:val="008D0CAF"/>
    <w:rsid w:val="008D1ED1"/>
    <w:rsid w:val="008D3A93"/>
    <w:rsid w:val="008D4C33"/>
    <w:rsid w:val="008D5C7A"/>
    <w:rsid w:val="008D65B8"/>
    <w:rsid w:val="008D6CB2"/>
    <w:rsid w:val="008D6F87"/>
    <w:rsid w:val="008D7A16"/>
    <w:rsid w:val="008D7DF1"/>
    <w:rsid w:val="008E193B"/>
    <w:rsid w:val="008E3754"/>
    <w:rsid w:val="008F0913"/>
    <w:rsid w:val="008F18BB"/>
    <w:rsid w:val="008F23F1"/>
    <w:rsid w:val="008F3578"/>
    <w:rsid w:val="008F401A"/>
    <w:rsid w:val="008F4CFA"/>
    <w:rsid w:val="008F50AD"/>
    <w:rsid w:val="009008F6"/>
    <w:rsid w:val="0090147A"/>
    <w:rsid w:val="00901857"/>
    <w:rsid w:val="0090242D"/>
    <w:rsid w:val="00902BA4"/>
    <w:rsid w:val="009065AE"/>
    <w:rsid w:val="0091009E"/>
    <w:rsid w:val="00910B0C"/>
    <w:rsid w:val="0091172F"/>
    <w:rsid w:val="00911F66"/>
    <w:rsid w:val="00913AC8"/>
    <w:rsid w:val="0091580F"/>
    <w:rsid w:val="0091793C"/>
    <w:rsid w:val="009215FA"/>
    <w:rsid w:val="0092371A"/>
    <w:rsid w:val="009250AD"/>
    <w:rsid w:val="0092690A"/>
    <w:rsid w:val="00927081"/>
    <w:rsid w:val="0092745A"/>
    <w:rsid w:val="0093188E"/>
    <w:rsid w:val="00931E84"/>
    <w:rsid w:val="00932D8A"/>
    <w:rsid w:val="00933D5D"/>
    <w:rsid w:val="00935215"/>
    <w:rsid w:val="00936171"/>
    <w:rsid w:val="00940A40"/>
    <w:rsid w:val="00943B48"/>
    <w:rsid w:val="00946DED"/>
    <w:rsid w:val="00951263"/>
    <w:rsid w:val="009515F4"/>
    <w:rsid w:val="00954A85"/>
    <w:rsid w:val="00954BC2"/>
    <w:rsid w:val="009562D9"/>
    <w:rsid w:val="00957219"/>
    <w:rsid w:val="00961796"/>
    <w:rsid w:val="009617CD"/>
    <w:rsid w:val="00962F17"/>
    <w:rsid w:val="009632C3"/>
    <w:rsid w:val="00964436"/>
    <w:rsid w:val="0097108C"/>
    <w:rsid w:val="009710E0"/>
    <w:rsid w:val="00971549"/>
    <w:rsid w:val="00971E43"/>
    <w:rsid w:val="009770FC"/>
    <w:rsid w:val="0097711F"/>
    <w:rsid w:val="009803B2"/>
    <w:rsid w:val="00981063"/>
    <w:rsid w:val="00982AD7"/>
    <w:rsid w:val="00983859"/>
    <w:rsid w:val="00984E95"/>
    <w:rsid w:val="0098536B"/>
    <w:rsid w:val="009853D5"/>
    <w:rsid w:val="00986A39"/>
    <w:rsid w:val="00991505"/>
    <w:rsid w:val="009918BE"/>
    <w:rsid w:val="00992BA7"/>
    <w:rsid w:val="009931AF"/>
    <w:rsid w:val="00993752"/>
    <w:rsid w:val="009978A0"/>
    <w:rsid w:val="00997D62"/>
    <w:rsid w:val="009A1BC3"/>
    <w:rsid w:val="009A20F0"/>
    <w:rsid w:val="009A2778"/>
    <w:rsid w:val="009A2B90"/>
    <w:rsid w:val="009A5A6E"/>
    <w:rsid w:val="009A774B"/>
    <w:rsid w:val="009B05FA"/>
    <w:rsid w:val="009B2152"/>
    <w:rsid w:val="009B2953"/>
    <w:rsid w:val="009B38C6"/>
    <w:rsid w:val="009B4162"/>
    <w:rsid w:val="009B4C60"/>
    <w:rsid w:val="009B68DE"/>
    <w:rsid w:val="009B6B5B"/>
    <w:rsid w:val="009B7EE7"/>
    <w:rsid w:val="009C1974"/>
    <w:rsid w:val="009C5126"/>
    <w:rsid w:val="009C5193"/>
    <w:rsid w:val="009C5812"/>
    <w:rsid w:val="009C5B25"/>
    <w:rsid w:val="009C69E2"/>
    <w:rsid w:val="009C6D60"/>
    <w:rsid w:val="009C799F"/>
    <w:rsid w:val="009D2F81"/>
    <w:rsid w:val="009D365D"/>
    <w:rsid w:val="009D606D"/>
    <w:rsid w:val="009D72D4"/>
    <w:rsid w:val="009E07C1"/>
    <w:rsid w:val="009E1DCB"/>
    <w:rsid w:val="009E2F04"/>
    <w:rsid w:val="009E3F28"/>
    <w:rsid w:val="009E6036"/>
    <w:rsid w:val="009E7677"/>
    <w:rsid w:val="009F05EB"/>
    <w:rsid w:val="009F0B55"/>
    <w:rsid w:val="009F207C"/>
    <w:rsid w:val="009F26E4"/>
    <w:rsid w:val="009F3E54"/>
    <w:rsid w:val="009F67D9"/>
    <w:rsid w:val="009F7159"/>
    <w:rsid w:val="009F78B2"/>
    <w:rsid w:val="009F7BC8"/>
    <w:rsid w:val="00A008C2"/>
    <w:rsid w:val="00A00D48"/>
    <w:rsid w:val="00A02D8C"/>
    <w:rsid w:val="00A03565"/>
    <w:rsid w:val="00A063A6"/>
    <w:rsid w:val="00A07548"/>
    <w:rsid w:val="00A1103B"/>
    <w:rsid w:val="00A144B9"/>
    <w:rsid w:val="00A14B33"/>
    <w:rsid w:val="00A151B7"/>
    <w:rsid w:val="00A15B1C"/>
    <w:rsid w:val="00A165E1"/>
    <w:rsid w:val="00A16BD1"/>
    <w:rsid w:val="00A174DD"/>
    <w:rsid w:val="00A205A7"/>
    <w:rsid w:val="00A209F6"/>
    <w:rsid w:val="00A2351A"/>
    <w:rsid w:val="00A25024"/>
    <w:rsid w:val="00A250A9"/>
    <w:rsid w:val="00A270AC"/>
    <w:rsid w:val="00A32C33"/>
    <w:rsid w:val="00A33078"/>
    <w:rsid w:val="00A33384"/>
    <w:rsid w:val="00A36460"/>
    <w:rsid w:val="00A37296"/>
    <w:rsid w:val="00A407DB"/>
    <w:rsid w:val="00A41048"/>
    <w:rsid w:val="00A41A46"/>
    <w:rsid w:val="00A42054"/>
    <w:rsid w:val="00A422E6"/>
    <w:rsid w:val="00A53386"/>
    <w:rsid w:val="00A54D32"/>
    <w:rsid w:val="00A55935"/>
    <w:rsid w:val="00A5697F"/>
    <w:rsid w:val="00A57F44"/>
    <w:rsid w:val="00A60F6F"/>
    <w:rsid w:val="00A620D8"/>
    <w:rsid w:val="00A62807"/>
    <w:rsid w:val="00A62A5E"/>
    <w:rsid w:val="00A62D08"/>
    <w:rsid w:val="00A63976"/>
    <w:rsid w:val="00A65F29"/>
    <w:rsid w:val="00A66669"/>
    <w:rsid w:val="00A667C9"/>
    <w:rsid w:val="00A668B3"/>
    <w:rsid w:val="00A67776"/>
    <w:rsid w:val="00A678B0"/>
    <w:rsid w:val="00A711A8"/>
    <w:rsid w:val="00A71CAE"/>
    <w:rsid w:val="00A72DDE"/>
    <w:rsid w:val="00A73942"/>
    <w:rsid w:val="00A74F3B"/>
    <w:rsid w:val="00A80737"/>
    <w:rsid w:val="00A80B62"/>
    <w:rsid w:val="00A82096"/>
    <w:rsid w:val="00A84BE7"/>
    <w:rsid w:val="00A867F4"/>
    <w:rsid w:val="00A8721D"/>
    <w:rsid w:val="00A90083"/>
    <w:rsid w:val="00A905C4"/>
    <w:rsid w:val="00A90A44"/>
    <w:rsid w:val="00A91408"/>
    <w:rsid w:val="00A9249F"/>
    <w:rsid w:val="00A942BF"/>
    <w:rsid w:val="00A94533"/>
    <w:rsid w:val="00A945A9"/>
    <w:rsid w:val="00A9464A"/>
    <w:rsid w:val="00A9670D"/>
    <w:rsid w:val="00A96731"/>
    <w:rsid w:val="00A96887"/>
    <w:rsid w:val="00A97F06"/>
    <w:rsid w:val="00AA07A1"/>
    <w:rsid w:val="00AA1661"/>
    <w:rsid w:val="00AA19C3"/>
    <w:rsid w:val="00AA1EB5"/>
    <w:rsid w:val="00AA2549"/>
    <w:rsid w:val="00AA2567"/>
    <w:rsid w:val="00AA3703"/>
    <w:rsid w:val="00AA3F46"/>
    <w:rsid w:val="00AA6589"/>
    <w:rsid w:val="00AA7939"/>
    <w:rsid w:val="00AB20D7"/>
    <w:rsid w:val="00AB266E"/>
    <w:rsid w:val="00AB3AFC"/>
    <w:rsid w:val="00AB3D7D"/>
    <w:rsid w:val="00AB4778"/>
    <w:rsid w:val="00AB6029"/>
    <w:rsid w:val="00AB6BB6"/>
    <w:rsid w:val="00AC1B00"/>
    <w:rsid w:val="00AC4857"/>
    <w:rsid w:val="00AC6985"/>
    <w:rsid w:val="00AC6D26"/>
    <w:rsid w:val="00AD159C"/>
    <w:rsid w:val="00AD2067"/>
    <w:rsid w:val="00AD2E12"/>
    <w:rsid w:val="00AD357D"/>
    <w:rsid w:val="00AD530E"/>
    <w:rsid w:val="00AD5DE9"/>
    <w:rsid w:val="00AD7477"/>
    <w:rsid w:val="00AD76D2"/>
    <w:rsid w:val="00AD7F17"/>
    <w:rsid w:val="00AE2BC3"/>
    <w:rsid w:val="00AE454A"/>
    <w:rsid w:val="00AE49FD"/>
    <w:rsid w:val="00AE5236"/>
    <w:rsid w:val="00AE5911"/>
    <w:rsid w:val="00AE68B9"/>
    <w:rsid w:val="00AE749D"/>
    <w:rsid w:val="00AF01B0"/>
    <w:rsid w:val="00AF0504"/>
    <w:rsid w:val="00AF2749"/>
    <w:rsid w:val="00AF2F16"/>
    <w:rsid w:val="00AF5CDF"/>
    <w:rsid w:val="00AF615F"/>
    <w:rsid w:val="00AF6E43"/>
    <w:rsid w:val="00B03A7B"/>
    <w:rsid w:val="00B03FF8"/>
    <w:rsid w:val="00B04390"/>
    <w:rsid w:val="00B043B8"/>
    <w:rsid w:val="00B0465A"/>
    <w:rsid w:val="00B04E19"/>
    <w:rsid w:val="00B052C3"/>
    <w:rsid w:val="00B052E4"/>
    <w:rsid w:val="00B05589"/>
    <w:rsid w:val="00B1020E"/>
    <w:rsid w:val="00B11D5D"/>
    <w:rsid w:val="00B145A9"/>
    <w:rsid w:val="00B14729"/>
    <w:rsid w:val="00B1481D"/>
    <w:rsid w:val="00B164CE"/>
    <w:rsid w:val="00B178E9"/>
    <w:rsid w:val="00B20B44"/>
    <w:rsid w:val="00B20D43"/>
    <w:rsid w:val="00B20DB8"/>
    <w:rsid w:val="00B23404"/>
    <w:rsid w:val="00B27072"/>
    <w:rsid w:val="00B27554"/>
    <w:rsid w:val="00B31360"/>
    <w:rsid w:val="00B33DAC"/>
    <w:rsid w:val="00B34E66"/>
    <w:rsid w:val="00B36908"/>
    <w:rsid w:val="00B372F4"/>
    <w:rsid w:val="00B3793D"/>
    <w:rsid w:val="00B42805"/>
    <w:rsid w:val="00B434ED"/>
    <w:rsid w:val="00B45C79"/>
    <w:rsid w:val="00B474C1"/>
    <w:rsid w:val="00B53EA7"/>
    <w:rsid w:val="00B543E8"/>
    <w:rsid w:val="00B556A9"/>
    <w:rsid w:val="00B55DD0"/>
    <w:rsid w:val="00B577B0"/>
    <w:rsid w:val="00B57D50"/>
    <w:rsid w:val="00B603A1"/>
    <w:rsid w:val="00B603CF"/>
    <w:rsid w:val="00B6168A"/>
    <w:rsid w:val="00B624E3"/>
    <w:rsid w:val="00B63635"/>
    <w:rsid w:val="00B64F6F"/>
    <w:rsid w:val="00B65F01"/>
    <w:rsid w:val="00B661A8"/>
    <w:rsid w:val="00B66545"/>
    <w:rsid w:val="00B67573"/>
    <w:rsid w:val="00B75346"/>
    <w:rsid w:val="00B76573"/>
    <w:rsid w:val="00B77998"/>
    <w:rsid w:val="00B8314E"/>
    <w:rsid w:val="00B84282"/>
    <w:rsid w:val="00B84B45"/>
    <w:rsid w:val="00B84BD8"/>
    <w:rsid w:val="00B84EC7"/>
    <w:rsid w:val="00B87123"/>
    <w:rsid w:val="00B912D5"/>
    <w:rsid w:val="00B92EB8"/>
    <w:rsid w:val="00B9322B"/>
    <w:rsid w:val="00B9345E"/>
    <w:rsid w:val="00B95EB8"/>
    <w:rsid w:val="00B97262"/>
    <w:rsid w:val="00B9737C"/>
    <w:rsid w:val="00BA1481"/>
    <w:rsid w:val="00BA1A6A"/>
    <w:rsid w:val="00BA222B"/>
    <w:rsid w:val="00BA2DD4"/>
    <w:rsid w:val="00BA4ED6"/>
    <w:rsid w:val="00BA7957"/>
    <w:rsid w:val="00BB1260"/>
    <w:rsid w:val="00BB287E"/>
    <w:rsid w:val="00BB61A7"/>
    <w:rsid w:val="00BB6ED8"/>
    <w:rsid w:val="00BB7698"/>
    <w:rsid w:val="00BC245A"/>
    <w:rsid w:val="00BC26C4"/>
    <w:rsid w:val="00BC2F90"/>
    <w:rsid w:val="00BC4027"/>
    <w:rsid w:val="00BC409A"/>
    <w:rsid w:val="00BC4240"/>
    <w:rsid w:val="00BC42F1"/>
    <w:rsid w:val="00BC54DE"/>
    <w:rsid w:val="00BC5AB5"/>
    <w:rsid w:val="00BC5B3E"/>
    <w:rsid w:val="00BC5F59"/>
    <w:rsid w:val="00BC65EB"/>
    <w:rsid w:val="00BC74EC"/>
    <w:rsid w:val="00BD3235"/>
    <w:rsid w:val="00BE18ED"/>
    <w:rsid w:val="00BE2D24"/>
    <w:rsid w:val="00BE5F4E"/>
    <w:rsid w:val="00BE5FA0"/>
    <w:rsid w:val="00BE67DF"/>
    <w:rsid w:val="00BE70EE"/>
    <w:rsid w:val="00BE7636"/>
    <w:rsid w:val="00BF1DD0"/>
    <w:rsid w:val="00BF4037"/>
    <w:rsid w:val="00BF408D"/>
    <w:rsid w:val="00BF6BB9"/>
    <w:rsid w:val="00BF6EB7"/>
    <w:rsid w:val="00C02431"/>
    <w:rsid w:val="00C03B19"/>
    <w:rsid w:val="00C072E1"/>
    <w:rsid w:val="00C109D0"/>
    <w:rsid w:val="00C14D15"/>
    <w:rsid w:val="00C14D9D"/>
    <w:rsid w:val="00C154CF"/>
    <w:rsid w:val="00C200CC"/>
    <w:rsid w:val="00C2052F"/>
    <w:rsid w:val="00C22085"/>
    <w:rsid w:val="00C22996"/>
    <w:rsid w:val="00C23BD0"/>
    <w:rsid w:val="00C242FB"/>
    <w:rsid w:val="00C24D34"/>
    <w:rsid w:val="00C24E44"/>
    <w:rsid w:val="00C2584F"/>
    <w:rsid w:val="00C25F6E"/>
    <w:rsid w:val="00C3107A"/>
    <w:rsid w:val="00C31AAD"/>
    <w:rsid w:val="00C31DFA"/>
    <w:rsid w:val="00C34AE4"/>
    <w:rsid w:val="00C369C0"/>
    <w:rsid w:val="00C37B12"/>
    <w:rsid w:val="00C4062E"/>
    <w:rsid w:val="00C41E08"/>
    <w:rsid w:val="00C4242A"/>
    <w:rsid w:val="00C42C9B"/>
    <w:rsid w:val="00C435F9"/>
    <w:rsid w:val="00C47EA4"/>
    <w:rsid w:val="00C500D4"/>
    <w:rsid w:val="00C552D1"/>
    <w:rsid w:val="00C60E33"/>
    <w:rsid w:val="00C61037"/>
    <w:rsid w:val="00C63D6C"/>
    <w:rsid w:val="00C646EB"/>
    <w:rsid w:val="00C65DDA"/>
    <w:rsid w:val="00C664EA"/>
    <w:rsid w:val="00C672BB"/>
    <w:rsid w:val="00C71543"/>
    <w:rsid w:val="00C729AB"/>
    <w:rsid w:val="00C73172"/>
    <w:rsid w:val="00C74A36"/>
    <w:rsid w:val="00C75314"/>
    <w:rsid w:val="00C77507"/>
    <w:rsid w:val="00C776D5"/>
    <w:rsid w:val="00C77EB6"/>
    <w:rsid w:val="00C818C1"/>
    <w:rsid w:val="00C82036"/>
    <w:rsid w:val="00C83116"/>
    <w:rsid w:val="00C86473"/>
    <w:rsid w:val="00C916D9"/>
    <w:rsid w:val="00C91F95"/>
    <w:rsid w:val="00C9310F"/>
    <w:rsid w:val="00C9446D"/>
    <w:rsid w:val="00C96CDD"/>
    <w:rsid w:val="00CA1DA5"/>
    <w:rsid w:val="00CA3594"/>
    <w:rsid w:val="00CA37EB"/>
    <w:rsid w:val="00CA5BBC"/>
    <w:rsid w:val="00CA6C87"/>
    <w:rsid w:val="00CA6DBC"/>
    <w:rsid w:val="00CB293F"/>
    <w:rsid w:val="00CB2E56"/>
    <w:rsid w:val="00CB3205"/>
    <w:rsid w:val="00CB442B"/>
    <w:rsid w:val="00CB502F"/>
    <w:rsid w:val="00CB6CE8"/>
    <w:rsid w:val="00CC1D40"/>
    <w:rsid w:val="00CC21EB"/>
    <w:rsid w:val="00CC23A6"/>
    <w:rsid w:val="00CC31F9"/>
    <w:rsid w:val="00CC33DB"/>
    <w:rsid w:val="00CC44CC"/>
    <w:rsid w:val="00CC71FE"/>
    <w:rsid w:val="00CC7C8B"/>
    <w:rsid w:val="00CD04B6"/>
    <w:rsid w:val="00CD2116"/>
    <w:rsid w:val="00CD26A0"/>
    <w:rsid w:val="00CD2AAD"/>
    <w:rsid w:val="00CD30D8"/>
    <w:rsid w:val="00CD476D"/>
    <w:rsid w:val="00CD5170"/>
    <w:rsid w:val="00CE192D"/>
    <w:rsid w:val="00CE33A8"/>
    <w:rsid w:val="00CE5AD7"/>
    <w:rsid w:val="00CE5E44"/>
    <w:rsid w:val="00CE7C16"/>
    <w:rsid w:val="00CF0060"/>
    <w:rsid w:val="00CF1131"/>
    <w:rsid w:val="00CF13BF"/>
    <w:rsid w:val="00CF2607"/>
    <w:rsid w:val="00CF260F"/>
    <w:rsid w:val="00CF2E7B"/>
    <w:rsid w:val="00CF44DD"/>
    <w:rsid w:val="00CF72F6"/>
    <w:rsid w:val="00D00CF8"/>
    <w:rsid w:val="00D0179B"/>
    <w:rsid w:val="00D03A7C"/>
    <w:rsid w:val="00D04518"/>
    <w:rsid w:val="00D04659"/>
    <w:rsid w:val="00D0491C"/>
    <w:rsid w:val="00D05D02"/>
    <w:rsid w:val="00D066D7"/>
    <w:rsid w:val="00D118B4"/>
    <w:rsid w:val="00D12738"/>
    <w:rsid w:val="00D13743"/>
    <w:rsid w:val="00D13ED4"/>
    <w:rsid w:val="00D15274"/>
    <w:rsid w:val="00D15C2E"/>
    <w:rsid w:val="00D162A2"/>
    <w:rsid w:val="00D205F0"/>
    <w:rsid w:val="00D20E6F"/>
    <w:rsid w:val="00D218BC"/>
    <w:rsid w:val="00D272FD"/>
    <w:rsid w:val="00D27870"/>
    <w:rsid w:val="00D27E97"/>
    <w:rsid w:val="00D30E96"/>
    <w:rsid w:val="00D330C2"/>
    <w:rsid w:val="00D33CB3"/>
    <w:rsid w:val="00D34355"/>
    <w:rsid w:val="00D35D37"/>
    <w:rsid w:val="00D40D0B"/>
    <w:rsid w:val="00D41A13"/>
    <w:rsid w:val="00D41DC8"/>
    <w:rsid w:val="00D42908"/>
    <w:rsid w:val="00D434EB"/>
    <w:rsid w:val="00D441E4"/>
    <w:rsid w:val="00D47898"/>
    <w:rsid w:val="00D5095C"/>
    <w:rsid w:val="00D53CF4"/>
    <w:rsid w:val="00D542E5"/>
    <w:rsid w:val="00D56AA8"/>
    <w:rsid w:val="00D57FBF"/>
    <w:rsid w:val="00D606C9"/>
    <w:rsid w:val="00D60C69"/>
    <w:rsid w:val="00D624D0"/>
    <w:rsid w:val="00D64459"/>
    <w:rsid w:val="00D66684"/>
    <w:rsid w:val="00D66B45"/>
    <w:rsid w:val="00D67559"/>
    <w:rsid w:val="00D70AB2"/>
    <w:rsid w:val="00D717BE"/>
    <w:rsid w:val="00D71C83"/>
    <w:rsid w:val="00D72394"/>
    <w:rsid w:val="00D72C15"/>
    <w:rsid w:val="00D7330D"/>
    <w:rsid w:val="00D74FB1"/>
    <w:rsid w:val="00D75F36"/>
    <w:rsid w:val="00D76957"/>
    <w:rsid w:val="00D77229"/>
    <w:rsid w:val="00D77921"/>
    <w:rsid w:val="00D86356"/>
    <w:rsid w:val="00D913F7"/>
    <w:rsid w:val="00D92685"/>
    <w:rsid w:val="00D92764"/>
    <w:rsid w:val="00D92ABE"/>
    <w:rsid w:val="00D930BB"/>
    <w:rsid w:val="00D93276"/>
    <w:rsid w:val="00D94E8C"/>
    <w:rsid w:val="00D9606D"/>
    <w:rsid w:val="00D962FD"/>
    <w:rsid w:val="00D9654E"/>
    <w:rsid w:val="00D96E49"/>
    <w:rsid w:val="00DA0976"/>
    <w:rsid w:val="00DA134E"/>
    <w:rsid w:val="00DA3844"/>
    <w:rsid w:val="00DA4E2D"/>
    <w:rsid w:val="00DA7CBC"/>
    <w:rsid w:val="00DB0401"/>
    <w:rsid w:val="00DB0E2B"/>
    <w:rsid w:val="00DB2154"/>
    <w:rsid w:val="00DB242F"/>
    <w:rsid w:val="00DB25E9"/>
    <w:rsid w:val="00DB497A"/>
    <w:rsid w:val="00DB4A0D"/>
    <w:rsid w:val="00DB4A3F"/>
    <w:rsid w:val="00DB580E"/>
    <w:rsid w:val="00DC1900"/>
    <w:rsid w:val="00DC2825"/>
    <w:rsid w:val="00DC2877"/>
    <w:rsid w:val="00DC3AA5"/>
    <w:rsid w:val="00DD1585"/>
    <w:rsid w:val="00DD50DA"/>
    <w:rsid w:val="00DD69ED"/>
    <w:rsid w:val="00DE1AE8"/>
    <w:rsid w:val="00DE3F58"/>
    <w:rsid w:val="00DE5F68"/>
    <w:rsid w:val="00DE799C"/>
    <w:rsid w:val="00DE7D26"/>
    <w:rsid w:val="00DF01B6"/>
    <w:rsid w:val="00DF1C33"/>
    <w:rsid w:val="00DF2952"/>
    <w:rsid w:val="00DF2CAC"/>
    <w:rsid w:val="00DF4A06"/>
    <w:rsid w:val="00DF52C4"/>
    <w:rsid w:val="00DF68EC"/>
    <w:rsid w:val="00DF693D"/>
    <w:rsid w:val="00E01562"/>
    <w:rsid w:val="00E03148"/>
    <w:rsid w:val="00E03C10"/>
    <w:rsid w:val="00E04AF1"/>
    <w:rsid w:val="00E05308"/>
    <w:rsid w:val="00E05C8F"/>
    <w:rsid w:val="00E1064B"/>
    <w:rsid w:val="00E10963"/>
    <w:rsid w:val="00E1203A"/>
    <w:rsid w:val="00E13288"/>
    <w:rsid w:val="00E145D6"/>
    <w:rsid w:val="00E16E12"/>
    <w:rsid w:val="00E1704C"/>
    <w:rsid w:val="00E1761E"/>
    <w:rsid w:val="00E212C0"/>
    <w:rsid w:val="00E2457A"/>
    <w:rsid w:val="00E24A54"/>
    <w:rsid w:val="00E24FEA"/>
    <w:rsid w:val="00E25C1B"/>
    <w:rsid w:val="00E26BEF"/>
    <w:rsid w:val="00E33A86"/>
    <w:rsid w:val="00E34237"/>
    <w:rsid w:val="00E34583"/>
    <w:rsid w:val="00E35B9F"/>
    <w:rsid w:val="00E36468"/>
    <w:rsid w:val="00E36845"/>
    <w:rsid w:val="00E40267"/>
    <w:rsid w:val="00E4239B"/>
    <w:rsid w:val="00E44708"/>
    <w:rsid w:val="00E44EF8"/>
    <w:rsid w:val="00E45F61"/>
    <w:rsid w:val="00E4785B"/>
    <w:rsid w:val="00E47CE2"/>
    <w:rsid w:val="00E47F51"/>
    <w:rsid w:val="00E5158B"/>
    <w:rsid w:val="00E55FE8"/>
    <w:rsid w:val="00E5658E"/>
    <w:rsid w:val="00E5673C"/>
    <w:rsid w:val="00E57591"/>
    <w:rsid w:val="00E57A31"/>
    <w:rsid w:val="00E614C4"/>
    <w:rsid w:val="00E61BD2"/>
    <w:rsid w:val="00E66D9A"/>
    <w:rsid w:val="00E67DB0"/>
    <w:rsid w:val="00E7037A"/>
    <w:rsid w:val="00E73D7E"/>
    <w:rsid w:val="00E75204"/>
    <w:rsid w:val="00E83868"/>
    <w:rsid w:val="00E85FD5"/>
    <w:rsid w:val="00E920F0"/>
    <w:rsid w:val="00E932F7"/>
    <w:rsid w:val="00E93456"/>
    <w:rsid w:val="00E952FC"/>
    <w:rsid w:val="00E971FF"/>
    <w:rsid w:val="00EA0F5A"/>
    <w:rsid w:val="00EA6A16"/>
    <w:rsid w:val="00EA702A"/>
    <w:rsid w:val="00EB0BEB"/>
    <w:rsid w:val="00EB0D3D"/>
    <w:rsid w:val="00EB246D"/>
    <w:rsid w:val="00EB7C25"/>
    <w:rsid w:val="00EB7F7A"/>
    <w:rsid w:val="00EC0E27"/>
    <w:rsid w:val="00EC4410"/>
    <w:rsid w:val="00ED0A6B"/>
    <w:rsid w:val="00ED0C5F"/>
    <w:rsid w:val="00ED4553"/>
    <w:rsid w:val="00ED4AE3"/>
    <w:rsid w:val="00ED65E4"/>
    <w:rsid w:val="00EE0E9B"/>
    <w:rsid w:val="00EE1E58"/>
    <w:rsid w:val="00EE2347"/>
    <w:rsid w:val="00EE2532"/>
    <w:rsid w:val="00EE2A99"/>
    <w:rsid w:val="00EE4878"/>
    <w:rsid w:val="00EE5F69"/>
    <w:rsid w:val="00EE63C3"/>
    <w:rsid w:val="00EE739F"/>
    <w:rsid w:val="00EF2D28"/>
    <w:rsid w:val="00EF344E"/>
    <w:rsid w:val="00EF54FE"/>
    <w:rsid w:val="00EF59DD"/>
    <w:rsid w:val="00EF6C48"/>
    <w:rsid w:val="00F0241F"/>
    <w:rsid w:val="00F0499A"/>
    <w:rsid w:val="00F07264"/>
    <w:rsid w:val="00F11A3F"/>
    <w:rsid w:val="00F15354"/>
    <w:rsid w:val="00F16C15"/>
    <w:rsid w:val="00F17850"/>
    <w:rsid w:val="00F17893"/>
    <w:rsid w:val="00F207CA"/>
    <w:rsid w:val="00F21109"/>
    <w:rsid w:val="00F22F6D"/>
    <w:rsid w:val="00F23594"/>
    <w:rsid w:val="00F24945"/>
    <w:rsid w:val="00F25DF8"/>
    <w:rsid w:val="00F26DB5"/>
    <w:rsid w:val="00F30A33"/>
    <w:rsid w:val="00F30CBE"/>
    <w:rsid w:val="00F31869"/>
    <w:rsid w:val="00F31952"/>
    <w:rsid w:val="00F31999"/>
    <w:rsid w:val="00F325FB"/>
    <w:rsid w:val="00F32E3B"/>
    <w:rsid w:val="00F33F1E"/>
    <w:rsid w:val="00F367DE"/>
    <w:rsid w:val="00F37410"/>
    <w:rsid w:val="00F37FD0"/>
    <w:rsid w:val="00F37FD6"/>
    <w:rsid w:val="00F40CEB"/>
    <w:rsid w:val="00F42D7A"/>
    <w:rsid w:val="00F43915"/>
    <w:rsid w:val="00F43C80"/>
    <w:rsid w:val="00F43FA3"/>
    <w:rsid w:val="00F44F0E"/>
    <w:rsid w:val="00F473E2"/>
    <w:rsid w:val="00F47EF6"/>
    <w:rsid w:val="00F47F14"/>
    <w:rsid w:val="00F50605"/>
    <w:rsid w:val="00F5243B"/>
    <w:rsid w:val="00F525D3"/>
    <w:rsid w:val="00F52AB0"/>
    <w:rsid w:val="00F52EC6"/>
    <w:rsid w:val="00F54D2B"/>
    <w:rsid w:val="00F54F3F"/>
    <w:rsid w:val="00F56233"/>
    <w:rsid w:val="00F563E8"/>
    <w:rsid w:val="00F62DF9"/>
    <w:rsid w:val="00F63876"/>
    <w:rsid w:val="00F645CA"/>
    <w:rsid w:val="00F64CC0"/>
    <w:rsid w:val="00F65F95"/>
    <w:rsid w:val="00F66048"/>
    <w:rsid w:val="00F66079"/>
    <w:rsid w:val="00F66880"/>
    <w:rsid w:val="00F67A69"/>
    <w:rsid w:val="00F67F9B"/>
    <w:rsid w:val="00F700B0"/>
    <w:rsid w:val="00F70839"/>
    <w:rsid w:val="00F73135"/>
    <w:rsid w:val="00F73C82"/>
    <w:rsid w:val="00F73D5B"/>
    <w:rsid w:val="00F7447E"/>
    <w:rsid w:val="00F74645"/>
    <w:rsid w:val="00F75B00"/>
    <w:rsid w:val="00F760F9"/>
    <w:rsid w:val="00F7622D"/>
    <w:rsid w:val="00F77578"/>
    <w:rsid w:val="00F77E0F"/>
    <w:rsid w:val="00F805FB"/>
    <w:rsid w:val="00F842BD"/>
    <w:rsid w:val="00F843B3"/>
    <w:rsid w:val="00F85BA3"/>
    <w:rsid w:val="00F85FE2"/>
    <w:rsid w:val="00F9058A"/>
    <w:rsid w:val="00F914DB"/>
    <w:rsid w:val="00F92F54"/>
    <w:rsid w:val="00F9646E"/>
    <w:rsid w:val="00FA0FD4"/>
    <w:rsid w:val="00FA1B56"/>
    <w:rsid w:val="00FA4CFD"/>
    <w:rsid w:val="00FA5231"/>
    <w:rsid w:val="00FA625D"/>
    <w:rsid w:val="00FA62D7"/>
    <w:rsid w:val="00FA648E"/>
    <w:rsid w:val="00FA6FC7"/>
    <w:rsid w:val="00FB1910"/>
    <w:rsid w:val="00FB3369"/>
    <w:rsid w:val="00FB5CC1"/>
    <w:rsid w:val="00FB7831"/>
    <w:rsid w:val="00FB7ABB"/>
    <w:rsid w:val="00FC0F06"/>
    <w:rsid w:val="00FC1FE3"/>
    <w:rsid w:val="00FC3674"/>
    <w:rsid w:val="00FC3C20"/>
    <w:rsid w:val="00FC5F54"/>
    <w:rsid w:val="00FD08B4"/>
    <w:rsid w:val="00FD107B"/>
    <w:rsid w:val="00FD33FC"/>
    <w:rsid w:val="00FD3C6A"/>
    <w:rsid w:val="00FD469F"/>
    <w:rsid w:val="00FD4F38"/>
    <w:rsid w:val="00FD5232"/>
    <w:rsid w:val="00FD52D4"/>
    <w:rsid w:val="00FE18E3"/>
    <w:rsid w:val="00FE26A8"/>
    <w:rsid w:val="00FE27B7"/>
    <w:rsid w:val="00FE2988"/>
    <w:rsid w:val="00FE3CDE"/>
    <w:rsid w:val="00FE3EBE"/>
    <w:rsid w:val="00FE465D"/>
    <w:rsid w:val="00FE4962"/>
    <w:rsid w:val="00FE79D3"/>
    <w:rsid w:val="00FF18F8"/>
    <w:rsid w:val="00FF360B"/>
    <w:rsid w:val="00FF412B"/>
    <w:rsid w:val="00FF4473"/>
    <w:rsid w:val="00FF6B7D"/>
    <w:rsid w:val="00FF6DD9"/>
    <w:rsid w:val="1C48856F"/>
    <w:rsid w:val="1CD3077D"/>
    <w:rsid w:val="2B1F2C50"/>
    <w:rsid w:val="45273A05"/>
    <w:rsid w:val="4645EF58"/>
    <w:rsid w:val="4D7C520E"/>
    <w:rsid w:val="53CDD397"/>
    <w:rsid w:val="7F6E82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3E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1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1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81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1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1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81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063"/>
    <w:rPr>
      <w:rFonts w:eastAsiaTheme="majorEastAsia" w:cstheme="majorBidi"/>
      <w:color w:val="272727" w:themeColor="text1" w:themeTint="D8"/>
    </w:rPr>
  </w:style>
  <w:style w:type="paragraph" w:styleId="Title">
    <w:name w:val="Title"/>
    <w:basedOn w:val="Normal"/>
    <w:next w:val="Normal"/>
    <w:link w:val="TitleChar"/>
    <w:uiPriority w:val="10"/>
    <w:qFormat/>
    <w:rsid w:val="00981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063"/>
    <w:pPr>
      <w:spacing w:before="160"/>
      <w:jc w:val="center"/>
    </w:pPr>
    <w:rPr>
      <w:i/>
      <w:iCs/>
      <w:color w:val="404040" w:themeColor="text1" w:themeTint="BF"/>
    </w:rPr>
  </w:style>
  <w:style w:type="character" w:customStyle="1" w:styleId="QuoteChar">
    <w:name w:val="Quote Char"/>
    <w:basedOn w:val="DefaultParagraphFont"/>
    <w:link w:val="Quote"/>
    <w:uiPriority w:val="29"/>
    <w:rsid w:val="00981063"/>
    <w:rPr>
      <w:i/>
      <w:iCs/>
      <w:color w:val="404040" w:themeColor="text1" w:themeTint="BF"/>
    </w:rPr>
  </w:style>
  <w:style w:type="paragraph" w:styleId="ListParagraph">
    <w:name w:val="List Paragraph"/>
    <w:basedOn w:val="Normal"/>
    <w:uiPriority w:val="34"/>
    <w:qFormat/>
    <w:rsid w:val="00981063"/>
    <w:pPr>
      <w:ind w:left="720"/>
      <w:contextualSpacing/>
    </w:pPr>
  </w:style>
  <w:style w:type="character" w:styleId="IntenseEmphasis">
    <w:name w:val="Intense Emphasis"/>
    <w:basedOn w:val="DefaultParagraphFont"/>
    <w:uiPriority w:val="21"/>
    <w:qFormat/>
    <w:rsid w:val="00981063"/>
    <w:rPr>
      <w:i/>
      <w:iCs/>
      <w:color w:val="0F4761" w:themeColor="accent1" w:themeShade="BF"/>
    </w:rPr>
  </w:style>
  <w:style w:type="paragraph" w:styleId="IntenseQuote">
    <w:name w:val="Intense Quote"/>
    <w:basedOn w:val="Normal"/>
    <w:next w:val="Normal"/>
    <w:link w:val="IntenseQuoteChar"/>
    <w:uiPriority w:val="30"/>
    <w:qFormat/>
    <w:rsid w:val="00981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063"/>
    <w:rPr>
      <w:i/>
      <w:iCs/>
      <w:color w:val="0F4761" w:themeColor="accent1" w:themeShade="BF"/>
    </w:rPr>
  </w:style>
  <w:style w:type="character" w:styleId="IntenseReference">
    <w:name w:val="Intense Reference"/>
    <w:basedOn w:val="DefaultParagraphFont"/>
    <w:uiPriority w:val="32"/>
    <w:qFormat/>
    <w:rsid w:val="00981063"/>
    <w:rPr>
      <w:b/>
      <w:bCs/>
      <w:smallCaps/>
      <w:color w:val="0F4761" w:themeColor="accent1" w:themeShade="BF"/>
      <w:spacing w:val="5"/>
    </w:rPr>
  </w:style>
  <w:style w:type="paragraph" w:styleId="FootnoteText">
    <w:name w:val="footnote text"/>
    <w:basedOn w:val="Normal"/>
    <w:link w:val="FootnoteTextChar"/>
    <w:uiPriority w:val="99"/>
    <w:semiHidden/>
    <w:unhideWhenUsed/>
    <w:rsid w:val="007618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18B3"/>
    <w:rPr>
      <w:sz w:val="20"/>
      <w:szCs w:val="20"/>
    </w:rPr>
  </w:style>
  <w:style w:type="character" w:styleId="FootnoteReference">
    <w:name w:val="footnote reference"/>
    <w:basedOn w:val="DefaultParagraphFont"/>
    <w:uiPriority w:val="99"/>
    <w:semiHidden/>
    <w:unhideWhenUsed/>
    <w:rsid w:val="007618B3"/>
    <w:rPr>
      <w:vertAlign w:val="superscript"/>
    </w:rPr>
  </w:style>
  <w:style w:type="paragraph" w:styleId="Header">
    <w:name w:val="header"/>
    <w:basedOn w:val="Normal"/>
    <w:link w:val="HeaderChar"/>
    <w:uiPriority w:val="99"/>
    <w:unhideWhenUsed/>
    <w:rsid w:val="00761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8B3"/>
  </w:style>
  <w:style w:type="paragraph" w:styleId="Footer">
    <w:name w:val="footer"/>
    <w:basedOn w:val="Normal"/>
    <w:link w:val="FooterChar"/>
    <w:uiPriority w:val="99"/>
    <w:unhideWhenUsed/>
    <w:rsid w:val="00761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8B3"/>
  </w:style>
  <w:style w:type="paragraph" w:styleId="CommentText">
    <w:name w:val="annotation text"/>
    <w:basedOn w:val="Normal"/>
    <w:link w:val="CommentTextChar"/>
    <w:uiPriority w:val="99"/>
    <w:unhideWhenUsed/>
    <w:rsid w:val="0029379B"/>
    <w:pPr>
      <w:spacing w:line="240" w:lineRule="auto"/>
    </w:pPr>
    <w:rPr>
      <w:sz w:val="20"/>
      <w:szCs w:val="20"/>
    </w:rPr>
  </w:style>
  <w:style w:type="character" w:customStyle="1" w:styleId="CommentTextChar">
    <w:name w:val="Comment Text Char"/>
    <w:basedOn w:val="DefaultParagraphFont"/>
    <w:link w:val="CommentText"/>
    <w:uiPriority w:val="99"/>
    <w:rsid w:val="0029379B"/>
    <w:rPr>
      <w:sz w:val="20"/>
      <w:szCs w:val="20"/>
    </w:rPr>
  </w:style>
  <w:style w:type="character" w:styleId="CommentReference">
    <w:name w:val="annotation reference"/>
    <w:basedOn w:val="DefaultParagraphFont"/>
    <w:uiPriority w:val="99"/>
    <w:semiHidden/>
    <w:unhideWhenUsed/>
    <w:rsid w:val="0029379B"/>
    <w:rPr>
      <w:sz w:val="16"/>
      <w:szCs w:val="16"/>
    </w:rPr>
  </w:style>
  <w:style w:type="table" w:styleId="TableGrid">
    <w:name w:val="Table Grid"/>
    <w:basedOn w:val="TableNormal"/>
    <w:uiPriority w:val="39"/>
    <w:rsid w:val="00306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069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E79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1D036D"/>
    <w:rPr>
      <w:b/>
      <w:bCs/>
    </w:rPr>
  </w:style>
  <w:style w:type="paragraph" w:styleId="CommentSubject">
    <w:name w:val="annotation subject"/>
    <w:basedOn w:val="CommentText"/>
    <w:next w:val="CommentText"/>
    <w:link w:val="CommentSubjectChar"/>
    <w:uiPriority w:val="99"/>
    <w:semiHidden/>
    <w:unhideWhenUsed/>
    <w:rsid w:val="00705F30"/>
    <w:rPr>
      <w:b/>
      <w:bCs/>
    </w:rPr>
  </w:style>
  <w:style w:type="character" w:customStyle="1" w:styleId="CommentSubjectChar">
    <w:name w:val="Comment Subject Char"/>
    <w:basedOn w:val="CommentTextChar"/>
    <w:link w:val="CommentSubject"/>
    <w:uiPriority w:val="99"/>
    <w:semiHidden/>
    <w:rsid w:val="00705F30"/>
    <w:rPr>
      <w:b/>
      <w:bCs/>
      <w:sz w:val="20"/>
      <w:szCs w:val="20"/>
    </w:rPr>
  </w:style>
  <w:style w:type="character" w:styleId="Hyperlink">
    <w:name w:val="Hyperlink"/>
    <w:basedOn w:val="DefaultParagraphFont"/>
    <w:uiPriority w:val="99"/>
    <w:unhideWhenUsed/>
    <w:rsid w:val="005F0574"/>
    <w:rPr>
      <w:color w:val="467886" w:themeColor="hyperlink"/>
      <w:u w:val="single"/>
    </w:rPr>
  </w:style>
  <w:style w:type="character" w:styleId="UnresolvedMention">
    <w:name w:val="Unresolved Mention"/>
    <w:basedOn w:val="DefaultParagraphFont"/>
    <w:uiPriority w:val="99"/>
    <w:semiHidden/>
    <w:unhideWhenUsed/>
    <w:rsid w:val="005F0574"/>
    <w:rPr>
      <w:color w:val="605E5C"/>
      <w:shd w:val="clear" w:color="auto" w:fill="E1DFDD"/>
    </w:rPr>
  </w:style>
  <w:style w:type="paragraph" w:styleId="NormalWeb">
    <w:name w:val="Normal (Web)"/>
    <w:basedOn w:val="Normal"/>
    <w:uiPriority w:val="99"/>
    <w:semiHidden/>
    <w:unhideWhenUsed/>
    <w:rsid w:val="009008F6"/>
    <w:rPr>
      <w:rFonts w:ascii="Times New Roman" w:hAnsi="Times New Roman" w:cs="Times New Roman"/>
    </w:rPr>
  </w:style>
  <w:style w:type="character" w:styleId="Mention">
    <w:name w:val="Mention"/>
    <w:basedOn w:val="DefaultParagraphFont"/>
    <w:uiPriority w:val="99"/>
    <w:unhideWhenUsed/>
    <w:rsid w:val="00C24D34"/>
    <w:rPr>
      <w:color w:val="2B579A"/>
      <w:shd w:val="clear" w:color="auto" w:fill="E1DFDD"/>
    </w:rPr>
  </w:style>
  <w:style w:type="table" w:styleId="PlainTable4">
    <w:name w:val="Plain Table 4"/>
    <w:basedOn w:val="TableNormal"/>
    <w:uiPriority w:val="44"/>
    <w:rsid w:val="00EE23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451D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4451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992B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ia.pmc.gov.au/sites/default/files/2024-02/regulatory-burden-measurement-framework.pdf" TargetMode="External"/><Relationship Id="rId1" Type="http://schemas.openxmlformats.org/officeDocument/2006/relationships/hyperlink" Target="https://www.aer.gov.au/documents/schedule-2-quarter-2-2024-25-retail-performanc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BEFB-C3AB-4ABF-A60E-F2DC05AA299D}">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2009</Words>
  <Characters>10650</Characters>
  <Application>Microsoft Office Word</Application>
  <DocSecurity>0</DocSecurity>
  <Lines>231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Links>
    <vt:vector size="12" baseType="variant">
      <vt:variant>
        <vt:i4>6291579</vt:i4>
      </vt:variant>
      <vt:variant>
        <vt:i4>3</vt:i4>
      </vt:variant>
      <vt:variant>
        <vt:i4>0</vt:i4>
      </vt:variant>
      <vt:variant>
        <vt:i4>5</vt:i4>
      </vt:variant>
      <vt:variant>
        <vt:lpwstr>https://oia.pmc.gov.au/sites/default/files/2024-02/regulatory-burden-measurement-framework.pdf</vt:lpwstr>
      </vt:variant>
      <vt:variant>
        <vt:lpwstr/>
      </vt:variant>
      <vt:variant>
        <vt:i4>5832781</vt:i4>
      </vt:variant>
      <vt:variant>
        <vt:i4>0</vt:i4>
      </vt:variant>
      <vt:variant>
        <vt:i4>0</vt:i4>
      </vt:variant>
      <vt:variant>
        <vt:i4>5</vt:i4>
      </vt:variant>
      <vt:variant>
        <vt:lpwstr>https://www.aer.gov.au/documents/schedule-2-quarter-2-2024-25-retail-performance-data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2026-03-06T00:59:00Z</dcterms:created>
  <dcterms:modified xsi:type="dcterms:W3CDTF">2026-03-06T00:59:00Z</dcterms:modified>
</cp:coreProperties>
</file>