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127B" w14:textId="4094D9B6" w:rsidR="00A62EF3" w:rsidRPr="00CE02BD" w:rsidRDefault="00EE1505" w:rsidP="006D71DA">
      <w:pPr>
        <w:pStyle w:val="Title"/>
        <w:spacing w:after="120"/>
        <w:rPr>
          <w:rFonts w:ascii="Calibri" w:hAnsi="Calibri" w:cs="Calibri"/>
          <w:sz w:val="42"/>
          <w:szCs w:val="42"/>
        </w:rPr>
      </w:pPr>
      <w:bookmarkStart w:id="0" w:name="_Toc96326909"/>
      <w:r w:rsidRPr="00CE02BD">
        <w:rPr>
          <w:rFonts w:ascii="Calibri" w:hAnsi="Calibri" w:cs="Calibri"/>
          <w:sz w:val="42"/>
          <w:szCs w:val="42"/>
        </w:rPr>
        <w:t>Health Legislation Amendment (Improving Choice and Transparency for Private Health Consumers) Bill: Regulating</w:t>
      </w:r>
      <w:r w:rsidR="005F4E0E" w:rsidRPr="00CE02BD">
        <w:rPr>
          <w:rFonts w:ascii="Calibri" w:hAnsi="Calibri" w:cs="Calibri"/>
          <w:sz w:val="42"/>
          <w:szCs w:val="42"/>
        </w:rPr>
        <w:t xml:space="preserve"> </w:t>
      </w:r>
      <w:r w:rsidR="009926AE" w:rsidRPr="00CE02BD">
        <w:rPr>
          <w:rFonts w:ascii="Calibri" w:hAnsi="Calibri" w:cs="Calibri"/>
          <w:sz w:val="42"/>
          <w:szCs w:val="42"/>
        </w:rPr>
        <w:t>Premiums</w:t>
      </w:r>
    </w:p>
    <w:p w14:paraId="3CE5127C" w14:textId="27670A57" w:rsidR="00A62EF3" w:rsidRPr="008108B5" w:rsidRDefault="005505E3" w:rsidP="00A62EF3">
      <w:pPr>
        <w:pStyle w:val="Subtitle"/>
        <w:rPr>
          <w:rFonts w:cs="Calibri Light"/>
          <w:sz w:val="24"/>
          <w:szCs w:val="28"/>
        </w:rPr>
      </w:pPr>
      <w:r w:rsidRPr="008108B5">
        <w:rPr>
          <w:rFonts w:cs="Calibri Light"/>
          <w:sz w:val="24"/>
          <w:szCs w:val="28"/>
        </w:rPr>
        <w:t>Department</w:t>
      </w:r>
      <w:r w:rsidR="00B31143" w:rsidRPr="008108B5">
        <w:rPr>
          <w:rFonts w:cs="Calibri Light"/>
          <w:sz w:val="24"/>
          <w:szCs w:val="28"/>
        </w:rPr>
        <w:t xml:space="preserve"> of Health</w:t>
      </w:r>
      <w:r w:rsidR="00E7708D" w:rsidRPr="008108B5">
        <w:rPr>
          <w:rFonts w:cs="Calibri Light"/>
          <w:sz w:val="24"/>
          <w:szCs w:val="28"/>
        </w:rPr>
        <w:t>, Disability and Ageing</w:t>
      </w:r>
    </w:p>
    <w:p w14:paraId="3CE5127D" w14:textId="77777777" w:rsidR="00A62EF3" w:rsidRDefault="00BB2987" w:rsidP="00C13310">
      <w:pPr>
        <w:pStyle w:val="BOXHeading2"/>
        <w:ind w:firstLine="493"/>
        <w:rPr>
          <w:noProof/>
        </w:rPr>
      </w:pPr>
      <w:r>
        <w:rPr>
          <w:noProof/>
        </w:rPr>
        <w:pict w14:anchorId="3CE512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.8pt;margin-top:81.35pt;width:38.65pt;height:38.65pt;z-index:251658242;mso-position-horizontal-relative:margin;mso-position-vertical-relative:margin">
            <v:imagedata r:id="rId8" o:title="Icons28"/>
            <w10:wrap anchorx="margin" anchory="margin"/>
          </v:shape>
        </w:pict>
      </w:r>
      <w:r w:rsidR="00E63FC4">
        <w:rPr>
          <w:noProof/>
        </w:rPr>
        <w:t xml:space="preserve">  </w:t>
      </w:r>
      <w:r w:rsidR="00BE0F4D">
        <w:rPr>
          <w:noProof/>
        </w:rPr>
        <w:t>T</w:t>
      </w:r>
      <w:r w:rsidR="00E13082">
        <w:rPr>
          <w:noProof/>
        </w:rPr>
        <w:t>he</w:t>
      </w:r>
      <w:r w:rsidR="00D13C0A">
        <w:rPr>
          <w:noProof/>
        </w:rPr>
        <w:t xml:space="preserve"> </w:t>
      </w:r>
      <w:r w:rsidR="00E13082">
        <w:rPr>
          <w:noProof/>
        </w:rPr>
        <w:t>policy p</w:t>
      </w:r>
      <w:r w:rsidR="006A2BCA">
        <w:rPr>
          <w:noProof/>
        </w:rPr>
        <w:t>roblem</w:t>
      </w:r>
      <w:bookmarkEnd w:id="0"/>
      <w:r w:rsidR="00BE0F4D">
        <w:rPr>
          <w:noProof/>
        </w:rPr>
        <w:t xml:space="preserve"> and p</w:t>
      </w:r>
      <w:r w:rsidR="00490E25">
        <w:rPr>
          <w:noProof/>
        </w:rPr>
        <w:t>r</w:t>
      </w:r>
      <w:r w:rsidR="00B05108">
        <w:rPr>
          <w:noProof/>
        </w:rPr>
        <w:t>eferred</w:t>
      </w:r>
      <w:r w:rsidR="00BE0F4D">
        <w:rPr>
          <w:noProof/>
        </w:rPr>
        <w:t xml:space="preserve"> </w:t>
      </w:r>
      <w:r w:rsidR="00B05108">
        <w:rPr>
          <w:noProof/>
        </w:rPr>
        <w:t xml:space="preserve">policy </w:t>
      </w:r>
      <w:r w:rsidR="00BE0F4D">
        <w:rPr>
          <w:noProof/>
        </w:rPr>
        <w:t>appro</w:t>
      </w:r>
      <w:r w:rsidR="00E12AB4">
        <w:rPr>
          <w:noProof/>
        </w:rPr>
        <w:t>a</w:t>
      </w:r>
      <w:r w:rsidR="00BE0F4D">
        <w:rPr>
          <w:noProof/>
        </w:rPr>
        <w:t>ch</w:t>
      </w:r>
    </w:p>
    <w:p w14:paraId="56B6774D" w14:textId="07C0B2A7" w:rsidR="008120AE" w:rsidRDefault="005E34A5" w:rsidP="04327B5C">
      <w:pPr>
        <w:pStyle w:val="BOXText"/>
        <w:numPr>
          <w:ilvl w:val="0"/>
          <w:numId w:val="42"/>
        </w:numPr>
        <w:pBdr>
          <w:bottom w:val="single" w:sz="48" w:space="0" w:color="F2F2F2" w:themeColor="background1" w:themeShade="F2"/>
        </w:pBdr>
        <w:spacing w:after="0"/>
      </w:pPr>
      <w:r>
        <w:t>Private health insurers can open a new product at any time, at any premium, without Ministerial scrutiny, because the requirement to seek Ministerial approval for premiums only applies to existing products</w:t>
      </w:r>
      <w:r w:rsidR="5F92861F">
        <w:t xml:space="preserve"> with a premium change</w:t>
      </w:r>
      <w:r>
        <w:t xml:space="preserve">. </w:t>
      </w:r>
      <w:r w:rsidR="00430668">
        <w:t xml:space="preserve">A particular concern is when </w:t>
      </w:r>
      <w:r>
        <w:t xml:space="preserve">insurers </w:t>
      </w:r>
      <w:r w:rsidR="00B824A3">
        <w:t xml:space="preserve">close a health insurance product and </w:t>
      </w:r>
      <w:r>
        <w:t>open a</w:t>
      </w:r>
      <w:r w:rsidR="00430668">
        <w:t xml:space="preserve"> new product priced much higher (referred to as ‘product phoenixing’)</w:t>
      </w:r>
      <w:r w:rsidR="2B0F0ED5">
        <w:t xml:space="preserve"> without Ministerial scrutiny</w:t>
      </w:r>
      <w:r w:rsidR="00800FF9">
        <w:t xml:space="preserve">. </w:t>
      </w:r>
      <w:r w:rsidR="06799587">
        <w:t>This</w:t>
      </w:r>
      <w:r w:rsidR="00E80816">
        <w:t xml:space="preserve"> expo</w:t>
      </w:r>
      <w:r w:rsidR="00926925">
        <w:t>se</w:t>
      </w:r>
      <w:r w:rsidR="1D51E64E">
        <w:t>s</w:t>
      </w:r>
      <w:r w:rsidR="00926925">
        <w:t xml:space="preserve"> consumers to unregulated charging behaviours. </w:t>
      </w:r>
      <w:r w:rsidR="00B824A3">
        <w:t xml:space="preserve"> </w:t>
      </w:r>
    </w:p>
    <w:p w14:paraId="3CE51281" w14:textId="13CB161D" w:rsidR="005E0DC7" w:rsidRPr="00BE0F4D" w:rsidRDefault="00630355" w:rsidP="00553D0F">
      <w:pPr>
        <w:pStyle w:val="BOXText"/>
        <w:numPr>
          <w:ilvl w:val="0"/>
          <w:numId w:val="42"/>
        </w:numPr>
        <w:pBdr>
          <w:bottom w:val="single" w:sz="48" w:space="0" w:color="F2F2F2" w:themeColor="background1" w:themeShade="F2"/>
        </w:pBdr>
        <w:spacing w:after="0"/>
      </w:pPr>
      <w:r>
        <w:t xml:space="preserve">The preferred policy approach </w:t>
      </w:r>
      <w:r w:rsidR="00E638C2">
        <w:t xml:space="preserve">to address product phoenixing </w:t>
      </w:r>
      <w:r w:rsidR="00E64CAF" w:rsidRPr="00E64CAF">
        <w:t>require</w:t>
      </w:r>
      <w:r w:rsidR="00E64CAF">
        <w:t>s</w:t>
      </w:r>
      <w:r w:rsidR="00E64CAF" w:rsidRPr="00E64CAF">
        <w:t xml:space="preserve"> insurers to seek the Minister’s approval for premiums for new products, and existing products for which cover or value to consumers has been reduced.</w:t>
      </w:r>
    </w:p>
    <w:p w14:paraId="3CE51282" w14:textId="77777777" w:rsidR="005505E3" w:rsidRPr="00D859BB" w:rsidRDefault="00BB2987" w:rsidP="003C1C2C">
      <w:pPr>
        <w:pStyle w:val="BOXHeading2"/>
        <w:spacing w:before="120"/>
        <w:ind w:firstLine="493"/>
      </w:pPr>
      <w:r>
        <w:rPr>
          <w:noProof/>
        </w:rPr>
        <w:pict w14:anchorId="3CE512A7">
          <v:shape id="_x0000_s2052" type="#_x0000_t75" style="position:absolute;left:0;text-align:left;margin-left:0;margin-top:220.25pt;width:38pt;height:38pt;z-index:251658241;mso-position-horizontal-relative:margin;mso-position-vertical-relative:margin">
            <v:imagedata r:id="rId9" o:title="Icons16"/>
            <w10:wrap anchorx="margin" anchory="margin"/>
          </v:shape>
        </w:pict>
      </w:r>
      <w:r w:rsidR="00A57585">
        <w:t xml:space="preserve">  </w:t>
      </w:r>
      <w:r w:rsidR="002002ED">
        <w:t>Impact Analysis</w:t>
      </w:r>
    </w:p>
    <w:tbl>
      <w:tblPr>
        <w:tblStyle w:val="Custom11"/>
        <w:tblW w:w="5002" w:type="pct"/>
        <w:tblLook w:val="0420" w:firstRow="1" w:lastRow="0" w:firstColumn="0" w:lastColumn="0" w:noHBand="0" w:noVBand="1"/>
        <w:tblCaption w:val="Table with horizontal lines"/>
        <w:tblDescription w:val="This is an example of alt text."/>
      </w:tblPr>
      <w:tblGrid>
        <w:gridCol w:w="10776"/>
      </w:tblGrid>
      <w:tr w:rsidR="00152412" w:rsidRPr="005505E3" w14:paraId="3CE51284" w14:textId="77777777" w:rsidTr="71B7D0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tcW w:w="5000" w:type="pct"/>
            <w:tcBorders>
              <w:top w:val="single" w:sz="2" w:space="0" w:color="FFFFFF" w:themeColor="background1"/>
              <w:bottom w:val="single" w:sz="4" w:space="0" w:color="778E61" w:themeColor="accent2"/>
            </w:tcBorders>
            <w:shd w:val="clear" w:color="auto" w:fill="1C2B39"/>
          </w:tcPr>
          <w:p w14:paraId="3CE51283" w14:textId="77777777" w:rsidR="00152412" w:rsidRPr="00152412" w:rsidRDefault="00BE0F4D" w:rsidP="005505E3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18"/>
              </w:rPr>
            </w:pPr>
            <w:r>
              <w:rPr>
                <w:rFonts w:ascii="Calibri" w:hAnsi="Calibri" w:cs="Calibri"/>
                <w:color w:val="FFFFFF" w:themeColor="background1"/>
                <w:sz w:val="24"/>
                <w:szCs w:val="18"/>
              </w:rPr>
              <w:t>Impacts</w:t>
            </w:r>
          </w:p>
        </w:tc>
      </w:tr>
      <w:tr w:rsidR="0044397A" w:rsidRPr="005505E3" w14:paraId="3CE5128D" w14:textId="77777777" w:rsidTr="003C2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1"/>
        </w:trPr>
        <w:tc>
          <w:tcPr>
            <w:tcW w:w="5000" w:type="pct"/>
            <w:tcBorders>
              <w:top w:val="single" w:sz="4" w:space="0" w:color="778E61" w:themeColor="accent2"/>
            </w:tcBorders>
            <w:shd w:val="clear" w:color="auto" w:fill="D8E2EC"/>
          </w:tcPr>
          <w:p w14:paraId="248165E8" w14:textId="7CDB3427" w:rsidR="00AF2A16" w:rsidRDefault="00AF2A16" w:rsidP="005E6E22">
            <w:pPr>
              <w:pStyle w:val="ListParagraph"/>
              <w:numPr>
                <w:ilvl w:val="0"/>
                <w:numId w:val="41"/>
              </w:numPr>
              <w:spacing w:after="0" w:line="240" w:lineRule="auto"/>
            </w:pPr>
            <w:r>
              <w:t>The prefer</w:t>
            </w:r>
            <w:r w:rsidR="00DE512B">
              <w:t>red policy</w:t>
            </w:r>
            <w:r w:rsidR="0AFE2067">
              <w:t xml:space="preserve"> approach</w:t>
            </w:r>
            <w:r w:rsidR="00DE512B">
              <w:t xml:space="preserve"> </w:t>
            </w:r>
            <w:r>
              <w:t xml:space="preserve">will </w:t>
            </w:r>
            <w:r w:rsidR="00221871">
              <w:t xml:space="preserve">ensure </w:t>
            </w:r>
            <w:r w:rsidR="000902DD">
              <w:t>an appropriate level of oversight of product premiums, without u</w:t>
            </w:r>
            <w:r w:rsidR="00DF30F7">
              <w:t>nnecessarily increasing regulatory burden for insurers</w:t>
            </w:r>
            <w:r w:rsidR="00221871">
              <w:t>, in addition to implementing the Government’s election commitment</w:t>
            </w:r>
            <w:r w:rsidR="0051407E">
              <w:t xml:space="preserve"> to ban product phoenixing</w:t>
            </w:r>
            <w:r w:rsidR="00221871">
              <w:t>.</w:t>
            </w:r>
          </w:p>
          <w:p w14:paraId="238D88B0" w14:textId="06E6CFAB" w:rsidR="00F87606" w:rsidRDefault="00C3409A" w:rsidP="005E6E22">
            <w:pPr>
              <w:pStyle w:val="ListParagraph"/>
              <w:numPr>
                <w:ilvl w:val="0"/>
                <w:numId w:val="41"/>
              </w:numPr>
              <w:spacing w:after="0" w:line="240" w:lineRule="auto"/>
            </w:pPr>
            <w:r>
              <w:t>C</w:t>
            </w:r>
            <w:r w:rsidR="002E02C0">
              <w:t xml:space="preserve">onsumers will </w:t>
            </w:r>
            <w:r w:rsidR="222522C2">
              <w:t>experience</w:t>
            </w:r>
            <w:r w:rsidR="002E02C0">
              <w:t xml:space="preserve"> improved value for money and satisfaction with </w:t>
            </w:r>
            <w:r w:rsidR="6E3F722E">
              <w:t>private health insurance (PHI).</w:t>
            </w:r>
          </w:p>
          <w:p w14:paraId="58AC825E" w14:textId="7E21FB64" w:rsidR="00510192" w:rsidRDefault="00510192" w:rsidP="005E6E22">
            <w:pPr>
              <w:pStyle w:val="ListParagraph"/>
              <w:numPr>
                <w:ilvl w:val="0"/>
                <w:numId w:val="41"/>
              </w:numPr>
              <w:spacing w:after="0" w:line="240" w:lineRule="auto"/>
            </w:pPr>
            <w:r>
              <w:t>The most notable impact for insurers, which was raised in a public consultation process, is reduced flexibility to respond to below expected margins on their products.</w:t>
            </w:r>
          </w:p>
          <w:p w14:paraId="3CE5128C" w14:textId="4AB10258" w:rsidR="0044397A" w:rsidRPr="001D2804" w:rsidRDefault="006D643B" w:rsidP="001D2804">
            <w:pPr>
              <w:pStyle w:val="ListParagraph"/>
              <w:numPr>
                <w:ilvl w:val="0"/>
                <w:numId w:val="41"/>
              </w:numPr>
              <w:spacing w:after="0" w:line="240" w:lineRule="auto"/>
            </w:pPr>
            <w:r>
              <w:t xml:space="preserve">The regulatory burden estimate </w:t>
            </w:r>
            <w:r w:rsidR="56847FE9">
              <w:t>is</w:t>
            </w:r>
            <w:r>
              <w:t xml:space="preserve"> </w:t>
            </w:r>
            <w:r w:rsidRPr="71B7D072">
              <w:rPr>
                <w:b/>
                <w:bCs/>
              </w:rPr>
              <w:t>$</w:t>
            </w:r>
            <w:r w:rsidR="0F8F5873" w:rsidRPr="4EED751E">
              <w:rPr>
                <w:b/>
                <w:bCs/>
              </w:rPr>
              <w:t>480</w:t>
            </w:r>
            <w:r w:rsidR="007754A7">
              <w:rPr>
                <w:b/>
                <w:bCs/>
              </w:rPr>
              <w:t>,000</w:t>
            </w:r>
            <w:r w:rsidRPr="71B7D072">
              <w:rPr>
                <w:b/>
                <w:bCs/>
              </w:rPr>
              <w:t xml:space="preserve"> per year </w:t>
            </w:r>
            <w:r w:rsidR="000D7890">
              <w:rPr>
                <w:b/>
                <w:bCs/>
              </w:rPr>
              <w:t xml:space="preserve">across </w:t>
            </w:r>
            <w:r w:rsidR="00046323">
              <w:rPr>
                <w:b/>
                <w:bCs/>
              </w:rPr>
              <w:t xml:space="preserve">all </w:t>
            </w:r>
            <w:r w:rsidR="009D1DE3">
              <w:rPr>
                <w:b/>
                <w:bCs/>
              </w:rPr>
              <w:t xml:space="preserve">28 </w:t>
            </w:r>
            <w:r w:rsidR="00046323">
              <w:rPr>
                <w:b/>
                <w:bCs/>
              </w:rPr>
              <w:t>insurers</w:t>
            </w:r>
            <w:r>
              <w:t>, noting larger insurers would likely carry the highest financial burden due to their greater number of product offerings.</w:t>
            </w:r>
          </w:p>
        </w:tc>
      </w:tr>
    </w:tbl>
    <w:p w14:paraId="3CE512A5" w14:textId="14089AD7" w:rsidR="002D37AE" w:rsidRPr="005C66F5" w:rsidRDefault="005C66F5" w:rsidP="005C66F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1C2B39"/>
        <w:spacing w:before="240" w:after="0"/>
        <w:ind w:left="113" w:right="108"/>
        <w:outlineLvl w:val="2"/>
        <w:rPr>
          <w:rFonts w:ascii="Calibri" w:hAnsi="Calibri" w:cs="Calibri"/>
          <w:b/>
          <w:color w:val="FFFFFF" w:themeColor="background1"/>
          <w:sz w:val="24"/>
        </w:rPr>
      </w:pPr>
      <w:r w:rsidRPr="005C66F5">
        <w:rPr>
          <w:rFonts w:ascii="Calibri" w:hAnsi="Calibri" w:cs="Calibri"/>
          <w:b/>
          <w:color w:val="FFFFFF" w:themeColor="background1"/>
          <w:sz w:val="24"/>
        </w:rPr>
        <w:t>Who is impacted</w:t>
      </w:r>
    </w:p>
    <w:tbl>
      <w:tblPr>
        <w:tblStyle w:val="Custom11"/>
        <w:tblW w:w="5002" w:type="pct"/>
        <w:tblLook w:val="0420" w:firstRow="1" w:lastRow="0" w:firstColumn="0" w:lastColumn="0" w:noHBand="0" w:noVBand="1"/>
      </w:tblPr>
      <w:tblGrid>
        <w:gridCol w:w="3592"/>
        <w:gridCol w:w="3593"/>
        <w:gridCol w:w="3591"/>
      </w:tblGrid>
      <w:tr w:rsidR="005C66F5" w14:paraId="189C75F0" w14:textId="77777777" w:rsidTr="00F46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21"/>
          <w:tblHeader/>
        </w:trPr>
        <w:tc>
          <w:tcPr>
            <w:tcW w:w="1667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69BE6F48" w14:textId="77777777" w:rsidR="005C66F5" w:rsidRDefault="005C66F5" w:rsidP="0064286E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Individuals</w:t>
            </w:r>
          </w:p>
        </w:tc>
        <w:tc>
          <w:tcPr>
            <w:tcW w:w="1667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49BFF9D8" w14:textId="77777777" w:rsidR="005C66F5" w:rsidRDefault="005C66F5" w:rsidP="0064286E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Businesses</w:t>
            </w:r>
          </w:p>
        </w:tc>
        <w:tc>
          <w:tcPr>
            <w:tcW w:w="1666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64E0A164" w14:textId="77777777" w:rsidR="005C66F5" w:rsidRDefault="005C66F5" w:rsidP="0064286E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Community organisations</w:t>
            </w:r>
          </w:p>
        </w:tc>
      </w:tr>
      <w:tr w:rsidR="005C66F5" w:rsidRPr="00402E24" w14:paraId="0EF0ECA2" w14:textId="77777777" w:rsidTr="008108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3"/>
        </w:trPr>
        <w:tc>
          <w:tcPr>
            <w:tcW w:w="1667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45652E49" w14:textId="445994D1" w:rsidR="005C66F5" w:rsidRDefault="005B685C" w:rsidP="0064286E">
            <w:p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 xml:space="preserve">Consumers </w:t>
            </w:r>
            <w:r w:rsidR="00401E7D">
              <w:rPr>
                <w:szCs w:val="18"/>
              </w:rPr>
              <w:t>will benefit from greater protection from unregulated charging behaviour, improving value for money.</w:t>
            </w:r>
            <w:r w:rsidR="00DA3214">
              <w:rPr>
                <w:szCs w:val="18"/>
              </w:rPr>
              <w:t xml:space="preserve"> </w:t>
            </w:r>
            <w:r w:rsidR="00D94D38">
              <w:rPr>
                <w:szCs w:val="18"/>
              </w:rPr>
              <w:t xml:space="preserve">People holding or looking to purchase </w:t>
            </w:r>
            <w:proofErr w:type="gramStart"/>
            <w:r w:rsidR="00826F51">
              <w:rPr>
                <w:szCs w:val="18"/>
              </w:rPr>
              <w:t>Gold</w:t>
            </w:r>
            <w:proofErr w:type="gramEnd"/>
            <w:r w:rsidR="00826F51">
              <w:rPr>
                <w:szCs w:val="18"/>
              </w:rPr>
              <w:t xml:space="preserve"> hospital cover will</w:t>
            </w:r>
            <w:r w:rsidR="006B189D">
              <w:rPr>
                <w:szCs w:val="18"/>
              </w:rPr>
              <w:t xml:space="preserve"> likely</w:t>
            </w:r>
            <w:r w:rsidR="00826F51">
              <w:rPr>
                <w:szCs w:val="18"/>
              </w:rPr>
              <w:t xml:space="preserve"> experience the greatest benefit.</w:t>
            </w:r>
          </w:p>
          <w:p w14:paraId="25A03EFC" w14:textId="77777777" w:rsidR="005C66F5" w:rsidRPr="00402E24" w:rsidRDefault="005C66F5" w:rsidP="0064286E">
            <w:pPr>
              <w:spacing w:after="0" w:line="240" w:lineRule="auto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667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0F9D1B26" w14:textId="16E63C36" w:rsidR="005C66F5" w:rsidRPr="004E2C75" w:rsidRDefault="00EB2313" w:rsidP="0064286E">
            <w:pPr>
              <w:spacing w:after="0" w:line="240" w:lineRule="auto"/>
              <w:rPr>
                <w:rFonts w:cs="Calibri Light"/>
                <w:bCs/>
                <w:szCs w:val="18"/>
              </w:rPr>
            </w:pPr>
            <w:r w:rsidRPr="004E2C75">
              <w:rPr>
                <w:rFonts w:cs="Calibri Light"/>
                <w:bCs/>
                <w:szCs w:val="18"/>
              </w:rPr>
              <w:t xml:space="preserve">Private </w:t>
            </w:r>
            <w:r w:rsidR="004E2C75">
              <w:rPr>
                <w:rFonts w:cs="Calibri Light"/>
                <w:bCs/>
                <w:szCs w:val="18"/>
              </w:rPr>
              <w:t>h</w:t>
            </w:r>
            <w:r w:rsidRPr="004E2C75">
              <w:rPr>
                <w:rFonts w:cs="Calibri Light"/>
                <w:bCs/>
                <w:szCs w:val="18"/>
              </w:rPr>
              <w:t xml:space="preserve">ealth </w:t>
            </w:r>
            <w:r w:rsidR="004E2C75">
              <w:rPr>
                <w:rFonts w:cs="Calibri Light"/>
                <w:bCs/>
                <w:szCs w:val="18"/>
              </w:rPr>
              <w:t>i</w:t>
            </w:r>
            <w:r w:rsidRPr="004E2C75">
              <w:rPr>
                <w:rFonts w:cs="Calibri Light"/>
                <w:bCs/>
                <w:szCs w:val="18"/>
              </w:rPr>
              <w:t xml:space="preserve">nsurers will incur </w:t>
            </w:r>
            <w:r w:rsidR="00957C8B" w:rsidRPr="004E2C75">
              <w:rPr>
                <w:rFonts w:cs="Calibri Light"/>
                <w:bCs/>
                <w:szCs w:val="18"/>
              </w:rPr>
              <w:t>additional annual compliance</w:t>
            </w:r>
            <w:r w:rsidR="0046509D">
              <w:rPr>
                <w:rFonts w:cs="Calibri Light"/>
                <w:bCs/>
                <w:szCs w:val="18"/>
              </w:rPr>
              <w:t xml:space="preserve"> </w:t>
            </w:r>
            <w:r w:rsidR="00957C8B" w:rsidRPr="004E2C75">
              <w:rPr>
                <w:rFonts w:cs="Calibri Light"/>
                <w:bCs/>
                <w:szCs w:val="18"/>
              </w:rPr>
              <w:t xml:space="preserve">costs of around </w:t>
            </w:r>
            <w:r w:rsidR="00957C8B" w:rsidRPr="004E2C75">
              <w:rPr>
                <w:rFonts w:cs="Calibri Light"/>
                <w:b/>
                <w:szCs w:val="18"/>
              </w:rPr>
              <w:t>$480</w:t>
            </w:r>
            <w:r w:rsidR="00FC421F">
              <w:rPr>
                <w:rFonts w:cs="Calibri Light"/>
                <w:b/>
                <w:szCs w:val="18"/>
              </w:rPr>
              <w:t>,000</w:t>
            </w:r>
            <w:r w:rsidR="001C004B">
              <w:rPr>
                <w:rFonts w:cs="Calibri Light"/>
                <w:b/>
                <w:szCs w:val="18"/>
              </w:rPr>
              <w:t xml:space="preserve"> </w:t>
            </w:r>
            <w:r w:rsidR="00957C8B" w:rsidRPr="71B7D072">
              <w:rPr>
                <w:b/>
              </w:rPr>
              <w:t xml:space="preserve">per </w:t>
            </w:r>
            <w:r w:rsidR="00A60482" w:rsidRPr="71B7D072">
              <w:rPr>
                <w:b/>
              </w:rPr>
              <w:t xml:space="preserve">year </w:t>
            </w:r>
            <w:r w:rsidR="0046509D">
              <w:rPr>
                <w:b/>
                <w:bCs/>
              </w:rPr>
              <w:t>across all insurers</w:t>
            </w:r>
            <w:r w:rsidR="00A60482" w:rsidRPr="004E2C75">
              <w:rPr>
                <w:rFonts w:cs="Calibri Light"/>
                <w:bCs/>
                <w:szCs w:val="18"/>
              </w:rPr>
              <w:t xml:space="preserve">. </w:t>
            </w:r>
          </w:p>
        </w:tc>
        <w:tc>
          <w:tcPr>
            <w:tcW w:w="1666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19272CDD" w14:textId="126D798C" w:rsidR="005C66F5" w:rsidRPr="00402E24" w:rsidRDefault="003B0195" w:rsidP="0064286E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t>N</w:t>
            </w:r>
            <w:r w:rsidR="004D3D02">
              <w:t xml:space="preserve">o </w:t>
            </w:r>
            <w:r w:rsidR="001D2804">
              <w:t xml:space="preserve">direct </w:t>
            </w:r>
            <w:r w:rsidR="004D3D02">
              <w:t xml:space="preserve">impact </w:t>
            </w:r>
            <w:r w:rsidR="004E5C54">
              <w:t>on community organisations</w:t>
            </w:r>
            <w:r>
              <w:t xml:space="preserve"> </w:t>
            </w:r>
            <w:proofErr w:type="gramStart"/>
            <w:r>
              <w:t>are</w:t>
            </w:r>
            <w:proofErr w:type="gramEnd"/>
            <w:r>
              <w:t xml:space="preserve"> expected, as community organisations </w:t>
            </w:r>
            <w:r w:rsidR="008E7D45">
              <w:t xml:space="preserve">are not engaged in </w:t>
            </w:r>
            <w:r w:rsidR="588D9D5E">
              <w:t>PHI</w:t>
            </w:r>
            <w:r w:rsidR="008E7D45">
              <w:t xml:space="preserve"> premium setting or product design</w:t>
            </w:r>
            <w:r w:rsidR="004E5C54">
              <w:t xml:space="preserve">. </w:t>
            </w:r>
          </w:p>
        </w:tc>
      </w:tr>
    </w:tbl>
    <w:p w14:paraId="25C3B3D9" w14:textId="4FEE6A92" w:rsidR="005C66F5" w:rsidRPr="005C66F5" w:rsidRDefault="005C66F5" w:rsidP="005C66F5">
      <w:pPr>
        <w:rPr>
          <w:sz w:val="2"/>
        </w:rPr>
      </w:pPr>
    </w:p>
    <w:p w14:paraId="03BE01CA" w14:textId="087B3324" w:rsidR="005C66F5" w:rsidRPr="00E2196D" w:rsidRDefault="005C66F5" w:rsidP="005C66F5">
      <w:pPr>
        <w:pStyle w:val="BOXHeading2"/>
        <w:ind w:firstLine="493"/>
        <w:rPr>
          <w:noProof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29119E4E" wp14:editId="58EC4652">
            <wp:simplePos x="0" y="0"/>
            <wp:positionH relativeFrom="margin">
              <wp:posOffset>1905</wp:posOffset>
            </wp:positionH>
            <wp:positionV relativeFrom="margin">
              <wp:posOffset>6912914</wp:posOffset>
            </wp:positionV>
            <wp:extent cx="497205" cy="497205"/>
            <wp:effectExtent l="0" t="0" r="0" b="0"/>
            <wp:wrapNone/>
            <wp:docPr id="2" name="Picture 2" descr="Icons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cons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49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Other</w:t>
      </w:r>
      <w:r w:rsidRPr="00E2196D">
        <w:rPr>
          <w:noProof/>
        </w:rPr>
        <w:t xml:space="preserve"> </w:t>
      </w:r>
      <w:r>
        <w:rPr>
          <w:noProof/>
        </w:rPr>
        <w:t>considerations and i</w:t>
      </w:r>
      <w:r w:rsidRPr="00534819">
        <w:rPr>
          <w:noProof/>
        </w:rPr>
        <w:t>mplementation</w:t>
      </w:r>
    </w:p>
    <w:p w14:paraId="1BBD5A52" w14:textId="59521553" w:rsidR="00721B4A" w:rsidRDefault="00721B4A" w:rsidP="04327B5C">
      <w:pPr>
        <w:pStyle w:val="BOXBulletedList"/>
        <w:pBdr>
          <w:bottom w:val="single" w:sz="48" w:space="8" w:color="F2F2F2" w:themeColor="background1" w:themeShade="F2"/>
        </w:pBdr>
        <w:spacing w:after="0"/>
      </w:pPr>
      <w:r>
        <w:t xml:space="preserve">The other policy option considered </w:t>
      </w:r>
      <w:r w:rsidR="00D1564F">
        <w:t xml:space="preserve">was to </w:t>
      </w:r>
      <w:r w:rsidR="007E2EF9">
        <w:t xml:space="preserve">maintain </w:t>
      </w:r>
      <w:r w:rsidR="00D1564F">
        <w:t xml:space="preserve">the status quo. </w:t>
      </w:r>
      <w:r w:rsidR="0071559A">
        <w:t>Under this</w:t>
      </w:r>
      <w:r w:rsidR="00D1564F">
        <w:t xml:space="preserve"> option, </w:t>
      </w:r>
      <w:r w:rsidR="00FC18BA">
        <w:t xml:space="preserve">the practice of product phoenixing would likely continue. This would lead to a range of costs for consumers, including exposure to unregulated pricing behaviour, exposure to premiums potentially not in the public interest, and reduced satisfaction with </w:t>
      </w:r>
      <w:r w:rsidR="4F8CBA4E">
        <w:t>PHI</w:t>
      </w:r>
      <w:r w:rsidR="00FC18BA">
        <w:t>.</w:t>
      </w:r>
    </w:p>
    <w:p w14:paraId="59AC0815" w14:textId="179F948D" w:rsidR="005F4E0E" w:rsidRPr="005F4E0E" w:rsidRDefault="00F01E53" w:rsidP="00F01E53">
      <w:pPr>
        <w:pStyle w:val="BOXBulletedList"/>
        <w:pBdr>
          <w:bottom w:val="single" w:sz="48" w:space="8" w:color="F2F2F2" w:themeColor="background1" w:themeShade="F2"/>
        </w:pBdr>
        <w:spacing w:after="0"/>
      </w:pPr>
      <w:r w:rsidRPr="0011456C">
        <w:t xml:space="preserve">Insurers were requested to assume these changes would be implemented during the 2026 Premium year (i.e. 1 April 2026 to 31 March 2027), subject to passage through Parliament, and to factor this into their 2026 Premium Round submission. </w:t>
      </w:r>
    </w:p>
    <w:sectPr w:rsidR="005F4E0E" w:rsidRPr="005F4E0E" w:rsidSect="005C66F5">
      <w:headerReference w:type="even" r:id="rId11"/>
      <w:footerReference w:type="even" r:id="rId12"/>
      <w:headerReference w:type="first" r:id="rId13"/>
      <w:footerReference w:type="first" r:id="rId14"/>
      <w:pgSz w:w="11906" w:h="16838"/>
      <w:pgMar w:top="1701" w:right="567" w:bottom="1276" w:left="567" w:header="99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921D" w14:textId="77777777" w:rsidR="002C2461" w:rsidRDefault="002C2461" w:rsidP="00F957C6">
      <w:pPr>
        <w:spacing w:after="0" w:line="240" w:lineRule="auto"/>
      </w:pPr>
      <w:r>
        <w:separator/>
      </w:r>
    </w:p>
  </w:endnote>
  <w:endnote w:type="continuationSeparator" w:id="0">
    <w:p w14:paraId="67BFC76A" w14:textId="77777777" w:rsidR="002C2461" w:rsidRDefault="002C2461" w:rsidP="00F9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F892" w14:textId="272030D2" w:rsidR="001879B4" w:rsidRDefault="001879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8FDA7AE" wp14:editId="5944A7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28675" cy="400050"/>
              <wp:effectExtent l="0" t="0" r="9525" b="0"/>
              <wp:wrapNone/>
              <wp:docPr id="650401865" name="Text Box 5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67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436AC" w14:textId="69721962" w:rsidR="001879B4" w:rsidRPr="001879B4" w:rsidRDefault="001879B4" w:rsidP="001879B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879B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DA7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PROTECTED" style="position:absolute;margin-left:0;margin-top:0;width:65.25pt;height:31.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" filled="f" stroked="f">
              <v:textbox style="mso-fit-shape-to-text:t" inset="0,0,0,15pt">
                <w:txbxContent>
                  <w:p w14:paraId="13C436AC" w14:textId="69721962" w:rsidR="001879B4" w:rsidRPr="001879B4" w:rsidRDefault="001879B4" w:rsidP="001879B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879B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B4" w14:textId="6CF9721B" w:rsidR="00464D89" w:rsidRPr="00BB1526" w:rsidRDefault="7ECD4EA3" w:rsidP="7ECD4EA3">
    <w:pPr>
      <w:pStyle w:val="Header"/>
      <w:rPr>
        <w:rFonts w:ascii="Segoe UI" w:hAnsi="Segoe UI" w:cs="Segoe UI"/>
        <w:color w:val="6E6E6E"/>
        <w:sz w:val="18"/>
        <w:szCs w:val="18"/>
      </w:rPr>
    </w:pPr>
    <w:r>
      <w:rPr>
        <w:color w:val="6E6E6E"/>
        <w:sz w:val="18"/>
        <w:szCs w:val="18"/>
      </w:rPr>
      <w:t xml:space="preserve">Australian Government </w:t>
    </w:r>
    <w:r w:rsidRPr="00852F35">
      <w:rPr>
        <w:color w:val="6E6E6E"/>
        <w:sz w:val="18"/>
        <w:szCs w:val="18"/>
      </w:rPr>
      <w:t xml:space="preserve">| </w:t>
    </w:r>
    <w:r w:rsidR="005F4E0E">
      <w:rPr>
        <w:color w:val="6E6E6E"/>
        <w:sz w:val="18"/>
        <w:szCs w:val="18"/>
      </w:rPr>
      <w:t>Health Legislation Amendment (Improving Choice and Transparency for Private Health Consumers) Bill: Regulating Premiums</w:t>
    </w:r>
    <w:r w:rsidR="00BB1526" w:rsidRPr="00852F35">
      <w:rPr>
        <w:color w:val="6E6E6E"/>
      </w:rPr>
      <w:ptab w:relativeTo="margin" w:alignment="right" w:leader="none"/>
    </w:r>
    <w:r w:rsidR="00BB1526" w:rsidRPr="7ECD4EA3">
      <w:rPr>
        <w:rFonts w:ascii="Segoe UI" w:hAnsi="Segoe UI" w:cs="Segoe UI"/>
        <w:noProof/>
        <w:color w:val="6E6E6E"/>
        <w:sz w:val="18"/>
        <w:szCs w:val="18"/>
      </w:rPr>
      <w:fldChar w:fldCharType="begin"/>
    </w:r>
    <w:r w:rsidR="00BB1526" w:rsidRPr="7ECD4EA3">
      <w:rPr>
        <w:rFonts w:ascii="Segoe UI" w:hAnsi="Segoe UI" w:cs="Segoe UI"/>
        <w:color w:val="6E6E6E"/>
        <w:sz w:val="18"/>
        <w:szCs w:val="18"/>
      </w:rPr>
      <w:instrText xml:space="preserve"> PAGE   \* MERGEFORMAT </w:instrText>
    </w:r>
    <w:r w:rsidR="00BB1526" w:rsidRPr="7ECD4EA3">
      <w:rPr>
        <w:rFonts w:ascii="Segoe UI" w:hAnsi="Segoe UI" w:cs="Segoe UI"/>
        <w:color w:val="6E6E6E"/>
        <w:sz w:val="18"/>
        <w:szCs w:val="18"/>
      </w:rPr>
      <w:fldChar w:fldCharType="separate"/>
    </w:r>
    <w:r w:rsidRPr="7ECD4EA3">
      <w:rPr>
        <w:rFonts w:ascii="Segoe UI" w:hAnsi="Segoe UI" w:cs="Segoe UI"/>
        <w:noProof/>
        <w:color w:val="6E6E6E"/>
        <w:sz w:val="18"/>
        <w:szCs w:val="18"/>
      </w:rPr>
      <w:t>1</w:t>
    </w:r>
    <w:r w:rsidR="00BB1526" w:rsidRPr="7ECD4EA3">
      <w:rPr>
        <w:rFonts w:ascii="Segoe UI" w:hAnsi="Segoe UI" w:cs="Segoe UI"/>
        <w:noProof/>
        <w:color w:val="6E6E6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79739" w14:textId="77777777" w:rsidR="002C2461" w:rsidRDefault="002C2461" w:rsidP="00F957C6">
      <w:pPr>
        <w:spacing w:after="0" w:line="240" w:lineRule="auto"/>
      </w:pPr>
      <w:r>
        <w:separator/>
      </w:r>
    </w:p>
  </w:footnote>
  <w:footnote w:type="continuationSeparator" w:id="0">
    <w:p w14:paraId="5AA48B52" w14:textId="77777777" w:rsidR="002C2461" w:rsidRDefault="002C2461" w:rsidP="00F9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12954" w14:textId="31258120" w:rsidR="001879B4" w:rsidRDefault="001879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6D777AE" wp14:editId="210B7E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8675" cy="400050"/>
              <wp:effectExtent l="0" t="0" r="9525" b="0"/>
              <wp:wrapNone/>
              <wp:docPr id="1706373616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67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7A2BB" w14:textId="63AA8DB7" w:rsidR="001879B4" w:rsidRPr="001879B4" w:rsidRDefault="001879B4" w:rsidP="001879B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879B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777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5.25pt;height:31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" filled="f" stroked="f">
              <v:textbox style="mso-fit-shape-to-text:t" inset="0,15pt,0,0">
                <w:txbxContent>
                  <w:p w14:paraId="1777A2BB" w14:textId="63AA8DB7" w:rsidR="001879B4" w:rsidRPr="001879B4" w:rsidRDefault="001879B4" w:rsidP="001879B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879B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B3" w14:textId="054B7F59" w:rsidR="00037513" w:rsidRDefault="005A3632" w:rsidP="00D75A12">
    <w:pPr>
      <w:pStyle w:val="Header"/>
      <w:jc w:val="center"/>
    </w:pPr>
    <w:r>
      <w:rPr>
        <w:rStyle w:val="CLASSIFICATIONChar"/>
        <w:noProof/>
        <w:lang w:eastAsia="en-AU"/>
      </w:rPr>
      <w:drawing>
        <wp:anchor distT="0" distB="0" distL="114300" distR="114300" simplePos="0" relativeHeight="251658240" behindDoc="1" locked="0" layoutInCell="1" allowOverlap="1" wp14:anchorId="3CE512B5" wp14:editId="2BDDF14E">
          <wp:simplePos x="0" y="0"/>
          <wp:positionH relativeFrom="column">
            <wp:posOffset>-48895</wp:posOffset>
          </wp:positionH>
          <wp:positionV relativeFrom="paragraph">
            <wp:posOffset>-305435</wp:posOffset>
          </wp:positionV>
          <wp:extent cx="2120900" cy="567622"/>
          <wp:effectExtent l="0" t="0" r="0" b="4445"/>
          <wp:wrapNone/>
          <wp:docPr id="4" name="Picture 4" descr="Australian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5676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7655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17A4C0A"/>
    <w:multiLevelType w:val="hybridMultilevel"/>
    <w:tmpl w:val="C1C2D7D8"/>
    <w:lvl w:ilvl="0" w:tplc="20082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ACB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60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E5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149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C6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CA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4C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AC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5C21BDF"/>
    <w:multiLevelType w:val="hybridMultilevel"/>
    <w:tmpl w:val="CD140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37CDA"/>
    <w:multiLevelType w:val="hybridMultilevel"/>
    <w:tmpl w:val="108E5D92"/>
    <w:lvl w:ilvl="0" w:tplc="3962C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89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4D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42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CA8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FC1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0A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8D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A68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93C4D86"/>
    <w:multiLevelType w:val="hybridMultilevel"/>
    <w:tmpl w:val="BEDEDF08"/>
    <w:lvl w:ilvl="0" w:tplc="04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1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A761DA0"/>
    <w:multiLevelType w:val="hybridMultilevel"/>
    <w:tmpl w:val="5CEAEDEC"/>
    <w:lvl w:ilvl="0" w:tplc="1D525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C8F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E4B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C2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04D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46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868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6B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A29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865404">
    <w:abstractNumId w:val="11"/>
  </w:num>
  <w:num w:numId="2" w16cid:durableId="580287825">
    <w:abstractNumId w:val="9"/>
  </w:num>
  <w:num w:numId="3" w16cid:durableId="983310567">
    <w:abstractNumId w:val="7"/>
  </w:num>
  <w:num w:numId="4" w16cid:durableId="138378375">
    <w:abstractNumId w:val="6"/>
  </w:num>
  <w:num w:numId="5" w16cid:durableId="471410186">
    <w:abstractNumId w:val="5"/>
  </w:num>
  <w:num w:numId="6" w16cid:durableId="59057181">
    <w:abstractNumId w:val="4"/>
  </w:num>
  <w:num w:numId="7" w16cid:durableId="115954633">
    <w:abstractNumId w:val="8"/>
  </w:num>
  <w:num w:numId="8" w16cid:durableId="1155221968">
    <w:abstractNumId w:val="3"/>
  </w:num>
  <w:num w:numId="9" w16cid:durableId="1823496615">
    <w:abstractNumId w:val="2"/>
  </w:num>
  <w:num w:numId="10" w16cid:durableId="1665469913">
    <w:abstractNumId w:val="1"/>
  </w:num>
  <w:num w:numId="11" w16cid:durableId="1875193632">
    <w:abstractNumId w:val="0"/>
  </w:num>
  <w:num w:numId="12" w16cid:durableId="1709137357">
    <w:abstractNumId w:val="10"/>
  </w:num>
  <w:num w:numId="13" w16cid:durableId="234320978">
    <w:abstractNumId w:val="25"/>
  </w:num>
  <w:num w:numId="14" w16cid:durableId="79445277">
    <w:abstractNumId w:val="16"/>
  </w:num>
  <w:num w:numId="15" w16cid:durableId="1751804372">
    <w:abstractNumId w:val="16"/>
    <w:lvlOverride w:ilvl="0">
      <w:startOverride w:val="1"/>
    </w:lvlOverride>
  </w:num>
  <w:num w:numId="16" w16cid:durableId="2088378115">
    <w:abstractNumId w:val="16"/>
    <w:lvlOverride w:ilvl="0">
      <w:startOverride w:val="1"/>
    </w:lvlOverride>
  </w:num>
  <w:num w:numId="17" w16cid:durableId="1369187351">
    <w:abstractNumId w:val="16"/>
    <w:lvlOverride w:ilvl="0">
      <w:startOverride w:val="1"/>
    </w:lvlOverride>
  </w:num>
  <w:num w:numId="18" w16cid:durableId="1753156488">
    <w:abstractNumId w:val="16"/>
    <w:lvlOverride w:ilvl="0">
      <w:startOverride w:val="1"/>
    </w:lvlOverride>
  </w:num>
  <w:num w:numId="19" w16cid:durableId="271933999">
    <w:abstractNumId w:val="22"/>
  </w:num>
  <w:num w:numId="20" w16cid:durableId="1004892827">
    <w:abstractNumId w:val="22"/>
    <w:lvlOverride w:ilvl="0">
      <w:startOverride w:val="1"/>
    </w:lvlOverride>
  </w:num>
  <w:num w:numId="21" w16cid:durableId="2064979371">
    <w:abstractNumId w:val="26"/>
  </w:num>
  <w:num w:numId="22" w16cid:durableId="903491289">
    <w:abstractNumId w:val="24"/>
  </w:num>
  <w:num w:numId="23" w16cid:durableId="688918799">
    <w:abstractNumId w:val="11"/>
    <w:lvlOverride w:ilvl="0">
      <w:startOverride w:val="1"/>
    </w:lvlOverride>
  </w:num>
  <w:num w:numId="24" w16cid:durableId="855923555">
    <w:abstractNumId w:val="26"/>
    <w:lvlOverride w:ilvl="0">
      <w:startOverride w:val="1"/>
    </w:lvlOverride>
  </w:num>
  <w:num w:numId="25" w16cid:durableId="2062896965">
    <w:abstractNumId w:val="24"/>
    <w:lvlOverride w:ilvl="0">
      <w:startOverride w:val="1"/>
    </w:lvlOverride>
  </w:num>
  <w:num w:numId="26" w16cid:durableId="750393682">
    <w:abstractNumId w:val="24"/>
    <w:lvlOverride w:ilvl="0">
      <w:startOverride w:val="1"/>
    </w:lvlOverride>
  </w:num>
  <w:num w:numId="27" w16cid:durableId="594561099">
    <w:abstractNumId w:val="14"/>
  </w:num>
  <w:num w:numId="28" w16cid:durableId="1153831097">
    <w:abstractNumId w:val="21"/>
  </w:num>
  <w:num w:numId="29" w16cid:durableId="490482904">
    <w:abstractNumId w:val="13"/>
  </w:num>
  <w:num w:numId="30" w16cid:durableId="1980843928">
    <w:abstractNumId w:val="15"/>
  </w:num>
  <w:num w:numId="31" w16cid:durableId="1381904162">
    <w:abstractNumId w:val="12"/>
  </w:num>
  <w:num w:numId="32" w16cid:durableId="140583251">
    <w:abstractNumId w:val="26"/>
    <w:lvlOverride w:ilvl="0">
      <w:startOverride w:val="1"/>
    </w:lvlOverride>
  </w:num>
  <w:num w:numId="33" w16cid:durableId="172571819">
    <w:abstractNumId w:val="26"/>
    <w:lvlOverride w:ilvl="0">
      <w:startOverride w:val="1"/>
    </w:lvlOverride>
  </w:num>
  <w:num w:numId="34" w16cid:durableId="1327979136">
    <w:abstractNumId w:val="26"/>
    <w:lvlOverride w:ilvl="0">
      <w:startOverride w:val="1"/>
    </w:lvlOverride>
  </w:num>
  <w:num w:numId="35" w16cid:durableId="497384602">
    <w:abstractNumId w:val="25"/>
    <w:lvlOverride w:ilvl="0">
      <w:startOverride w:val="1"/>
    </w:lvlOverride>
  </w:num>
  <w:num w:numId="36" w16cid:durableId="349457753">
    <w:abstractNumId w:val="25"/>
    <w:lvlOverride w:ilvl="0">
      <w:startOverride w:val="1"/>
    </w:lvlOverride>
  </w:num>
  <w:num w:numId="37" w16cid:durableId="1412049088">
    <w:abstractNumId w:val="25"/>
    <w:lvlOverride w:ilvl="0">
      <w:startOverride w:val="1"/>
    </w:lvlOverride>
  </w:num>
  <w:num w:numId="38" w16cid:durableId="2084640207">
    <w:abstractNumId w:val="23"/>
  </w:num>
  <w:num w:numId="39" w16cid:durableId="2083477515">
    <w:abstractNumId w:val="19"/>
  </w:num>
  <w:num w:numId="40" w16cid:durableId="1280452132">
    <w:abstractNumId w:val="17"/>
  </w:num>
  <w:num w:numId="41" w16cid:durableId="274793530">
    <w:abstractNumId w:val="18"/>
  </w:num>
  <w:num w:numId="42" w16cid:durableId="1410475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AU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4F3"/>
    <w:rsid w:val="000008BB"/>
    <w:rsid w:val="00003AF2"/>
    <w:rsid w:val="00022AC8"/>
    <w:rsid w:val="00027038"/>
    <w:rsid w:val="00030B92"/>
    <w:rsid w:val="0003154E"/>
    <w:rsid w:val="000316A0"/>
    <w:rsid w:val="00032139"/>
    <w:rsid w:val="00037513"/>
    <w:rsid w:val="000414A0"/>
    <w:rsid w:val="00046323"/>
    <w:rsid w:val="0006501B"/>
    <w:rsid w:val="00065651"/>
    <w:rsid w:val="0006627F"/>
    <w:rsid w:val="000668BB"/>
    <w:rsid w:val="000770FA"/>
    <w:rsid w:val="00080B17"/>
    <w:rsid w:val="000902DD"/>
    <w:rsid w:val="0009075A"/>
    <w:rsid w:val="00093C66"/>
    <w:rsid w:val="000941A8"/>
    <w:rsid w:val="000A1DF3"/>
    <w:rsid w:val="000A7FD0"/>
    <w:rsid w:val="000B3417"/>
    <w:rsid w:val="000B4F9D"/>
    <w:rsid w:val="000B6A28"/>
    <w:rsid w:val="000B6AC9"/>
    <w:rsid w:val="000D1C7A"/>
    <w:rsid w:val="000D749D"/>
    <w:rsid w:val="000D7890"/>
    <w:rsid w:val="00103CF1"/>
    <w:rsid w:val="00105C39"/>
    <w:rsid w:val="001065DA"/>
    <w:rsid w:val="0011456C"/>
    <w:rsid w:val="00115264"/>
    <w:rsid w:val="00116449"/>
    <w:rsid w:val="00117A77"/>
    <w:rsid w:val="00122F6D"/>
    <w:rsid w:val="00125770"/>
    <w:rsid w:val="00132068"/>
    <w:rsid w:val="00132887"/>
    <w:rsid w:val="00133BED"/>
    <w:rsid w:val="00133C1D"/>
    <w:rsid w:val="001379E8"/>
    <w:rsid w:val="00145C46"/>
    <w:rsid w:val="00147E4C"/>
    <w:rsid w:val="00152412"/>
    <w:rsid w:val="001578ED"/>
    <w:rsid w:val="001611BF"/>
    <w:rsid w:val="0017436A"/>
    <w:rsid w:val="00175841"/>
    <w:rsid w:val="00176A6A"/>
    <w:rsid w:val="001778D0"/>
    <w:rsid w:val="001879B4"/>
    <w:rsid w:val="001954B4"/>
    <w:rsid w:val="001B138C"/>
    <w:rsid w:val="001B2134"/>
    <w:rsid w:val="001B2D56"/>
    <w:rsid w:val="001B50C9"/>
    <w:rsid w:val="001C004B"/>
    <w:rsid w:val="001C1E4E"/>
    <w:rsid w:val="001C3A09"/>
    <w:rsid w:val="001C5831"/>
    <w:rsid w:val="001D16C5"/>
    <w:rsid w:val="001D2804"/>
    <w:rsid w:val="001E624E"/>
    <w:rsid w:val="001F0E91"/>
    <w:rsid w:val="001F6E20"/>
    <w:rsid w:val="002002ED"/>
    <w:rsid w:val="00202E07"/>
    <w:rsid w:val="00212443"/>
    <w:rsid w:val="00213EB1"/>
    <w:rsid w:val="00220DDA"/>
    <w:rsid w:val="00221871"/>
    <w:rsid w:val="002222F6"/>
    <w:rsid w:val="00227DB5"/>
    <w:rsid w:val="00232987"/>
    <w:rsid w:val="002336DD"/>
    <w:rsid w:val="00236008"/>
    <w:rsid w:val="002403DB"/>
    <w:rsid w:val="00255024"/>
    <w:rsid w:val="00255046"/>
    <w:rsid w:val="00266CCC"/>
    <w:rsid w:val="00273FF5"/>
    <w:rsid w:val="00274D42"/>
    <w:rsid w:val="00285CAF"/>
    <w:rsid w:val="002A137E"/>
    <w:rsid w:val="002A73DE"/>
    <w:rsid w:val="002B53AF"/>
    <w:rsid w:val="002B661A"/>
    <w:rsid w:val="002B7D75"/>
    <w:rsid w:val="002C2461"/>
    <w:rsid w:val="002C7A05"/>
    <w:rsid w:val="002D37AE"/>
    <w:rsid w:val="002D5972"/>
    <w:rsid w:val="002D6B3D"/>
    <w:rsid w:val="002E02C0"/>
    <w:rsid w:val="002E5916"/>
    <w:rsid w:val="002E61BD"/>
    <w:rsid w:val="002E7743"/>
    <w:rsid w:val="002F27A9"/>
    <w:rsid w:val="002F382A"/>
    <w:rsid w:val="00302B29"/>
    <w:rsid w:val="00303C55"/>
    <w:rsid w:val="00304D47"/>
    <w:rsid w:val="00311C2D"/>
    <w:rsid w:val="003160A2"/>
    <w:rsid w:val="00316AF7"/>
    <w:rsid w:val="00317030"/>
    <w:rsid w:val="00330A33"/>
    <w:rsid w:val="00346D39"/>
    <w:rsid w:val="00353E5E"/>
    <w:rsid w:val="00361020"/>
    <w:rsid w:val="00365291"/>
    <w:rsid w:val="003728CC"/>
    <w:rsid w:val="00374D2A"/>
    <w:rsid w:val="00376CC0"/>
    <w:rsid w:val="00376FE6"/>
    <w:rsid w:val="003827D7"/>
    <w:rsid w:val="0038542E"/>
    <w:rsid w:val="00385BD5"/>
    <w:rsid w:val="00397D1D"/>
    <w:rsid w:val="003A54A7"/>
    <w:rsid w:val="003B0195"/>
    <w:rsid w:val="003B0481"/>
    <w:rsid w:val="003B05DC"/>
    <w:rsid w:val="003B1E8E"/>
    <w:rsid w:val="003B3D73"/>
    <w:rsid w:val="003C181D"/>
    <w:rsid w:val="003C1C2C"/>
    <w:rsid w:val="003C1F2E"/>
    <w:rsid w:val="003C27DE"/>
    <w:rsid w:val="003C65BD"/>
    <w:rsid w:val="003D51B5"/>
    <w:rsid w:val="003D676D"/>
    <w:rsid w:val="003F1ADA"/>
    <w:rsid w:val="003F23E9"/>
    <w:rsid w:val="00401E7D"/>
    <w:rsid w:val="00402E24"/>
    <w:rsid w:val="004073E7"/>
    <w:rsid w:val="00413312"/>
    <w:rsid w:val="00417CBF"/>
    <w:rsid w:val="00430668"/>
    <w:rsid w:val="00430D2B"/>
    <w:rsid w:val="0044397A"/>
    <w:rsid w:val="00443F97"/>
    <w:rsid w:val="004446D5"/>
    <w:rsid w:val="004468D6"/>
    <w:rsid w:val="00453402"/>
    <w:rsid w:val="00454582"/>
    <w:rsid w:val="00457901"/>
    <w:rsid w:val="00462508"/>
    <w:rsid w:val="00464D89"/>
    <w:rsid w:val="0046509D"/>
    <w:rsid w:val="00476A0E"/>
    <w:rsid w:val="00490393"/>
    <w:rsid w:val="00490B90"/>
    <w:rsid w:val="00490E25"/>
    <w:rsid w:val="00494CF3"/>
    <w:rsid w:val="004951EE"/>
    <w:rsid w:val="0049596E"/>
    <w:rsid w:val="00496986"/>
    <w:rsid w:val="004B088C"/>
    <w:rsid w:val="004B2C90"/>
    <w:rsid w:val="004B2CC2"/>
    <w:rsid w:val="004C17DE"/>
    <w:rsid w:val="004C228A"/>
    <w:rsid w:val="004C58F3"/>
    <w:rsid w:val="004D2BF9"/>
    <w:rsid w:val="004D3D02"/>
    <w:rsid w:val="004E2C75"/>
    <w:rsid w:val="004E5C54"/>
    <w:rsid w:val="004F39F2"/>
    <w:rsid w:val="004F4C4F"/>
    <w:rsid w:val="004F4CC7"/>
    <w:rsid w:val="004F6CF1"/>
    <w:rsid w:val="004F724A"/>
    <w:rsid w:val="00500883"/>
    <w:rsid w:val="00510192"/>
    <w:rsid w:val="0051407E"/>
    <w:rsid w:val="0051599F"/>
    <w:rsid w:val="00516260"/>
    <w:rsid w:val="005226B9"/>
    <w:rsid w:val="00522D9C"/>
    <w:rsid w:val="005272E6"/>
    <w:rsid w:val="0052777A"/>
    <w:rsid w:val="00527EBB"/>
    <w:rsid w:val="00532E84"/>
    <w:rsid w:val="005344AD"/>
    <w:rsid w:val="00534819"/>
    <w:rsid w:val="00534C61"/>
    <w:rsid w:val="0053762E"/>
    <w:rsid w:val="00540E0F"/>
    <w:rsid w:val="005444F1"/>
    <w:rsid w:val="00545744"/>
    <w:rsid w:val="005505E3"/>
    <w:rsid w:val="00551CB9"/>
    <w:rsid w:val="00553D0F"/>
    <w:rsid w:val="005567AA"/>
    <w:rsid w:val="0055713D"/>
    <w:rsid w:val="00561FB9"/>
    <w:rsid w:val="005621D6"/>
    <w:rsid w:val="00581FB9"/>
    <w:rsid w:val="00584E9D"/>
    <w:rsid w:val="00586CBC"/>
    <w:rsid w:val="00591288"/>
    <w:rsid w:val="005917FD"/>
    <w:rsid w:val="005A3632"/>
    <w:rsid w:val="005A4AA1"/>
    <w:rsid w:val="005B3358"/>
    <w:rsid w:val="005B685C"/>
    <w:rsid w:val="005C0F15"/>
    <w:rsid w:val="005C31AA"/>
    <w:rsid w:val="005C3C13"/>
    <w:rsid w:val="005C5269"/>
    <w:rsid w:val="005C66F5"/>
    <w:rsid w:val="005D1BD9"/>
    <w:rsid w:val="005D4706"/>
    <w:rsid w:val="005E0DC7"/>
    <w:rsid w:val="005E34A5"/>
    <w:rsid w:val="005E6E22"/>
    <w:rsid w:val="005E735B"/>
    <w:rsid w:val="005F2423"/>
    <w:rsid w:val="005F4E0E"/>
    <w:rsid w:val="00610C0F"/>
    <w:rsid w:val="006147EB"/>
    <w:rsid w:val="006200EB"/>
    <w:rsid w:val="00621EA3"/>
    <w:rsid w:val="00625D4A"/>
    <w:rsid w:val="006271DF"/>
    <w:rsid w:val="00630355"/>
    <w:rsid w:val="006324E0"/>
    <w:rsid w:val="00636C10"/>
    <w:rsid w:val="00640234"/>
    <w:rsid w:val="0064286E"/>
    <w:rsid w:val="0064343A"/>
    <w:rsid w:val="00647061"/>
    <w:rsid w:val="00651841"/>
    <w:rsid w:val="00657D25"/>
    <w:rsid w:val="0066137B"/>
    <w:rsid w:val="00665CED"/>
    <w:rsid w:val="00665FB6"/>
    <w:rsid w:val="00667B5E"/>
    <w:rsid w:val="00671D49"/>
    <w:rsid w:val="0069353E"/>
    <w:rsid w:val="006948F9"/>
    <w:rsid w:val="006949AF"/>
    <w:rsid w:val="006A008F"/>
    <w:rsid w:val="006A08AE"/>
    <w:rsid w:val="006A2ABA"/>
    <w:rsid w:val="006A2BCA"/>
    <w:rsid w:val="006A5AA6"/>
    <w:rsid w:val="006B189D"/>
    <w:rsid w:val="006B349C"/>
    <w:rsid w:val="006C2005"/>
    <w:rsid w:val="006D57C0"/>
    <w:rsid w:val="006D643B"/>
    <w:rsid w:val="006D71DA"/>
    <w:rsid w:val="006E170D"/>
    <w:rsid w:val="006E2787"/>
    <w:rsid w:val="006E698B"/>
    <w:rsid w:val="006F25A1"/>
    <w:rsid w:val="006F5D92"/>
    <w:rsid w:val="0071548B"/>
    <w:rsid w:val="0071559A"/>
    <w:rsid w:val="00715A4A"/>
    <w:rsid w:val="00716C72"/>
    <w:rsid w:val="007203E4"/>
    <w:rsid w:val="007204A9"/>
    <w:rsid w:val="00721B4A"/>
    <w:rsid w:val="0072538D"/>
    <w:rsid w:val="00736008"/>
    <w:rsid w:val="00740E77"/>
    <w:rsid w:val="0075249A"/>
    <w:rsid w:val="00756929"/>
    <w:rsid w:val="00767DBB"/>
    <w:rsid w:val="00771DC8"/>
    <w:rsid w:val="00774646"/>
    <w:rsid w:val="007754A7"/>
    <w:rsid w:val="00776EA7"/>
    <w:rsid w:val="00780840"/>
    <w:rsid w:val="00781695"/>
    <w:rsid w:val="00783EC4"/>
    <w:rsid w:val="007851BE"/>
    <w:rsid w:val="007933DB"/>
    <w:rsid w:val="00796C5E"/>
    <w:rsid w:val="007A02A7"/>
    <w:rsid w:val="007A038F"/>
    <w:rsid w:val="007A3AD4"/>
    <w:rsid w:val="007B1434"/>
    <w:rsid w:val="007C0935"/>
    <w:rsid w:val="007D386D"/>
    <w:rsid w:val="007D6D76"/>
    <w:rsid w:val="007E1C98"/>
    <w:rsid w:val="007E2EF9"/>
    <w:rsid w:val="007E74EE"/>
    <w:rsid w:val="007F0874"/>
    <w:rsid w:val="007F0EC1"/>
    <w:rsid w:val="007F4E93"/>
    <w:rsid w:val="007F6CC4"/>
    <w:rsid w:val="007F77D8"/>
    <w:rsid w:val="00800FF9"/>
    <w:rsid w:val="008046D4"/>
    <w:rsid w:val="0080579A"/>
    <w:rsid w:val="008059CB"/>
    <w:rsid w:val="00806E78"/>
    <w:rsid w:val="008108B5"/>
    <w:rsid w:val="008120AE"/>
    <w:rsid w:val="008173BC"/>
    <w:rsid w:val="008204E7"/>
    <w:rsid w:val="008250D8"/>
    <w:rsid w:val="0082528D"/>
    <w:rsid w:val="00826F51"/>
    <w:rsid w:val="00833792"/>
    <w:rsid w:val="00835B4D"/>
    <w:rsid w:val="00837A21"/>
    <w:rsid w:val="00852F35"/>
    <w:rsid w:val="00857363"/>
    <w:rsid w:val="0086394C"/>
    <w:rsid w:val="0087018B"/>
    <w:rsid w:val="00874998"/>
    <w:rsid w:val="00876109"/>
    <w:rsid w:val="00876DBE"/>
    <w:rsid w:val="00877D7B"/>
    <w:rsid w:val="00880485"/>
    <w:rsid w:val="00883248"/>
    <w:rsid w:val="00887E24"/>
    <w:rsid w:val="00891001"/>
    <w:rsid w:val="00895777"/>
    <w:rsid w:val="008A0614"/>
    <w:rsid w:val="008A20E1"/>
    <w:rsid w:val="008A36FA"/>
    <w:rsid w:val="008A4590"/>
    <w:rsid w:val="008B44F5"/>
    <w:rsid w:val="008B7F00"/>
    <w:rsid w:val="008C0318"/>
    <w:rsid w:val="008C0558"/>
    <w:rsid w:val="008C47A1"/>
    <w:rsid w:val="008C68F5"/>
    <w:rsid w:val="008C738F"/>
    <w:rsid w:val="008D28AC"/>
    <w:rsid w:val="008D6B9E"/>
    <w:rsid w:val="008E1024"/>
    <w:rsid w:val="008E7D45"/>
    <w:rsid w:val="008F2BB2"/>
    <w:rsid w:val="008F34BF"/>
    <w:rsid w:val="008F491B"/>
    <w:rsid w:val="008F6CBE"/>
    <w:rsid w:val="00901362"/>
    <w:rsid w:val="0090362E"/>
    <w:rsid w:val="009111F2"/>
    <w:rsid w:val="00913ED0"/>
    <w:rsid w:val="009157AA"/>
    <w:rsid w:val="00926925"/>
    <w:rsid w:val="00927650"/>
    <w:rsid w:val="0093222B"/>
    <w:rsid w:val="00934AED"/>
    <w:rsid w:val="009429FD"/>
    <w:rsid w:val="00942CB6"/>
    <w:rsid w:val="00942CE9"/>
    <w:rsid w:val="00944DE6"/>
    <w:rsid w:val="009454CA"/>
    <w:rsid w:val="00945FE7"/>
    <w:rsid w:val="009513CB"/>
    <w:rsid w:val="00954FF2"/>
    <w:rsid w:val="00957C8B"/>
    <w:rsid w:val="009615D2"/>
    <w:rsid w:val="00962EE8"/>
    <w:rsid w:val="009762C1"/>
    <w:rsid w:val="00976EE9"/>
    <w:rsid w:val="009821BE"/>
    <w:rsid w:val="0098267F"/>
    <w:rsid w:val="00984376"/>
    <w:rsid w:val="009926AE"/>
    <w:rsid w:val="009A0A9D"/>
    <w:rsid w:val="009A350B"/>
    <w:rsid w:val="009A6D9C"/>
    <w:rsid w:val="009A7DE0"/>
    <w:rsid w:val="009B057C"/>
    <w:rsid w:val="009B6A67"/>
    <w:rsid w:val="009C14AA"/>
    <w:rsid w:val="009C60F6"/>
    <w:rsid w:val="009D1DE3"/>
    <w:rsid w:val="009D4A9E"/>
    <w:rsid w:val="009E350A"/>
    <w:rsid w:val="009F0889"/>
    <w:rsid w:val="009F1600"/>
    <w:rsid w:val="009F16DE"/>
    <w:rsid w:val="009F62F4"/>
    <w:rsid w:val="009F6A0F"/>
    <w:rsid w:val="009F6E6E"/>
    <w:rsid w:val="00A008E6"/>
    <w:rsid w:val="00A00EF9"/>
    <w:rsid w:val="00A06DF8"/>
    <w:rsid w:val="00A12C83"/>
    <w:rsid w:val="00A12F96"/>
    <w:rsid w:val="00A1445F"/>
    <w:rsid w:val="00A205F5"/>
    <w:rsid w:val="00A42517"/>
    <w:rsid w:val="00A52DA1"/>
    <w:rsid w:val="00A57585"/>
    <w:rsid w:val="00A57E6D"/>
    <w:rsid w:val="00A57FF6"/>
    <w:rsid w:val="00A60482"/>
    <w:rsid w:val="00A62EF3"/>
    <w:rsid w:val="00A704F3"/>
    <w:rsid w:val="00A76549"/>
    <w:rsid w:val="00A82A58"/>
    <w:rsid w:val="00A87214"/>
    <w:rsid w:val="00A918A7"/>
    <w:rsid w:val="00A95C79"/>
    <w:rsid w:val="00AA1C38"/>
    <w:rsid w:val="00AA705F"/>
    <w:rsid w:val="00AB1CAF"/>
    <w:rsid w:val="00AC16F3"/>
    <w:rsid w:val="00AC2CDC"/>
    <w:rsid w:val="00AC6A1B"/>
    <w:rsid w:val="00AD358D"/>
    <w:rsid w:val="00AD59A8"/>
    <w:rsid w:val="00AD7805"/>
    <w:rsid w:val="00AE2B22"/>
    <w:rsid w:val="00AE55DD"/>
    <w:rsid w:val="00AF2A16"/>
    <w:rsid w:val="00AF420C"/>
    <w:rsid w:val="00B05108"/>
    <w:rsid w:val="00B2044F"/>
    <w:rsid w:val="00B23B3E"/>
    <w:rsid w:val="00B25AC0"/>
    <w:rsid w:val="00B31143"/>
    <w:rsid w:val="00B31611"/>
    <w:rsid w:val="00B37D12"/>
    <w:rsid w:val="00B41063"/>
    <w:rsid w:val="00B546D3"/>
    <w:rsid w:val="00B56736"/>
    <w:rsid w:val="00B6596F"/>
    <w:rsid w:val="00B73343"/>
    <w:rsid w:val="00B80776"/>
    <w:rsid w:val="00B81D3E"/>
    <w:rsid w:val="00B824A3"/>
    <w:rsid w:val="00B92E61"/>
    <w:rsid w:val="00B97D3A"/>
    <w:rsid w:val="00BA7071"/>
    <w:rsid w:val="00BB0D90"/>
    <w:rsid w:val="00BB1526"/>
    <w:rsid w:val="00BB2987"/>
    <w:rsid w:val="00BB3605"/>
    <w:rsid w:val="00BC3CCA"/>
    <w:rsid w:val="00BC75F1"/>
    <w:rsid w:val="00BC75F3"/>
    <w:rsid w:val="00BD171D"/>
    <w:rsid w:val="00BD57F5"/>
    <w:rsid w:val="00BE0F4D"/>
    <w:rsid w:val="00BE48A4"/>
    <w:rsid w:val="00BE56F0"/>
    <w:rsid w:val="00BF3687"/>
    <w:rsid w:val="00C034D3"/>
    <w:rsid w:val="00C03CD2"/>
    <w:rsid w:val="00C12D35"/>
    <w:rsid w:val="00C13310"/>
    <w:rsid w:val="00C14A25"/>
    <w:rsid w:val="00C14D33"/>
    <w:rsid w:val="00C17F81"/>
    <w:rsid w:val="00C31330"/>
    <w:rsid w:val="00C32E9F"/>
    <w:rsid w:val="00C3409A"/>
    <w:rsid w:val="00C47543"/>
    <w:rsid w:val="00C47620"/>
    <w:rsid w:val="00C51FD5"/>
    <w:rsid w:val="00C52C6C"/>
    <w:rsid w:val="00C62A8F"/>
    <w:rsid w:val="00C64571"/>
    <w:rsid w:val="00C647D5"/>
    <w:rsid w:val="00C70947"/>
    <w:rsid w:val="00C84014"/>
    <w:rsid w:val="00C909FF"/>
    <w:rsid w:val="00C91832"/>
    <w:rsid w:val="00CA05DA"/>
    <w:rsid w:val="00CA261C"/>
    <w:rsid w:val="00CB0B49"/>
    <w:rsid w:val="00CC42EA"/>
    <w:rsid w:val="00CC6110"/>
    <w:rsid w:val="00CD0193"/>
    <w:rsid w:val="00CE02BD"/>
    <w:rsid w:val="00CE096E"/>
    <w:rsid w:val="00CF0CE4"/>
    <w:rsid w:val="00CF55DD"/>
    <w:rsid w:val="00CF5C8F"/>
    <w:rsid w:val="00D03799"/>
    <w:rsid w:val="00D04E61"/>
    <w:rsid w:val="00D10635"/>
    <w:rsid w:val="00D11157"/>
    <w:rsid w:val="00D1213C"/>
    <w:rsid w:val="00D13C0A"/>
    <w:rsid w:val="00D1564F"/>
    <w:rsid w:val="00D21F16"/>
    <w:rsid w:val="00D344F3"/>
    <w:rsid w:val="00D4046D"/>
    <w:rsid w:val="00D500C1"/>
    <w:rsid w:val="00D52352"/>
    <w:rsid w:val="00D525B8"/>
    <w:rsid w:val="00D539CE"/>
    <w:rsid w:val="00D56DFB"/>
    <w:rsid w:val="00D60AC9"/>
    <w:rsid w:val="00D75A12"/>
    <w:rsid w:val="00D7738D"/>
    <w:rsid w:val="00D8019E"/>
    <w:rsid w:val="00D859BB"/>
    <w:rsid w:val="00D85BA3"/>
    <w:rsid w:val="00D870D2"/>
    <w:rsid w:val="00D9238C"/>
    <w:rsid w:val="00D9417E"/>
    <w:rsid w:val="00D94D38"/>
    <w:rsid w:val="00DA18A2"/>
    <w:rsid w:val="00DA3214"/>
    <w:rsid w:val="00DA42C1"/>
    <w:rsid w:val="00DA66AE"/>
    <w:rsid w:val="00DB5190"/>
    <w:rsid w:val="00DB5E57"/>
    <w:rsid w:val="00DB61AC"/>
    <w:rsid w:val="00DD1685"/>
    <w:rsid w:val="00DD234E"/>
    <w:rsid w:val="00DE499B"/>
    <w:rsid w:val="00DE512B"/>
    <w:rsid w:val="00DF27F2"/>
    <w:rsid w:val="00DF2F8D"/>
    <w:rsid w:val="00DF30F7"/>
    <w:rsid w:val="00E05FA4"/>
    <w:rsid w:val="00E104D0"/>
    <w:rsid w:val="00E12AB4"/>
    <w:rsid w:val="00E13082"/>
    <w:rsid w:val="00E155C1"/>
    <w:rsid w:val="00E2196D"/>
    <w:rsid w:val="00E224F4"/>
    <w:rsid w:val="00E2753F"/>
    <w:rsid w:val="00E27786"/>
    <w:rsid w:val="00E27CA0"/>
    <w:rsid w:val="00E43127"/>
    <w:rsid w:val="00E51806"/>
    <w:rsid w:val="00E638C2"/>
    <w:rsid w:val="00E63FC4"/>
    <w:rsid w:val="00E64139"/>
    <w:rsid w:val="00E64CAF"/>
    <w:rsid w:val="00E74B93"/>
    <w:rsid w:val="00E75D9F"/>
    <w:rsid w:val="00E7708D"/>
    <w:rsid w:val="00E80816"/>
    <w:rsid w:val="00E84F06"/>
    <w:rsid w:val="00E86296"/>
    <w:rsid w:val="00E92551"/>
    <w:rsid w:val="00E9775B"/>
    <w:rsid w:val="00EB2313"/>
    <w:rsid w:val="00EB2B2D"/>
    <w:rsid w:val="00EB6AA9"/>
    <w:rsid w:val="00EC4A85"/>
    <w:rsid w:val="00EC5178"/>
    <w:rsid w:val="00EC68BE"/>
    <w:rsid w:val="00ED0697"/>
    <w:rsid w:val="00EE1505"/>
    <w:rsid w:val="00EE1AC1"/>
    <w:rsid w:val="00F009ED"/>
    <w:rsid w:val="00F01BCE"/>
    <w:rsid w:val="00F01E53"/>
    <w:rsid w:val="00F03073"/>
    <w:rsid w:val="00F049AA"/>
    <w:rsid w:val="00F059C9"/>
    <w:rsid w:val="00F05AE8"/>
    <w:rsid w:val="00F135EF"/>
    <w:rsid w:val="00F16C67"/>
    <w:rsid w:val="00F22EB5"/>
    <w:rsid w:val="00F262A6"/>
    <w:rsid w:val="00F26BBA"/>
    <w:rsid w:val="00F30181"/>
    <w:rsid w:val="00F45651"/>
    <w:rsid w:val="00F46DB7"/>
    <w:rsid w:val="00F510BD"/>
    <w:rsid w:val="00F620FD"/>
    <w:rsid w:val="00F644B7"/>
    <w:rsid w:val="00F64736"/>
    <w:rsid w:val="00F66078"/>
    <w:rsid w:val="00F72C7B"/>
    <w:rsid w:val="00F736AF"/>
    <w:rsid w:val="00F83A8A"/>
    <w:rsid w:val="00F86700"/>
    <w:rsid w:val="00F87586"/>
    <w:rsid w:val="00F87606"/>
    <w:rsid w:val="00F957C6"/>
    <w:rsid w:val="00FA22C4"/>
    <w:rsid w:val="00FA6219"/>
    <w:rsid w:val="00FB3AF5"/>
    <w:rsid w:val="00FB7CAD"/>
    <w:rsid w:val="00FC18BA"/>
    <w:rsid w:val="00FC1B6E"/>
    <w:rsid w:val="00FC421F"/>
    <w:rsid w:val="00FC5955"/>
    <w:rsid w:val="00FD20A5"/>
    <w:rsid w:val="00FD2C22"/>
    <w:rsid w:val="00FE2C7F"/>
    <w:rsid w:val="00FF75BA"/>
    <w:rsid w:val="01DC0B68"/>
    <w:rsid w:val="04327B5C"/>
    <w:rsid w:val="0623D13D"/>
    <w:rsid w:val="06799587"/>
    <w:rsid w:val="0AFE2067"/>
    <w:rsid w:val="0BD0997C"/>
    <w:rsid w:val="0D054511"/>
    <w:rsid w:val="0F8F5873"/>
    <w:rsid w:val="114FBB36"/>
    <w:rsid w:val="117B868B"/>
    <w:rsid w:val="1D51E64E"/>
    <w:rsid w:val="222522C2"/>
    <w:rsid w:val="2B0F0ED5"/>
    <w:rsid w:val="32E1E628"/>
    <w:rsid w:val="3AC9A47F"/>
    <w:rsid w:val="499B19C2"/>
    <w:rsid w:val="4EED751E"/>
    <w:rsid w:val="4F8CBA4E"/>
    <w:rsid w:val="506B6E7B"/>
    <w:rsid w:val="50EB0C1E"/>
    <w:rsid w:val="55B63FE2"/>
    <w:rsid w:val="56847FE9"/>
    <w:rsid w:val="588D9D5E"/>
    <w:rsid w:val="5F92861F"/>
    <w:rsid w:val="63497070"/>
    <w:rsid w:val="693F7492"/>
    <w:rsid w:val="6BD0494D"/>
    <w:rsid w:val="6D59ACC3"/>
    <w:rsid w:val="6E3F722E"/>
    <w:rsid w:val="71B7D072"/>
    <w:rsid w:val="76DA6079"/>
    <w:rsid w:val="7ECD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3CE5127B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C2C"/>
    <w:pPr>
      <w:spacing w:after="160" w:line="264" w:lineRule="auto"/>
    </w:pPr>
    <w:rPr>
      <w:rFonts w:ascii="Calibri Light" w:hAnsi="Calibri Light"/>
      <w:color w:val="1C2B39"/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2F382A"/>
    <w:pPr>
      <w:keepNext/>
      <w:keepLines/>
      <w:pBdr>
        <w:top w:val="single" w:sz="48" w:space="1" w:color="007279"/>
        <w:left w:val="single" w:sz="48" w:space="4" w:color="007279"/>
        <w:bottom w:val="single" w:sz="48" w:space="1" w:color="007279"/>
        <w:right w:val="single" w:sz="48" w:space="4" w:color="007279"/>
      </w:pBdr>
      <w:shd w:val="clear" w:color="auto" w:fill="007279"/>
      <w:spacing w:before="360" w:line="240" w:lineRule="auto"/>
      <w:outlineLvl w:val="0"/>
    </w:pPr>
    <w:rPr>
      <w:rFonts w:ascii="Calibri" w:eastAsiaTheme="majorEastAsia" w:hAnsi="Calibri" w:cstheme="majorBidi"/>
      <w:color w:val="FFFFFF" w:themeColor="background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8059CB"/>
    <w:pPr>
      <w:keepNext/>
      <w:keepLines/>
      <w:spacing w:before="240" w:line="240" w:lineRule="auto"/>
      <w:outlineLvl w:val="1"/>
    </w:pPr>
    <w:rPr>
      <w:rFonts w:ascii="Calibri" w:eastAsiaTheme="majorEastAsia" w:hAnsi="Calibri" w:cstheme="majorBidi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E86296"/>
    <w:pPr>
      <w:outlineLvl w:val="2"/>
    </w:pPr>
    <w:rPr>
      <w:color w:val="1C2B3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E86296"/>
    <w:pPr>
      <w:keepNext/>
      <w:keepLines/>
      <w:spacing w:before="240"/>
      <w:outlineLvl w:val="3"/>
    </w:pPr>
    <w:rPr>
      <w:rFonts w:eastAsiaTheme="majorEastAsia" w:cstheme="minorHAnsi"/>
      <w:b/>
      <w:color w:val="007279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F382A"/>
    <w:rPr>
      <w:rFonts w:ascii="Calibri" w:eastAsiaTheme="majorEastAsia" w:hAnsi="Calibri" w:cstheme="majorBidi"/>
      <w:color w:val="FFFFFF" w:themeColor="background1"/>
      <w:sz w:val="48"/>
      <w:szCs w:val="40"/>
      <w:shd w:val="clear" w:color="auto" w:fill="007279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8059CB"/>
    <w:rPr>
      <w:rFonts w:ascii="Calibri" w:eastAsiaTheme="majorEastAsia" w:hAnsi="Calibri" w:cstheme="majorBidi"/>
      <w:color w:val="1C2B39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E86296"/>
    <w:rPr>
      <w:rFonts w:eastAsiaTheme="majorEastAsia" w:cstheme="minorHAnsi"/>
      <w:b/>
      <w:color w:val="1C2B3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E86296"/>
    <w:rPr>
      <w:rFonts w:eastAsiaTheme="majorEastAsia" w:cstheme="minorHAnsi"/>
      <w:b/>
      <w:color w:val="007279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857363"/>
    <w:pPr>
      <w:spacing w:before="240"/>
      <w:ind w:left="720" w:right="720"/>
    </w:pPr>
    <w:rPr>
      <w:i/>
      <w:iCs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857363"/>
    <w:rPr>
      <w:i/>
      <w:iCs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857363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857363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F86700"/>
    <w:pPr>
      <w:jc w:val="center"/>
    </w:pPr>
    <w:rPr>
      <w:rFonts w:ascii="Segoe UI" w:hAnsi="Segoe UI"/>
      <w:caps/>
      <w:color w:val="C00000"/>
      <w:sz w:val="18"/>
    </w:rPr>
  </w:style>
  <w:style w:type="paragraph" w:customStyle="1" w:styleId="BOXHeading2">
    <w:name w:val="BOX Heading 2"/>
    <w:basedOn w:val="Heading1"/>
    <w:next w:val="BOXText"/>
    <w:uiPriority w:val="6"/>
    <w:qFormat/>
    <w:rsid w:val="006949AF"/>
    <w:pPr>
      <w:spacing w:before="240" w:after="0"/>
      <w:ind w:left="227" w:right="227"/>
    </w:pPr>
    <w:rPr>
      <w:sz w:val="36"/>
    </w:rPr>
  </w:style>
  <w:style w:type="character" w:customStyle="1" w:styleId="CLASSIFICATIONChar">
    <w:name w:val="CLASSIFICATION Char"/>
    <w:basedOn w:val="DefaultParagraphFont"/>
    <w:link w:val="CLASSIFICATION"/>
    <w:uiPriority w:val="99"/>
    <w:rsid w:val="00F86700"/>
    <w:rPr>
      <w:rFonts w:ascii="Segoe UI" w:hAnsi="Segoe UI"/>
      <w:caps/>
      <w:color w:val="C00000"/>
      <w:sz w:val="18"/>
    </w:rPr>
  </w:style>
  <w:style w:type="paragraph" w:customStyle="1" w:styleId="BOXText">
    <w:name w:val="BOX Text"/>
    <w:basedOn w:val="Normal"/>
    <w:uiPriority w:val="4"/>
    <w:qFormat/>
    <w:rsid w:val="006D71DA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1D75E7" w:themeColor="accent1" w:themeTint="99"/>
        <w:left w:val="single" w:sz="4" w:space="0" w:color="1D75E7" w:themeColor="accent1" w:themeTint="99"/>
        <w:bottom w:val="single" w:sz="4" w:space="0" w:color="1D75E7" w:themeColor="accent1" w:themeTint="99"/>
        <w:right w:val="single" w:sz="4" w:space="0" w:color="1D75E7" w:themeColor="accent1" w:themeTint="99"/>
        <w:insideH w:val="single" w:sz="4" w:space="0" w:color="1D75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2B57" w:themeColor="accent1"/>
          <w:left w:val="single" w:sz="4" w:space="0" w:color="092B57" w:themeColor="accent1"/>
          <w:bottom w:val="single" w:sz="4" w:space="0" w:color="092B57" w:themeColor="accent1"/>
          <w:right w:val="single" w:sz="4" w:space="0" w:color="092B57" w:themeColor="accent1"/>
          <w:insideH w:val="nil"/>
        </w:tcBorders>
        <w:shd w:val="clear" w:color="auto" w:fill="092B57" w:themeFill="accent1"/>
      </w:tcPr>
    </w:tblStylePr>
    <w:tblStylePr w:type="lastRow">
      <w:rPr>
        <w:b/>
        <w:bCs/>
      </w:rPr>
      <w:tblPr/>
      <w:tcPr>
        <w:tcBorders>
          <w:top w:val="double" w:sz="4" w:space="0" w:color="1D75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1F7" w:themeFill="accent1" w:themeFillTint="33"/>
      </w:tcPr>
    </w:tblStylePr>
    <w:tblStylePr w:type="band1Horz">
      <w:tblPr/>
      <w:tcPr>
        <w:shd w:val="clear" w:color="auto" w:fill="B3D1F7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8059CB"/>
    <w:pPr>
      <w:numPr>
        <w:numId w:val="27"/>
      </w:numPr>
      <w:spacing w:before="240"/>
    </w:pPr>
    <w:rPr>
      <w:rFonts w:cs="Segoe UI"/>
      <w:color w:val="007279"/>
    </w:rPr>
  </w:style>
  <w:style w:type="paragraph" w:customStyle="1" w:styleId="TBLHeading">
    <w:name w:val="TBL Heading"/>
    <w:basedOn w:val="Normal"/>
    <w:autoRedefine/>
    <w:uiPriority w:val="11"/>
    <w:qFormat/>
    <w:rsid w:val="009615D2"/>
    <w:pPr>
      <w:spacing w:after="0" w:line="240" w:lineRule="auto"/>
    </w:pPr>
    <w:rPr>
      <w:rFonts w:ascii="Segoe UI" w:hAnsi="Segoe UI" w:cs="Segoe UI"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9615D2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1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1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8059CB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21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1B375C" w:themeColor="hyperlink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28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29"/>
      </w:num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665FB6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table" w:customStyle="1" w:styleId="Style1">
    <w:name w:val="Style1"/>
    <w:basedOn w:val="Custom1"/>
    <w:uiPriority w:val="99"/>
    <w:rsid w:val="00D500C1"/>
    <w:tblPr>
      <w:tblBorders>
        <w:top w:val="none" w:sz="0" w:space="0" w:color="auto"/>
        <w:left w:val="single" w:sz="4" w:space="0" w:color="092B57" w:themeColor="accent1"/>
        <w:bottom w:val="single" w:sz="4" w:space="0" w:color="092B57" w:themeColor="accent1"/>
        <w:right w:val="single" w:sz="4" w:space="0" w:color="092B57" w:themeColor="accent1"/>
        <w:insideH w:val="none" w:sz="0" w:space="0" w:color="auto"/>
        <w:insideV w:val="single" w:sz="4" w:space="0" w:color="092B57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firstCol">
      <w:rPr>
        <w:b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styleId="NormalWeb">
    <w:name w:val="Normal (Web)"/>
    <w:basedOn w:val="Normal"/>
    <w:uiPriority w:val="99"/>
    <w:semiHidden/>
    <w:unhideWhenUsed/>
    <w:rsid w:val="005505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customStyle="1" w:styleId="Custom11">
    <w:name w:val="Custom 11"/>
    <w:basedOn w:val="TableNormal"/>
    <w:uiPriority w:val="99"/>
    <w:rsid w:val="005505E3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16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644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6449"/>
    <w:rPr>
      <w:rFonts w:ascii="Calibri Light" w:hAnsi="Calibri Light"/>
      <w:color w:val="1C2B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449"/>
    <w:rPr>
      <w:rFonts w:ascii="Calibri Light" w:hAnsi="Calibri Light"/>
      <w:b/>
      <w:bCs/>
      <w:color w:val="1C2B39"/>
      <w:sz w:val="20"/>
      <w:szCs w:val="20"/>
    </w:rPr>
  </w:style>
  <w:style w:type="paragraph" w:styleId="Revision">
    <w:name w:val="Revision"/>
    <w:hidden/>
    <w:uiPriority w:val="99"/>
    <w:semiHidden/>
    <w:rsid w:val="001578ED"/>
    <w:pPr>
      <w:spacing w:after="0" w:line="240" w:lineRule="auto"/>
    </w:pPr>
    <w:rPr>
      <w:rFonts w:ascii="Calibri Light" w:hAnsi="Calibri Light"/>
      <w:color w:val="1C2B39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0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4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1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PM&amp;C 2022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092B57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1B375C"/>
      </a:hlink>
      <a:folHlink>
        <a:srgbClr val="1B375C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9A52F-C583-444D-85E2-80A402F318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62b56b-7551-4282-85fb-f249a1bf4391}" enabled="1" method="Privileged" siteId="{311f614e-2687-4905-bb5c-f592370e0d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2406</Characters>
  <Application>Microsoft Office Word</Application>
  <DocSecurity>0</DocSecurity>
  <Lines>20</Lines>
  <Paragraphs>5</Paragraphs>
  <ScaleCrop>false</ScaleCrop>
  <Manager/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2026-02-10T03:59:00Z</dcterms:created>
  <dcterms:modified xsi:type="dcterms:W3CDTF">2026-02-10T04:00:00Z</dcterms:modified>
  <cp:category/>
</cp:coreProperties>
</file>