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86C8" w14:textId="548F2D53" w:rsidR="00DE3653" w:rsidRPr="00E35A2B" w:rsidRDefault="000D1469" w:rsidP="00A30F8E">
      <w:bookmarkStart w:id="0" w:name="_Hlk208305187"/>
      <w:bookmarkEnd w:id="0"/>
      <w:r w:rsidRPr="00E35A2B">
        <w:rPr>
          <w:noProof/>
        </w:rPr>
        <w:drawing>
          <wp:inline distT="0" distB="0" distL="0" distR="0" wp14:anchorId="21E30435" wp14:editId="2B6A9B37">
            <wp:extent cx="2893250" cy="659197"/>
            <wp:effectExtent l="0" t="0" r="0" b="7620"/>
            <wp:docPr id="1816688662"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88662" name="Picture 2" descr="Australian Government Cre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343" t="17617" r="-6343" b="16572"/>
                    <a:stretch>
                      <a:fillRect/>
                    </a:stretch>
                  </pic:blipFill>
                  <pic:spPr bwMode="auto">
                    <a:xfrm>
                      <a:off x="0" y="0"/>
                      <a:ext cx="2894330" cy="659443"/>
                    </a:xfrm>
                    <a:prstGeom prst="rect">
                      <a:avLst/>
                    </a:prstGeom>
                    <a:noFill/>
                    <a:ln>
                      <a:noFill/>
                    </a:ln>
                    <a:extLst>
                      <a:ext uri="{53640926-AAD7-44D8-BBD7-CCE9431645EC}">
                        <a14:shadowObscured xmlns:a14="http://schemas.microsoft.com/office/drawing/2010/main"/>
                      </a:ext>
                    </a:extLst>
                  </pic:spPr>
                </pic:pic>
              </a:graphicData>
            </a:graphic>
          </wp:inline>
        </w:drawing>
      </w:r>
    </w:p>
    <w:p w14:paraId="2516725E" w14:textId="77777777" w:rsidR="006E4836" w:rsidRDefault="006E4836" w:rsidP="00A30F8E">
      <w:pPr>
        <w:pStyle w:val="Subtitle"/>
        <w:rPr>
          <w:rFonts w:cstheme="majorBidi"/>
          <w:b/>
          <w:sz w:val="50"/>
          <w:szCs w:val="40"/>
        </w:rPr>
      </w:pPr>
    </w:p>
    <w:p w14:paraId="766AEE73" w14:textId="5B09E155" w:rsidR="00030B73" w:rsidRDefault="00030B73" w:rsidP="00A30F8E">
      <w:pPr>
        <w:pStyle w:val="Subtitle"/>
        <w:rPr>
          <w:rFonts w:cstheme="majorBidi"/>
          <w:b/>
          <w:sz w:val="50"/>
          <w:szCs w:val="40"/>
        </w:rPr>
      </w:pPr>
      <w:r w:rsidRPr="00247E92">
        <w:rPr>
          <w:rFonts w:cstheme="majorBidi"/>
          <w:b/>
          <w:sz w:val="50"/>
          <w:szCs w:val="40"/>
        </w:rPr>
        <w:t xml:space="preserve">Qantas Sale Amendment Act </w:t>
      </w:r>
      <w:proofErr w:type="gramStart"/>
      <w:r w:rsidRPr="00247E92">
        <w:rPr>
          <w:rFonts w:cstheme="majorBidi"/>
          <w:b/>
          <w:sz w:val="50"/>
          <w:szCs w:val="40"/>
        </w:rPr>
        <w:t>2014</w:t>
      </w:r>
      <w:r w:rsidRPr="00030B73">
        <w:rPr>
          <w:rFonts w:cstheme="majorBidi"/>
          <w:b/>
          <w:sz w:val="50"/>
          <w:szCs w:val="40"/>
        </w:rPr>
        <w:t xml:space="preserve"> </w:t>
      </w:r>
      <w:r w:rsidR="00247E92">
        <w:rPr>
          <w:rFonts w:cstheme="majorBidi"/>
          <w:b/>
          <w:sz w:val="50"/>
          <w:szCs w:val="40"/>
        </w:rPr>
        <w:t xml:space="preserve"> </w:t>
      </w:r>
      <w:r w:rsidRPr="00030B73">
        <w:rPr>
          <w:rFonts w:cstheme="majorBidi"/>
          <w:b/>
          <w:sz w:val="50"/>
          <w:szCs w:val="40"/>
        </w:rPr>
        <w:t>Post</w:t>
      </w:r>
      <w:proofErr w:type="gramEnd"/>
      <w:r w:rsidRPr="00030B73">
        <w:rPr>
          <w:rFonts w:cstheme="majorBidi"/>
          <w:b/>
          <w:sz w:val="50"/>
          <w:szCs w:val="40"/>
        </w:rPr>
        <w:t>-Implementation Review</w:t>
      </w:r>
    </w:p>
    <w:p w14:paraId="7DF79808" w14:textId="6150F4C6" w:rsidR="00A70D0A" w:rsidRPr="00E35A2B" w:rsidRDefault="00A70D0A" w:rsidP="00247E92">
      <w:pPr>
        <w:pStyle w:val="Coverimage"/>
        <w:framePr w:wrap="around"/>
      </w:pPr>
    </w:p>
    <w:p w14:paraId="65442849" w14:textId="43E1256E" w:rsidR="00D42A60" w:rsidRDefault="003B63E1" w:rsidP="00D42A60">
      <w:pPr>
        <w:pStyle w:val="Date"/>
        <w:tabs>
          <w:tab w:val="left" w:pos="7006"/>
          <w:tab w:val="right" w:pos="9026"/>
        </w:tabs>
        <w:jc w:val="left"/>
      </w:pPr>
      <w:r w:rsidRPr="00E35A2B">
        <w:tab/>
      </w:r>
      <w:r w:rsidRPr="00E35A2B">
        <w:tab/>
      </w:r>
      <w:r w:rsidR="00D42A60">
        <w:t>October 2017</w:t>
      </w:r>
      <w:r w:rsidR="00A70D0A" w:rsidRPr="00E35A2B">
        <w:t xml:space="preserve"> </w:t>
      </w:r>
    </w:p>
    <w:p w14:paraId="49E0E267" w14:textId="2FB53903" w:rsidR="00D42A60" w:rsidRPr="00D42A60" w:rsidRDefault="00D42A60" w:rsidP="00D42A60">
      <w:pPr>
        <w:tabs>
          <w:tab w:val="left" w:pos="6681"/>
        </w:tabs>
        <w:sectPr w:rsidR="00D42A60" w:rsidRPr="00D42A60" w:rsidSect="00D02912">
          <w:headerReference w:type="even" r:id="rId9"/>
          <w:footerReference w:type="even" r:id="rId10"/>
          <w:headerReference w:type="first" r:id="rId11"/>
          <w:footerReference w:type="first" r:id="rId12"/>
          <w:pgSz w:w="11906" w:h="16838"/>
          <w:pgMar w:top="1922" w:right="1440" w:bottom="1134" w:left="1440" w:header="567" w:footer="454" w:gutter="0"/>
          <w:cols w:space="708"/>
          <w:docGrid w:linePitch="360"/>
        </w:sectPr>
      </w:pPr>
      <w:r>
        <w:tab/>
      </w:r>
    </w:p>
    <w:sdt>
      <w:sdtPr>
        <w:rPr>
          <w:rFonts w:eastAsiaTheme="minorHAnsi" w:cstheme="minorBidi"/>
          <w:sz w:val="20"/>
          <w:szCs w:val="20"/>
        </w:rPr>
        <w:id w:val="703831899"/>
        <w:docPartObj>
          <w:docPartGallery w:val="Table of Contents"/>
          <w:docPartUnique/>
        </w:docPartObj>
      </w:sdtPr>
      <w:sdtEndPr>
        <w:rPr>
          <w:noProof/>
          <w:sz w:val="22"/>
        </w:rPr>
      </w:sdtEndPr>
      <w:sdtContent>
        <w:p w14:paraId="75061317" w14:textId="7A58335A" w:rsidR="00A6311C" w:rsidRPr="00E35A2B" w:rsidRDefault="00A6311C" w:rsidP="00EF4DC5">
          <w:pPr>
            <w:pStyle w:val="TOCHeading"/>
          </w:pPr>
          <w:r w:rsidRPr="00E35A2B">
            <w:t>Contents</w:t>
          </w:r>
        </w:p>
        <w:p w14:paraId="477377E0" w14:textId="09862C70" w:rsidR="00D02D24" w:rsidRDefault="00EF4DC5">
          <w:pPr>
            <w:pStyle w:val="TOC1"/>
            <w:tabs>
              <w:tab w:val="right" w:leader="dot" w:pos="9016"/>
            </w:tabs>
            <w:rPr>
              <w:rFonts w:asciiTheme="minorHAnsi" w:eastAsiaTheme="minorEastAsia" w:hAnsiTheme="minorHAnsi"/>
              <w:b w:val="0"/>
              <w:sz w:val="24"/>
              <w:szCs w:val="24"/>
              <w:lang w:eastAsia="en-AU"/>
            </w:rPr>
          </w:pPr>
          <w:r w:rsidRPr="00E35A2B">
            <w:fldChar w:fldCharType="begin"/>
          </w:r>
          <w:r w:rsidRPr="00E35A2B">
            <w:instrText xml:space="preserve"> TOC \h \z \t "Heading 2,1,Heading 3,2,Heading 4,3" </w:instrText>
          </w:r>
          <w:r w:rsidRPr="00E35A2B">
            <w:fldChar w:fldCharType="separate"/>
          </w:r>
          <w:hyperlink w:anchor="_Toc217032168" w:history="1">
            <w:r w:rsidR="00D02D24" w:rsidRPr="00B55B9F">
              <w:rPr>
                <w:rStyle w:val="Hyperlink"/>
              </w:rPr>
              <w:t>Introduction</w:t>
            </w:r>
            <w:r w:rsidR="00D02D24">
              <w:rPr>
                <w:webHidden/>
              </w:rPr>
              <w:tab/>
            </w:r>
            <w:r w:rsidR="00D02D24">
              <w:rPr>
                <w:webHidden/>
              </w:rPr>
              <w:fldChar w:fldCharType="begin"/>
            </w:r>
            <w:r w:rsidR="00D02D24">
              <w:rPr>
                <w:webHidden/>
              </w:rPr>
              <w:instrText xml:space="preserve"> PAGEREF _Toc217032168 \h </w:instrText>
            </w:r>
            <w:r w:rsidR="00D02D24">
              <w:rPr>
                <w:webHidden/>
              </w:rPr>
            </w:r>
            <w:r w:rsidR="00D02D24">
              <w:rPr>
                <w:webHidden/>
              </w:rPr>
              <w:fldChar w:fldCharType="separate"/>
            </w:r>
            <w:r w:rsidR="00D4752E">
              <w:rPr>
                <w:webHidden/>
              </w:rPr>
              <w:t>2</w:t>
            </w:r>
            <w:r w:rsidR="00D02D24">
              <w:rPr>
                <w:webHidden/>
              </w:rPr>
              <w:fldChar w:fldCharType="end"/>
            </w:r>
          </w:hyperlink>
        </w:p>
        <w:p w14:paraId="33CAA025" w14:textId="70E4F4E0" w:rsidR="00D02D24" w:rsidRDefault="00D02D24">
          <w:pPr>
            <w:pStyle w:val="TOC1"/>
            <w:tabs>
              <w:tab w:val="right" w:leader="dot" w:pos="9016"/>
            </w:tabs>
            <w:rPr>
              <w:rFonts w:asciiTheme="minorHAnsi" w:eastAsiaTheme="minorEastAsia" w:hAnsiTheme="minorHAnsi"/>
              <w:b w:val="0"/>
              <w:sz w:val="24"/>
              <w:szCs w:val="24"/>
              <w:lang w:eastAsia="en-AU"/>
            </w:rPr>
          </w:pPr>
          <w:hyperlink w:anchor="_Toc217032169" w:history="1">
            <w:r w:rsidRPr="00B55B9F">
              <w:rPr>
                <w:rStyle w:val="Hyperlink"/>
              </w:rPr>
              <w:t>What problem was the regulation meant to solve?</w:t>
            </w:r>
            <w:r>
              <w:rPr>
                <w:webHidden/>
              </w:rPr>
              <w:tab/>
            </w:r>
            <w:r>
              <w:rPr>
                <w:webHidden/>
              </w:rPr>
              <w:fldChar w:fldCharType="begin"/>
            </w:r>
            <w:r>
              <w:rPr>
                <w:webHidden/>
              </w:rPr>
              <w:instrText xml:space="preserve"> PAGEREF _Toc217032169 \h </w:instrText>
            </w:r>
            <w:r>
              <w:rPr>
                <w:webHidden/>
              </w:rPr>
            </w:r>
            <w:r>
              <w:rPr>
                <w:webHidden/>
              </w:rPr>
              <w:fldChar w:fldCharType="separate"/>
            </w:r>
            <w:r w:rsidR="00D4752E">
              <w:rPr>
                <w:webHidden/>
              </w:rPr>
              <w:t>2</w:t>
            </w:r>
            <w:r>
              <w:rPr>
                <w:webHidden/>
              </w:rPr>
              <w:fldChar w:fldCharType="end"/>
            </w:r>
          </w:hyperlink>
        </w:p>
        <w:p w14:paraId="7F6E8820" w14:textId="197BC2F8" w:rsidR="00D02D24" w:rsidRDefault="00D02D24">
          <w:pPr>
            <w:pStyle w:val="TOC1"/>
            <w:tabs>
              <w:tab w:val="right" w:leader="dot" w:pos="9016"/>
            </w:tabs>
            <w:rPr>
              <w:rFonts w:asciiTheme="minorHAnsi" w:eastAsiaTheme="minorEastAsia" w:hAnsiTheme="minorHAnsi"/>
              <w:b w:val="0"/>
              <w:sz w:val="24"/>
              <w:szCs w:val="24"/>
              <w:lang w:eastAsia="en-AU"/>
            </w:rPr>
          </w:pPr>
          <w:hyperlink w:anchor="_Toc217032170" w:history="1">
            <w:r w:rsidRPr="00B55B9F">
              <w:rPr>
                <w:rStyle w:val="Hyperlink"/>
              </w:rPr>
              <w:t>What policy options were considered?</w:t>
            </w:r>
            <w:r>
              <w:rPr>
                <w:webHidden/>
              </w:rPr>
              <w:tab/>
            </w:r>
            <w:r>
              <w:rPr>
                <w:webHidden/>
              </w:rPr>
              <w:fldChar w:fldCharType="begin"/>
            </w:r>
            <w:r>
              <w:rPr>
                <w:webHidden/>
              </w:rPr>
              <w:instrText xml:space="preserve"> PAGEREF _Toc217032170 \h </w:instrText>
            </w:r>
            <w:r>
              <w:rPr>
                <w:webHidden/>
              </w:rPr>
            </w:r>
            <w:r>
              <w:rPr>
                <w:webHidden/>
              </w:rPr>
              <w:fldChar w:fldCharType="separate"/>
            </w:r>
            <w:r w:rsidR="00D4752E">
              <w:rPr>
                <w:webHidden/>
              </w:rPr>
              <w:t>3</w:t>
            </w:r>
            <w:r>
              <w:rPr>
                <w:webHidden/>
              </w:rPr>
              <w:fldChar w:fldCharType="end"/>
            </w:r>
          </w:hyperlink>
        </w:p>
        <w:p w14:paraId="4E6927EA" w14:textId="054D415B" w:rsidR="00D02D24" w:rsidRDefault="00D02D24">
          <w:pPr>
            <w:pStyle w:val="TOC1"/>
            <w:tabs>
              <w:tab w:val="right" w:leader="dot" w:pos="9016"/>
            </w:tabs>
            <w:rPr>
              <w:rFonts w:asciiTheme="minorHAnsi" w:eastAsiaTheme="minorEastAsia" w:hAnsiTheme="minorHAnsi"/>
              <w:b w:val="0"/>
              <w:sz w:val="24"/>
              <w:szCs w:val="24"/>
              <w:lang w:eastAsia="en-AU"/>
            </w:rPr>
          </w:pPr>
          <w:hyperlink w:anchor="_Toc217032171" w:history="1">
            <w:r w:rsidRPr="00B55B9F">
              <w:rPr>
                <w:rStyle w:val="Hyperlink"/>
              </w:rPr>
              <w:t>What were the impacts of the regulation?</w:t>
            </w:r>
            <w:r>
              <w:rPr>
                <w:webHidden/>
              </w:rPr>
              <w:tab/>
            </w:r>
            <w:r>
              <w:rPr>
                <w:webHidden/>
              </w:rPr>
              <w:fldChar w:fldCharType="begin"/>
            </w:r>
            <w:r>
              <w:rPr>
                <w:webHidden/>
              </w:rPr>
              <w:instrText xml:space="preserve"> PAGEREF _Toc217032171 \h </w:instrText>
            </w:r>
            <w:r>
              <w:rPr>
                <w:webHidden/>
              </w:rPr>
            </w:r>
            <w:r>
              <w:rPr>
                <w:webHidden/>
              </w:rPr>
              <w:fldChar w:fldCharType="separate"/>
            </w:r>
            <w:r w:rsidR="00D4752E">
              <w:rPr>
                <w:webHidden/>
              </w:rPr>
              <w:t>4</w:t>
            </w:r>
            <w:r>
              <w:rPr>
                <w:webHidden/>
              </w:rPr>
              <w:fldChar w:fldCharType="end"/>
            </w:r>
          </w:hyperlink>
        </w:p>
        <w:p w14:paraId="332D1240" w14:textId="0EED7701" w:rsidR="00D02D24" w:rsidRDefault="00D02D24">
          <w:pPr>
            <w:pStyle w:val="TOC1"/>
            <w:tabs>
              <w:tab w:val="right" w:leader="dot" w:pos="9016"/>
            </w:tabs>
            <w:rPr>
              <w:rFonts w:asciiTheme="minorHAnsi" w:eastAsiaTheme="minorEastAsia" w:hAnsiTheme="minorHAnsi"/>
              <w:b w:val="0"/>
              <w:sz w:val="24"/>
              <w:szCs w:val="24"/>
              <w:lang w:eastAsia="en-AU"/>
            </w:rPr>
          </w:pPr>
          <w:hyperlink w:anchor="_Toc217032172" w:history="1">
            <w:r w:rsidRPr="00B55B9F">
              <w:rPr>
                <w:rStyle w:val="Hyperlink"/>
              </w:rPr>
              <w:t>Measuring the Regulatory Burden</w:t>
            </w:r>
            <w:r>
              <w:rPr>
                <w:webHidden/>
              </w:rPr>
              <w:tab/>
            </w:r>
            <w:r>
              <w:rPr>
                <w:webHidden/>
              </w:rPr>
              <w:fldChar w:fldCharType="begin"/>
            </w:r>
            <w:r>
              <w:rPr>
                <w:webHidden/>
              </w:rPr>
              <w:instrText xml:space="preserve"> PAGEREF _Toc217032172 \h </w:instrText>
            </w:r>
            <w:r>
              <w:rPr>
                <w:webHidden/>
              </w:rPr>
            </w:r>
            <w:r>
              <w:rPr>
                <w:webHidden/>
              </w:rPr>
              <w:fldChar w:fldCharType="separate"/>
            </w:r>
            <w:r w:rsidR="00D4752E">
              <w:rPr>
                <w:webHidden/>
              </w:rPr>
              <w:t>5</w:t>
            </w:r>
            <w:r>
              <w:rPr>
                <w:webHidden/>
              </w:rPr>
              <w:fldChar w:fldCharType="end"/>
            </w:r>
          </w:hyperlink>
        </w:p>
        <w:p w14:paraId="6321FDB6" w14:textId="2A35C3F3" w:rsidR="00D02D24" w:rsidRDefault="00D02D24">
          <w:pPr>
            <w:pStyle w:val="TOC1"/>
            <w:tabs>
              <w:tab w:val="right" w:leader="dot" w:pos="9016"/>
            </w:tabs>
            <w:rPr>
              <w:rFonts w:asciiTheme="minorHAnsi" w:eastAsiaTheme="minorEastAsia" w:hAnsiTheme="minorHAnsi"/>
              <w:b w:val="0"/>
              <w:sz w:val="24"/>
              <w:szCs w:val="24"/>
              <w:lang w:eastAsia="en-AU"/>
            </w:rPr>
          </w:pPr>
          <w:hyperlink w:anchor="_Toc217032173" w:history="1">
            <w:r w:rsidRPr="00B55B9F">
              <w:rPr>
                <w:rStyle w:val="Hyperlink"/>
              </w:rPr>
              <w:t>Which stakeholders have been consulted?</w:t>
            </w:r>
            <w:r>
              <w:rPr>
                <w:webHidden/>
              </w:rPr>
              <w:tab/>
            </w:r>
            <w:r>
              <w:rPr>
                <w:webHidden/>
              </w:rPr>
              <w:fldChar w:fldCharType="begin"/>
            </w:r>
            <w:r>
              <w:rPr>
                <w:webHidden/>
              </w:rPr>
              <w:instrText xml:space="preserve"> PAGEREF _Toc217032173 \h </w:instrText>
            </w:r>
            <w:r>
              <w:rPr>
                <w:webHidden/>
              </w:rPr>
            </w:r>
            <w:r>
              <w:rPr>
                <w:webHidden/>
              </w:rPr>
              <w:fldChar w:fldCharType="separate"/>
            </w:r>
            <w:r w:rsidR="00D4752E">
              <w:rPr>
                <w:webHidden/>
              </w:rPr>
              <w:t>6</w:t>
            </w:r>
            <w:r>
              <w:rPr>
                <w:webHidden/>
              </w:rPr>
              <w:fldChar w:fldCharType="end"/>
            </w:r>
          </w:hyperlink>
        </w:p>
        <w:p w14:paraId="05175A16" w14:textId="2A0F0E81" w:rsidR="00A6311C" w:rsidRPr="00E35A2B" w:rsidRDefault="00EF4DC5" w:rsidP="00A30F8E">
          <w:r w:rsidRPr="00E35A2B">
            <w:rPr>
              <w:noProof/>
            </w:rPr>
            <w:fldChar w:fldCharType="end"/>
          </w:r>
        </w:p>
      </w:sdtContent>
    </w:sdt>
    <w:p w14:paraId="3B7393C4" w14:textId="25A520E9" w:rsidR="00D72E45" w:rsidRPr="00E35A2B" w:rsidRDefault="00A86F04" w:rsidP="00247E92">
      <w:pPr>
        <w:spacing w:line="259" w:lineRule="auto"/>
      </w:pPr>
      <w:r w:rsidRPr="00E35A2B">
        <w:br w:type="page"/>
      </w:r>
    </w:p>
    <w:p w14:paraId="2C769C1F" w14:textId="29273BF8" w:rsidR="005E695D" w:rsidRPr="00E35A2B" w:rsidRDefault="00BA3C23" w:rsidP="00D72E45">
      <w:pPr>
        <w:pStyle w:val="Heading2"/>
      </w:pPr>
      <w:bookmarkStart w:id="1" w:name="_Toc217032168"/>
      <w:r>
        <w:lastRenderedPageBreak/>
        <w:t>Introduction</w:t>
      </w:r>
      <w:bookmarkEnd w:id="1"/>
    </w:p>
    <w:p w14:paraId="2FFEB51C" w14:textId="77777777" w:rsidR="00FE7E71" w:rsidRDefault="00FE7E71" w:rsidP="00FE7E71">
      <w:r>
        <w:t xml:space="preserve">This review has been conducted in line with the Australian Government’s best practice regulation framework. It answers the key questions to be considered in a post implementation review, based on evidence gathered through ongoing consultation and monitoring conducted since implementation. </w:t>
      </w:r>
    </w:p>
    <w:p w14:paraId="5976B602" w14:textId="33B805A1" w:rsidR="00FE7E71" w:rsidRDefault="00FE7E71" w:rsidP="00FE7E71">
      <w:r>
        <w:t xml:space="preserve">This review is limited to the amendments contained within the </w:t>
      </w:r>
      <w:r w:rsidR="001A45BF" w:rsidRPr="001A45BF">
        <w:rPr>
          <w:i/>
          <w:iCs/>
        </w:rPr>
        <w:t xml:space="preserve">Qantas Sale </w:t>
      </w:r>
      <w:r w:rsidRPr="001A45BF">
        <w:rPr>
          <w:i/>
          <w:iCs/>
        </w:rPr>
        <w:t>Amendment Act</w:t>
      </w:r>
      <w:r w:rsidR="001A45BF" w:rsidRPr="001A45BF">
        <w:rPr>
          <w:i/>
          <w:iCs/>
        </w:rPr>
        <w:t xml:space="preserve"> 2014</w:t>
      </w:r>
      <w:r w:rsidR="001A45BF">
        <w:t xml:space="preserve"> (Amendment Act)</w:t>
      </w:r>
      <w:r>
        <w:t>, being the removal of Qantas’ 35 per cent and 25 per cent foreign ownership restrictions. It considers the implementation of these changes and evaluates whether they were of overall benefit.</w:t>
      </w:r>
    </w:p>
    <w:p w14:paraId="3A314577" w14:textId="77777777" w:rsidR="00FE7E71" w:rsidRDefault="00FE7E71" w:rsidP="00FE7E71">
      <w:r>
        <w:t>In line with the best practice regulation framework this review aims to answer the following key questions:</w:t>
      </w:r>
    </w:p>
    <w:p w14:paraId="0F42BECD" w14:textId="77777777" w:rsidR="00FE7E71" w:rsidRDefault="00FE7E71" w:rsidP="00FE7E71">
      <w:r>
        <w:t>1)</w:t>
      </w:r>
      <w:r>
        <w:tab/>
        <w:t>What problem was the regulation meant to solve?</w:t>
      </w:r>
    </w:p>
    <w:p w14:paraId="0E9E666A" w14:textId="77777777" w:rsidR="00FE7E71" w:rsidRDefault="00FE7E71" w:rsidP="00FE7E71">
      <w:r>
        <w:t>2)</w:t>
      </w:r>
      <w:r>
        <w:tab/>
        <w:t>Why was Government action needed?</w:t>
      </w:r>
    </w:p>
    <w:p w14:paraId="6DCB9CDD" w14:textId="77777777" w:rsidR="00FE7E71" w:rsidRDefault="00FE7E71" w:rsidP="00FE7E71">
      <w:r>
        <w:t>3)</w:t>
      </w:r>
      <w:r>
        <w:tab/>
        <w:t>What policy options were considered?</w:t>
      </w:r>
    </w:p>
    <w:p w14:paraId="374DB881" w14:textId="77777777" w:rsidR="00FE7E71" w:rsidRDefault="00FE7E71" w:rsidP="00FE7E71">
      <w:r>
        <w:t>4)</w:t>
      </w:r>
      <w:r>
        <w:tab/>
        <w:t>What were the impacts of the regulation?</w:t>
      </w:r>
    </w:p>
    <w:p w14:paraId="3BAC0E32" w14:textId="77777777" w:rsidR="00FE7E71" w:rsidRDefault="00FE7E71" w:rsidP="00FE7E71">
      <w:r>
        <w:t>5)</w:t>
      </w:r>
      <w:r>
        <w:tab/>
        <w:t>Which stakeholders have been consulted?</w:t>
      </w:r>
    </w:p>
    <w:p w14:paraId="52A96C21" w14:textId="77777777" w:rsidR="00FE7E71" w:rsidRDefault="00FE7E71" w:rsidP="00FE7E71">
      <w:r>
        <w:t>6)</w:t>
      </w:r>
      <w:r>
        <w:tab/>
        <w:t>Has the regulation delivered net benefit?</w:t>
      </w:r>
    </w:p>
    <w:p w14:paraId="14E453F1" w14:textId="48A61145" w:rsidR="00FE7E71" w:rsidRDefault="00FE7E71" w:rsidP="00FE7E71">
      <w:r>
        <w:t>7)</w:t>
      </w:r>
      <w:r>
        <w:tab/>
        <w:t>How was the regulation implemented and evaluated?</w:t>
      </w:r>
    </w:p>
    <w:p w14:paraId="1BEC6ACD" w14:textId="77777777" w:rsidR="00BA3C23" w:rsidRDefault="00BA3C23" w:rsidP="00BA3C23">
      <w:pPr>
        <w:pStyle w:val="Heading2"/>
      </w:pPr>
      <w:bookmarkStart w:id="2" w:name="_Toc217032169"/>
      <w:r>
        <w:t>What problem was the regulation meant to solve?</w:t>
      </w:r>
      <w:bookmarkEnd w:id="2"/>
    </w:p>
    <w:p w14:paraId="57C9F72A" w14:textId="77777777" w:rsidR="00BA3C23" w:rsidRDefault="00BA3C23" w:rsidP="00BA3C23">
      <w:r>
        <w:t xml:space="preserve">The Amendment Act repealed paragraphs of the </w:t>
      </w:r>
      <w:r w:rsidRPr="00247E92">
        <w:rPr>
          <w:i/>
          <w:iCs/>
        </w:rPr>
        <w:t>Qantas Sale Act 1992</w:t>
      </w:r>
      <w:r>
        <w:t xml:space="preserve"> containing certain restrictions on the ownership of shares in Qantas. In particular, the amendments removed the requirement for Qantas’ articles of association to prevent foreign airlines having more than 35 per cent, and any one foreign person having more than 25 per cent, of the total value of Qantas shares. The amendments to the </w:t>
      </w:r>
      <w:r w:rsidRPr="00247E92">
        <w:rPr>
          <w:i/>
          <w:iCs/>
        </w:rPr>
        <w:t>Qantas Sale Act 1992</w:t>
      </w:r>
      <w:r>
        <w:t xml:space="preserve"> took effect on 25 August 2014.</w:t>
      </w:r>
    </w:p>
    <w:p w14:paraId="7A1BE50A" w14:textId="77777777" w:rsidR="00BA3C23" w:rsidRDefault="00BA3C23" w:rsidP="00BA3C23">
      <w:r>
        <w:t xml:space="preserve">The changes introduced by the Amendment Act proceeded a turbulent period in the Australian aviation industry, characterised by difficult market conditions and fierce competition within the Australian domestic market. These factors significantly impacted Qantas’ profitability and led to calls for government intervention. </w:t>
      </w:r>
      <w:proofErr w:type="gramStart"/>
      <w:r>
        <w:t>In particular, there</w:t>
      </w:r>
      <w:proofErr w:type="gramEnd"/>
      <w:r>
        <w:t xml:space="preserve"> were calls to ‘even the playing field’ for Qantas by removing foreign investment restrictions placed on Qantas in the </w:t>
      </w:r>
      <w:r w:rsidRPr="00AE7DA3">
        <w:rPr>
          <w:i/>
          <w:iCs/>
        </w:rPr>
        <w:t>Qantas Sale Act 1992</w:t>
      </w:r>
      <w:r>
        <w:t xml:space="preserve"> that did not apply to its competitors. </w:t>
      </w:r>
    </w:p>
    <w:p w14:paraId="1B2EA839" w14:textId="77777777" w:rsidR="00BA3C23" w:rsidRDefault="00BA3C23" w:rsidP="00BA3C23">
      <w:r>
        <w:t xml:space="preserve">By removing restrictions on foreign investment, Qantas would gain increased access to overseas capital markets and lower its cost of capital, improving its competitiveness against key rivals. </w:t>
      </w:r>
    </w:p>
    <w:p w14:paraId="3687B21A" w14:textId="77777777" w:rsidR="00054D0C" w:rsidRDefault="00054D0C" w:rsidP="00BA3C23">
      <w:pPr>
        <w:rPr>
          <w:rFonts w:eastAsiaTheme="majorEastAsia" w:cstheme="majorBidi"/>
          <w:sz w:val="40"/>
          <w:szCs w:val="32"/>
        </w:rPr>
      </w:pPr>
    </w:p>
    <w:p w14:paraId="3A116078" w14:textId="77777777" w:rsidR="00054D0C" w:rsidRDefault="00054D0C" w:rsidP="00BA3C23">
      <w:pPr>
        <w:rPr>
          <w:rFonts w:eastAsiaTheme="majorEastAsia" w:cstheme="majorBidi"/>
          <w:sz w:val="40"/>
          <w:szCs w:val="32"/>
        </w:rPr>
      </w:pPr>
    </w:p>
    <w:p w14:paraId="67F84249" w14:textId="0EC86D2F" w:rsidR="00BA3C23" w:rsidRPr="00BA3C23" w:rsidRDefault="00BA3C23" w:rsidP="00BA3C23">
      <w:pPr>
        <w:rPr>
          <w:rFonts w:eastAsiaTheme="majorEastAsia" w:cstheme="majorBidi"/>
          <w:sz w:val="40"/>
          <w:szCs w:val="32"/>
        </w:rPr>
      </w:pPr>
      <w:r w:rsidRPr="00BA3C23">
        <w:rPr>
          <w:rFonts w:eastAsiaTheme="majorEastAsia" w:cstheme="majorBidi"/>
          <w:sz w:val="40"/>
          <w:szCs w:val="32"/>
        </w:rPr>
        <w:lastRenderedPageBreak/>
        <w:t>Why was Government action needed?</w:t>
      </w:r>
    </w:p>
    <w:p w14:paraId="3A13D179" w14:textId="61132E56" w:rsidR="00BA3C23" w:rsidRDefault="00BA3C23" w:rsidP="00BA3C23">
      <w:r>
        <w:t xml:space="preserve">At the time, Qantas accounted for approximately 62 per cent of the Australian domestic aviation </w:t>
      </w:r>
      <w:proofErr w:type="gramStart"/>
      <w:r>
        <w:t>market, and</w:t>
      </w:r>
      <w:proofErr w:type="gramEnd"/>
      <w:r>
        <w:t xml:space="preserve"> contributes approximately $11.4 billion to the Australian economy.</w:t>
      </w:r>
      <w:r w:rsidR="0004681E">
        <w:rPr>
          <w:rStyle w:val="FootnoteReference"/>
        </w:rPr>
        <w:footnoteReference w:id="1"/>
      </w:r>
      <w:r w:rsidR="00694442" w:rsidRPr="00694442">
        <w:rPr>
          <w:vertAlign w:val="superscript"/>
        </w:rPr>
        <w:t>,</w:t>
      </w:r>
      <w:r w:rsidR="00694442">
        <w:rPr>
          <w:rStyle w:val="FootnoteReference"/>
        </w:rPr>
        <w:footnoteReference w:id="2"/>
      </w:r>
      <w:r>
        <w:t xml:space="preserve"> Ensuring the ongoing viability and competitiveness of Qantas was important for the aviation sector and for the broader Australian economy.  As a result, measured Government intervention to ensure Qantas’ continued competitiveness was justified.</w:t>
      </w:r>
    </w:p>
    <w:p w14:paraId="2557D877" w14:textId="77777777" w:rsidR="00BA3C23" w:rsidRPr="00BA3C23" w:rsidRDefault="00BA3C23" w:rsidP="005902F1">
      <w:pPr>
        <w:pStyle w:val="Heading2"/>
      </w:pPr>
      <w:bookmarkStart w:id="3" w:name="_Toc217032170"/>
      <w:r w:rsidRPr="00BA3C23">
        <w:t>What policy options were considered?</w:t>
      </w:r>
      <w:bookmarkEnd w:id="3"/>
    </w:p>
    <w:p w14:paraId="361807FA" w14:textId="77777777" w:rsidR="00BA3C23" w:rsidRDefault="00BA3C23" w:rsidP="00BA3C23">
      <w:r>
        <w:t xml:space="preserve">A range of policy options were considered prior to drafting the Amendment Act, as outlined below. </w:t>
      </w:r>
    </w:p>
    <w:p w14:paraId="52F6C4E1" w14:textId="77777777" w:rsidR="00BA3C23" w:rsidRPr="005902F1" w:rsidRDefault="00BA3C23" w:rsidP="00BA3C23">
      <w:pPr>
        <w:rPr>
          <w:b/>
          <w:bCs/>
        </w:rPr>
      </w:pPr>
      <w:r w:rsidRPr="005902F1">
        <w:rPr>
          <w:b/>
          <w:bCs/>
        </w:rPr>
        <w:t xml:space="preserve">Option 1 – Remove foreign ownership and other legislative restrictions </w:t>
      </w:r>
    </w:p>
    <w:p w14:paraId="5FEBDB61" w14:textId="77777777" w:rsidR="00BA3C23" w:rsidRDefault="00BA3C23" w:rsidP="00BA3C23">
      <w:r>
        <w:t xml:space="preserve">This option proposed repealing Part 3 of the Qantas Sale Act in its entirety, which would remove the 35 and 25 per cent foreign ownership restrictions as well as other legislative restrictions that do not apply to its competitors.  </w:t>
      </w:r>
    </w:p>
    <w:p w14:paraId="764C0ACD" w14:textId="77777777" w:rsidR="00BA3C23" w:rsidRDefault="00BA3C23" w:rsidP="00BA3C23">
      <w:r>
        <w:t xml:space="preserve">These additional legislative restrictions are:   </w:t>
      </w:r>
    </w:p>
    <w:p w14:paraId="5E475042" w14:textId="4EA36B7D" w:rsidR="00BA3C23" w:rsidRDefault="00BA3C23" w:rsidP="00085D25">
      <w:pPr>
        <w:pStyle w:val="ListParagraph"/>
        <w:numPr>
          <w:ilvl w:val="0"/>
          <w:numId w:val="23"/>
        </w:numPr>
      </w:pPr>
      <w:r>
        <w:t>Qantas cannot change its company name to a name that does not include the expression ‘Qantas</w:t>
      </w:r>
      <w:proofErr w:type="gramStart"/>
      <w:r>
        <w:t>’;</w:t>
      </w:r>
      <w:proofErr w:type="gramEnd"/>
      <w:r>
        <w:t xml:space="preserve"> </w:t>
      </w:r>
    </w:p>
    <w:p w14:paraId="70DEE27E" w14:textId="50CD752B" w:rsidR="00BA3C23" w:rsidRDefault="00BA3C23" w:rsidP="00085D25">
      <w:pPr>
        <w:pStyle w:val="ListParagraph"/>
        <w:numPr>
          <w:ilvl w:val="0"/>
          <w:numId w:val="23"/>
        </w:numPr>
      </w:pPr>
      <w:r>
        <w:t>Qantas is prevented from ‘conducting’ scheduled international air transport passenger services under a name other than its company name; or a registered business name that includes the expression ‘Qantas</w:t>
      </w:r>
      <w:proofErr w:type="gramStart"/>
      <w:r>
        <w:t>’;</w:t>
      </w:r>
      <w:proofErr w:type="gramEnd"/>
      <w:r>
        <w:t xml:space="preserve"> </w:t>
      </w:r>
    </w:p>
    <w:p w14:paraId="31A3F8E8" w14:textId="39D2940B" w:rsidR="00BA3C23" w:rsidRDefault="00BA3C23" w:rsidP="00085D25">
      <w:pPr>
        <w:pStyle w:val="ListParagraph"/>
        <w:numPr>
          <w:ilvl w:val="0"/>
          <w:numId w:val="23"/>
        </w:numPr>
      </w:pPr>
      <w:r>
        <w:t xml:space="preserve">Foreign shareholders are excluded from votes on the removal and appointment of directors in some circumstances; and </w:t>
      </w:r>
    </w:p>
    <w:p w14:paraId="7A909CF1" w14:textId="28C562E8" w:rsidR="00BA3C23" w:rsidRDefault="00BA3C23" w:rsidP="00085D25">
      <w:pPr>
        <w:pStyle w:val="ListParagraph"/>
        <w:numPr>
          <w:ilvl w:val="0"/>
          <w:numId w:val="23"/>
        </w:numPr>
      </w:pPr>
      <w:r>
        <w:t xml:space="preserve">Subsection 7(1)(h) of the QSA states that ‘ . . . of the facilities, taken in aggregate, which are used by Qantas in the provision of scheduled international air transport services (for example, facilities for the maintenance and housing of aircraft, catering, flight operations, training and administration), the facilities located in Australia, when compared with those located in any other country, must represent the principal operational centre for Qantas.’   </w:t>
      </w:r>
    </w:p>
    <w:p w14:paraId="18E1C064" w14:textId="77777777" w:rsidR="00BA3C23" w:rsidRDefault="00BA3C23" w:rsidP="00BA3C23">
      <w:r>
        <w:t>The option of removing these additional legislative restrictions was considered in the broader regulatory context for international aviation.</w:t>
      </w:r>
    </w:p>
    <w:p w14:paraId="279E731A" w14:textId="77777777" w:rsidR="00BA3C23" w:rsidRDefault="00BA3C23" w:rsidP="00BA3C23">
      <w:r>
        <w:t xml:space="preserve">All other Australian international airlines are subject to the </w:t>
      </w:r>
      <w:r w:rsidRPr="005902F1">
        <w:rPr>
          <w:i/>
          <w:iCs/>
        </w:rPr>
        <w:t>Air Navigation Act 1920</w:t>
      </w:r>
      <w:r>
        <w:t xml:space="preserve"> (the ‘ANA’). The ANA effectively limits total foreign ownership to 49 per </w:t>
      </w:r>
      <w:proofErr w:type="gramStart"/>
      <w:r>
        <w:t>cent, and</w:t>
      </w:r>
      <w:proofErr w:type="gramEnd"/>
      <w:r>
        <w:t xml:space="preserve"> does not impose the additional restrictions on business operations that apply to Qantas.</w:t>
      </w:r>
    </w:p>
    <w:p w14:paraId="04B27DD2" w14:textId="77777777" w:rsidR="00BA3C23" w:rsidRDefault="00BA3C23" w:rsidP="00BA3C23">
      <w:r>
        <w:lastRenderedPageBreak/>
        <w:t xml:space="preserve">However, foreign investment in international airlines is not only limited by statute.  International air services agreements also impose ownership and control restrictions to ensure only airlines belonging to the countries party to the agreement can access the traffic rights granted under the agreement.  International airlines wishing to access Australia’s negotiated air traffic rights must be ‘designated’ by the Government, and designation criteria are applied to ensure the airline meets the relevant ownership and control requirements under the agreement.  </w:t>
      </w:r>
    </w:p>
    <w:p w14:paraId="4E919ECE" w14:textId="77777777" w:rsidR="00BA3C23" w:rsidRDefault="00BA3C23" w:rsidP="00BA3C23">
      <w:r>
        <w:t>Under the designation criteria, Australian airlines seeking designation are required to demonstrate that:</w:t>
      </w:r>
    </w:p>
    <w:p w14:paraId="4386238C" w14:textId="4B6E4EDB" w:rsidR="00BA3C23" w:rsidRDefault="00BA3C23" w:rsidP="005902F1">
      <w:pPr>
        <w:pStyle w:val="ListLegal3"/>
        <w:numPr>
          <w:ilvl w:val="2"/>
          <w:numId w:val="22"/>
        </w:numPr>
        <w:ind w:left="567" w:hanging="141"/>
      </w:pPr>
      <w:r>
        <w:t xml:space="preserve">they are substantially owned and effectively controlled by Australian </w:t>
      </w:r>
      <w:proofErr w:type="gramStart"/>
      <w:r>
        <w:t>nationals;</w:t>
      </w:r>
      <w:proofErr w:type="gramEnd"/>
    </w:p>
    <w:p w14:paraId="0C0E7C1E" w14:textId="32ECE5D8" w:rsidR="00BA3C23" w:rsidRDefault="00BA3C23" w:rsidP="005902F1">
      <w:pPr>
        <w:pStyle w:val="ListLegal3"/>
        <w:numPr>
          <w:ilvl w:val="2"/>
          <w:numId w:val="22"/>
        </w:numPr>
        <w:ind w:left="567" w:hanging="141"/>
      </w:pPr>
      <w:r>
        <w:t xml:space="preserve">at least two-thirds of the Board members must be Australian </w:t>
      </w:r>
      <w:proofErr w:type="gramStart"/>
      <w:r>
        <w:t>citizens;</w:t>
      </w:r>
      <w:proofErr w:type="gramEnd"/>
      <w:r>
        <w:t xml:space="preserve"> </w:t>
      </w:r>
    </w:p>
    <w:p w14:paraId="22BC3E9A" w14:textId="3E05E612" w:rsidR="00BA3C23" w:rsidRDefault="00BA3C23" w:rsidP="005902F1">
      <w:pPr>
        <w:pStyle w:val="ListLegal3"/>
        <w:numPr>
          <w:ilvl w:val="2"/>
          <w:numId w:val="22"/>
        </w:numPr>
        <w:ind w:left="567" w:hanging="141"/>
      </w:pPr>
      <w:r>
        <w:t xml:space="preserve">the Chairperson of the Board must be an Australian </w:t>
      </w:r>
      <w:proofErr w:type="gramStart"/>
      <w:r>
        <w:t>citizen;</w:t>
      </w:r>
      <w:proofErr w:type="gramEnd"/>
      <w:r>
        <w:t xml:space="preserve"> </w:t>
      </w:r>
    </w:p>
    <w:p w14:paraId="2ABA5A29" w14:textId="5D8603F7" w:rsidR="00BA3C23" w:rsidRDefault="00BA3C23" w:rsidP="005902F1">
      <w:pPr>
        <w:pStyle w:val="ListLegal3"/>
        <w:numPr>
          <w:ilvl w:val="2"/>
          <w:numId w:val="22"/>
        </w:numPr>
        <w:ind w:left="567" w:hanging="141"/>
      </w:pPr>
      <w:r>
        <w:t xml:space="preserve">the airline's head office must be in </w:t>
      </w:r>
      <w:proofErr w:type="gramStart"/>
      <w:r>
        <w:t>Australia;</w:t>
      </w:r>
      <w:proofErr w:type="gramEnd"/>
      <w:r>
        <w:t xml:space="preserve"> </w:t>
      </w:r>
    </w:p>
    <w:p w14:paraId="4A21A3EC" w14:textId="237A9756" w:rsidR="00BA3C23" w:rsidRDefault="00BA3C23" w:rsidP="005902F1">
      <w:pPr>
        <w:pStyle w:val="ListLegal3"/>
        <w:numPr>
          <w:ilvl w:val="2"/>
          <w:numId w:val="22"/>
        </w:numPr>
        <w:ind w:left="567" w:hanging="141"/>
      </w:pPr>
      <w:r>
        <w:t xml:space="preserve">the airline's operational base must be in Australia; and </w:t>
      </w:r>
    </w:p>
    <w:p w14:paraId="079A6416" w14:textId="2F1D869B" w:rsidR="00BA3C23" w:rsidRDefault="00BA3C23" w:rsidP="005902F1">
      <w:pPr>
        <w:pStyle w:val="ListLegal3"/>
        <w:numPr>
          <w:ilvl w:val="2"/>
          <w:numId w:val="22"/>
        </w:numPr>
        <w:ind w:left="567" w:hanging="141"/>
      </w:pPr>
      <w:r>
        <w:t>no more than 49 per</w:t>
      </w:r>
      <w:r w:rsidR="001A45BF">
        <w:t xml:space="preserve"> </w:t>
      </w:r>
      <w:r>
        <w:t xml:space="preserve">cent of the total value of the issued share capital can be held by foreign persons. </w:t>
      </w:r>
    </w:p>
    <w:p w14:paraId="39C36865" w14:textId="77777777" w:rsidR="00274270" w:rsidRDefault="00274270" w:rsidP="00274270">
      <w:pPr>
        <w:pStyle w:val="ListLegal3"/>
        <w:numPr>
          <w:ilvl w:val="0"/>
          <w:numId w:val="0"/>
        </w:numPr>
        <w:ind w:left="567"/>
      </w:pPr>
    </w:p>
    <w:p w14:paraId="48FE612E" w14:textId="77777777" w:rsidR="00BA3C23" w:rsidRDefault="00BA3C23" w:rsidP="00BA3C23">
      <w:r>
        <w:t xml:space="preserve">In practice, these criteria mean that Australian international airlines have a commercial interest in maintaining majority Australian ownership </w:t>
      </w:r>
      <w:proofErr w:type="gramStart"/>
      <w:r>
        <w:t>in order to</w:t>
      </w:r>
      <w:proofErr w:type="gramEnd"/>
      <w:r>
        <w:t xml:space="preserve"> protect their access to traffic rights.  </w:t>
      </w:r>
    </w:p>
    <w:p w14:paraId="61E2FC99" w14:textId="77777777" w:rsidR="00BA3C23" w:rsidRDefault="00BA3C23" w:rsidP="00BA3C23">
      <w:r>
        <w:t xml:space="preserve">These designation criteria would limit the practical impact of any changes to the operational restrictions contained in the </w:t>
      </w:r>
      <w:r w:rsidRPr="00463BF0">
        <w:rPr>
          <w:i/>
          <w:iCs/>
        </w:rPr>
        <w:t>Qantas Sale Act 1992</w:t>
      </w:r>
      <w:r>
        <w:t>.</w:t>
      </w:r>
    </w:p>
    <w:p w14:paraId="5C016015" w14:textId="77777777" w:rsidR="00BA3C23" w:rsidRPr="006E4836" w:rsidRDefault="00BA3C23" w:rsidP="006E4836">
      <w:pPr>
        <w:rPr>
          <w:b/>
          <w:bCs/>
        </w:rPr>
      </w:pPr>
      <w:r w:rsidRPr="006E4836">
        <w:rPr>
          <w:b/>
          <w:bCs/>
        </w:rPr>
        <w:t>Option 2 – Take no action</w:t>
      </w:r>
    </w:p>
    <w:p w14:paraId="3BCFF20D" w14:textId="77777777" w:rsidR="00BA3C23" w:rsidRDefault="00BA3C23" w:rsidP="00BA3C23">
      <w:r>
        <w:t xml:space="preserve">This option would have involved taking no action, maintaining the status quo. Qantas would continue to have its business regulated by the </w:t>
      </w:r>
      <w:r w:rsidRPr="00463BF0">
        <w:rPr>
          <w:i/>
          <w:iCs/>
        </w:rPr>
        <w:t>Qantas Sale Act 1992</w:t>
      </w:r>
      <w:r>
        <w:t xml:space="preserve"> and all other Australian international airlines would remain subject to the 49 per cent rule of the </w:t>
      </w:r>
      <w:r w:rsidRPr="00463BF0">
        <w:rPr>
          <w:i/>
          <w:iCs/>
        </w:rPr>
        <w:t>Air Navigation Act 1920</w:t>
      </w:r>
      <w:r>
        <w:t xml:space="preserve">.   </w:t>
      </w:r>
    </w:p>
    <w:p w14:paraId="3385B032" w14:textId="77777777" w:rsidR="00BA3C23" w:rsidRPr="006E4836" w:rsidRDefault="00BA3C23" w:rsidP="006E4836">
      <w:pPr>
        <w:rPr>
          <w:b/>
          <w:bCs/>
        </w:rPr>
      </w:pPr>
      <w:r w:rsidRPr="006E4836">
        <w:rPr>
          <w:b/>
          <w:bCs/>
        </w:rPr>
        <w:t xml:space="preserve">Option 3 – Only remove the foreign ownership restrictions. </w:t>
      </w:r>
    </w:p>
    <w:p w14:paraId="2AC52EFB" w14:textId="77777777" w:rsidR="00BA3C23" w:rsidRDefault="00BA3C23" w:rsidP="00BA3C23">
      <w:r>
        <w:t xml:space="preserve">This option involved the removal of the foreign ownership </w:t>
      </w:r>
      <w:proofErr w:type="spellStart"/>
      <w:r>
        <w:t>sublimits</w:t>
      </w:r>
      <w:proofErr w:type="spellEnd"/>
      <w:r>
        <w:t xml:space="preserve"> in Part 3 of the Qantas Sale Act. These restrictions required aggregate ownership by foreign airlines to be limited to 35 per cent and ownership by a foreign individual to 25 per cent. The additional restrictions on Qantas’ operations (including around use of the name Qantas and ensuring that its principal base is in Australia) would continue to apply.</w:t>
      </w:r>
    </w:p>
    <w:p w14:paraId="69A80B3A" w14:textId="77777777" w:rsidR="00BA3C23" w:rsidRDefault="00BA3C23" w:rsidP="00BA3C23">
      <w:r>
        <w:t xml:space="preserve">Qantas would be subject to an overall 49 per cent foreign ownership restriction, consistent with all other Australian international airlines. </w:t>
      </w:r>
    </w:p>
    <w:p w14:paraId="6EC3AB2D" w14:textId="77777777" w:rsidR="00BA3C23" w:rsidRDefault="00BA3C23" w:rsidP="00BA3C23">
      <w:r>
        <w:t>This is the option implemented through the Amendment Act.</w:t>
      </w:r>
    </w:p>
    <w:p w14:paraId="638AC7E5" w14:textId="77777777" w:rsidR="00BA3C23" w:rsidRPr="006C6C8B" w:rsidRDefault="00BA3C23" w:rsidP="005902F1">
      <w:pPr>
        <w:pStyle w:val="Heading2"/>
      </w:pPr>
      <w:bookmarkStart w:id="4" w:name="_Toc217032171"/>
      <w:r w:rsidRPr="006C6C8B">
        <w:t>What were the impacts of the regulation?</w:t>
      </w:r>
      <w:bookmarkEnd w:id="4"/>
    </w:p>
    <w:p w14:paraId="5E23816B" w14:textId="77777777" w:rsidR="00BA3C23" w:rsidRDefault="00BA3C23" w:rsidP="00BA3C23">
      <w:r>
        <w:t xml:space="preserve">It is not possible to definitively determine the impacts of the Amendment Act, as it came into effect at a time when Qantas implemented a range of measures to improve their performance. These measures have led Qantas to achieve a significant recovery since the Amendment Act was implemented, recording an underlying profit before tax of $927m in 2014/15. </w:t>
      </w:r>
    </w:p>
    <w:p w14:paraId="1328CEEC" w14:textId="77777777" w:rsidR="00BA3C23" w:rsidRDefault="00BA3C23" w:rsidP="00BA3C23">
      <w:r>
        <w:t xml:space="preserve">Shortly after the Amendment Act commenced, Qantas implemented amendments to their articles of association to remove the restrictions previously imposed by the </w:t>
      </w:r>
      <w:r w:rsidRPr="000D7B62">
        <w:rPr>
          <w:i/>
          <w:iCs/>
        </w:rPr>
        <w:t>Qantas Sale Act 1992</w:t>
      </w:r>
      <w:r>
        <w:t xml:space="preserve">. </w:t>
      </w:r>
    </w:p>
    <w:p w14:paraId="1F97008A" w14:textId="77777777" w:rsidR="00BA3C23" w:rsidRDefault="00BA3C23" w:rsidP="00BA3C23">
      <w:r>
        <w:lastRenderedPageBreak/>
        <w:t xml:space="preserve">While the impacts of the Amendment Act cannot be separated from other factors, it is clear the changes form an important component of their </w:t>
      </w:r>
      <w:proofErr w:type="gramStart"/>
      <w:r>
        <w:t>long term</w:t>
      </w:r>
      <w:proofErr w:type="gramEnd"/>
      <w:r>
        <w:t xml:space="preserve"> strategy, as cited in the 2014 Annual Report:</w:t>
      </w:r>
    </w:p>
    <w:p w14:paraId="7EFC6893" w14:textId="77777777" w:rsidR="00BA3C23" w:rsidRDefault="00BA3C23" w:rsidP="006E4836">
      <w:pPr>
        <w:ind w:left="720"/>
      </w:pPr>
      <w:r>
        <w:t>“Following a wide-ranging review of the structure of the Qantas Group, the Board has given approval for the establishment of a new holding structure and corporate entity for Qantas International.</w:t>
      </w:r>
    </w:p>
    <w:p w14:paraId="3444C351" w14:textId="77777777" w:rsidR="00BA3C23" w:rsidRDefault="00BA3C23" w:rsidP="000E0095">
      <w:pPr>
        <w:ind w:left="720"/>
      </w:pPr>
      <w:r>
        <w:t>This step – following the partial repeal of the Qantas Sale Act – creates the long-term option for Qantas International to source external investment and participate in partnership opportunities in the global aviation market.”</w:t>
      </w:r>
    </w:p>
    <w:p w14:paraId="4D05D444" w14:textId="624F6AB3" w:rsidR="00BA3C23" w:rsidRDefault="00BA3C23" w:rsidP="005902F1">
      <w:pPr>
        <w:jc w:val="right"/>
      </w:pPr>
      <w:r>
        <w:t>Qantas Annual Report, 2014</w:t>
      </w:r>
    </w:p>
    <w:p w14:paraId="73AD065F" w14:textId="77777777" w:rsidR="00BA3C23" w:rsidRDefault="00BA3C23" w:rsidP="005902F1">
      <w:pPr>
        <w:pStyle w:val="Heading2"/>
      </w:pPr>
      <w:bookmarkStart w:id="5" w:name="_Toc217032172"/>
      <w:r>
        <w:t>Measuring the Regulatory Burden</w:t>
      </w:r>
      <w:bookmarkEnd w:id="5"/>
    </w:p>
    <w:p w14:paraId="4FDA6A44" w14:textId="77777777" w:rsidR="00BA3C23" w:rsidRDefault="00BA3C23" w:rsidP="00BA3C23">
      <w:r>
        <w:t>As part of this review the impact of the Amendment Act has been evaluated consistent with the Regulatory Burden Measurement Framework. This includes consideration of compliance and delay costs associated with the change.</w:t>
      </w:r>
    </w:p>
    <w:p w14:paraId="092B8102" w14:textId="0A068E8A" w:rsidR="00BA3C23" w:rsidRDefault="00BA3C23" w:rsidP="00BA3C23">
      <w:r>
        <w:t>The Amendment Act directly affected one stakeholder – Qantas. Impacts on other stakeholders are limited to the effect of Qantas’ increased competitiveness, which is outside of the scope of the Regulatory Burden Measure.</w:t>
      </w:r>
      <w:r w:rsidR="00050604">
        <w:rPr>
          <w:rStyle w:val="FootnoteReference"/>
        </w:rPr>
        <w:footnoteReference w:id="3"/>
      </w:r>
      <w:r>
        <w:t xml:space="preserve">  </w:t>
      </w:r>
    </w:p>
    <w:p w14:paraId="6500D615" w14:textId="77777777" w:rsidR="00BA3C23" w:rsidRDefault="00BA3C23" w:rsidP="00BA3C23">
      <w:r>
        <w:t xml:space="preserve">The administrative costs of changing Qantas’ articles of association have been evaluated as being zero.  It should be noted the Amendment Act does not require any action to be taken by Qantas; the Amendment Act provided Qantas with the option to amend their articles of association, which they chose to do. </w:t>
      </w:r>
    </w:p>
    <w:p w14:paraId="6C21D1D9" w14:textId="77777777" w:rsidR="00BA3C23" w:rsidRDefault="00BA3C23" w:rsidP="00BA3C23">
      <w:r>
        <w:t>The Amendment Act does not alter Qantas’ ongoing compliance costs. The Qantas Sale Act 1992 effectively required Qantas to maintain a share register to ensure it did not exceed its foreign ownership restrictions. However, removal of these foreign ownership restrictions did not alter the requirement to maintain a share register. The remaining foreign ownership cap, as well as Australian Stock Exchange listing rules also require a share register to be maintained. In effect, the Amendment Act merely changed the levels of shareholdings permitted within the register.</w:t>
      </w:r>
    </w:p>
    <w:p w14:paraId="687C5316" w14:textId="77777777" w:rsidR="00BA3C23" w:rsidRDefault="00BA3C23" w:rsidP="00BA3C23">
      <w:r>
        <w:t xml:space="preserve">The Amendment Act did not require, nor result in, any substantive compliance cost (such as the purchase of plant or equipment). </w:t>
      </w:r>
    </w:p>
    <w:p w14:paraId="048C6A82" w14:textId="77777777" w:rsidR="00BA3C23" w:rsidRDefault="00BA3C23" w:rsidP="00BA3C23">
      <w:r>
        <w:t>The Amendment Act did not result in any delay costs, as administrative application and approval processes were unaffected.</w:t>
      </w:r>
    </w:p>
    <w:p w14:paraId="1D5F970C" w14:textId="1605E1A3" w:rsidR="00BA3C23" w:rsidRDefault="00BA3C23" w:rsidP="00BA3C23">
      <w:r>
        <w:t>The following table demonstrates that the Amendment Act has not resulted in any identifiable compliance cost.</w:t>
      </w:r>
    </w:p>
    <w:p w14:paraId="60FA285C" w14:textId="77777777" w:rsidR="003A7338" w:rsidRPr="003A7338" w:rsidRDefault="003A7338" w:rsidP="003A7338">
      <w:pPr>
        <w:rPr>
          <w:b/>
          <w:bCs/>
        </w:rPr>
      </w:pPr>
      <w:r w:rsidRPr="003A7338">
        <w:rPr>
          <w:b/>
          <w:bCs/>
        </w:rPr>
        <w:lastRenderedPageBreak/>
        <w:t>Regulatory Burden and Cost Offset (RBCO) Estimate Table</w:t>
      </w:r>
    </w:p>
    <w:tbl>
      <w:tblPr>
        <w:tblStyle w:val="PlainTable1"/>
        <w:tblW w:w="9180" w:type="dxa"/>
        <w:tblLook w:val="04A0" w:firstRow="1" w:lastRow="0" w:firstColumn="1" w:lastColumn="0" w:noHBand="0" w:noVBand="1"/>
      </w:tblPr>
      <w:tblGrid>
        <w:gridCol w:w="1883"/>
        <w:gridCol w:w="1679"/>
        <w:gridCol w:w="2215"/>
        <w:gridCol w:w="1986"/>
        <w:gridCol w:w="1417"/>
      </w:tblGrid>
      <w:tr w:rsidR="003A7338" w:rsidRPr="00603F8C" w14:paraId="174E8AD5" w14:textId="77777777" w:rsidTr="006655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noWrap/>
            <w:hideMark/>
          </w:tcPr>
          <w:p w14:paraId="77EB41F7" w14:textId="77777777" w:rsidR="003A7338" w:rsidRPr="00603F8C" w:rsidRDefault="003A7338" w:rsidP="00665598">
            <w:pPr>
              <w:rPr>
                <w:b w:val="0"/>
                <w:bCs w:val="0"/>
              </w:rPr>
            </w:pPr>
            <w:r w:rsidRPr="00603F8C">
              <w:t>Average Annual Com</w:t>
            </w:r>
            <w:r>
              <w:t xml:space="preserve">pliance Costs </w:t>
            </w:r>
          </w:p>
        </w:tc>
      </w:tr>
      <w:tr w:rsidR="003A7338" w:rsidRPr="00603F8C" w14:paraId="598E55C8" w14:textId="77777777" w:rsidTr="006655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80" w:type="dxa"/>
            <w:gridSpan w:val="5"/>
            <w:noWrap/>
          </w:tcPr>
          <w:p w14:paraId="3B30C8A6" w14:textId="77777777" w:rsidR="003A7338" w:rsidRPr="00603F8C" w:rsidRDefault="003A7338" w:rsidP="00665598">
            <w:pPr>
              <w:rPr>
                <w:b w:val="0"/>
                <w:bCs w:val="0"/>
              </w:rPr>
            </w:pPr>
          </w:p>
        </w:tc>
      </w:tr>
      <w:tr w:rsidR="003A7338" w:rsidRPr="00603F8C" w14:paraId="3F51D460" w14:textId="77777777" w:rsidTr="00665598">
        <w:trPr>
          <w:trHeight w:val="300"/>
        </w:trPr>
        <w:tc>
          <w:tcPr>
            <w:cnfStyle w:val="001000000000" w:firstRow="0" w:lastRow="0" w:firstColumn="1" w:lastColumn="0" w:oddVBand="0" w:evenVBand="0" w:oddHBand="0" w:evenHBand="0" w:firstRowFirstColumn="0" w:firstRowLastColumn="0" w:lastRowFirstColumn="0" w:lastRowLastColumn="0"/>
            <w:tcW w:w="1883" w:type="dxa"/>
            <w:noWrap/>
            <w:hideMark/>
          </w:tcPr>
          <w:p w14:paraId="447DAC74" w14:textId="77777777" w:rsidR="003A7338" w:rsidRPr="00603F8C" w:rsidRDefault="003A7338" w:rsidP="00665598">
            <w:pPr>
              <w:rPr>
                <w:b w:val="0"/>
                <w:bCs w:val="0"/>
              </w:rPr>
            </w:pPr>
            <w:r w:rsidRPr="00603F8C">
              <w:t>Costs ($m)</w:t>
            </w:r>
          </w:p>
        </w:tc>
        <w:tc>
          <w:tcPr>
            <w:tcW w:w="1679" w:type="dxa"/>
            <w:noWrap/>
            <w:hideMark/>
          </w:tcPr>
          <w:p w14:paraId="244DACF8"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rPr>
                <w:b/>
                <w:bCs/>
              </w:rPr>
            </w:pPr>
            <w:r w:rsidRPr="00603F8C">
              <w:rPr>
                <w:b/>
                <w:bCs/>
              </w:rPr>
              <w:t>Business</w:t>
            </w:r>
          </w:p>
        </w:tc>
        <w:tc>
          <w:tcPr>
            <w:tcW w:w="2215" w:type="dxa"/>
            <w:noWrap/>
            <w:hideMark/>
          </w:tcPr>
          <w:p w14:paraId="52F15CDE"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rPr>
                <w:b/>
                <w:bCs/>
              </w:rPr>
            </w:pPr>
            <w:r w:rsidRPr="00603F8C">
              <w:rPr>
                <w:b/>
                <w:bCs/>
              </w:rPr>
              <w:t>Community Organisations</w:t>
            </w:r>
          </w:p>
        </w:tc>
        <w:tc>
          <w:tcPr>
            <w:tcW w:w="1986" w:type="dxa"/>
            <w:noWrap/>
            <w:hideMark/>
          </w:tcPr>
          <w:p w14:paraId="10848206"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rPr>
                <w:b/>
                <w:bCs/>
              </w:rPr>
            </w:pPr>
            <w:r w:rsidRPr="00603F8C">
              <w:rPr>
                <w:b/>
                <w:bCs/>
              </w:rPr>
              <w:t>Individuals</w:t>
            </w:r>
          </w:p>
        </w:tc>
        <w:tc>
          <w:tcPr>
            <w:tcW w:w="1417" w:type="dxa"/>
            <w:noWrap/>
            <w:hideMark/>
          </w:tcPr>
          <w:p w14:paraId="467CDDB2"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rPr>
                <w:b/>
                <w:bCs/>
              </w:rPr>
            </w:pPr>
            <w:r w:rsidRPr="00603F8C">
              <w:rPr>
                <w:b/>
                <w:bCs/>
              </w:rPr>
              <w:t>Total Cost</w:t>
            </w:r>
          </w:p>
        </w:tc>
      </w:tr>
      <w:tr w:rsidR="003A7338" w:rsidRPr="00603F8C" w14:paraId="2DB2E5E2" w14:textId="77777777" w:rsidTr="006655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3" w:type="dxa"/>
            <w:noWrap/>
            <w:hideMark/>
          </w:tcPr>
          <w:p w14:paraId="414D3121" w14:textId="77777777" w:rsidR="003A7338" w:rsidRPr="00603F8C" w:rsidRDefault="003A7338" w:rsidP="00665598">
            <w:pPr>
              <w:rPr>
                <w:b w:val="0"/>
                <w:bCs w:val="0"/>
              </w:rPr>
            </w:pPr>
            <w:r w:rsidRPr="00603F8C">
              <w:t>Total by Sector</w:t>
            </w:r>
          </w:p>
        </w:tc>
        <w:tc>
          <w:tcPr>
            <w:tcW w:w="1679" w:type="dxa"/>
            <w:noWrap/>
            <w:hideMark/>
          </w:tcPr>
          <w:p w14:paraId="4962990D"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2215" w:type="dxa"/>
            <w:noWrap/>
            <w:hideMark/>
          </w:tcPr>
          <w:p w14:paraId="66966E4C"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986" w:type="dxa"/>
            <w:noWrap/>
            <w:hideMark/>
          </w:tcPr>
          <w:p w14:paraId="34124D00"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417" w:type="dxa"/>
            <w:noWrap/>
            <w:hideMark/>
          </w:tcPr>
          <w:p w14:paraId="3D20C859"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r>
      <w:tr w:rsidR="003A7338" w:rsidRPr="00603F8C" w14:paraId="3A02756A" w14:textId="77777777" w:rsidTr="00665598">
        <w:trPr>
          <w:trHeight w:val="300"/>
        </w:trPr>
        <w:tc>
          <w:tcPr>
            <w:cnfStyle w:val="001000000000" w:firstRow="0" w:lastRow="0" w:firstColumn="1" w:lastColumn="0" w:oddVBand="0" w:evenVBand="0" w:oddHBand="0" w:evenHBand="0" w:firstRowFirstColumn="0" w:firstRowLastColumn="0" w:lastRowFirstColumn="0" w:lastRowLastColumn="0"/>
            <w:tcW w:w="9180" w:type="dxa"/>
            <w:gridSpan w:val="5"/>
            <w:noWrap/>
          </w:tcPr>
          <w:p w14:paraId="4329E9FD" w14:textId="77777777" w:rsidR="003A7338" w:rsidRPr="00603F8C" w:rsidRDefault="003A7338" w:rsidP="00665598">
            <w:pPr>
              <w:rPr>
                <w:b w:val="0"/>
                <w:bCs w:val="0"/>
              </w:rPr>
            </w:pPr>
          </w:p>
        </w:tc>
      </w:tr>
      <w:tr w:rsidR="003A7338" w:rsidRPr="00603F8C" w14:paraId="779E1D19" w14:textId="77777777" w:rsidTr="00665598">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883" w:type="dxa"/>
            <w:noWrap/>
            <w:hideMark/>
          </w:tcPr>
          <w:p w14:paraId="0B5F2992" w14:textId="77777777" w:rsidR="003A7338" w:rsidRPr="00603F8C" w:rsidRDefault="003A7338" w:rsidP="00665598">
            <w:pPr>
              <w:rPr>
                <w:b w:val="0"/>
                <w:bCs w:val="0"/>
              </w:rPr>
            </w:pPr>
            <w:r w:rsidRPr="00603F8C">
              <w:t>Cost offset ($m)</w:t>
            </w:r>
          </w:p>
        </w:tc>
        <w:tc>
          <w:tcPr>
            <w:tcW w:w="1679" w:type="dxa"/>
            <w:noWrap/>
            <w:hideMark/>
          </w:tcPr>
          <w:p w14:paraId="5CCA7325"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rPr>
                <w:b/>
                <w:bCs/>
              </w:rPr>
            </w:pPr>
            <w:r w:rsidRPr="00603F8C">
              <w:rPr>
                <w:b/>
                <w:bCs/>
              </w:rPr>
              <w:t>Business</w:t>
            </w:r>
          </w:p>
        </w:tc>
        <w:tc>
          <w:tcPr>
            <w:tcW w:w="2215" w:type="dxa"/>
            <w:noWrap/>
            <w:hideMark/>
          </w:tcPr>
          <w:p w14:paraId="5DB0399E"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rPr>
                <w:b/>
                <w:bCs/>
              </w:rPr>
            </w:pPr>
            <w:r w:rsidRPr="00603F8C">
              <w:rPr>
                <w:b/>
                <w:bCs/>
              </w:rPr>
              <w:t>Community Organisations</w:t>
            </w:r>
          </w:p>
        </w:tc>
        <w:tc>
          <w:tcPr>
            <w:tcW w:w="1986" w:type="dxa"/>
            <w:noWrap/>
            <w:hideMark/>
          </w:tcPr>
          <w:p w14:paraId="4C9F40CF"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rPr>
                <w:b/>
                <w:bCs/>
              </w:rPr>
            </w:pPr>
            <w:r w:rsidRPr="00603F8C">
              <w:rPr>
                <w:b/>
                <w:bCs/>
              </w:rPr>
              <w:t>Individuals</w:t>
            </w:r>
          </w:p>
        </w:tc>
        <w:tc>
          <w:tcPr>
            <w:tcW w:w="1417" w:type="dxa"/>
            <w:noWrap/>
            <w:hideMark/>
          </w:tcPr>
          <w:p w14:paraId="148619F2"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rPr>
                <w:b/>
                <w:bCs/>
              </w:rPr>
            </w:pPr>
            <w:r w:rsidRPr="00603F8C">
              <w:rPr>
                <w:b/>
                <w:bCs/>
              </w:rPr>
              <w:t xml:space="preserve">Total by Source </w:t>
            </w:r>
          </w:p>
        </w:tc>
      </w:tr>
      <w:tr w:rsidR="003A7338" w:rsidRPr="00603F8C" w14:paraId="21FE97B2" w14:textId="77777777" w:rsidTr="00665598">
        <w:trPr>
          <w:trHeight w:val="300"/>
        </w:trPr>
        <w:tc>
          <w:tcPr>
            <w:cnfStyle w:val="001000000000" w:firstRow="0" w:lastRow="0" w:firstColumn="1" w:lastColumn="0" w:oddVBand="0" w:evenVBand="0" w:oddHBand="0" w:evenHBand="0" w:firstRowFirstColumn="0" w:firstRowLastColumn="0" w:lastRowFirstColumn="0" w:lastRowLastColumn="0"/>
            <w:tcW w:w="1883" w:type="dxa"/>
            <w:noWrap/>
            <w:hideMark/>
          </w:tcPr>
          <w:p w14:paraId="07CF2D2A" w14:textId="77777777" w:rsidR="003A7338" w:rsidRPr="00603F8C" w:rsidRDefault="003A7338" w:rsidP="00665598">
            <w:pPr>
              <w:rPr>
                <w:b w:val="0"/>
                <w:bCs w:val="0"/>
              </w:rPr>
            </w:pPr>
            <w:r w:rsidRPr="00603F8C">
              <w:t xml:space="preserve">Agency </w:t>
            </w:r>
          </w:p>
        </w:tc>
        <w:tc>
          <w:tcPr>
            <w:tcW w:w="1679" w:type="dxa"/>
            <w:noWrap/>
            <w:hideMark/>
          </w:tcPr>
          <w:p w14:paraId="32045915"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2215" w:type="dxa"/>
            <w:noWrap/>
            <w:hideMark/>
          </w:tcPr>
          <w:p w14:paraId="6BDA56A3"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1986" w:type="dxa"/>
            <w:noWrap/>
            <w:hideMark/>
          </w:tcPr>
          <w:p w14:paraId="323AAD84"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1417" w:type="dxa"/>
            <w:noWrap/>
            <w:hideMark/>
          </w:tcPr>
          <w:p w14:paraId="101F7600"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r>
      <w:tr w:rsidR="003A7338" w:rsidRPr="00603F8C" w14:paraId="07FEA9FC" w14:textId="77777777" w:rsidTr="00665598">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883" w:type="dxa"/>
            <w:noWrap/>
            <w:hideMark/>
          </w:tcPr>
          <w:p w14:paraId="3F0E5C42" w14:textId="77777777" w:rsidR="003A7338" w:rsidRPr="00603F8C" w:rsidRDefault="003A7338" w:rsidP="00665598">
            <w:pPr>
              <w:rPr>
                <w:b w:val="0"/>
                <w:bCs w:val="0"/>
              </w:rPr>
            </w:pPr>
            <w:r w:rsidRPr="00603F8C">
              <w:t>Within portfolio</w:t>
            </w:r>
          </w:p>
        </w:tc>
        <w:tc>
          <w:tcPr>
            <w:tcW w:w="1679" w:type="dxa"/>
            <w:noWrap/>
            <w:hideMark/>
          </w:tcPr>
          <w:p w14:paraId="24F62C97"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2215" w:type="dxa"/>
            <w:noWrap/>
            <w:hideMark/>
          </w:tcPr>
          <w:p w14:paraId="131963D1"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986" w:type="dxa"/>
            <w:noWrap/>
            <w:hideMark/>
          </w:tcPr>
          <w:p w14:paraId="5016FCED"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417" w:type="dxa"/>
            <w:noWrap/>
            <w:hideMark/>
          </w:tcPr>
          <w:p w14:paraId="1CF1EC30"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r>
      <w:tr w:rsidR="003A7338" w:rsidRPr="00603F8C" w14:paraId="14CFB1CA" w14:textId="77777777" w:rsidTr="00665598">
        <w:trPr>
          <w:trHeight w:val="418"/>
        </w:trPr>
        <w:tc>
          <w:tcPr>
            <w:cnfStyle w:val="001000000000" w:firstRow="0" w:lastRow="0" w:firstColumn="1" w:lastColumn="0" w:oddVBand="0" w:evenVBand="0" w:oddHBand="0" w:evenHBand="0" w:firstRowFirstColumn="0" w:firstRowLastColumn="0" w:lastRowFirstColumn="0" w:lastRowLastColumn="0"/>
            <w:tcW w:w="1883" w:type="dxa"/>
            <w:noWrap/>
            <w:hideMark/>
          </w:tcPr>
          <w:p w14:paraId="4FCBD308" w14:textId="77777777" w:rsidR="003A7338" w:rsidRPr="00603F8C" w:rsidRDefault="003A7338" w:rsidP="00665598">
            <w:pPr>
              <w:rPr>
                <w:b w:val="0"/>
                <w:bCs w:val="0"/>
              </w:rPr>
            </w:pPr>
            <w:r w:rsidRPr="00603F8C">
              <w:t>Outside portfolio</w:t>
            </w:r>
          </w:p>
        </w:tc>
        <w:tc>
          <w:tcPr>
            <w:tcW w:w="1679" w:type="dxa"/>
            <w:noWrap/>
            <w:hideMark/>
          </w:tcPr>
          <w:p w14:paraId="596BB35F"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2215" w:type="dxa"/>
            <w:noWrap/>
            <w:hideMark/>
          </w:tcPr>
          <w:p w14:paraId="13CD18B5"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1986" w:type="dxa"/>
            <w:noWrap/>
            <w:hideMark/>
          </w:tcPr>
          <w:p w14:paraId="3E399F63"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c>
          <w:tcPr>
            <w:tcW w:w="1417" w:type="dxa"/>
            <w:noWrap/>
            <w:hideMark/>
          </w:tcPr>
          <w:p w14:paraId="43A46551" w14:textId="77777777" w:rsidR="003A7338" w:rsidRPr="00603F8C" w:rsidRDefault="003A7338" w:rsidP="00665598">
            <w:pPr>
              <w:cnfStyle w:val="000000000000" w:firstRow="0" w:lastRow="0" w:firstColumn="0" w:lastColumn="0" w:oddVBand="0" w:evenVBand="0" w:oddHBand="0" w:evenHBand="0" w:firstRowFirstColumn="0" w:firstRowLastColumn="0" w:lastRowFirstColumn="0" w:lastRowLastColumn="0"/>
            </w:pPr>
            <w:r w:rsidRPr="00603F8C">
              <w:t>$0</w:t>
            </w:r>
          </w:p>
        </w:tc>
      </w:tr>
      <w:tr w:rsidR="003A7338" w:rsidRPr="00603F8C" w14:paraId="43DB53E3" w14:textId="77777777" w:rsidTr="006655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3" w:type="dxa"/>
            <w:noWrap/>
            <w:hideMark/>
          </w:tcPr>
          <w:p w14:paraId="7EE4524B" w14:textId="77777777" w:rsidR="003A7338" w:rsidRPr="00603F8C" w:rsidRDefault="003A7338" w:rsidP="00665598">
            <w:pPr>
              <w:rPr>
                <w:b w:val="0"/>
                <w:bCs w:val="0"/>
              </w:rPr>
            </w:pPr>
            <w:r w:rsidRPr="00603F8C">
              <w:t>Total by Sector</w:t>
            </w:r>
          </w:p>
        </w:tc>
        <w:tc>
          <w:tcPr>
            <w:tcW w:w="1679" w:type="dxa"/>
            <w:noWrap/>
            <w:hideMark/>
          </w:tcPr>
          <w:p w14:paraId="18360521"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2215" w:type="dxa"/>
            <w:noWrap/>
            <w:hideMark/>
          </w:tcPr>
          <w:p w14:paraId="6B6F7C75"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986" w:type="dxa"/>
            <w:noWrap/>
            <w:hideMark/>
          </w:tcPr>
          <w:p w14:paraId="2F067A8F"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c>
          <w:tcPr>
            <w:tcW w:w="1417" w:type="dxa"/>
            <w:noWrap/>
            <w:hideMark/>
          </w:tcPr>
          <w:p w14:paraId="269882B6" w14:textId="77777777" w:rsidR="003A7338" w:rsidRPr="00603F8C" w:rsidRDefault="003A7338" w:rsidP="00665598">
            <w:pPr>
              <w:cnfStyle w:val="000000100000" w:firstRow="0" w:lastRow="0" w:firstColumn="0" w:lastColumn="0" w:oddVBand="0" w:evenVBand="0" w:oddHBand="1" w:evenHBand="0" w:firstRowFirstColumn="0" w:firstRowLastColumn="0" w:lastRowFirstColumn="0" w:lastRowLastColumn="0"/>
            </w:pPr>
            <w:r w:rsidRPr="00603F8C">
              <w:t>$0</w:t>
            </w:r>
          </w:p>
        </w:tc>
      </w:tr>
      <w:tr w:rsidR="003A7338" w:rsidRPr="00603F8C" w14:paraId="10FB8E19" w14:textId="77777777" w:rsidTr="00665598">
        <w:tc>
          <w:tcPr>
            <w:cnfStyle w:val="001000000000" w:firstRow="0" w:lastRow="0" w:firstColumn="1" w:lastColumn="0" w:oddVBand="0" w:evenVBand="0" w:oddHBand="0" w:evenHBand="0" w:firstRowFirstColumn="0" w:firstRowLastColumn="0" w:lastRowFirstColumn="0" w:lastRowLastColumn="0"/>
            <w:tcW w:w="9180" w:type="dxa"/>
            <w:gridSpan w:val="5"/>
          </w:tcPr>
          <w:p w14:paraId="502E0827" w14:textId="77777777" w:rsidR="003A7338" w:rsidRPr="00603F8C" w:rsidRDefault="003A7338" w:rsidP="00665598">
            <w:pPr>
              <w:rPr>
                <w:b w:val="0"/>
                <w:bCs w:val="0"/>
              </w:rPr>
            </w:pPr>
          </w:p>
        </w:tc>
      </w:tr>
      <w:tr w:rsidR="003A7338" w:rsidRPr="00603F8C" w14:paraId="5FD62DD4" w14:textId="77777777" w:rsidTr="006655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noWrap/>
            <w:hideMark/>
          </w:tcPr>
          <w:p w14:paraId="1D8704F7" w14:textId="77777777" w:rsidR="003A7338" w:rsidRPr="00603F8C" w:rsidRDefault="003A7338" w:rsidP="00665598">
            <w:r w:rsidRPr="00603F8C">
              <w:t xml:space="preserve">Proposal is cost </w:t>
            </w:r>
            <w:proofErr w:type="gramStart"/>
            <w:r w:rsidRPr="00603F8C">
              <w:t>neutral?</w:t>
            </w:r>
            <w:proofErr w:type="gramEnd"/>
            <w:r w:rsidRPr="00603F8C">
              <w:t xml:space="preserve">       </w:t>
            </w:r>
            <w:r w:rsidRPr="00BA2AE0">
              <w:rPr>
                <w:b w:val="0"/>
                <w:bCs w:val="0"/>
              </w:rPr>
              <w:sym w:font="Wingdings 2" w:char="F052"/>
            </w:r>
            <w:r w:rsidRPr="00BA2AE0">
              <w:rPr>
                <w:b w:val="0"/>
                <w:bCs w:val="0"/>
              </w:rPr>
              <w:t xml:space="preserve"> yes       </w:t>
            </w:r>
            <w:r>
              <w:rPr>
                <w:rFonts w:ascii="Wingdings 2" w:hAnsi="Wingdings 2"/>
                <w:lang w:eastAsia="en-AU"/>
              </w:rPr>
              <w:t></w:t>
            </w:r>
            <w:r>
              <w:rPr>
                <w:lang w:eastAsia="en-AU"/>
              </w:rPr>
              <w:t xml:space="preserve"> no</w:t>
            </w:r>
          </w:p>
        </w:tc>
      </w:tr>
      <w:tr w:rsidR="003A7338" w:rsidRPr="00603F8C" w14:paraId="0C0E14AA" w14:textId="77777777" w:rsidTr="00665598">
        <w:tc>
          <w:tcPr>
            <w:cnfStyle w:val="001000000000" w:firstRow="0" w:lastRow="0" w:firstColumn="1" w:lastColumn="0" w:oddVBand="0" w:evenVBand="0" w:oddHBand="0" w:evenHBand="0" w:firstRowFirstColumn="0" w:firstRowLastColumn="0" w:lastRowFirstColumn="0" w:lastRowLastColumn="0"/>
            <w:tcW w:w="9180" w:type="dxa"/>
            <w:gridSpan w:val="5"/>
            <w:hideMark/>
          </w:tcPr>
          <w:p w14:paraId="36A8FD66" w14:textId="77777777" w:rsidR="003A7338" w:rsidRPr="00603F8C" w:rsidRDefault="003A7338" w:rsidP="00665598">
            <w:r w:rsidRPr="00603F8C">
              <w:t>Proposal is deregulatory      </w:t>
            </w:r>
            <w:r w:rsidRPr="00BA2AE0">
              <w:rPr>
                <w:b w:val="0"/>
                <w:bCs w:val="0"/>
              </w:rPr>
              <w:t xml:space="preserve"> </w:t>
            </w:r>
            <w:r w:rsidRPr="00BA2AE0">
              <w:rPr>
                <w:b w:val="0"/>
                <w:bCs w:val="0"/>
              </w:rPr>
              <w:sym w:font="Wingdings 2" w:char="F052"/>
            </w:r>
            <w:r w:rsidRPr="00BA2AE0">
              <w:rPr>
                <w:b w:val="0"/>
                <w:bCs w:val="0"/>
              </w:rPr>
              <w:t>yes  </w:t>
            </w:r>
            <w:r w:rsidRPr="00603F8C">
              <w:t>     </w:t>
            </w:r>
            <w:r>
              <w:rPr>
                <w:rFonts w:ascii="Wingdings 2" w:hAnsi="Wingdings 2"/>
                <w:lang w:eastAsia="en-AU"/>
              </w:rPr>
              <w:t></w:t>
            </w:r>
            <w:r>
              <w:rPr>
                <w:lang w:eastAsia="en-AU"/>
              </w:rPr>
              <w:t xml:space="preserve"> no</w:t>
            </w:r>
          </w:p>
        </w:tc>
      </w:tr>
      <w:tr w:rsidR="003A7338" w:rsidRPr="00603F8C" w14:paraId="6AAD59E1" w14:textId="77777777" w:rsidTr="0066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hideMark/>
          </w:tcPr>
          <w:p w14:paraId="133B72BC" w14:textId="77777777" w:rsidR="003A7338" w:rsidRPr="00603F8C" w:rsidRDefault="003A7338" w:rsidP="00665598">
            <w:r w:rsidRPr="00603F8C">
              <w:t>Balance of cost offsets          </w:t>
            </w:r>
            <w:r w:rsidRPr="00BA2AE0">
              <w:rPr>
                <w:b w:val="0"/>
                <w:bCs w:val="0"/>
              </w:rPr>
              <w:t>$0</w:t>
            </w:r>
          </w:p>
        </w:tc>
      </w:tr>
    </w:tbl>
    <w:p w14:paraId="4333565C" w14:textId="77777777" w:rsidR="003A7338" w:rsidRDefault="003A7338" w:rsidP="00BA3C23"/>
    <w:p w14:paraId="7732668F" w14:textId="77777777" w:rsidR="00BA3C23" w:rsidRDefault="00BA3C23" w:rsidP="005902F1">
      <w:pPr>
        <w:pStyle w:val="Heading2"/>
      </w:pPr>
      <w:bookmarkStart w:id="6" w:name="_Toc217032173"/>
      <w:r>
        <w:t>Which stakeholders have been consulted?</w:t>
      </w:r>
      <w:bookmarkEnd w:id="6"/>
    </w:p>
    <w:p w14:paraId="6395712C" w14:textId="752C7281" w:rsidR="00BA3C23" w:rsidRDefault="00BA3C23" w:rsidP="00BA3C23">
      <w:r>
        <w:t xml:space="preserve">As part of the policy development process, the </w:t>
      </w:r>
      <w:r w:rsidR="00036310" w:rsidRPr="00036310">
        <w:t>Department of Infrastructure and Regional Development</w:t>
      </w:r>
      <w:r w:rsidR="00EF11E1">
        <w:t xml:space="preserve"> (the Department) </w:t>
      </w:r>
      <w:r>
        <w:t xml:space="preserve">received representations from a range of stakeholders including both Qantas and their key competitor in the Australian market, Virgin Australia, which supported the amendments. </w:t>
      </w:r>
    </w:p>
    <w:p w14:paraId="772398E5" w14:textId="77777777" w:rsidR="00BA3C23" w:rsidRDefault="00BA3C23" w:rsidP="00BA3C23">
      <w:r>
        <w:t>The Department regularly engages with key aviation stakeholders, including Qantas, through direct engagement and a range of industry forums. Qantas have previously indicated they would like to see further restrictions removed (such as is outlined in Option 1) but have not expressed concerns with the amendments made through the Amendment Act. Qantas’ key competitors have not expressed any concerns with the amendments following implementation.</w:t>
      </w:r>
    </w:p>
    <w:p w14:paraId="2BAD8952" w14:textId="77777777" w:rsidR="00BA3C23" w:rsidRPr="005902F1" w:rsidRDefault="00BA3C23" w:rsidP="00BA3C23">
      <w:pPr>
        <w:rPr>
          <w:rFonts w:eastAsiaTheme="majorEastAsia" w:cstheme="majorBidi"/>
          <w:sz w:val="40"/>
          <w:szCs w:val="32"/>
        </w:rPr>
      </w:pPr>
      <w:r w:rsidRPr="005902F1">
        <w:rPr>
          <w:rFonts w:eastAsiaTheme="majorEastAsia" w:cstheme="majorBidi"/>
          <w:sz w:val="40"/>
          <w:szCs w:val="32"/>
        </w:rPr>
        <w:t>Has the regulation delivered net benefit?</w:t>
      </w:r>
    </w:p>
    <w:p w14:paraId="3B79D9A5" w14:textId="0E7E58EE" w:rsidR="00BA3C23" w:rsidRDefault="00BA3C23" w:rsidP="00BA3C23">
      <w:r>
        <w:t xml:space="preserve">The additional flexibility provided to Qantas has clearly delivered a net benefit. This flexibility has been identified by Qantas as an element of their </w:t>
      </w:r>
      <w:r w:rsidR="006E4836">
        <w:t>long-term</w:t>
      </w:r>
      <w:r>
        <w:t xml:space="preserve"> strategy, which in the short term has successfully returned Qantas to profitability. However, separating the impact of the amendments from the other factors driving Qantas’ results is not possible.</w:t>
      </w:r>
    </w:p>
    <w:p w14:paraId="4C9F5406" w14:textId="77777777" w:rsidR="00BA3C23" w:rsidRPr="005902F1" w:rsidRDefault="00BA3C23" w:rsidP="00BA3C23">
      <w:pPr>
        <w:rPr>
          <w:rFonts w:eastAsiaTheme="majorEastAsia" w:cstheme="majorBidi"/>
          <w:sz w:val="40"/>
          <w:szCs w:val="32"/>
        </w:rPr>
      </w:pPr>
      <w:r w:rsidRPr="005902F1">
        <w:rPr>
          <w:rFonts w:eastAsiaTheme="majorEastAsia" w:cstheme="majorBidi"/>
          <w:sz w:val="40"/>
          <w:szCs w:val="32"/>
        </w:rPr>
        <w:lastRenderedPageBreak/>
        <w:t>How was the regulation implemented and evaluated?</w:t>
      </w:r>
    </w:p>
    <w:p w14:paraId="17675627" w14:textId="77777777" w:rsidR="00BA3C23" w:rsidRDefault="00BA3C23" w:rsidP="00BA3C23">
      <w:r>
        <w:t xml:space="preserve">The Amendment Act was implemented consistent with the standard legislative development process.  Following passage of the legislation, Qantas developed a revised constitution which was supported by over two thirds of shareholders. From there no further administration or compliance was required, with existing mechanisms to monitor the Qantas business to ensure compliance with the </w:t>
      </w:r>
      <w:r w:rsidRPr="00D42A60">
        <w:rPr>
          <w:i/>
          <w:iCs/>
        </w:rPr>
        <w:t>Qantas Sale Act 1992</w:t>
      </w:r>
      <w:r>
        <w:t xml:space="preserve"> continuing to operate unaffected.</w:t>
      </w:r>
    </w:p>
    <w:p w14:paraId="242A8073" w14:textId="692B5B46" w:rsidR="00BA2AE0" w:rsidRDefault="00BA3C23" w:rsidP="00BA3C23">
      <w:r>
        <w:t>The Department continues to monitor the competitive environment of the aviation industry and will respond to emerging trends as needed.</w:t>
      </w:r>
    </w:p>
    <w:sectPr w:rsidR="00BA2AE0" w:rsidSect="00247E92">
      <w:footerReference w:type="even" r:id="rId13"/>
      <w:footerReference w:type="default" r:id="rId14"/>
      <w:pgSz w:w="11906" w:h="16838"/>
      <w:pgMar w:top="1560" w:right="1440" w:bottom="1701" w:left="1440"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FBD1" w14:textId="77777777" w:rsidR="008A6A07" w:rsidRDefault="008A6A07" w:rsidP="00A30F8E">
      <w:r>
        <w:separator/>
      </w:r>
    </w:p>
    <w:p w14:paraId="56958001" w14:textId="77777777" w:rsidR="008A6A07" w:rsidRDefault="008A6A07" w:rsidP="00A30F8E"/>
    <w:p w14:paraId="405C829A" w14:textId="77777777" w:rsidR="008A6A07" w:rsidRDefault="008A6A07" w:rsidP="00A30F8E"/>
  </w:endnote>
  <w:endnote w:type="continuationSeparator" w:id="0">
    <w:p w14:paraId="1CB4D635" w14:textId="77777777" w:rsidR="008A6A07" w:rsidRDefault="008A6A07" w:rsidP="00A30F8E">
      <w:r>
        <w:continuationSeparator/>
      </w:r>
    </w:p>
    <w:p w14:paraId="608A631A" w14:textId="77777777" w:rsidR="008A6A07" w:rsidRDefault="008A6A07" w:rsidP="00A30F8E"/>
    <w:p w14:paraId="3808D0F6" w14:textId="77777777" w:rsidR="008A6A07" w:rsidRDefault="008A6A07" w:rsidP="00A30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833E" w14:textId="2E03D600" w:rsidR="00F62A2F" w:rsidRDefault="00484F3A" w:rsidP="00F62A2F">
    <w:pPr>
      <w:pStyle w:val="Footer"/>
      <w:rPr>
        <w:b/>
        <w:bCs/>
      </w:rPr>
    </w:pPr>
    <w:r>
      <w:rPr>
        <w:b/>
        <w:bCs/>
      </w:rPr>
      <mc:AlternateContent>
        <mc:Choice Requires="wps">
          <w:drawing>
            <wp:anchor distT="0" distB="0" distL="0" distR="0" simplePos="0" relativeHeight="251663360" behindDoc="0" locked="0" layoutInCell="1" allowOverlap="1" wp14:anchorId="64358CE6" wp14:editId="67DB78B2">
              <wp:simplePos x="914400" y="10100930"/>
              <wp:positionH relativeFrom="page">
                <wp:align>center</wp:align>
              </wp:positionH>
              <wp:positionV relativeFrom="page">
                <wp:align>bottom</wp:align>
              </wp:positionV>
              <wp:extent cx="726440" cy="407670"/>
              <wp:effectExtent l="0" t="0" r="16510" b="0"/>
              <wp:wrapNone/>
              <wp:docPr id="1161502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2886D46" w14:textId="46D4D239"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58CE6" id="_x0000_t202" coordsize="21600,21600" o:spt="202" path="m,l,21600r21600,l21600,xe">
              <v:stroke joinstyle="miter"/>
              <v:path gradientshapeok="t" o:connecttype="rect"/>
            </v:shapetype>
            <v:shape id="Text Box 6" o:spid="_x0000_s1026"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" filled="f" stroked="f">
              <v:textbox style="mso-fit-shape-to-text:t" inset="0,0,0,15pt">
                <w:txbxContent>
                  <w:p w14:paraId="02886D46" w14:textId="46D4D239"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v:textbox>
              <w10:wrap anchorx="page" anchory="page"/>
            </v:shape>
          </w:pict>
        </mc:Fallback>
      </mc:AlternateContent>
    </w:r>
    <w:r w:rsidR="005400B7" w:rsidRPr="00A30F8E">
      <w:rPr>
        <w:b/>
        <w:bCs/>
      </w:rPr>
      <w:fldChar w:fldCharType="begin"/>
    </w:r>
    <w:r w:rsidR="005400B7" w:rsidRPr="00A30F8E">
      <w:rPr>
        <w:b/>
        <w:bCs/>
      </w:rPr>
      <w:instrText xml:space="preserve"> PAGE  \* roman  \* MERGEFORMAT </w:instrText>
    </w:r>
    <w:r w:rsidR="005400B7" w:rsidRPr="00A30F8E">
      <w:rPr>
        <w:b/>
        <w:bCs/>
      </w:rPr>
      <w:fldChar w:fldCharType="separate"/>
    </w:r>
    <w:r w:rsidR="005400B7" w:rsidRPr="00A30F8E">
      <w:rPr>
        <w:b/>
        <w:bCs/>
      </w:rPr>
      <w:t>v</w:t>
    </w:r>
    <w:r w:rsidR="005400B7" w:rsidRPr="00A30F8E">
      <w:rPr>
        <w:b/>
        <w:bCs/>
      </w:rPr>
      <w:fldChar w:fldCharType="end"/>
    </w:r>
    <w:r w:rsidR="00FB7F9B" w:rsidRPr="00A30F8E">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8CB1" w14:textId="22C3FDA2" w:rsidR="00484F3A" w:rsidRDefault="00484F3A">
    <w:pPr>
      <w:pStyle w:val="Footer"/>
    </w:pPr>
    <w:r>
      <mc:AlternateContent>
        <mc:Choice Requires="wps">
          <w:drawing>
            <wp:anchor distT="0" distB="0" distL="0" distR="0" simplePos="0" relativeHeight="251662336" behindDoc="0" locked="0" layoutInCell="1" allowOverlap="1" wp14:anchorId="53E5E9D8" wp14:editId="09EDB517">
              <wp:simplePos x="635" y="635"/>
              <wp:positionH relativeFrom="page">
                <wp:align>center</wp:align>
              </wp:positionH>
              <wp:positionV relativeFrom="page">
                <wp:align>bottom</wp:align>
              </wp:positionV>
              <wp:extent cx="726440" cy="407670"/>
              <wp:effectExtent l="0" t="0" r="16510" b="0"/>
              <wp:wrapNone/>
              <wp:docPr id="17775325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06F8DE3" w14:textId="52A2E361"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5E9D8"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006F8DE3" w14:textId="52A2E361"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933" w14:textId="0027F00B" w:rsidR="005400B7" w:rsidRDefault="005400B7" w:rsidP="00A30F8E">
    <w:pPr>
      <w:pStyle w:val="Footer"/>
    </w:pPr>
    <w:r w:rsidRPr="00684536">
      <w:rPr>
        <w:b/>
        <w:bCs/>
        <w:noProof w:val="0"/>
      </w:rPr>
      <w:fldChar w:fldCharType="begin"/>
    </w:r>
    <w:r w:rsidRPr="00684536">
      <w:rPr>
        <w:b/>
        <w:bCs/>
      </w:rPr>
      <w:instrText xml:space="preserve"> PAGE   \* MERGEFORMAT </w:instrText>
    </w:r>
    <w:r w:rsidRPr="00684536">
      <w:rPr>
        <w:b/>
        <w:bCs/>
        <w:noProof w:val="0"/>
      </w:rPr>
      <w:fldChar w:fldCharType="separate"/>
    </w:r>
    <w:r>
      <w:rPr>
        <w:b/>
        <w:bCs/>
      </w:rPr>
      <w:t>2</w:t>
    </w:r>
    <w:r w:rsidRPr="00684536">
      <w:rPr>
        <w:b/>
        <w:bCs/>
      </w:rPr>
      <w:fldChar w:fldCharType="end"/>
    </w:r>
    <w: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85ED" w14:textId="6FB397A4" w:rsidR="0002541B" w:rsidRDefault="005400B7" w:rsidP="00A30F8E">
    <w:pPr>
      <w:pStyle w:val="Footer"/>
      <w:jc w:val="right"/>
      <w:rPr>
        <w:b/>
        <w:bCs/>
      </w:rPr>
    </w:pPr>
    <w:r>
      <w:t xml:space="preserve">    |    </w:t>
    </w:r>
    <w:r w:rsidRPr="00684536">
      <w:rPr>
        <w:b/>
        <w:bCs/>
        <w:noProof w:val="0"/>
      </w:rPr>
      <w:fldChar w:fldCharType="begin"/>
    </w:r>
    <w:r w:rsidRPr="00684536">
      <w:rPr>
        <w:b/>
        <w:bCs/>
      </w:rPr>
      <w:instrText xml:space="preserve"> PAGE   \* MERGEFORMAT </w:instrText>
    </w:r>
    <w:r w:rsidRPr="00684536">
      <w:rPr>
        <w:b/>
        <w:bCs/>
        <w:noProof w:val="0"/>
      </w:rPr>
      <w:fldChar w:fldCharType="separate"/>
    </w:r>
    <w:r>
      <w:rPr>
        <w:b/>
        <w:bCs/>
      </w:rPr>
      <w:t>3</w:t>
    </w:r>
    <w:r w:rsidRPr="0068453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F0AF" w14:textId="77777777" w:rsidR="008A6A07" w:rsidRDefault="008A6A07" w:rsidP="00A30F8E">
      <w:r>
        <w:separator/>
      </w:r>
    </w:p>
    <w:p w14:paraId="3965565F" w14:textId="77777777" w:rsidR="008A6A07" w:rsidRDefault="008A6A07" w:rsidP="00A30F8E"/>
    <w:p w14:paraId="7FAF4A75" w14:textId="77777777" w:rsidR="008A6A07" w:rsidRDefault="008A6A07" w:rsidP="00A30F8E"/>
  </w:footnote>
  <w:footnote w:type="continuationSeparator" w:id="0">
    <w:p w14:paraId="5C9BA01E" w14:textId="77777777" w:rsidR="008A6A07" w:rsidRDefault="008A6A07" w:rsidP="00A30F8E">
      <w:r>
        <w:continuationSeparator/>
      </w:r>
    </w:p>
    <w:p w14:paraId="595A9656" w14:textId="77777777" w:rsidR="008A6A07" w:rsidRDefault="008A6A07" w:rsidP="00A30F8E"/>
    <w:p w14:paraId="03464041" w14:textId="77777777" w:rsidR="008A6A07" w:rsidRDefault="008A6A07" w:rsidP="00A30F8E"/>
  </w:footnote>
  <w:footnote w:id="1">
    <w:p w14:paraId="59F58B83" w14:textId="2EA2C991" w:rsidR="0004681E" w:rsidRDefault="0004681E">
      <w:pPr>
        <w:pStyle w:val="FootnoteText"/>
      </w:pPr>
      <w:r>
        <w:rPr>
          <w:rStyle w:val="FootnoteReference"/>
        </w:rPr>
        <w:footnoteRef/>
      </w:r>
      <w:r>
        <w:t xml:space="preserve"> CAPA Centre for aviation, 17 Apr 2015, </w:t>
      </w:r>
      <w:r w:rsidRPr="000006A4">
        <w:rPr>
          <w:i/>
        </w:rPr>
        <w:t>Australia domestic airline market outlook: Qantas Group reins in capacity as Virgin continues growth</w:t>
      </w:r>
      <w:r>
        <w:t>, &lt;centreforaviation.com&gt;.</w:t>
      </w:r>
    </w:p>
  </w:footnote>
  <w:footnote w:id="2">
    <w:p w14:paraId="37E59267" w14:textId="687AD7D7" w:rsidR="00694442" w:rsidRDefault="00694442">
      <w:pPr>
        <w:pStyle w:val="FootnoteText"/>
      </w:pPr>
      <w:r>
        <w:rPr>
          <w:rStyle w:val="FootnoteReference"/>
        </w:rPr>
        <w:footnoteRef/>
      </w:r>
      <w:r>
        <w:t xml:space="preserve"> Deloitte Access Economics, The Qantas Group, November 2015, the Economic Contribution of the Qantas Group to Australia, pp.4</w:t>
      </w:r>
    </w:p>
  </w:footnote>
  <w:footnote w:id="3">
    <w:p w14:paraId="3896F13E" w14:textId="2FCF506A" w:rsidR="00050604" w:rsidRDefault="00050604">
      <w:pPr>
        <w:pStyle w:val="FootnoteText"/>
      </w:pPr>
      <w:r>
        <w:rPr>
          <w:rStyle w:val="FootnoteReference"/>
        </w:rPr>
        <w:footnoteRef/>
      </w:r>
      <w:r>
        <w:t xml:space="preserve"> Office of Best Practice Regulation, July 2014, Guidance Note: Regulatory Burden Measurement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6927" w14:textId="08978BEA" w:rsidR="00FB7F9B" w:rsidRPr="00F62A2F" w:rsidRDefault="00247E92" w:rsidP="00594249">
    <w:pPr>
      <w:pStyle w:val="Header"/>
      <w:ind w:right="-17"/>
    </w:pPr>
    <w:r w:rsidRPr="00F62A2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8AA3" w14:textId="7DCDB75B" w:rsidR="00484F3A" w:rsidRDefault="00484F3A">
    <w:pPr>
      <w:pStyle w:val="Header"/>
    </w:pPr>
    <w:r>
      <w:rPr>
        <w:noProof/>
      </w:rPr>
      <mc:AlternateContent>
        <mc:Choice Requires="wps">
          <w:drawing>
            <wp:anchor distT="0" distB="0" distL="0" distR="0" simplePos="0" relativeHeight="251658240" behindDoc="0" locked="0" layoutInCell="1" allowOverlap="1" wp14:anchorId="58000B74" wp14:editId="40A4170E">
              <wp:simplePos x="635" y="635"/>
              <wp:positionH relativeFrom="page">
                <wp:align>center</wp:align>
              </wp:positionH>
              <wp:positionV relativeFrom="page">
                <wp:align>top</wp:align>
              </wp:positionV>
              <wp:extent cx="726440" cy="407670"/>
              <wp:effectExtent l="0" t="0" r="16510" b="11430"/>
              <wp:wrapNone/>
              <wp:docPr id="20963617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F388803" w14:textId="36C6CEC8"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00B74" id="_x0000_t202" coordsize="21600,21600" o:spt="202" path="m,l,21600r21600,l21600,xe">
              <v:stroke joinstyle="miter"/>
              <v:path gradientshapeok="t" o:connecttype="rect"/>
            </v:shapetype>
            <v:shape id="Text Box 1" o:spid="_x0000_s1027"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F388803" w14:textId="36C6CEC8" w:rsidR="00484F3A" w:rsidRPr="00484F3A" w:rsidRDefault="00484F3A" w:rsidP="00484F3A">
                    <w:pPr>
                      <w:spacing w:after="0"/>
                      <w:rPr>
                        <w:rFonts w:eastAsia="Aptos" w:cs="Aptos"/>
                        <w:noProof/>
                        <w:color w:val="FF0000"/>
                        <w:sz w:val="28"/>
                        <w:szCs w:val="28"/>
                      </w:rPr>
                    </w:pPr>
                    <w:r w:rsidRPr="00484F3A">
                      <w:rPr>
                        <w:rFonts w:eastAsia="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89AD5FE"/>
    <w:lvl w:ilvl="0">
      <w:start w:val="1"/>
      <w:numFmt w:val="bullet"/>
      <w:pStyle w:val="ListBullet3"/>
      <w:lvlText w:val="–"/>
      <w:lvlJc w:val="left"/>
      <w:pPr>
        <w:ind w:left="1074" w:hanging="360"/>
      </w:pPr>
      <w:rPr>
        <w:rFonts w:ascii="Aptos" w:hAnsi="Aptos" w:hint="default"/>
      </w:rPr>
    </w:lvl>
  </w:abstractNum>
  <w:abstractNum w:abstractNumId="1" w15:restartNumberingAfterBreak="0">
    <w:nsid w:val="FFFFFF83"/>
    <w:multiLevelType w:val="singleLevel"/>
    <w:tmpl w:val="A35EFA0C"/>
    <w:lvl w:ilvl="0">
      <w:start w:val="1"/>
      <w:numFmt w:val="bullet"/>
      <w:pStyle w:val="ListBullet2"/>
      <w:lvlText w:val="o"/>
      <w:lvlJc w:val="left"/>
      <w:pPr>
        <w:ind w:left="643" w:hanging="360"/>
      </w:pPr>
      <w:rPr>
        <w:rFonts w:ascii="Courier New" w:hAnsi="Courier New" w:cs="Courier New" w:hint="default"/>
      </w:rPr>
    </w:lvl>
  </w:abstractNum>
  <w:abstractNum w:abstractNumId="2" w15:restartNumberingAfterBreak="0">
    <w:nsid w:val="00D75BA6"/>
    <w:multiLevelType w:val="hybridMultilevel"/>
    <w:tmpl w:val="777A2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52FFC"/>
    <w:multiLevelType w:val="hybridMultilevel"/>
    <w:tmpl w:val="057817C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534C63"/>
    <w:multiLevelType w:val="hybridMultilevel"/>
    <w:tmpl w:val="67220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5617DB"/>
    <w:multiLevelType w:val="hybridMultilevel"/>
    <w:tmpl w:val="C3A0811A"/>
    <w:lvl w:ilvl="0" w:tplc="F94ED26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65565"/>
    <w:multiLevelType w:val="hybridMultilevel"/>
    <w:tmpl w:val="8E5CD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A48"/>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2B29762F"/>
    <w:multiLevelType w:val="hybridMultilevel"/>
    <w:tmpl w:val="E6D89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021D40"/>
    <w:multiLevelType w:val="hybridMultilevel"/>
    <w:tmpl w:val="B65671DC"/>
    <w:lvl w:ilvl="0" w:tplc="4B709A5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E91926"/>
    <w:multiLevelType w:val="hybridMultilevel"/>
    <w:tmpl w:val="F7287D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991054"/>
    <w:multiLevelType w:val="hybridMultilevel"/>
    <w:tmpl w:val="267E0EB0"/>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7471E8"/>
    <w:multiLevelType w:val="hybridMultilevel"/>
    <w:tmpl w:val="AD343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A97EEA"/>
    <w:multiLevelType w:val="hybridMultilevel"/>
    <w:tmpl w:val="42564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65053"/>
    <w:multiLevelType w:val="hybridMultilevel"/>
    <w:tmpl w:val="BAA00A2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2C153F"/>
    <w:multiLevelType w:val="hybridMultilevel"/>
    <w:tmpl w:val="90127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1075FC"/>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5AA11210"/>
    <w:multiLevelType w:val="multilevel"/>
    <w:tmpl w:val="98AA3B3E"/>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F174D1"/>
    <w:multiLevelType w:val="hybridMultilevel"/>
    <w:tmpl w:val="A93AC93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2F2C3A"/>
    <w:multiLevelType w:val="hybridMultilevel"/>
    <w:tmpl w:val="09ECE334"/>
    <w:lvl w:ilvl="0" w:tplc="AC40B6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E565D4"/>
    <w:multiLevelType w:val="hybridMultilevel"/>
    <w:tmpl w:val="91224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A80E4E"/>
    <w:multiLevelType w:val="multilevel"/>
    <w:tmpl w:val="E250C8FA"/>
    <w:lvl w:ilvl="0">
      <w:start w:val="1"/>
      <w:numFmt w:val="decimal"/>
      <w:pStyle w:val="ListLegal"/>
      <w:lvlText w:val="%1."/>
      <w:lvlJc w:val="left"/>
      <w:pPr>
        <w:ind w:left="360" w:hanging="360"/>
      </w:pPr>
      <w:rPr>
        <w:rFonts w:hint="default"/>
      </w:rPr>
    </w:lvl>
    <w:lvl w:ilvl="1">
      <w:start w:val="1"/>
      <w:numFmt w:val="lowerLetter"/>
      <w:pStyle w:val="ListLegal2"/>
      <w:lvlText w:val="%2."/>
      <w:lvlJc w:val="left"/>
      <w:pPr>
        <w:ind w:left="792" w:hanging="432"/>
      </w:pPr>
      <w:rPr>
        <w:rFonts w:hint="default"/>
      </w:rPr>
    </w:lvl>
    <w:lvl w:ilvl="2">
      <w:start w:val="1"/>
      <w:numFmt w:val="lowerRoman"/>
      <w:pStyle w:val="ListLegal3"/>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717FA1"/>
    <w:multiLevelType w:val="hybridMultilevel"/>
    <w:tmpl w:val="23FE4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0315D2"/>
    <w:multiLevelType w:val="hybridMultilevel"/>
    <w:tmpl w:val="836661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2884220">
    <w:abstractNumId w:val="12"/>
  </w:num>
  <w:num w:numId="2" w16cid:durableId="1866601998">
    <w:abstractNumId w:val="15"/>
  </w:num>
  <w:num w:numId="3" w16cid:durableId="1677148163">
    <w:abstractNumId w:val="2"/>
  </w:num>
  <w:num w:numId="4" w16cid:durableId="864442959">
    <w:abstractNumId w:val="13"/>
  </w:num>
  <w:num w:numId="5" w16cid:durableId="1987858614">
    <w:abstractNumId w:val="8"/>
  </w:num>
  <w:num w:numId="6" w16cid:durableId="1827358645">
    <w:abstractNumId w:val="10"/>
  </w:num>
  <w:num w:numId="7" w16cid:durableId="805463836">
    <w:abstractNumId w:val="23"/>
  </w:num>
  <w:num w:numId="8" w16cid:durableId="1747415170">
    <w:abstractNumId w:val="22"/>
  </w:num>
  <w:num w:numId="9" w16cid:durableId="1386484264">
    <w:abstractNumId w:val="18"/>
  </w:num>
  <w:num w:numId="10" w16cid:durableId="292492299">
    <w:abstractNumId w:val="11"/>
  </w:num>
  <w:num w:numId="11" w16cid:durableId="1010448022">
    <w:abstractNumId w:val="20"/>
  </w:num>
  <w:num w:numId="12" w16cid:durableId="1114440180">
    <w:abstractNumId w:val="4"/>
  </w:num>
  <w:num w:numId="13" w16cid:durableId="1183517902">
    <w:abstractNumId w:val="14"/>
  </w:num>
  <w:num w:numId="14" w16cid:durableId="464468659">
    <w:abstractNumId w:val="6"/>
  </w:num>
  <w:num w:numId="15" w16cid:durableId="596719021">
    <w:abstractNumId w:val="21"/>
  </w:num>
  <w:num w:numId="16" w16cid:durableId="1915822008">
    <w:abstractNumId w:val="17"/>
  </w:num>
  <w:num w:numId="17" w16cid:durableId="1262646503">
    <w:abstractNumId w:val="1"/>
  </w:num>
  <w:num w:numId="18" w16cid:durableId="375786716">
    <w:abstractNumId w:val="0"/>
  </w:num>
  <w:num w:numId="19" w16cid:durableId="2055230171">
    <w:abstractNumId w:val="16"/>
  </w:num>
  <w:num w:numId="20" w16cid:durableId="1795247042">
    <w:abstractNumId w:val="7"/>
  </w:num>
  <w:num w:numId="21" w16cid:durableId="333847283">
    <w:abstractNumId w:val="5"/>
  </w:num>
  <w:num w:numId="22" w16cid:durableId="1293708493">
    <w:abstractNumId w:val="9"/>
  </w:num>
  <w:num w:numId="23" w16cid:durableId="64838455">
    <w:abstractNumId w:val="3"/>
  </w:num>
  <w:num w:numId="24" w16cid:durableId="1076971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2D"/>
    <w:rsid w:val="00014430"/>
    <w:rsid w:val="0002541B"/>
    <w:rsid w:val="00030B73"/>
    <w:rsid w:val="00036310"/>
    <w:rsid w:val="00043843"/>
    <w:rsid w:val="000457FF"/>
    <w:rsid w:val="00045C31"/>
    <w:rsid w:val="0004681E"/>
    <w:rsid w:val="00050604"/>
    <w:rsid w:val="00054D0C"/>
    <w:rsid w:val="000639EF"/>
    <w:rsid w:val="0006434E"/>
    <w:rsid w:val="00081388"/>
    <w:rsid w:val="00085D25"/>
    <w:rsid w:val="00086BB7"/>
    <w:rsid w:val="000A6B5F"/>
    <w:rsid w:val="000D1469"/>
    <w:rsid w:val="000D5DDC"/>
    <w:rsid w:val="000D7B62"/>
    <w:rsid w:val="000E0095"/>
    <w:rsid w:val="001152C4"/>
    <w:rsid w:val="001208E7"/>
    <w:rsid w:val="00132760"/>
    <w:rsid w:val="00180E72"/>
    <w:rsid w:val="001953A6"/>
    <w:rsid w:val="001A45BF"/>
    <w:rsid w:val="001B1048"/>
    <w:rsid w:val="001B4825"/>
    <w:rsid w:val="001D12B7"/>
    <w:rsid w:val="001E18AE"/>
    <w:rsid w:val="00202A9E"/>
    <w:rsid w:val="0020517B"/>
    <w:rsid w:val="00215BCD"/>
    <w:rsid w:val="00224E03"/>
    <w:rsid w:val="00233762"/>
    <w:rsid w:val="00247E92"/>
    <w:rsid w:val="00274270"/>
    <w:rsid w:val="00274FDD"/>
    <w:rsid w:val="002B4DEA"/>
    <w:rsid w:val="002D6294"/>
    <w:rsid w:val="002E236C"/>
    <w:rsid w:val="00323A54"/>
    <w:rsid w:val="00331C64"/>
    <w:rsid w:val="003337E7"/>
    <w:rsid w:val="00364041"/>
    <w:rsid w:val="00364EC4"/>
    <w:rsid w:val="00374FF2"/>
    <w:rsid w:val="003929C3"/>
    <w:rsid w:val="0039763F"/>
    <w:rsid w:val="003A0EA4"/>
    <w:rsid w:val="003A67EB"/>
    <w:rsid w:val="003A7338"/>
    <w:rsid w:val="003B63E1"/>
    <w:rsid w:val="003D1DEC"/>
    <w:rsid w:val="003F61CC"/>
    <w:rsid w:val="00440B8A"/>
    <w:rsid w:val="00451BA4"/>
    <w:rsid w:val="00463BF0"/>
    <w:rsid w:val="0046637F"/>
    <w:rsid w:val="00484F3A"/>
    <w:rsid w:val="004854C0"/>
    <w:rsid w:val="004B2155"/>
    <w:rsid w:val="004D6E91"/>
    <w:rsid w:val="004F1864"/>
    <w:rsid w:val="004F4299"/>
    <w:rsid w:val="00511289"/>
    <w:rsid w:val="005400B7"/>
    <w:rsid w:val="0055552D"/>
    <w:rsid w:val="00562855"/>
    <w:rsid w:val="005902F1"/>
    <w:rsid w:val="005907CD"/>
    <w:rsid w:val="00594249"/>
    <w:rsid w:val="005A04BD"/>
    <w:rsid w:val="005A692A"/>
    <w:rsid w:val="005A7E4F"/>
    <w:rsid w:val="005B370F"/>
    <w:rsid w:val="005E5716"/>
    <w:rsid w:val="005E695D"/>
    <w:rsid w:val="005E6F9D"/>
    <w:rsid w:val="005F262C"/>
    <w:rsid w:val="00610614"/>
    <w:rsid w:val="0061078E"/>
    <w:rsid w:val="00616FBD"/>
    <w:rsid w:val="006432F0"/>
    <w:rsid w:val="00655C53"/>
    <w:rsid w:val="00665382"/>
    <w:rsid w:val="006708F9"/>
    <w:rsid w:val="006822C6"/>
    <w:rsid w:val="0069156D"/>
    <w:rsid w:val="00694442"/>
    <w:rsid w:val="00696D98"/>
    <w:rsid w:val="006A619F"/>
    <w:rsid w:val="006C6C8B"/>
    <w:rsid w:val="006E4836"/>
    <w:rsid w:val="00700649"/>
    <w:rsid w:val="007160F4"/>
    <w:rsid w:val="00717478"/>
    <w:rsid w:val="0073152A"/>
    <w:rsid w:val="007359F5"/>
    <w:rsid w:val="00754D4F"/>
    <w:rsid w:val="007763F8"/>
    <w:rsid w:val="00794059"/>
    <w:rsid w:val="00795F23"/>
    <w:rsid w:val="007B340D"/>
    <w:rsid w:val="007E2BD4"/>
    <w:rsid w:val="00821C0E"/>
    <w:rsid w:val="0082673B"/>
    <w:rsid w:val="00832794"/>
    <w:rsid w:val="00851292"/>
    <w:rsid w:val="00853806"/>
    <w:rsid w:val="008627E3"/>
    <w:rsid w:val="00862D88"/>
    <w:rsid w:val="008A6A07"/>
    <w:rsid w:val="008B6A0A"/>
    <w:rsid w:val="008C1052"/>
    <w:rsid w:val="008D59A4"/>
    <w:rsid w:val="00912477"/>
    <w:rsid w:val="00924864"/>
    <w:rsid w:val="00927A00"/>
    <w:rsid w:val="0093742F"/>
    <w:rsid w:val="0095485C"/>
    <w:rsid w:val="0096348E"/>
    <w:rsid w:val="009941DB"/>
    <w:rsid w:val="009A4E26"/>
    <w:rsid w:val="009C1F56"/>
    <w:rsid w:val="009F308A"/>
    <w:rsid w:val="00A30F8E"/>
    <w:rsid w:val="00A6311C"/>
    <w:rsid w:val="00A70D0A"/>
    <w:rsid w:val="00A86F04"/>
    <w:rsid w:val="00AB40F7"/>
    <w:rsid w:val="00AC24F2"/>
    <w:rsid w:val="00AD27D9"/>
    <w:rsid w:val="00AE5309"/>
    <w:rsid w:val="00AE7DA3"/>
    <w:rsid w:val="00AF3252"/>
    <w:rsid w:val="00AF631B"/>
    <w:rsid w:val="00B1286B"/>
    <w:rsid w:val="00B51F2C"/>
    <w:rsid w:val="00BA2AE0"/>
    <w:rsid w:val="00BA3C23"/>
    <w:rsid w:val="00BD283A"/>
    <w:rsid w:val="00BE1037"/>
    <w:rsid w:val="00BF006A"/>
    <w:rsid w:val="00BF4088"/>
    <w:rsid w:val="00BF6F64"/>
    <w:rsid w:val="00C02436"/>
    <w:rsid w:val="00C23251"/>
    <w:rsid w:val="00C40932"/>
    <w:rsid w:val="00C43304"/>
    <w:rsid w:val="00C45232"/>
    <w:rsid w:val="00C615D0"/>
    <w:rsid w:val="00C9312D"/>
    <w:rsid w:val="00CA4C52"/>
    <w:rsid w:val="00CB2EEF"/>
    <w:rsid w:val="00CC1061"/>
    <w:rsid w:val="00CC3BD8"/>
    <w:rsid w:val="00CF3E7C"/>
    <w:rsid w:val="00D02912"/>
    <w:rsid w:val="00D02D24"/>
    <w:rsid w:val="00D07A9D"/>
    <w:rsid w:val="00D251C6"/>
    <w:rsid w:val="00D3248C"/>
    <w:rsid w:val="00D402A0"/>
    <w:rsid w:val="00D42A60"/>
    <w:rsid w:val="00D4752E"/>
    <w:rsid w:val="00D721A1"/>
    <w:rsid w:val="00D72E45"/>
    <w:rsid w:val="00DB7EC7"/>
    <w:rsid w:val="00DC3B3F"/>
    <w:rsid w:val="00DE3653"/>
    <w:rsid w:val="00DE7F23"/>
    <w:rsid w:val="00E05A38"/>
    <w:rsid w:val="00E17608"/>
    <w:rsid w:val="00E32703"/>
    <w:rsid w:val="00E34F2F"/>
    <w:rsid w:val="00E35A2B"/>
    <w:rsid w:val="00E900B5"/>
    <w:rsid w:val="00EC476B"/>
    <w:rsid w:val="00ED743E"/>
    <w:rsid w:val="00EE6DCE"/>
    <w:rsid w:val="00EF11E1"/>
    <w:rsid w:val="00EF440B"/>
    <w:rsid w:val="00EF4DC5"/>
    <w:rsid w:val="00F13727"/>
    <w:rsid w:val="00F24C80"/>
    <w:rsid w:val="00F275C9"/>
    <w:rsid w:val="00F34C6F"/>
    <w:rsid w:val="00F4289E"/>
    <w:rsid w:val="00F62A2F"/>
    <w:rsid w:val="00F812B6"/>
    <w:rsid w:val="00FB36FE"/>
    <w:rsid w:val="00FB7F9B"/>
    <w:rsid w:val="00FC61A8"/>
    <w:rsid w:val="00FE7E71"/>
    <w:rsid w:val="00FF013A"/>
    <w:rsid w:val="00FF02B4"/>
    <w:rsid w:val="00FF19CF"/>
    <w:rsid w:val="00FF2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3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80"/>
    <w:pPr>
      <w:spacing w:line="240" w:lineRule="auto"/>
    </w:pPr>
    <w:rPr>
      <w:sz w:val="22"/>
    </w:rPr>
  </w:style>
  <w:style w:type="paragraph" w:styleId="Heading1">
    <w:name w:val="heading 1"/>
    <w:basedOn w:val="Normal"/>
    <w:next w:val="Normal"/>
    <w:link w:val="Heading1Char"/>
    <w:uiPriority w:val="9"/>
    <w:qFormat/>
    <w:rsid w:val="00D72E45"/>
    <w:pPr>
      <w:keepNext/>
      <w:keepLines/>
      <w:spacing w:before="1154" w:after="0"/>
      <w:outlineLvl w:val="0"/>
    </w:pPr>
    <w:rPr>
      <w:rFonts w:eastAsiaTheme="majorEastAsia" w:cstheme="majorBidi"/>
      <w:b/>
      <w:sz w:val="50"/>
      <w:szCs w:val="40"/>
    </w:rPr>
  </w:style>
  <w:style w:type="paragraph" w:styleId="Heading2">
    <w:name w:val="heading 2"/>
    <w:basedOn w:val="Normal"/>
    <w:next w:val="Normal"/>
    <w:link w:val="Heading2Char"/>
    <w:uiPriority w:val="9"/>
    <w:unhideWhenUsed/>
    <w:qFormat/>
    <w:rsid w:val="00E35A2B"/>
    <w:pPr>
      <w:keepNext/>
      <w:keepLines/>
      <w:spacing w:before="360" w:after="360"/>
      <w:outlineLvl w:val="1"/>
    </w:pPr>
    <w:rPr>
      <w:rFonts w:eastAsiaTheme="majorEastAsia" w:cstheme="majorBidi"/>
      <w:sz w:val="40"/>
      <w:szCs w:val="32"/>
    </w:rPr>
  </w:style>
  <w:style w:type="paragraph" w:styleId="Heading3">
    <w:name w:val="heading 3"/>
    <w:basedOn w:val="Normal"/>
    <w:next w:val="Normal"/>
    <w:link w:val="Heading3Char"/>
    <w:uiPriority w:val="9"/>
    <w:unhideWhenUsed/>
    <w:qFormat/>
    <w:rsid w:val="00D72E45"/>
    <w:pPr>
      <w:keepNext/>
      <w:keepLines/>
      <w:spacing w:before="160" w:after="80"/>
      <w:outlineLvl w:val="2"/>
    </w:pPr>
    <w:rPr>
      <w:rFonts w:eastAsiaTheme="majorEastAsia" w:cstheme="majorBidi"/>
      <w:sz w:val="32"/>
      <w:szCs w:val="28"/>
    </w:rPr>
  </w:style>
  <w:style w:type="paragraph" w:styleId="Heading4">
    <w:name w:val="heading 4"/>
    <w:basedOn w:val="Normal"/>
    <w:next w:val="Normal"/>
    <w:link w:val="Heading4Char"/>
    <w:uiPriority w:val="9"/>
    <w:unhideWhenUsed/>
    <w:qFormat/>
    <w:rsid w:val="00D72E45"/>
    <w:pPr>
      <w:keepNext/>
      <w:keepLines/>
      <w:spacing w:before="160" w:after="80"/>
      <w:outlineLvl w:val="3"/>
    </w:pPr>
    <w:rPr>
      <w:rFonts w:eastAsiaTheme="majorEastAsia" w:cstheme="majorBidi"/>
      <w:iCs/>
      <w:sz w:val="28"/>
    </w:rPr>
  </w:style>
  <w:style w:type="paragraph" w:styleId="Heading5">
    <w:name w:val="heading 5"/>
    <w:basedOn w:val="Normal"/>
    <w:next w:val="Normal"/>
    <w:link w:val="Heading5Char"/>
    <w:uiPriority w:val="9"/>
    <w:unhideWhenUsed/>
    <w:qFormat/>
    <w:rsid w:val="00D72E45"/>
    <w:pPr>
      <w:keepNext/>
      <w:keepLines/>
      <w:spacing w:before="80" w:after="40"/>
      <w:outlineLvl w:val="4"/>
    </w:pPr>
    <w:rPr>
      <w:rFonts w:eastAsiaTheme="majorEastAsia" w:cstheme="majorBidi"/>
      <w:bCs/>
      <w:i/>
      <w:sz w:val="24"/>
    </w:rPr>
  </w:style>
  <w:style w:type="paragraph" w:styleId="Heading6">
    <w:name w:val="heading 6"/>
    <w:basedOn w:val="Normal"/>
    <w:next w:val="Normal"/>
    <w:link w:val="Heading6Char"/>
    <w:uiPriority w:val="9"/>
    <w:semiHidden/>
    <w:unhideWhenUsed/>
    <w:qFormat/>
    <w:rsid w:val="00D72E45"/>
    <w:pPr>
      <w:keepNext/>
      <w:keepLines/>
      <w:spacing w:before="80" w:after="4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qFormat/>
    <w:rsid w:val="00C93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45"/>
    <w:rPr>
      <w:rFonts w:eastAsiaTheme="majorEastAsia" w:cstheme="majorBidi"/>
      <w:b/>
      <w:sz w:val="50"/>
      <w:szCs w:val="40"/>
    </w:rPr>
  </w:style>
  <w:style w:type="character" w:customStyle="1" w:styleId="Heading2Char">
    <w:name w:val="Heading 2 Char"/>
    <w:basedOn w:val="DefaultParagraphFont"/>
    <w:link w:val="Heading2"/>
    <w:uiPriority w:val="9"/>
    <w:rsid w:val="00E35A2B"/>
    <w:rPr>
      <w:rFonts w:eastAsiaTheme="majorEastAsia" w:cstheme="majorBidi"/>
      <w:sz w:val="40"/>
      <w:szCs w:val="32"/>
    </w:rPr>
  </w:style>
  <w:style w:type="character" w:customStyle="1" w:styleId="Heading3Char">
    <w:name w:val="Heading 3 Char"/>
    <w:basedOn w:val="DefaultParagraphFont"/>
    <w:link w:val="Heading3"/>
    <w:uiPriority w:val="9"/>
    <w:rsid w:val="00D72E45"/>
    <w:rPr>
      <w:rFonts w:eastAsiaTheme="majorEastAsia" w:cstheme="majorBidi"/>
      <w:sz w:val="32"/>
      <w:szCs w:val="28"/>
    </w:rPr>
  </w:style>
  <w:style w:type="character" w:customStyle="1" w:styleId="Heading4Char">
    <w:name w:val="Heading 4 Char"/>
    <w:basedOn w:val="DefaultParagraphFont"/>
    <w:link w:val="Heading4"/>
    <w:uiPriority w:val="9"/>
    <w:rsid w:val="00D72E45"/>
    <w:rPr>
      <w:rFonts w:eastAsiaTheme="majorEastAsia" w:cstheme="majorBidi"/>
      <w:iCs/>
      <w:sz w:val="28"/>
    </w:rPr>
  </w:style>
  <w:style w:type="character" w:customStyle="1" w:styleId="Heading5Char">
    <w:name w:val="Heading 5 Char"/>
    <w:basedOn w:val="DefaultParagraphFont"/>
    <w:link w:val="Heading5"/>
    <w:uiPriority w:val="9"/>
    <w:rsid w:val="00D72E45"/>
    <w:rPr>
      <w:rFonts w:eastAsiaTheme="majorEastAsia" w:cstheme="majorBidi"/>
      <w:bCs/>
      <w:i/>
      <w:sz w:val="24"/>
    </w:rPr>
  </w:style>
  <w:style w:type="character" w:customStyle="1" w:styleId="Heading6Char">
    <w:name w:val="Heading 6 Char"/>
    <w:basedOn w:val="DefaultParagraphFont"/>
    <w:link w:val="Heading6"/>
    <w:uiPriority w:val="9"/>
    <w:semiHidden/>
    <w:rsid w:val="00D72E45"/>
    <w:rPr>
      <w:rFonts w:eastAsiaTheme="majorEastAsia" w:cstheme="majorBidi"/>
      <w:b/>
      <w:iCs/>
      <w:color w:val="000000" w:themeColor="text1"/>
    </w:rPr>
  </w:style>
  <w:style w:type="character" w:customStyle="1" w:styleId="Heading7Char">
    <w:name w:val="Heading 7 Char"/>
    <w:basedOn w:val="DefaultParagraphFont"/>
    <w:link w:val="Heading7"/>
    <w:uiPriority w:val="9"/>
    <w:semiHidden/>
    <w:rsid w:val="00C93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12D"/>
    <w:rPr>
      <w:rFonts w:eastAsiaTheme="majorEastAsia" w:cstheme="majorBidi"/>
      <w:color w:val="272727" w:themeColor="text1" w:themeTint="D8"/>
    </w:rPr>
  </w:style>
  <w:style w:type="paragraph" w:styleId="Title">
    <w:name w:val="Title"/>
    <w:basedOn w:val="Normal"/>
    <w:next w:val="Normal"/>
    <w:link w:val="TitleChar"/>
    <w:uiPriority w:val="10"/>
    <w:rsid w:val="00A30F8E"/>
    <w:pPr>
      <w:spacing w:before="1134" w:after="0"/>
      <w:contextualSpacing/>
    </w:pPr>
    <w:rPr>
      <w:rFonts w:eastAsiaTheme="majorEastAsia" w:cs="Calibri"/>
      <w:b/>
      <w:bCs/>
      <w:kern w:val="28"/>
      <w:sz w:val="50"/>
      <w:szCs w:val="50"/>
    </w:rPr>
  </w:style>
  <w:style w:type="character" w:customStyle="1" w:styleId="TitleChar">
    <w:name w:val="Title Char"/>
    <w:basedOn w:val="DefaultParagraphFont"/>
    <w:link w:val="Title"/>
    <w:uiPriority w:val="10"/>
    <w:rsid w:val="00A30F8E"/>
    <w:rPr>
      <w:rFonts w:ascii="Calibri" w:eastAsiaTheme="majorEastAsia" w:hAnsi="Calibri" w:cs="Calibri"/>
      <w:b/>
      <w:bCs/>
      <w:kern w:val="28"/>
      <w:sz w:val="50"/>
      <w:szCs w:val="50"/>
      <w:lang w:val="en-US"/>
    </w:rPr>
  </w:style>
  <w:style w:type="paragraph" w:styleId="Subtitle">
    <w:name w:val="Subtitle"/>
    <w:basedOn w:val="Normal"/>
    <w:next w:val="Normal"/>
    <w:link w:val="SubtitleChar"/>
    <w:uiPriority w:val="11"/>
    <w:qFormat/>
    <w:rsid w:val="00A30F8E"/>
    <w:pPr>
      <w:numPr>
        <w:ilvl w:val="1"/>
      </w:numPr>
      <w:tabs>
        <w:tab w:val="left" w:pos="2717"/>
      </w:tabs>
      <w:spacing w:before="360" w:after="360"/>
    </w:pPr>
    <w:rPr>
      <w:rFonts w:eastAsiaTheme="majorEastAsia" w:cs="Calibri"/>
      <w:sz w:val="30"/>
      <w:szCs w:val="30"/>
    </w:rPr>
  </w:style>
  <w:style w:type="character" w:customStyle="1" w:styleId="SubtitleChar">
    <w:name w:val="Subtitle Char"/>
    <w:basedOn w:val="DefaultParagraphFont"/>
    <w:link w:val="Subtitle"/>
    <w:uiPriority w:val="11"/>
    <w:rsid w:val="00A30F8E"/>
    <w:rPr>
      <w:rFonts w:ascii="Calibri" w:eastAsiaTheme="majorEastAsia" w:hAnsi="Calibri" w:cs="Calibri"/>
      <w:sz w:val="30"/>
      <w:szCs w:val="30"/>
      <w:lang w:val="en-US"/>
    </w:rPr>
  </w:style>
  <w:style w:type="paragraph" w:styleId="Quote">
    <w:name w:val="Quote"/>
    <w:basedOn w:val="Normal"/>
    <w:next w:val="Normal"/>
    <w:link w:val="QuoteChar"/>
    <w:uiPriority w:val="29"/>
    <w:qFormat/>
    <w:rsid w:val="00A30F8E"/>
    <w:pPr>
      <w:pBdr>
        <w:top w:val="single" w:sz="4" w:space="4" w:color="auto"/>
        <w:bottom w:val="single" w:sz="4" w:space="4" w:color="auto"/>
      </w:pBdr>
      <w:spacing w:before="160"/>
    </w:pPr>
  </w:style>
  <w:style w:type="character" w:customStyle="1" w:styleId="QuoteChar">
    <w:name w:val="Quote Char"/>
    <w:basedOn w:val="DefaultParagraphFont"/>
    <w:link w:val="Quote"/>
    <w:uiPriority w:val="29"/>
    <w:rsid w:val="00A30F8E"/>
    <w:rPr>
      <w:rFonts w:ascii="Calibri" w:hAnsi="Calibri"/>
      <w:sz w:val="20"/>
      <w:szCs w:val="20"/>
      <w:lang w:val="en-US"/>
    </w:rPr>
  </w:style>
  <w:style w:type="paragraph" w:styleId="ListParagraph">
    <w:name w:val="List Paragraph"/>
    <w:basedOn w:val="Normal"/>
    <w:uiPriority w:val="34"/>
    <w:rsid w:val="00C9312D"/>
    <w:pPr>
      <w:ind w:left="720"/>
      <w:contextualSpacing/>
    </w:pPr>
  </w:style>
  <w:style w:type="character" w:styleId="IntenseEmphasis">
    <w:name w:val="Intense Emphasis"/>
    <w:basedOn w:val="DefaultParagraphFont"/>
    <w:uiPriority w:val="21"/>
    <w:rsid w:val="00C9312D"/>
    <w:rPr>
      <w:i/>
      <w:iCs/>
      <w:color w:val="2F5496" w:themeColor="accent1" w:themeShade="BF"/>
    </w:rPr>
  </w:style>
  <w:style w:type="paragraph" w:styleId="IntenseQuote">
    <w:name w:val="Intense Quote"/>
    <w:basedOn w:val="Normal"/>
    <w:next w:val="Normal"/>
    <w:link w:val="IntenseQuoteChar"/>
    <w:uiPriority w:val="30"/>
    <w:rsid w:val="00C93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12D"/>
    <w:rPr>
      <w:i/>
      <w:iCs/>
      <w:color w:val="2F5496" w:themeColor="accent1" w:themeShade="BF"/>
    </w:rPr>
  </w:style>
  <w:style w:type="character" w:styleId="IntenseReference">
    <w:name w:val="Intense Reference"/>
    <w:basedOn w:val="DefaultParagraphFont"/>
    <w:uiPriority w:val="32"/>
    <w:rsid w:val="00C9312D"/>
    <w:rPr>
      <w:b/>
      <w:bCs/>
      <w:smallCaps/>
      <w:color w:val="2F5496" w:themeColor="accent1" w:themeShade="BF"/>
      <w:spacing w:val="5"/>
    </w:rPr>
  </w:style>
  <w:style w:type="paragraph" w:styleId="Header">
    <w:name w:val="header"/>
    <w:basedOn w:val="Normal"/>
    <w:link w:val="HeaderChar"/>
    <w:uiPriority w:val="99"/>
    <w:unhideWhenUsed/>
    <w:rsid w:val="001152C4"/>
    <w:pPr>
      <w:pBdr>
        <w:bottom w:val="single" w:sz="6" w:space="12" w:color="auto"/>
      </w:pBdr>
      <w:tabs>
        <w:tab w:val="center" w:pos="4513"/>
      </w:tabs>
      <w:spacing w:after="0"/>
      <w:ind w:right="-46"/>
    </w:pPr>
    <w:rPr>
      <w:sz w:val="18"/>
      <w:szCs w:val="18"/>
    </w:rPr>
  </w:style>
  <w:style w:type="character" w:customStyle="1" w:styleId="HeaderChar">
    <w:name w:val="Header Char"/>
    <w:basedOn w:val="DefaultParagraphFont"/>
    <w:link w:val="Header"/>
    <w:uiPriority w:val="99"/>
    <w:rsid w:val="001152C4"/>
    <w:rPr>
      <w:sz w:val="18"/>
      <w:szCs w:val="18"/>
    </w:rPr>
  </w:style>
  <w:style w:type="paragraph" w:styleId="Footer">
    <w:name w:val="footer"/>
    <w:basedOn w:val="Normal"/>
    <w:link w:val="FooterChar"/>
    <w:uiPriority w:val="99"/>
    <w:unhideWhenUsed/>
    <w:rsid w:val="00862D88"/>
    <w:pPr>
      <w:pBdr>
        <w:top w:val="single" w:sz="4" w:space="12" w:color="auto"/>
      </w:pBdr>
      <w:tabs>
        <w:tab w:val="center" w:pos="4513"/>
        <w:tab w:val="right" w:pos="9026"/>
      </w:tabs>
      <w:spacing w:after="0"/>
    </w:pPr>
    <w:rPr>
      <w:noProof/>
      <w:sz w:val="18"/>
    </w:rPr>
  </w:style>
  <w:style w:type="character" w:customStyle="1" w:styleId="FooterChar">
    <w:name w:val="Footer Char"/>
    <w:basedOn w:val="DefaultParagraphFont"/>
    <w:link w:val="Footer"/>
    <w:uiPriority w:val="99"/>
    <w:rsid w:val="00862D88"/>
    <w:rPr>
      <w:rFonts w:ascii="Calibri" w:hAnsi="Calibri"/>
      <w:noProof/>
      <w:sz w:val="18"/>
      <w:szCs w:val="20"/>
      <w:lang w:val="en-US"/>
    </w:rPr>
  </w:style>
  <w:style w:type="paragraph" w:styleId="Date">
    <w:name w:val="Date"/>
    <w:basedOn w:val="Normal"/>
    <w:next w:val="Normal"/>
    <w:link w:val="DateChar"/>
    <w:uiPriority w:val="99"/>
    <w:unhideWhenUsed/>
    <w:qFormat/>
    <w:rsid w:val="001152C4"/>
    <w:pPr>
      <w:spacing w:after="240"/>
      <w:jc w:val="right"/>
    </w:pPr>
    <w:rPr>
      <w:rFonts w:cs="Calibri"/>
    </w:rPr>
  </w:style>
  <w:style w:type="character" w:customStyle="1" w:styleId="DateChar">
    <w:name w:val="Date Char"/>
    <w:basedOn w:val="DefaultParagraphFont"/>
    <w:link w:val="Date"/>
    <w:uiPriority w:val="99"/>
    <w:rsid w:val="001152C4"/>
    <w:rPr>
      <w:rFonts w:ascii="Calibri" w:hAnsi="Calibri" w:cs="Calibri"/>
      <w:sz w:val="20"/>
      <w:szCs w:val="20"/>
      <w:lang w:val="en-US"/>
    </w:rPr>
  </w:style>
  <w:style w:type="paragraph" w:customStyle="1" w:styleId="Coverimage">
    <w:name w:val="Cover image"/>
    <w:basedOn w:val="Normal"/>
    <w:link w:val="CoverimageChar"/>
    <w:rsid w:val="00665382"/>
    <w:pPr>
      <w:framePr w:w="10773" w:h="7825" w:hRule="exact" w:hSpace="181" w:vSpace="142" w:wrap="around" w:vAnchor="text" w:hAnchor="page" w:x="568" w:y="1" w:anchorLock="1"/>
    </w:pPr>
  </w:style>
  <w:style w:type="character" w:customStyle="1" w:styleId="CoverimageChar">
    <w:name w:val="Cover image Char"/>
    <w:basedOn w:val="DefaultParagraphFont"/>
    <w:link w:val="Coverimage"/>
    <w:rsid w:val="00665382"/>
    <w:rPr>
      <w:rFonts w:ascii="Calibri" w:hAnsi="Calibri"/>
      <w:sz w:val="20"/>
      <w:szCs w:val="20"/>
      <w:lang w:val="en-US"/>
    </w:rPr>
  </w:style>
  <w:style w:type="paragraph" w:customStyle="1" w:styleId="Tableheading">
    <w:name w:val="Table heading"/>
    <w:basedOn w:val="Normal"/>
    <w:link w:val="TableheadingChar"/>
    <w:qFormat/>
    <w:rsid w:val="008D59A4"/>
    <w:pPr>
      <w:spacing w:before="240"/>
    </w:pPr>
    <w:rPr>
      <w:b/>
      <w:bCs/>
    </w:rPr>
  </w:style>
  <w:style w:type="character" w:customStyle="1" w:styleId="TableheadingChar">
    <w:name w:val="Table heading Char"/>
    <w:basedOn w:val="DefaultParagraphFont"/>
    <w:link w:val="Tableheading"/>
    <w:rsid w:val="008D59A4"/>
    <w:rPr>
      <w:rFonts w:ascii="Calibri" w:hAnsi="Calibri"/>
      <w:b/>
      <w:bCs/>
      <w:sz w:val="20"/>
      <w:szCs w:val="20"/>
      <w:lang w:val="en-US"/>
    </w:rPr>
  </w:style>
  <w:style w:type="paragraph" w:customStyle="1" w:styleId="Figureheading">
    <w:name w:val="Figure heading"/>
    <w:basedOn w:val="Tableheading"/>
    <w:link w:val="FigureheadingChar"/>
    <w:qFormat/>
    <w:rsid w:val="00F34C6F"/>
  </w:style>
  <w:style w:type="character" w:customStyle="1" w:styleId="FigureheadingChar">
    <w:name w:val="Figure heading Char"/>
    <w:basedOn w:val="TableheadingChar"/>
    <w:link w:val="Figureheading"/>
    <w:rsid w:val="00F34C6F"/>
    <w:rPr>
      <w:rFonts w:ascii="Calibri" w:hAnsi="Calibri"/>
      <w:b/>
      <w:bCs/>
      <w:sz w:val="20"/>
      <w:szCs w:val="20"/>
      <w:lang w:val="en-US"/>
    </w:rPr>
  </w:style>
  <w:style w:type="paragraph" w:styleId="Caption">
    <w:name w:val="caption"/>
    <w:basedOn w:val="Normal"/>
    <w:next w:val="Normal"/>
    <w:uiPriority w:val="14"/>
    <w:rsid w:val="00A6311C"/>
    <w:pPr>
      <w:suppressAutoHyphens/>
      <w:spacing w:before="240"/>
    </w:pPr>
    <w:rPr>
      <w:rFonts w:asciiTheme="minorHAnsi" w:hAnsiTheme="minorHAnsi"/>
      <w:b/>
      <w:iCs/>
      <w:color w:val="000000" w:themeColor="text1"/>
      <w:kern w:val="0"/>
      <w:szCs w:val="18"/>
      <w14:ligatures w14:val="none"/>
    </w:rPr>
  </w:style>
  <w:style w:type="paragraph" w:styleId="TOCHeading">
    <w:name w:val="TOC Heading"/>
    <w:basedOn w:val="Heading2"/>
    <w:next w:val="Normal"/>
    <w:uiPriority w:val="39"/>
    <w:unhideWhenUsed/>
    <w:rsid w:val="00EF4DC5"/>
  </w:style>
  <w:style w:type="paragraph" w:styleId="TOC1">
    <w:name w:val="toc 1"/>
    <w:basedOn w:val="Normal"/>
    <w:next w:val="Normal"/>
    <w:autoRedefine/>
    <w:uiPriority w:val="39"/>
    <w:unhideWhenUsed/>
    <w:rsid w:val="00A30F8E"/>
    <w:pPr>
      <w:spacing w:after="100"/>
    </w:pPr>
    <w:rPr>
      <w:b/>
      <w:noProof/>
    </w:rPr>
  </w:style>
  <w:style w:type="paragraph" w:styleId="TOC2">
    <w:name w:val="toc 2"/>
    <w:basedOn w:val="Normal"/>
    <w:next w:val="Normal"/>
    <w:autoRedefine/>
    <w:uiPriority w:val="39"/>
    <w:unhideWhenUsed/>
    <w:rsid w:val="00A30F8E"/>
    <w:pPr>
      <w:spacing w:after="100"/>
      <w:ind w:left="200"/>
    </w:pPr>
    <w:rPr>
      <w:noProof/>
    </w:rPr>
  </w:style>
  <w:style w:type="paragraph" w:styleId="TOC3">
    <w:name w:val="toc 3"/>
    <w:basedOn w:val="Normal"/>
    <w:next w:val="Normal"/>
    <w:autoRedefine/>
    <w:uiPriority w:val="39"/>
    <w:unhideWhenUsed/>
    <w:rsid w:val="00A30F8E"/>
    <w:pPr>
      <w:spacing w:after="100"/>
      <w:ind w:left="400"/>
    </w:pPr>
    <w:rPr>
      <w:noProof/>
      <w:color w:val="595959" w:themeColor="text1" w:themeTint="A6"/>
    </w:rPr>
  </w:style>
  <w:style w:type="character" w:styleId="Hyperlink">
    <w:name w:val="Hyperlink"/>
    <w:basedOn w:val="DefaultParagraphFont"/>
    <w:uiPriority w:val="99"/>
    <w:unhideWhenUsed/>
    <w:rsid w:val="00A6311C"/>
    <w:rPr>
      <w:color w:val="0563C1" w:themeColor="hyperlink"/>
      <w:u w:val="single"/>
    </w:rPr>
  </w:style>
  <w:style w:type="paragraph" w:styleId="TableofFigures">
    <w:name w:val="table of figures"/>
    <w:basedOn w:val="Normal"/>
    <w:next w:val="Normal"/>
    <w:uiPriority w:val="99"/>
    <w:unhideWhenUsed/>
    <w:rsid w:val="00A6311C"/>
    <w:pPr>
      <w:spacing w:after="0"/>
    </w:pPr>
  </w:style>
  <w:style w:type="paragraph" w:customStyle="1" w:styleId="Listoftablesandfiguresheading">
    <w:name w:val="List of tables and figures heading"/>
    <w:basedOn w:val="Heading1"/>
    <w:link w:val="ListoftablesandfiguresheadingChar"/>
    <w:rsid w:val="00CA4C52"/>
  </w:style>
  <w:style w:type="character" w:customStyle="1" w:styleId="ListoftablesandfiguresheadingChar">
    <w:name w:val="List of tables and figures heading Char"/>
    <w:basedOn w:val="Heading1Char"/>
    <w:link w:val="Listoftablesandfiguresheading"/>
    <w:rsid w:val="00CA4C52"/>
    <w:rPr>
      <w:rFonts w:ascii="Calibri" w:eastAsiaTheme="majorEastAsia" w:hAnsi="Calibri" w:cstheme="majorBidi"/>
      <w:b/>
      <w:sz w:val="40"/>
      <w:szCs w:val="40"/>
      <w:lang w:val="en-US"/>
    </w:rPr>
  </w:style>
  <w:style w:type="character" w:styleId="UnresolvedMention">
    <w:name w:val="Unresolved Mention"/>
    <w:basedOn w:val="DefaultParagraphFont"/>
    <w:uiPriority w:val="99"/>
    <w:semiHidden/>
    <w:unhideWhenUsed/>
    <w:rsid w:val="00CB2EEF"/>
    <w:rPr>
      <w:color w:val="605E5C"/>
      <w:shd w:val="clear" w:color="auto" w:fill="E1DFDD"/>
    </w:rPr>
  </w:style>
  <w:style w:type="paragraph" w:customStyle="1" w:styleId="SecurityMarker">
    <w:name w:val="Security Marker"/>
    <w:basedOn w:val="Normal"/>
    <w:rsid w:val="00F62A2F"/>
    <w:pPr>
      <w:suppressAutoHyphens/>
      <w:jc w:val="center"/>
    </w:pPr>
    <w:rPr>
      <w:rFonts w:asciiTheme="minorHAnsi" w:hAnsiTheme="minorHAnsi"/>
      <w:b/>
      <w:caps/>
      <w:noProof/>
      <w:color w:val="E10000"/>
      <w:kern w:val="0"/>
      <w:sz w:val="28"/>
      <w:szCs w:val="28"/>
      <w:shd w:val="clear" w:color="auto" w:fill="FFFFFF" w:themeFill="background1"/>
      <w14:ligatures w14:val="none"/>
    </w:rPr>
  </w:style>
  <w:style w:type="paragraph" w:customStyle="1" w:styleId="Chaptertext">
    <w:name w:val="Chapter text"/>
    <w:basedOn w:val="Normal"/>
    <w:link w:val="ChaptertextChar"/>
    <w:rsid w:val="00AE5309"/>
    <w:pPr>
      <w:spacing w:after="240"/>
    </w:pPr>
    <w:rPr>
      <w:b/>
      <w:bCs/>
      <w:caps/>
      <w:sz w:val="80"/>
      <w:szCs w:val="80"/>
    </w:rPr>
  </w:style>
  <w:style w:type="character" w:customStyle="1" w:styleId="ChaptertextChar">
    <w:name w:val="Chapter text Char"/>
    <w:basedOn w:val="DefaultParagraphFont"/>
    <w:link w:val="Chaptertext"/>
    <w:rsid w:val="00AE5309"/>
    <w:rPr>
      <w:rFonts w:ascii="Calibri" w:hAnsi="Calibri"/>
      <w:b/>
      <w:bCs/>
      <w:caps/>
      <w:sz w:val="80"/>
      <w:szCs w:val="80"/>
      <w:lang w:val="en-US"/>
    </w:rPr>
  </w:style>
  <w:style w:type="table" w:styleId="TableGrid">
    <w:name w:val="Table Grid"/>
    <w:basedOn w:val="TableNormal"/>
    <w:uiPriority w:val="39"/>
    <w:rsid w:val="0004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80E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left w:w="57" w:type="dxa"/>
        <w:bottom w:w="57" w:type="dxa"/>
        <w:right w:w="57" w:type="dxa"/>
      </w:tcMar>
    </w:tcPr>
    <w:tblStylePr w:type="firstRow">
      <w:rPr>
        <w:b/>
        <w:bCs/>
      </w:rPr>
      <w:tblPr/>
      <w:tcPr>
        <w:shd w:val="clear" w:color="auto" w:fill="BFBFBF" w:themeFill="background1" w:themeFillShade="BF"/>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hinblock">
    <w:name w:val="Thin block"/>
    <w:basedOn w:val="Normal"/>
    <w:link w:val="ThinblockChar"/>
    <w:rsid w:val="005A7E4F"/>
    <w:pPr>
      <w:spacing w:after="600"/>
    </w:pPr>
  </w:style>
  <w:style w:type="character" w:customStyle="1" w:styleId="ThinblockChar">
    <w:name w:val="Thin block Char"/>
    <w:basedOn w:val="DefaultParagraphFont"/>
    <w:link w:val="Thinblock"/>
    <w:rsid w:val="005A7E4F"/>
    <w:rPr>
      <w:rFonts w:ascii="Calibri" w:hAnsi="Calibri"/>
      <w:sz w:val="20"/>
      <w:szCs w:val="20"/>
      <w:lang w:val="en-US"/>
    </w:rPr>
  </w:style>
  <w:style w:type="paragraph" w:styleId="ListBullet">
    <w:name w:val="List Bullet"/>
    <w:basedOn w:val="Normal"/>
    <w:link w:val="ListBulletChar"/>
    <w:uiPriority w:val="99"/>
    <w:unhideWhenUsed/>
    <w:qFormat/>
    <w:rsid w:val="007763F8"/>
    <w:pPr>
      <w:numPr>
        <w:numId w:val="21"/>
      </w:numPr>
      <w:spacing w:after="0"/>
      <w:ind w:left="357" w:hanging="357"/>
      <w:contextualSpacing/>
    </w:pPr>
  </w:style>
  <w:style w:type="paragraph" w:styleId="ListNumber">
    <w:name w:val="List Number"/>
    <w:basedOn w:val="Normal"/>
    <w:uiPriority w:val="99"/>
    <w:unhideWhenUsed/>
    <w:rsid w:val="00B1286B"/>
    <w:pPr>
      <w:numPr>
        <w:numId w:val="16"/>
      </w:numPr>
      <w:contextualSpacing/>
    </w:pPr>
  </w:style>
  <w:style w:type="paragraph" w:styleId="ListBullet2">
    <w:name w:val="List Bullet 2"/>
    <w:basedOn w:val="Normal"/>
    <w:uiPriority w:val="99"/>
    <w:unhideWhenUsed/>
    <w:qFormat/>
    <w:rsid w:val="00EF4DC5"/>
    <w:pPr>
      <w:numPr>
        <w:numId w:val="17"/>
      </w:numPr>
      <w:spacing w:after="0"/>
      <w:ind w:left="714" w:hanging="357"/>
      <w:contextualSpacing/>
    </w:pPr>
  </w:style>
  <w:style w:type="paragraph" w:styleId="ListBullet3">
    <w:name w:val="List Bullet 3"/>
    <w:basedOn w:val="Normal"/>
    <w:uiPriority w:val="99"/>
    <w:unhideWhenUsed/>
    <w:qFormat/>
    <w:rsid w:val="00EF4DC5"/>
    <w:pPr>
      <w:numPr>
        <w:numId w:val="18"/>
      </w:numPr>
      <w:contextualSpacing/>
    </w:pPr>
  </w:style>
  <w:style w:type="paragraph" w:styleId="ListNumber2">
    <w:name w:val="List Number 2"/>
    <w:basedOn w:val="Normal"/>
    <w:uiPriority w:val="99"/>
    <w:unhideWhenUsed/>
    <w:rsid w:val="00B1286B"/>
    <w:pPr>
      <w:numPr>
        <w:ilvl w:val="1"/>
        <w:numId w:val="16"/>
      </w:numPr>
      <w:contextualSpacing/>
    </w:pPr>
  </w:style>
  <w:style w:type="paragraph" w:styleId="ListNumber3">
    <w:name w:val="List Number 3"/>
    <w:basedOn w:val="Normal"/>
    <w:uiPriority w:val="99"/>
    <w:unhideWhenUsed/>
    <w:rsid w:val="00B1286B"/>
    <w:pPr>
      <w:numPr>
        <w:ilvl w:val="2"/>
        <w:numId w:val="16"/>
      </w:numPr>
      <w:ind w:left="1288" w:hanging="505"/>
      <w:contextualSpacing/>
    </w:pPr>
  </w:style>
  <w:style w:type="paragraph" w:customStyle="1" w:styleId="ListLegal">
    <w:name w:val="List Legal"/>
    <w:basedOn w:val="ListBullet"/>
    <w:link w:val="ListLegalChar"/>
    <w:qFormat/>
    <w:rsid w:val="00B1286B"/>
    <w:pPr>
      <w:numPr>
        <w:numId w:val="15"/>
      </w:numPr>
    </w:pPr>
  </w:style>
  <w:style w:type="character" w:customStyle="1" w:styleId="ListBulletChar">
    <w:name w:val="List Bullet Char"/>
    <w:basedOn w:val="DefaultParagraphFont"/>
    <w:link w:val="ListBullet"/>
    <w:uiPriority w:val="99"/>
    <w:rsid w:val="007763F8"/>
  </w:style>
  <w:style w:type="character" w:customStyle="1" w:styleId="ListLegalChar">
    <w:name w:val="List Legal Char"/>
    <w:basedOn w:val="ListBulletChar"/>
    <w:link w:val="ListLegal"/>
    <w:rsid w:val="00B1286B"/>
  </w:style>
  <w:style w:type="paragraph" w:customStyle="1" w:styleId="ListLegal2">
    <w:name w:val="List Legal 2"/>
    <w:basedOn w:val="ListLegal"/>
    <w:link w:val="ListLegal2Char"/>
    <w:qFormat/>
    <w:rsid w:val="00E35A2B"/>
    <w:pPr>
      <w:numPr>
        <w:ilvl w:val="1"/>
      </w:numPr>
    </w:pPr>
  </w:style>
  <w:style w:type="character" w:customStyle="1" w:styleId="ListLegal2Char">
    <w:name w:val="List Legal 2 Char"/>
    <w:basedOn w:val="ListLegalChar"/>
    <w:link w:val="ListLegal2"/>
    <w:rsid w:val="00E35A2B"/>
  </w:style>
  <w:style w:type="paragraph" w:customStyle="1" w:styleId="ListLegal3">
    <w:name w:val="List Legal 3"/>
    <w:basedOn w:val="ListLegal2"/>
    <w:link w:val="ListLegal3Char"/>
    <w:qFormat/>
    <w:rsid w:val="00E35A2B"/>
    <w:pPr>
      <w:numPr>
        <w:ilvl w:val="2"/>
      </w:numPr>
      <w:ind w:left="1302"/>
    </w:pPr>
  </w:style>
  <w:style w:type="character" w:customStyle="1" w:styleId="ListLegal3Char">
    <w:name w:val="List Legal 3 Char"/>
    <w:basedOn w:val="ListLegal2Char"/>
    <w:link w:val="ListLegal3"/>
    <w:rsid w:val="00E35A2B"/>
  </w:style>
  <w:style w:type="paragraph" w:styleId="FootnoteText">
    <w:name w:val="footnote text"/>
    <w:basedOn w:val="Normal"/>
    <w:link w:val="FootnoteTextChar"/>
    <w:uiPriority w:val="99"/>
    <w:semiHidden/>
    <w:unhideWhenUsed/>
    <w:rsid w:val="0004681E"/>
    <w:pPr>
      <w:spacing w:after="0"/>
    </w:pPr>
    <w:rPr>
      <w:sz w:val="20"/>
    </w:rPr>
  </w:style>
  <w:style w:type="character" w:customStyle="1" w:styleId="FootnoteTextChar">
    <w:name w:val="Footnote Text Char"/>
    <w:basedOn w:val="DefaultParagraphFont"/>
    <w:link w:val="FootnoteText"/>
    <w:uiPriority w:val="99"/>
    <w:semiHidden/>
    <w:rsid w:val="0004681E"/>
  </w:style>
  <w:style w:type="character" w:styleId="FootnoteReference">
    <w:name w:val="footnote reference"/>
    <w:basedOn w:val="DefaultParagraphFont"/>
    <w:uiPriority w:val="99"/>
    <w:semiHidden/>
    <w:unhideWhenUsed/>
    <w:rsid w:val="00046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202D-216A-4133-9C0D-5269AEDC3E98}">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1929</Words>
  <Characters>11000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2026-02-09T23:20:00Z</dcterms:created>
  <dcterms:modified xsi:type="dcterms:W3CDTF">2026-02-09T23:20:00Z</dcterms:modified>
</cp:coreProperties>
</file>