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127B" w14:textId="126BA5D1" w:rsidR="00A62EF3" w:rsidRPr="00C64422" w:rsidRDefault="008636DE" w:rsidP="006D71DA">
      <w:pPr>
        <w:pStyle w:val="Title"/>
        <w:spacing w:after="120"/>
        <w:rPr>
          <w:rFonts w:ascii="Calibri" w:hAnsi="Calibri" w:cs="Calibri"/>
          <w:sz w:val="30"/>
          <w:szCs w:val="30"/>
        </w:rPr>
      </w:pPr>
      <w:bookmarkStart w:id="0" w:name="_Toc96326909"/>
      <w:r w:rsidRPr="00C64422">
        <w:rPr>
          <w:rFonts w:ascii="Calibri" w:hAnsi="Calibri" w:cs="Calibri"/>
          <w:sz w:val="30"/>
          <w:szCs w:val="30"/>
        </w:rPr>
        <w:t>Improving the water efficiency of commercial ice makers</w:t>
      </w:r>
    </w:p>
    <w:p w14:paraId="3CE5127C" w14:textId="05F586AC" w:rsidR="00A62EF3" w:rsidRPr="008636DE" w:rsidRDefault="005505E3" w:rsidP="00A62EF3">
      <w:pPr>
        <w:pStyle w:val="Subtitle"/>
        <w:rPr>
          <w:rFonts w:cs="Calibri Light"/>
          <w:sz w:val="24"/>
          <w:szCs w:val="26"/>
        </w:rPr>
      </w:pPr>
      <w:r w:rsidRPr="008636DE">
        <w:rPr>
          <w:rFonts w:cs="Calibri Light"/>
          <w:sz w:val="24"/>
          <w:szCs w:val="26"/>
        </w:rPr>
        <w:t>Department</w:t>
      </w:r>
      <w:r w:rsidR="008636DE" w:rsidRPr="008636DE">
        <w:rPr>
          <w:rFonts w:cs="Calibri Light"/>
          <w:sz w:val="24"/>
          <w:szCs w:val="26"/>
        </w:rPr>
        <w:t xml:space="preserve"> of Climate Change, Energy, the Environment and Water</w:t>
      </w:r>
    </w:p>
    <w:p w14:paraId="3CE5127D" w14:textId="77777777" w:rsidR="00A62EF3" w:rsidRDefault="008E26FA" w:rsidP="00C13310">
      <w:pPr>
        <w:pStyle w:val="BOXHeading2"/>
        <w:ind w:firstLine="493"/>
        <w:rPr>
          <w:noProof/>
        </w:rPr>
      </w:pPr>
      <w:r>
        <w:rPr>
          <w:noProof/>
        </w:rPr>
        <w:pict w14:anchorId="3CE512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1pt;margin-top:53.2pt;width:38.65pt;height:38.65pt;z-index:251658242;mso-position-horizontal-relative:margin;mso-position-vertical-relative:margin">
            <v:imagedata r:id="rId8" o:title="Icons28"/>
            <w10:wrap anchorx="margin" anchory="margin"/>
          </v:shape>
        </w:pict>
      </w:r>
      <w:r w:rsidR="00E63FC4">
        <w:rPr>
          <w:noProof/>
        </w:rPr>
        <w:t xml:space="preserve">  </w:t>
      </w:r>
      <w:r w:rsidR="00BE0F4D">
        <w:rPr>
          <w:noProof/>
        </w:rPr>
        <w:t>T</w:t>
      </w:r>
      <w:r w:rsidR="00E13082">
        <w:rPr>
          <w:noProof/>
        </w:rPr>
        <w:t>he</w:t>
      </w:r>
      <w:r w:rsidR="00D13C0A">
        <w:rPr>
          <w:noProof/>
        </w:rPr>
        <w:t xml:space="preserve"> </w:t>
      </w:r>
      <w:r w:rsidR="00E13082">
        <w:rPr>
          <w:noProof/>
        </w:rPr>
        <w:t>policy p</w:t>
      </w:r>
      <w:r w:rsidR="006A2BCA">
        <w:rPr>
          <w:noProof/>
        </w:rPr>
        <w:t>roblem</w:t>
      </w:r>
      <w:bookmarkEnd w:id="0"/>
      <w:r w:rsidR="00BE0F4D">
        <w:rPr>
          <w:noProof/>
        </w:rPr>
        <w:t xml:space="preserve"> and p</w:t>
      </w:r>
      <w:r w:rsidR="00490E25">
        <w:rPr>
          <w:noProof/>
        </w:rPr>
        <w:t>r</w:t>
      </w:r>
      <w:r w:rsidR="00B05108">
        <w:rPr>
          <w:noProof/>
        </w:rPr>
        <w:t>eferred</w:t>
      </w:r>
      <w:r w:rsidR="00BE0F4D">
        <w:rPr>
          <w:noProof/>
        </w:rPr>
        <w:t xml:space="preserve"> </w:t>
      </w:r>
      <w:r w:rsidR="00B05108">
        <w:rPr>
          <w:noProof/>
        </w:rPr>
        <w:t xml:space="preserve">policy </w:t>
      </w:r>
      <w:r w:rsidR="00BE0F4D">
        <w:rPr>
          <w:noProof/>
        </w:rPr>
        <w:t>appro</w:t>
      </w:r>
      <w:r w:rsidR="00E12AB4">
        <w:rPr>
          <w:noProof/>
        </w:rPr>
        <w:t>a</w:t>
      </w:r>
      <w:r w:rsidR="00BE0F4D">
        <w:rPr>
          <w:noProof/>
        </w:rPr>
        <w:t>ch</w:t>
      </w:r>
    </w:p>
    <w:p w14:paraId="3CE5127F" w14:textId="58510C2C" w:rsidR="00346D39" w:rsidRDefault="7462A2CB" w:rsidP="4E42DB34">
      <w:pPr>
        <w:pStyle w:val="BOXBulletedList"/>
        <w:pBdr>
          <w:bottom w:val="single" w:sz="48" w:space="0" w:color="F2F2F2" w:themeColor="background1" w:themeShade="F2"/>
        </w:pBdr>
        <w:spacing w:after="0"/>
      </w:pPr>
      <w:r>
        <w:t>The national stock of c</w:t>
      </w:r>
      <w:r w:rsidR="008636DE">
        <w:t xml:space="preserve">ommercial ice makers </w:t>
      </w:r>
      <w:r w:rsidR="007E0375">
        <w:t>consume</w:t>
      </w:r>
      <w:r w:rsidR="008636DE">
        <w:t xml:space="preserve"> </w:t>
      </w:r>
      <w:r w:rsidR="00C57609">
        <w:t xml:space="preserve">a </w:t>
      </w:r>
      <w:r w:rsidR="008636DE">
        <w:t>significant quantit</w:t>
      </w:r>
      <w:r w:rsidR="00C57609">
        <w:t>y</w:t>
      </w:r>
      <w:r w:rsidR="008636DE">
        <w:t xml:space="preserve"> of water – over </w:t>
      </w:r>
      <w:r w:rsidR="008636DE" w:rsidRPr="4E42DB34">
        <w:rPr>
          <w:b/>
          <w:bCs/>
        </w:rPr>
        <w:t>6.1 GL</w:t>
      </w:r>
      <w:r w:rsidR="008636DE">
        <w:t xml:space="preserve"> each year, equivalent to the water use</w:t>
      </w:r>
      <w:r w:rsidR="00311D30">
        <w:t>d</w:t>
      </w:r>
      <w:r w:rsidR="008636DE">
        <w:t xml:space="preserve"> </w:t>
      </w:r>
      <w:r w:rsidR="09E6714A">
        <w:t xml:space="preserve">by </w:t>
      </w:r>
      <w:r w:rsidR="008636DE">
        <w:t xml:space="preserve">about </w:t>
      </w:r>
      <w:r w:rsidR="008636DE" w:rsidRPr="4E42DB34">
        <w:rPr>
          <w:b/>
          <w:bCs/>
        </w:rPr>
        <w:t>35,000</w:t>
      </w:r>
      <w:r w:rsidR="008636DE">
        <w:t xml:space="preserve"> households. </w:t>
      </w:r>
      <w:r w:rsidR="006536BF">
        <w:t>Product w</w:t>
      </w:r>
      <w:r w:rsidR="008636DE">
        <w:t>ater efficiency varies widely across the product range.</w:t>
      </w:r>
    </w:p>
    <w:p w14:paraId="3217276E" w14:textId="6D7A3843" w:rsidR="00C57609" w:rsidRDefault="00C57609" w:rsidP="00AE2B22">
      <w:pPr>
        <w:pStyle w:val="BOXBulletedList"/>
        <w:pBdr>
          <w:bottom w:val="single" w:sz="48" w:space="0" w:color="F2F2F2" w:themeColor="background1" w:themeShade="F2"/>
        </w:pBdr>
        <w:spacing w:after="0"/>
      </w:pPr>
      <w:r>
        <w:t>Consumers are rarely aware of product water use or operating costs</w:t>
      </w:r>
      <w:r w:rsidR="004756B6">
        <w:t>,</w:t>
      </w:r>
      <w:r>
        <w:t xml:space="preserve"> as information is unavailable or </w:t>
      </w:r>
      <w:r w:rsidR="6A10C661">
        <w:t xml:space="preserve">is </w:t>
      </w:r>
      <w:r>
        <w:t>presented in a way that makes it difficult to compare. This failure prevents consumers from identifying efficient products.</w:t>
      </w:r>
      <w:r w:rsidR="006536BF">
        <w:t xml:space="preserve"> Consumers would save water and lifetime operating costs if products could be compared and the most efficient product selected.</w:t>
      </w:r>
    </w:p>
    <w:p w14:paraId="0E5C807B" w14:textId="357AF639" w:rsidR="00E80885" w:rsidRDefault="006536BF" w:rsidP="00EC39E6">
      <w:pPr>
        <w:pStyle w:val="BOXBulletedList"/>
        <w:pBdr>
          <w:bottom w:val="single" w:sz="48" w:space="0" w:color="F2F2F2" w:themeColor="background1" w:themeShade="F2"/>
        </w:pBdr>
        <w:spacing w:after="0"/>
      </w:pPr>
      <w:r>
        <w:t>Considering costs</w:t>
      </w:r>
      <w:r w:rsidR="006E5D62">
        <w:t>,</w:t>
      </w:r>
      <w:r>
        <w:t xml:space="preserve"> benefits, stakeholder feedback and risks, a staged implementation approach is preferred. </w:t>
      </w:r>
      <w:r w:rsidR="00E80885">
        <w:t xml:space="preserve">The initial stage (Option 1 </w:t>
      </w:r>
      <w:r w:rsidR="00272837">
        <w:t>–</w:t>
      </w:r>
      <w:r w:rsidR="00E80885">
        <w:t xml:space="preserve"> </w:t>
      </w:r>
      <w:r w:rsidR="00272837">
        <w:t>status quo</w:t>
      </w:r>
      <w:r w:rsidR="00E80885">
        <w:t xml:space="preserve">) assesses voluntary declaration of product water use rates. </w:t>
      </w:r>
      <w:r w:rsidR="006E5D62">
        <w:t>This option builds market data, with d</w:t>
      </w:r>
      <w:r w:rsidR="00E80885">
        <w:t xml:space="preserve">eclaration rates </w:t>
      </w:r>
      <w:r w:rsidR="006E5D62">
        <w:t xml:space="preserve">and water use information </w:t>
      </w:r>
      <w:r w:rsidR="00E80885">
        <w:t>assessed against targets to inform future options to improve water efficiency.</w:t>
      </w:r>
    </w:p>
    <w:p w14:paraId="3CE51282" w14:textId="77777777" w:rsidR="005505E3" w:rsidRPr="00D859BB" w:rsidRDefault="008E26FA" w:rsidP="003C1C2C">
      <w:pPr>
        <w:pStyle w:val="BOXHeading2"/>
        <w:spacing w:before="120"/>
        <w:ind w:firstLine="493"/>
      </w:pPr>
      <w:r>
        <w:rPr>
          <w:noProof/>
        </w:rPr>
        <w:pict w14:anchorId="3CE512A7">
          <v:shape id="_x0000_s2052" type="#_x0000_t75" style="position:absolute;left:0;text-align:left;margin-left:0;margin-top:217.8pt;width:38pt;height:38pt;z-index:251658241;mso-position-horizontal-relative:margin;mso-position-vertical-relative:margin;mso-width-relative:page;mso-height-relative:page">
            <v:imagedata r:id="rId9" o:title="Icons16"/>
            <w10:wrap anchorx="margin" anchory="margin"/>
          </v:shape>
        </w:pict>
      </w:r>
      <w:r w:rsidR="00A57585">
        <w:t xml:space="preserve">  </w:t>
      </w:r>
      <w:r w:rsidR="002002ED">
        <w:t>Impact Analysis</w:t>
      </w:r>
    </w:p>
    <w:tbl>
      <w:tblPr>
        <w:tblStyle w:val="Custom11"/>
        <w:tblW w:w="5002" w:type="pct"/>
        <w:tblLook w:val="0420" w:firstRow="1" w:lastRow="0" w:firstColumn="0" w:lastColumn="0" w:noHBand="0" w:noVBand="1"/>
        <w:tblCaption w:val="Table with horizontal lines"/>
        <w:tblDescription w:val="This is an example of alt text."/>
      </w:tblPr>
      <w:tblGrid>
        <w:gridCol w:w="10776"/>
      </w:tblGrid>
      <w:tr w:rsidR="00152412" w:rsidRPr="005505E3" w14:paraId="3CE51284" w14:textId="77777777" w:rsidTr="00F46D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0"/>
          <w:tblHeader/>
        </w:trPr>
        <w:tc>
          <w:tcPr>
            <w:tcW w:w="5000" w:type="pct"/>
            <w:tcBorders>
              <w:top w:val="single" w:sz="2" w:space="0" w:color="FFFFFF" w:themeColor="background1"/>
              <w:bottom w:val="single" w:sz="4" w:space="0" w:color="778E61" w:themeColor="accent2"/>
            </w:tcBorders>
            <w:shd w:val="clear" w:color="auto" w:fill="1C2B39"/>
          </w:tcPr>
          <w:p w14:paraId="3CE51283" w14:textId="77777777" w:rsidR="00152412" w:rsidRPr="00152412" w:rsidRDefault="00BE0F4D" w:rsidP="005505E3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18"/>
              </w:rPr>
            </w:pPr>
            <w:r>
              <w:rPr>
                <w:rFonts w:ascii="Calibri" w:hAnsi="Calibri" w:cs="Calibri"/>
                <w:color w:val="FFFFFF" w:themeColor="background1"/>
                <w:sz w:val="24"/>
                <w:szCs w:val="18"/>
              </w:rPr>
              <w:t>Impacts</w:t>
            </w:r>
          </w:p>
        </w:tc>
      </w:tr>
      <w:tr w:rsidR="0044397A" w:rsidRPr="005505E3" w14:paraId="3CE5128D" w14:textId="77777777" w:rsidTr="009D47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01"/>
        </w:trPr>
        <w:tc>
          <w:tcPr>
            <w:tcW w:w="5000" w:type="pct"/>
            <w:tcBorders>
              <w:top w:val="single" w:sz="4" w:space="0" w:color="778E61" w:themeColor="accent2"/>
            </w:tcBorders>
            <w:shd w:val="clear" w:color="auto" w:fill="D8E2EC"/>
          </w:tcPr>
          <w:p w14:paraId="32B7004C" w14:textId="2A690817" w:rsidR="0044397A" w:rsidRDefault="00272837" w:rsidP="0027283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hanging="244"/>
            </w:pPr>
            <w:r>
              <w:t xml:space="preserve">Following Option 1 assessment, adoption of Option 2 (non-regulatory) or 3 (regulatory) will be considered. Option 2 </w:t>
            </w:r>
            <w:r w:rsidR="007E4D8D">
              <w:t>actively encourages</w:t>
            </w:r>
            <w:r>
              <w:t xml:space="preserve"> voluntary declaration of water use rates and pr</w:t>
            </w:r>
            <w:r w:rsidR="7E050D02">
              <w:t>ovision</w:t>
            </w:r>
            <w:r>
              <w:t xml:space="preserve"> of </w:t>
            </w:r>
            <w:r w:rsidR="42BC8073">
              <w:t xml:space="preserve">comparable </w:t>
            </w:r>
            <w:r>
              <w:t xml:space="preserve">information to inform </w:t>
            </w:r>
            <w:r w:rsidR="13D4AE73">
              <w:t>purchasing</w:t>
            </w:r>
            <w:r w:rsidR="00833ABD">
              <w:t>, but without new regulation</w:t>
            </w:r>
            <w:r>
              <w:t xml:space="preserve">. This option </w:t>
            </w:r>
            <w:r w:rsidR="00C52F32">
              <w:t xml:space="preserve">is projected to </w:t>
            </w:r>
            <w:r>
              <w:t xml:space="preserve">deliver a net benefit of </w:t>
            </w:r>
            <w:r w:rsidRPr="3E35C0B8">
              <w:rPr>
                <w:b/>
              </w:rPr>
              <w:t>$9.9M</w:t>
            </w:r>
            <w:r>
              <w:t xml:space="preserve"> over the 2025-2040 period. Option 3A mandates product registration and information disclosure under the </w:t>
            </w:r>
            <w:r w:rsidRPr="3E35C0B8">
              <w:rPr>
                <w:i/>
              </w:rPr>
              <w:t>Water Efficiency Labelling and Standards Act 2005</w:t>
            </w:r>
            <w:r>
              <w:t xml:space="preserve">. This option </w:t>
            </w:r>
            <w:r w:rsidR="00900EA3">
              <w:t xml:space="preserve">is projected to </w:t>
            </w:r>
            <w:r>
              <w:t xml:space="preserve">deliver a net benefit of </w:t>
            </w:r>
            <w:r w:rsidRPr="3E35C0B8">
              <w:rPr>
                <w:b/>
              </w:rPr>
              <w:t>$10M</w:t>
            </w:r>
            <w:r>
              <w:t>.</w:t>
            </w:r>
            <w:r w:rsidR="00D91B86">
              <w:t xml:space="preserve"> The benefits are higher than Op</w:t>
            </w:r>
            <w:r w:rsidR="00841BA2">
              <w:t>tion 2 but so are the costs.</w:t>
            </w:r>
          </w:p>
          <w:p w14:paraId="1196EE83" w14:textId="77777777" w:rsidR="00406812" w:rsidRDefault="00406812" w:rsidP="0027283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hanging="244"/>
              <w:rPr>
                <w:szCs w:val="18"/>
              </w:rPr>
            </w:pPr>
            <w:r>
              <w:rPr>
                <w:szCs w:val="18"/>
              </w:rPr>
              <w:t xml:space="preserve">Implementation of Option 2 will deliver a water saving of </w:t>
            </w:r>
            <w:r w:rsidRPr="00406812">
              <w:rPr>
                <w:b/>
                <w:bCs/>
                <w:szCs w:val="18"/>
              </w:rPr>
              <w:t>5.8 GL</w:t>
            </w:r>
            <w:r>
              <w:rPr>
                <w:szCs w:val="18"/>
              </w:rPr>
              <w:t xml:space="preserve">. The water saving delivered by Option 3A is </w:t>
            </w:r>
            <w:r w:rsidRPr="00406812">
              <w:rPr>
                <w:b/>
                <w:bCs/>
                <w:szCs w:val="18"/>
              </w:rPr>
              <w:t>7.3 GL</w:t>
            </w:r>
            <w:r>
              <w:rPr>
                <w:szCs w:val="18"/>
              </w:rPr>
              <w:t>.</w:t>
            </w:r>
          </w:p>
          <w:p w14:paraId="3CE5128C" w14:textId="7817A282" w:rsidR="00406812" w:rsidRPr="00147E4C" w:rsidRDefault="00406812" w:rsidP="00272837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ind w:hanging="244"/>
            </w:pPr>
            <w:r>
              <w:t xml:space="preserve">The burden from Option 2 on businesses </w:t>
            </w:r>
            <w:r w:rsidR="612E75B1">
              <w:t xml:space="preserve">who </w:t>
            </w:r>
            <w:r>
              <w:t xml:space="preserve">supply and distribute commercial ice makers </w:t>
            </w:r>
            <w:r w:rsidR="009255CC">
              <w:t xml:space="preserve">averages </w:t>
            </w:r>
            <w:r w:rsidRPr="3E35C0B8">
              <w:rPr>
                <w:b/>
              </w:rPr>
              <w:t>$82,500</w:t>
            </w:r>
            <w:r>
              <w:t xml:space="preserve"> </w:t>
            </w:r>
            <w:r w:rsidR="008E6CB3">
              <w:t xml:space="preserve">each </w:t>
            </w:r>
            <w:r>
              <w:t>year over a 10-year period</w:t>
            </w:r>
            <w:r w:rsidR="4B650A17">
              <w:t xml:space="preserve">, </w:t>
            </w:r>
            <w:r w:rsidR="7D55D777">
              <w:t>and under</w:t>
            </w:r>
            <w:r>
              <w:t xml:space="preserve"> Option 3A </w:t>
            </w:r>
            <w:r w:rsidR="00496693">
              <w:t xml:space="preserve">averages </w:t>
            </w:r>
            <w:r w:rsidRPr="3E35C0B8">
              <w:rPr>
                <w:b/>
              </w:rPr>
              <w:t>$262,355</w:t>
            </w:r>
            <w:r>
              <w:t xml:space="preserve"> each year.</w:t>
            </w:r>
            <w:r w:rsidR="00EE1B0E">
              <w:t xml:space="preserve"> </w:t>
            </w:r>
            <w:r w:rsidR="00132FCD">
              <w:t xml:space="preserve">These costs comprise administrative </w:t>
            </w:r>
            <w:r w:rsidR="006E6FB3">
              <w:t>and substantive compliance costs.</w:t>
            </w:r>
            <w:r w:rsidR="00132FCD">
              <w:t xml:space="preserve"> </w:t>
            </w:r>
          </w:p>
        </w:tc>
      </w:tr>
    </w:tbl>
    <w:p w14:paraId="3CE512A5" w14:textId="14089AD7" w:rsidR="002D37AE" w:rsidRPr="005C66F5" w:rsidRDefault="005C66F5" w:rsidP="005C66F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1C2B39"/>
        <w:spacing w:before="240" w:after="0"/>
        <w:ind w:left="113" w:right="108"/>
        <w:outlineLvl w:val="2"/>
        <w:rPr>
          <w:rFonts w:ascii="Calibri" w:hAnsi="Calibri" w:cs="Calibri"/>
          <w:b/>
          <w:color w:val="FFFFFF" w:themeColor="background1"/>
          <w:sz w:val="24"/>
        </w:rPr>
      </w:pPr>
      <w:r w:rsidRPr="005C66F5">
        <w:rPr>
          <w:rFonts w:ascii="Calibri" w:hAnsi="Calibri" w:cs="Calibri"/>
          <w:b/>
          <w:color w:val="FFFFFF" w:themeColor="background1"/>
          <w:sz w:val="24"/>
        </w:rPr>
        <w:t>Who is impacted</w:t>
      </w:r>
    </w:p>
    <w:tbl>
      <w:tblPr>
        <w:tblStyle w:val="Custom11"/>
        <w:tblW w:w="5002" w:type="pct"/>
        <w:tblLook w:val="0420" w:firstRow="1" w:lastRow="0" w:firstColumn="0" w:lastColumn="0" w:noHBand="0" w:noVBand="1"/>
      </w:tblPr>
      <w:tblGrid>
        <w:gridCol w:w="2976"/>
        <w:gridCol w:w="4679"/>
        <w:gridCol w:w="3121"/>
      </w:tblGrid>
      <w:tr w:rsidR="005C66F5" w14:paraId="189C75F0" w14:textId="77777777" w:rsidTr="008A6A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21"/>
          <w:tblHeader/>
        </w:trPr>
        <w:tc>
          <w:tcPr>
            <w:tcW w:w="1381" w:type="pct"/>
            <w:tcBorders>
              <w:top w:val="single" w:sz="4" w:space="0" w:color="778E61" w:themeColor="accent2"/>
            </w:tcBorders>
            <w:shd w:val="clear" w:color="auto" w:fill="1C2B39"/>
          </w:tcPr>
          <w:p w14:paraId="69BE6F48" w14:textId="77777777" w:rsidR="005C66F5" w:rsidRDefault="005C66F5" w:rsidP="00506155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22"/>
              </w:rPr>
            </w:pPr>
            <w:r w:rsidRPr="002B53AF">
              <w:rPr>
                <w:rFonts w:ascii="Calibri" w:hAnsi="Calibri" w:cs="Calibri"/>
                <w:color w:val="FFFFFF" w:themeColor="background1"/>
                <w:sz w:val="24"/>
                <w:szCs w:val="22"/>
              </w:rPr>
              <w:t>Individuals</w:t>
            </w:r>
          </w:p>
        </w:tc>
        <w:tc>
          <w:tcPr>
            <w:tcW w:w="2171" w:type="pct"/>
            <w:tcBorders>
              <w:top w:val="single" w:sz="4" w:space="0" w:color="778E61" w:themeColor="accent2"/>
            </w:tcBorders>
            <w:shd w:val="clear" w:color="auto" w:fill="1C2B39"/>
          </w:tcPr>
          <w:p w14:paraId="49BFF9D8" w14:textId="77777777" w:rsidR="005C66F5" w:rsidRDefault="005C66F5" w:rsidP="00506155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22"/>
              </w:rPr>
            </w:pPr>
            <w:r w:rsidRPr="002B53AF">
              <w:rPr>
                <w:rFonts w:ascii="Calibri" w:hAnsi="Calibri" w:cs="Calibri"/>
                <w:color w:val="FFFFFF" w:themeColor="background1"/>
                <w:sz w:val="24"/>
                <w:szCs w:val="22"/>
              </w:rPr>
              <w:t>Businesses</w:t>
            </w:r>
          </w:p>
        </w:tc>
        <w:tc>
          <w:tcPr>
            <w:tcW w:w="1448" w:type="pct"/>
            <w:tcBorders>
              <w:top w:val="single" w:sz="4" w:space="0" w:color="778E61" w:themeColor="accent2"/>
            </w:tcBorders>
            <w:shd w:val="clear" w:color="auto" w:fill="1C2B39"/>
          </w:tcPr>
          <w:p w14:paraId="64E0A164" w14:textId="77777777" w:rsidR="005C66F5" w:rsidRDefault="005C66F5" w:rsidP="00506155">
            <w:pPr>
              <w:spacing w:after="0" w:line="240" w:lineRule="auto"/>
              <w:rPr>
                <w:rFonts w:ascii="Calibri" w:hAnsi="Calibri" w:cs="Calibri"/>
                <w:b w:val="0"/>
                <w:color w:val="FFFFFF" w:themeColor="background1"/>
                <w:sz w:val="24"/>
                <w:szCs w:val="22"/>
              </w:rPr>
            </w:pPr>
            <w:r w:rsidRPr="002B53AF">
              <w:rPr>
                <w:rFonts w:ascii="Calibri" w:hAnsi="Calibri" w:cs="Calibri"/>
                <w:color w:val="FFFFFF" w:themeColor="background1"/>
                <w:sz w:val="24"/>
                <w:szCs w:val="22"/>
              </w:rPr>
              <w:t>Community organisations</w:t>
            </w:r>
          </w:p>
        </w:tc>
      </w:tr>
      <w:tr w:rsidR="005C66F5" w:rsidRPr="00402E24" w14:paraId="0EF0ECA2" w14:textId="77777777" w:rsidTr="00E96D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25"/>
        </w:trPr>
        <w:tc>
          <w:tcPr>
            <w:tcW w:w="1381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D8E2EC"/>
          </w:tcPr>
          <w:p w14:paraId="25A03EFC" w14:textId="49FBA386" w:rsidR="005C66F5" w:rsidRPr="00402E24" w:rsidRDefault="008D6CBB" w:rsidP="007346DE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t>N</w:t>
            </w:r>
            <w:r w:rsidR="00A12CDD">
              <w:t>o direct cost</w:t>
            </w:r>
            <w:r>
              <w:t>s</w:t>
            </w:r>
            <w:r w:rsidR="00A12CDD">
              <w:t xml:space="preserve"> impact on individuals. It is expected that </w:t>
            </w:r>
            <w:r w:rsidR="007346DE">
              <w:t xml:space="preserve">business costs will be passed on </w:t>
            </w:r>
            <w:r w:rsidR="003407A3">
              <w:t xml:space="preserve">to consumers </w:t>
            </w:r>
            <w:r w:rsidR="00770519">
              <w:t>via a slight increase in prices.</w:t>
            </w:r>
          </w:p>
        </w:tc>
        <w:tc>
          <w:tcPr>
            <w:tcW w:w="2171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D8E2EC"/>
          </w:tcPr>
          <w:p w14:paraId="0F9D1B26" w14:textId="6AA1A0DD" w:rsidR="005C66F5" w:rsidRPr="00402E24" w:rsidRDefault="00352E45" w:rsidP="00506155">
            <w:pPr>
              <w:spacing w:after="0" w:line="240" w:lineRule="auto"/>
              <w:rPr>
                <w:rFonts w:ascii="Calibri" w:hAnsi="Calibri" w:cs="Calibri"/>
                <w:b/>
                <w:szCs w:val="18"/>
              </w:rPr>
            </w:pPr>
            <w:r>
              <w:rPr>
                <w:szCs w:val="18"/>
              </w:rPr>
              <w:t>D</w:t>
            </w:r>
            <w:r w:rsidR="00770519" w:rsidRPr="00BD726F">
              <w:rPr>
                <w:szCs w:val="18"/>
              </w:rPr>
              <w:t xml:space="preserve">irect </w:t>
            </w:r>
            <w:r w:rsidR="00BD726F">
              <w:rPr>
                <w:szCs w:val="18"/>
              </w:rPr>
              <w:t>cost</w:t>
            </w:r>
            <w:r>
              <w:rPr>
                <w:szCs w:val="18"/>
              </w:rPr>
              <w:t>s</w:t>
            </w:r>
            <w:r w:rsidR="00BD726F">
              <w:rPr>
                <w:szCs w:val="18"/>
              </w:rPr>
              <w:t xml:space="preserve"> </w:t>
            </w:r>
            <w:r w:rsidR="00770519" w:rsidRPr="00BD726F">
              <w:rPr>
                <w:szCs w:val="18"/>
              </w:rPr>
              <w:t>impac</w:t>
            </w:r>
            <w:r w:rsidR="00BD726F">
              <w:rPr>
                <w:szCs w:val="18"/>
              </w:rPr>
              <w:t xml:space="preserve">t </w:t>
            </w:r>
            <w:r w:rsidR="00460F89">
              <w:rPr>
                <w:szCs w:val="18"/>
              </w:rPr>
              <w:t xml:space="preserve">businesses that supply and distribute commercial ice makers. The average annual cost incurred over a 10-year period is </w:t>
            </w:r>
            <w:r w:rsidR="00460F89" w:rsidRPr="002859ED">
              <w:rPr>
                <w:b/>
                <w:bCs/>
                <w:szCs w:val="18"/>
              </w:rPr>
              <w:t>$82,500</w:t>
            </w:r>
            <w:r w:rsidR="009A20C4" w:rsidRPr="002859ED">
              <w:rPr>
                <w:b/>
                <w:bCs/>
                <w:szCs w:val="18"/>
              </w:rPr>
              <w:t xml:space="preserve"> </w:t>
            </w:r>
            <w:r w:rsidR="009A20C4">
              <w:rPr>
                <w:szCs w:val="18"/>
              </w:rPr>
              <w:t xml:space="preserve">(Option 2). The annual average cost is higher if regulatory options are adopted. The regulatory option with the </w:t>
            </w:r>
            <w:r w:rsidR="00F3628B">
              <w:rPr>
                <w:szCs w:val="18"/>
              </w:rPr>
              <w:t xml:space="preserve">highest average cost is </w:t>
            </w:r>
            <w:r w:rsidR="00F3628B" w:rsidRPr="00F3628B">
              <w:rPr>
                <w:b/>
                <w:bCs/>
                <w:szCs w:val="18"/>
              </w:rPr>
              <w:t>$287,725</w:t>
            </w:r>
            <w:r w:rsidR="00F3628B">
              <w:rPr>
                <w:szCs w:val="18"/>
              </w:rPr>
              <w:t xml:space="preserve"> (Option 3B).</w:t>
            </w:r>
          </w:p>
        </w:tc>
        <w:tc>
          <w:tcPr>
            <w:tcW w:w="1448" w:type="pct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D8E2EC"/>
          </w:tcPr>
          <w:p w14:paraId="19272CDD" w14:textId="78C4D7B9" w:rsidR="005C66F5" w:rsidRPr="00402E24" w:rsidRDefault="00F3628B" w:rsidP="0050615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t xml:space="preserve">Community organisations </w:t>
            </w:r>
            <w:r w:rsidR="622945CD">
              <w:t xml:space="preserve">would </w:t>
            </w:r>
            <w:r>
              <w:t xml:space="preserve">not </w:t>
            </w:r>
            <w:r w:rsidR="6530E251">
              <w:t>be</w:t>
            </w:r>
            <w:r w:rsidR="7FCFAB36">
              <w:t xml:space="preserve"> </w:t>
            </w:r>
            <w:r>
              <w:t xml:space="preserve">impacted </w:t>
            </w:r>
            <w:r w:rsidR="46A59C70">
              <w:t xml:space="preserve">under any of the </w:t>
            </w:r>
            <w:r>
              <w:t xml:space="preserve">policy </w:t>
            </w:r>
            <w:r w:rsidR="7FCFAB36">
              <w:t>approach</w:t>
            </w:r>
            <w:r w:rsidR="7612150A">
              <w:t>es</w:t>
            </w:r>
            <w:r>
              <w:t>.</w:t>
            </w:r>
          </w:p>
        </w:tc>
      </w:tr>
    </w:tbl>
    <w:p w14:paraId="25C3B3D9" w14:textId="4FEE6A92" w:rsidR="005C66F5" w:rsidRPr="005C66F5" w:rsidRDefault="005C66F5" w:rsidP="005C66F5">
      <w:pPr>
        <w:rPr>
          <w:sz w:val="2"/>
        </w:rPr>
      </w:pPr>
    </w:p>
    <w:p w14:paraId="03BE01CA" w14:textId="087B3324" w:rsidR="005C66F5" w:rsidRPr="00E2196D" w:rsidRDefault="005C66F5" w:rsidP="005C66F5">
      <w:pPr>
        <w:pStyle w:val="BOXHeading2"/>
        <w:ind w:firstLine="493"/>
        <w:rPr>
          <w:noProof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29119E4E" wp14:editId="573C4191">
            <wp:simplePos x="0" y="0"/>
            <wp:positionH relativeFrom="margin">
              <wp:posOffset>10160</wp:posOffset>
            </wp:positionH>
            <wp:positionV relativeFrom="margin">
              <wp:posOffset>6764449</wp:posOffset>
            </wp:positionV>
            <wp:extent cx="497205" cy="497205"/>
            <wp:effectExtent l="0" t="0" r="0" b="0"/>
            <wp:wrapNone/>
            <wp:docPr id="2" name="Picture 2" descr="Icons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cons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497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Other</w:t>
      </w:r>
      <w:r w:rsidRPr="00E2196D">
        <w:rPr>
          <w:noProof/>
        </w:rPr>
        <w:t xml:space="preserve"> </w:t>
      </w:r>
      <w:r>
        <w:rPr>
          <w:noProof/>
        </w:rPr>
        <w:t>considerations and i</w:t>
      </w:r>
      <w:r w:rsidRPr="00534819">
        <w:rPr>
          <w:noProof/>
        </w:rPr>
        <w:t>mplementation</w:t>
      </w:r>
    </w:p>
    <w:p w14:paraId="5E883166" w14:textId="0E1AEA73" w:rsidR="00FC1620" w:rsidRPr="001E7F94" w:rsidRDefault="000F60F9" w:rsidP="00F66FF1">
      <w:pPr>
        <w:pStyle w:val="BOXBulletedList"/>
        <w:pBdr>
          <w:bottom w:val="single" w:sz="48" w:space="3" w:color="F2F2F2" w:themeColor="background1" w:themeShade="F2"/>
        </w:pBdr>
        <w:spacing w:after="0"/>
        <w:rPr>
          <w:bCs/>
        </w:rPr>
      </w:pPr>
      <w:r w:rsidRPr="000A0143">
        <w:rPr>
          <w:bCs/>
        </w:rPr>
        <w:t>The Impact Analysis initially consider</w:t>
      </w:r>
      <w:r w:rsidR="00200551">
        <w:rPr>
          <w:bCs/>
        </w:rPr>
        <w:t>ed</w:t>
      </w:r>
      <w:r w:rsidRPr="000A0143">
        <w:rPr>
          <w:bCs/>
        </w:rPr>
        <w:t xml:space="preserve"> </w:t>
      </w:r>
      <w:r w:rsidR="000A0143" w:rsidRPr="000A0143">
        <w:rPr>
          <w:bCs/>
        </w:rPr>
        <w:t>five mutually exclusive options</w:t>
      </w:r>
      <w:r w:rsidR="00E85402">
        <w:rPr>
          <w:bCs/>
        </w:rPr>
        <w:t xml:space="preserve"> compared to the status quo</w:t>
      </w:r>
      <w:r w:rsidR="00F66FF1">
        <w:rPr>
          <w:bCs/>
        </w:rPr>
        <w:t xml:space="preserve"> (Op</w:t>
      </w:r>
      <w:r w:rsidR="00E85402">
        <w:rPr>
          <w:bCs/>
        </w:rPr>
        <w:t xml:space="preserve">tion </w:t>
      </w:r>
      <w:r w:rsidR="00E85402" w:rsidRPr="00EF529B">
        <w:rPr>
          <w:bCs/>
        </w:rPr>
        <w:t>1)</w:t>
      </w:r>
      <w:r w:rsidR="000A0143" w:rsidRPr="00EF529B">
        <w:rPr>
          <w:bCs/>
        </w:rPr>
        <w:t xml:space="preserve">. </w:t>
      </w:r>
      <w:r w:rsidR="00EF529B" w:rsidRPr="00EF529B">
        <w:rPr>
          <w:bCs/>
        </w:rPr>
        <w:t>O</w:t>
      </w:r>
      <w:r w:rsidR="001E7F94" w:rsidRPr="00EF529B">
        <w:rPr>
          <w:bCs/>
        </w:rPr>
        <w:t>ption</w:t>
      </w:r>
      <w:r w:rsidR="00F66FF1" w:rsidRPr="00EF529B">
        <w:rPr>
          <w:bCs/>
        </w:rPr>
        <w:t>s</w:t>
      </w:r>
      <w:r w:rsidR="001E7F94">
        <w:rPr>
          <w:bCs/>
        </w:rPr>
        <w:t xml:space="preserve"> ranged from voluntary water use </w:t>
      </w:r>
      <w:r w:rsidR="00293471">
        <w:rPr>
          <w:bCs/>
        </w:rPr>
        <w:t>disclosure</w:t>
      </w:r>
      <w:r w:rsidR="00F90F02">
        <w:rPr>
          <w:bCs/>
        </w:rPr>
        <w:t xml:space="preserve"> (Option 2)</w:t>
      </w:r>
      <w:r w:rsidR="00293471">
        <w:rPr>
          <w:bCs/>
        </w:rPr>
        <w:t>, mandatory product registration</w:t>
      </w:r>
      <w:r w:rsidR="00F66FF1">
        <w:rPr>
          <w:bCs/>
        </w:rPr>
        <w:t xml:space="preserve"> </w:t>
      </w:r>
      <w:r w:rsidR="00F90F02">
        <w:rPr>
          <w:bCs/>
        </w:rPr>
        <w:t xml:space="preserve">(Options 3A and 3B) </w:t>
      </w:r>
      <w:r w:rsidR="00F66FF1">
        <w:rPr>
          <w:bCs/>
        </w:rPr>
        <w:t xml:space="preserve">and mandatory </w:t>
      </w:r>
      <w:r w:rsidR="00200551">
        <w:rPr>
          <w:bCs/>
        </w:rPr>
        <w:t>M</w:t>
      </w:r>
      <w:r w:rsidR="00F66FF1">
        <w:rPr>
          <w:bCs/>
        </w:rPr>
        <w:t xml:space="preserve">inimum </w:t>
      </w:r>
      <w:r w:rsidR="00200551">
        <w:rPr>
          <w:bCs/>
        </w:rPr>
        <w:t>W</w:t>
      </w:r>
      <w:r w:rsidR="00F66FF1">
        <w:rPr>
          <w:bCs/>
        </w:rPr>
        <w:t xml:space="preserve">ater </w:t>
      </w:r>
      <w:r w:rsidR="00200551">
        <w:rPr>
          <w:bCs/>
        </w:rPr>
        <w:t>E</w:t>
      </w:r>
      <w:r w:rsidR="00F66FF1">
        <w:rPr>
          <w:bCs/>
        </w:rPr>
        <w:t xml:space="preserve">fficiency </w:t>
      </w:r>
      <w:r w:rsidR="00200551">
        <w:rPr>
          <w:bCs/>
        </w:rPr>
        <w:t>S</w:t>
      </w:r>
      <w:r w:rsidR="00F66FF1">
        <w:rPr>
          <w:bCs/>
        </w:rPr>
        <w:t>tandards</w:t>
      </w:r>
      <w:r w:rsidR="00F90F02">
        <w:rPr>
          <w:bCs/>
        </w:rPr>
        <w:t xml:space="preserve"> (Options 4A and 4B)</w:t>
      </w:r>
      <w:r w:rsidR="00F66FF1">
        <w:rPr>
          <w:bCs/>
        </w:rPr>
        <w:t>.</w:t>
      </w:r>
    </w:p>
    <w:p w14:paraId="4E3F173D" w14:textId="1B5AFF54" w:rsidR="005C66F5" w:rsidRPr="003660E8" w:rsidRDefault="00114C8F" w:rsidP="00A3351C">
      <w:pPr>
        <w:pStyle w:val="BOXBulletedList"/>
        <w:pBdr>
          <w:bottom w:val="single" w:sz="48" w:space="3" w:color="F2F2F2" w:themeColor="background1" w:themeShade="F2"/>
        </w:pBdr>
        <w:spacing w:after="0"/>
      </w:pPr>
      <w:r>
        <w:rPr>
          <w:bCs/>
        </w:rPr>
        <w:t>A</w:t>
      </w:r>
      <w:r w:rsidR="00691A2F" w:rsidRPr="00B35A1D">
        <w:rPr>
          <w:bCs/>
        </w:rPr>
        <w:t xml:space="preserve">lthough </w:t>
      </w:r>
      <w:r w:rsidR="0030648C">
        <w:rPr>
          <w:bCs/>
        </w:rPr>
        <w:t xml:space="preserve">some </w:t>
      </w:r>
      <w:r w:rsidR="00691A2F" w:rsidRPr="00B35A1D">
        <w:rPr>
          <w:bCs/>
        </w:rPr>
        <w:t>i</w:t>
      </w:r>
      <w:r w:rsidR="005445CB" w:rsidRPr="00B35A1D">
        <w:rPr>
          <w:bCs/>
        </w:rPr>
        <w:t>nternation</w:t>
      </w:r>
      <w:r w:rsidR="00691A2F" w:rsidRPr="00B35A1D">
        <w:rPr>
          <w:bCs/>
        </w:rPr>
        <w:t xml:space="preserve">al </w:t>
      </w:r>
      <w:r w:rsidR="0094453E">
        <w:rPr>
          <w:bCs/>
        </w:rPr>
        <w:t xml:space="preserve">water use </w:t>
      </w:r>
      <w:r w:rsidR="005445CB" w:rsidRPr="00B35A1D">
        <w:rPr>
          <w:bCs/>
        </w:rPr>
        <w:t xml:space="preserve">data </w:t>
      </w:r>
      <w:r w:rsidR="0094453E">
        <w:rPr>
          <w:bCs/>
        </w:rPr>
        <w:t xml:space="preserve">and </w:t>
      </w:r>
      <w:r w:rsidR="0030648C">
        <w:rPr>
          <w:bCs/>
        </w:rPr>
        <w:t xml:space="preserve">USA </w:t>
      </w:r>
      <w:r w:rsidR="00DD2BE4">
        <w:rPr>
          <w:bCs/>
        </w:rPr>
        <w:t xml:space="preserve">performance </w:t>
      </w:r>
      <w:r w:rsidR="0094453E">
        <w:rPr>
          <w:bCs/>
        </w:rPr>
        <w:t xml:space="preserve">benchmarks </w:t>
      </w:r>
      <w:r w:rsidR="00AD5B8F">
        <w:rPr>
          <w:bCs/>
        </w:rPr>
        <w:t>are</w:t>
      </w:r>
      <w:r w:rsidR="00691A2F" w:rsidRPr="00B35A1D">
        <w:rPr>
          <w:bCs/>
        </w:rPr>
        <w:t xml:space="preserve"> available, </w:t>
      </w:r>
      <w:r w:rsidR="00F42D9B">
        <w:rPr>
          <w:bCs/>
        </w:rPr>
        <w:t xml:space="preserve">a </w:t>
      </w:r>
      <w:r w:rsidR="00695EC0" w:rsidRPr="00B35A1D">
        <w:rPr>
          <w:bCs/>
        </w:rPr>
        <w:t>l</w:t>
      </w:r>
      <w:r w:rsidR="00F42F28" w:rsidRPr="00B35A1D">
        <w:rPr>
          <w:bCs/>
        </w:rPr>
        <w:t>ack of Australian</w:t>
      </w:r>
      <w:r w:rsidR="00F42D9B">
        <w:rPr>
          <w:bCs/>
        </w:rPr>
        <w:t xml:space="preserve"> </w:t>
      </w:r>
      <w:r w:rsidR="00F42F28" w:rsidRPr="00B35A1D">
        <w:rPr>
          <w:bCs/>
        </w:rPr>
        <w:t>market data</w:t>
      </w:r>
      <w:r w:rsidR="00F42D9B">
        <w:rPr>
          <w:bCs/>
        </w:rPr>
        <w:t xml:space="preserve"> present</w:t>
      </w:r>
      <w:r w:rsidR="00AD5B8F">
        <w:rPr>
          <w:bCs/>
        </w:rPr>
        <w:t>s</w:t>
      </w:r>
      <w:r w:rsidR="00F42D9B">
        <w:rPr>
          <w:bCs/>
        </w:rPr>
        <w:t xml:space="preserve"> risk (particularly to Options 4A and 4B</w:t>
      </w:r>
      <w:r w:rsidR="00730CD4">
        <w:rPr>
          <w:bCs/>
        </w:rPr>
        <w:t xml:space="preserve"> which impact </w:t>
      </w:r>
      <w:r w:rsidR="00E50832">
        <w:rPr>
          <w:bCs/>
        </w:rPr>
        <w:t xml:space="preserve">product market </w:t>
      </w:r>
      <w:r w:rsidR="00190455">
        <w:rPr>
          <w:bCs/>
        </w:rPr>
        <w:t>supply</w:t>
      </w:r>
      <w:r w:rsidR="00F42D9B">
        <w:rPr>
          <w:bCs/>
        </w:rPr>
        <w:t>)</w:t>
      </w:r>
      <w:r w:rsidR="00691A2F" w:rsidRPr="00B35A1D">
        <w:rPr>
          <w:bCs/>
        </w:rPr>
        <w:t xml:space="preserve">. </w:t>
      </w:r>
      <w:r w:rsidR="00B35A1D" w:rsidRPr="00B35A1D">
        <w:rPr>
          <w:bCs/>
        </w:rPr>
        <w:t>This informed the stage</w:t>
      </w:r>
      <w:r w:rsidR="00E6176E">
        <w:rPr>
          <w:bCs/>
        </w:rPr>
        <w:t>d</w:t>
      </w:r>
      <w:r w:rsidR="00B35A1D" w:rsidRPr="00B35A1D">
        <w:rPr>
          <w:bCs/>
        </w:rPr>
        <w:t xml:space="preserve"> approach</w:t>
      </w:r>
      <w:r w:rsidR="00965DA7">
        <w:rPr>
          <w:bCs/>
        </w:rPr>
        <w:t>,</w:t>
      </w:r>
      <w:r w:rsidR="00B35A1D" w:rsidRPr="00B35A1D">
        <w:rPr>
          <w:bCs/>
        </w:rPr>
        <w:t xml:space="preserve"> where</w:t>
      </w:r>
      <w:r w:rsidR="0058178C">
        <w:rPr>
          <w:bCs/>
        </w:rPr>
        <w:t xml:space="preserve"> </w:t>
      </w:r>
      <w:r w:rsidR="009D3E61">
        <w:rPr>
          <w:bCs/>
        </w:rPr>
        <w:t xml:space="preserve">progressive </w:t>
      </w:r>
      <w:r w:rsidR="0058178C">
        <w:rPr>
          <w:bCs/>
        </w:rPr>
        <w:t>options gather relevant data to be assessed and inform the next option to be implemented.</w:t>
      </w:r>
    </w:p>
    <w:p w14:paraId="0E3AAA15" w14:textId="657B9B7F" w:rsidR="003660E8" w:rsidRPr="000770FA" w:rsidRDefault="00137236" w:rsidP="00A3351C">
      <w:pPr>
        <w:pStyle w:val="BOXBulletedList"/>
        <w:pBdr>
          <w:bottom w:val="single" w:sz="48" w:space="3" w:color="F2F2F2" w:themeColor="background1" w:themeShade="F2"/>
        </w:pBdr>
        <w:spacing w:after="0"/>
      </w:pPr>
      <w:r>
        <w:rPr>
          <w:bCs/>
        </w:rPr>
        <w:t>O</w:t>
      </w:r>
      <w:r w:rsidR="00B24542">
        <w:rPr>
          <w:bCs/>
        </w:rPr>
        <w:t>ption</w:t>
      </w:r>
      <w:r w:rsidR="00FE1E35">
        <w:rPr>
          <w:bCs/>
        </w:rPr>
        <w:t>s</w:t>
      </w:r>
      <w:r w:rsidR="00B24542">
        <w:rPr>
          <w:bCs/>
        </w:rPr>
        <w:t xml:space="preserve"> </w:t>
      </w:r>
      <w:r w:rsidR="00576999">
        <w:rPr>
          <w:bCs/>
        </w:rPr>
        <w:t>deliver</w:t>
      </w:r>
      <w:r w:rsidR="00FE1E35">
        <w:rPr>
          <w:bCs/>
        </w:rPr>
        <w:t xml:space="preserve"> </w:t>
      </w:r>
      <w:r w:rsidR="00413F38">
        <w:rPr>
          <w:bCs/>
        </w:rPr>
        <w:t>efficiencies</w:t>
      </w:r>
      <w:r w:rsidR="00FE1E35">
        <w:rPr>
          <w:bCs/>
        </w:rPr>
        <w:t xml:space="preserve"> by </w:t>
      </w:r>
      <w:r w:rsidR="00576999">
        <w:rPr>
          <w:bCs/>
        </w:rPr>
        <w:t xml:space="preserve">leveraging </w:t>
      </w:r>
      <w:r w:rsidR="006C60EE">
        <w:rPr>
          <w:bCs/>
        </w:rPr>
        <w:t xml:space="preserve">the existing regulatory framework provided by the Greenhouse and </w:t>
      </w:r>
      <w:r w:rsidR="00413F38">
        <w:rPr>
          <w:bCs/>
        </w:rPr>
        <w:t>Energy Minimum Standards Regulator</w:t>
      </w:r>
      <w:r w:rsidR="00C6255E">
        <w:rPr>
          <w:bCs/>
        </w:rPr>
        <w:t xml:space="preserve"> to </w:t>
      </w:r>
      <w:r w:rsidR="00F84B5B">
        <w:rPr>
          <w:bCs/>
        </w:rPr>
        <w:t>enable</w:t>
      </w:r>
      <w:r w:rsidR="00E970FF">
        <w:rPr>
          <w:bCs/>
        </w:rPr>
        <w:t xml:space="preserve"> voluntary declaration </w:t>
      </w:r>
      <w:r w:rsidR="0030315A">
        <w:rPr>
          <w:bCs/>
        </w:rPr>
        <w:t xml:space="preserve">in accordance with </w:t>
      </w:r>
      <w:r w:rsidR="00C71B42">
        <w:rPr>
          <w:bCs/>
        </w:rPr>
        <w:t>established</w:t>
      </w:r>
      <w:r w:rsidR="00E970FF">
        <w:rPr>
          <w:bCs/>
        </w:rPr>
        <w:t xml:space="preserve"> </w:t>
      </w:r>
      <w:r w:rsidR="00CB31A8">
        <w:rPr>
          <w:bCs/>
        </w:rPr>
        <w:t>product</w:t>
      </w:r>
      <w:r w:rsidR="00E970FF">
        <w:rPr>
          <w:bCs/>
        </w:rPr>
        <w:t xml:space="preserve"> </w:t>
      </w:r>
      <w:r w:rsidR="000076C2">
        <w:rPr>
          <w:bCs/>
        </w:rPr>
        <w:t xml:space="preserve">test </w:t>
      </w:r>
      <w:r w:rsidR="00E970FF">
        <w:rPr>
          <w:bCs/>
        </w:rPr>
        <w:t>standards.</w:t>
      </w:r>
    </w:p>
    <w:sectPr w:rsidR="003660E8" w:rsidRPr="000770FA" w:rsidSect="00E970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7" w:bottom="993" w:left="567" w:header="99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0E1E7" w14:textId="77777777" w:rsidR="00E12241" w:rsidRDefault="00E12241" w:rsidP="00F957C6">
      <w:pPr>
        <w:spacing w:after="0" w:line="240" w:lineRule="auto"/>
      </w:pPr>
      <w:r>
        <w:separator/>
      </w:r>
    </w:p>
  </w:endnote>
  <w:endnote w:type="continuationSeparator" w:id="0">
    <w:p w14:paraId="5C662FC7" w14:textId="77777777" w:rsidR="00E12241" w:rsidRDefault="00E12241" w:rsidP="00F95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F9AFC" w14:textId="592E6278" w:rsidR="008636DE" w:rsidRDefault="008636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3848097" wp14:editId="7BF7BE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4970"/>
              <wp:effectExtent l="0" t="0" r="635" b="0"/>
              <wp:wrapNone/>
              <wp:docPr id="1796692344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92DF5A" w14:textId="238F5890" w:rsidR="008636DE" w:rsidRPr="008636DE" w:rsidRDefault="008636DE" w:rsidP="008636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636D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480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1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" filled="f" stroked="f">
              <v:textbox style="mso-fit-shape-to-text:t" inset="0,0,0,15pt">
                <w:txbxContent>
                  <w:p w14:paraId="3E92DF5A" w14:textId="238F5890" w:rsidR="008636DE" w:rsidRPr="008636DE" w:rsidRDefault="008636DE" w:rsidP="008636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636D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12B1" w14:textId="4047D795" w:rsidR="00D10635" w:rsidRPr="00F86700" w:rsidRDefault="008636DE" w:rsidP="00F86700">
    <w:pPr>
      <w:pStyle w:val="CLASSIFICATION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F26454C" wp14:editId="25D31D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4970"/>
              <wp:effectExtent l="0" t="0" r="635" b="0"/>
              <wp:wrapNone/>
              <wp:docPr id="42432832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BB0E81" w14:textId="0C287017" w:rsidR="008636DE" w:rsidRPr="008636DE" w:rsidRDefault="008636DE" w:rsidP="008636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636D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6454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1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" filled="f" stroked="f">
              <v:textbox style="mso-fit-shape-to-text:t" inset="0,0,0,15pt">
                <w:txbxContent>
                  <w:p w14:paraId="7DBB0E81" w14:textId="0C287017" w:rsidR="008636DE" w:rsidRPr="008636DE" w:rsidRDefault="008636DE" w:rsidP="008636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636D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CLASSIFICATIONChar"/>
          <w:caps/>
        </w:rPr>
        <w:alias w:val="Classification"/>
        <w:tag w:val="Classification"/>
        <w:id w:val="-1876923508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Protected: Cabinet" w:value="Protected: Cabinet"/>
          <w:listItem w:displayText="Secret" w:value="5"/>
          <w:listItem w:displayText="Top Secret and Codeword" w:value="6"/>
        </w:dropDownList>
      </w:sdtPr>
      <w:sdtEndPr>
        <w:rPr>
          <w:rStyle w:val="CLASSIFICATIONChar"/>
        </w:rPr>
      </w:sdtEndPr>
      <w:sdtContent>
        <w:r w:rsidR="00F64736">
          <w:rPr>
            <w:rStyle w:val="CLASSIFICATIONChar"/>
            <w:caps/>
          </w:rPr>
          <w:t>Classification</w:t>
        </w:r>
      </w:sdtContent>
    </w:sdt>
  </w:p>
  <w:p w14:paraId="3CE512B2" w14:textId="17BC523A" w:rsidR="00037513" w:rsidRPr="00852F35" w:rsidRDefault="005A3632" w:rsidP="00D10635">
    <w:pPr>
      <w:pStyle w:val="Header"/>
      <w:rPr>
        <w:rFonts w:ascii="Segoe UI" w:hAnsi="Segoe UI" w:cs="Segoe UI"/>
        <w:color w:val="6E6E6E"/>
        <w:sz w:val="18"/>
      </w:rPr>
    </w:pPr>
    <w:r>
      <w:rPr>
        <w:color w:val="6E6E6E"/>
        <w:sz w:val="18"/>
        <w:szCs w:val="18"/>
      </w:rPr>
      <w:t xml:space="preserve">Australian Government </w:t>
    </w:r>
    <w:r w:rsidR="00037513" w:rsidRPr="00852F35">
      <w:rPr>
        <w:color w:val="6E6E6E"/>
        <w:sz w:val="18"/>
        <w:szCs w:val="18"/>
      </w:rPr>
      <w:t xml:space="preserve">| </w:t>
    </w:r>
    <w:r w:rsidR="00AF4614">
      <w:rPr>
        <w:color w:val="6E6E6E"/>
        <w:sz w:val="18"/>
        <w:szCs w:val="18"/>
      </w:rPr>
      <w:t>Improving the water efficiency of commercial ice makers</w:t>
    </w:r>
    <w:r w:rsidR="00037513" w:rsidRPr="00852F35">
      <w:rPr>
        <w:color w:val="6E6E6E"/>
      </w:rPr>
      <w:ptab w:relativeTo="margin" w:alignment="right" w:leader="none"/>
    </w:r>
    <w:r w:rsidR="00037513" w:rsidRPr="00852F35">
      <w:rPr>
        <w:rFonts w:ascii="Segoe UI" w:hAnsi="Segoe UI" w:cs="Segoe UI"/>
        <w:color w:val="6E6E6E"/>
        <w:sz w:val="18"/>
      </w:rPr>
      <w:fldChar w:fldCharType="begin"/>
    </w:r>
    <w:r w:rsidR="00037513"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="00037513" w:rsidRPr="00852F35">
      <w:rPr>
        <w:rFonts w:ascii="Segoe UI" w:hAnsi="Segoe UI" w:cs="Segoe UI"/>
        <w:color w:val="6E6E6E"/>
        <w:sz w:val="18"/>
      </w:rPr>
      <w:fldChar w:fldCharType="separate"/>
    </w:r>
    <w:r w:rsidR="005C66F5">
      <w:rPr>
        <w:rFonts w:ascii="Segoe UI" w:hAnsi="Segoe UI" w:cs="Segoe UI"/>
        <w:noProof/>
        <w:color w:val="6E6E6E"/>
        <w:sz w:val="18"/>
      </w:rPr>
      <w:t>2</w:t>
    </w:r>
    <w:r w:rsidR="00037513" w:rsidRPr="00852F35">
      <w:rPr>
        <w:rFonts w:ascii="Segoe UI" w:hAnsi="Segoe UI" w:cs="Segoe UI"/>
        <w:noProof/>
        <w:color w:val="6E6E6E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12B4" w14:textId="78959D7C" w:rsidR="00464D89" w:rsidRPr="00BB1526" w:rsidRDefault="005A3632" w:rsidP="00BB1526">
    <w:pPr>
      <w:pStyle w:val="Header"/>
      <w:rPr>
        <w:rFonts w:ascii="Segoe UI" w:hAnsi="Segoe UI" w:cs="Segoe UI"/>
        <w:color w:val="6E6E6E"/>
        <w:sz w:val="18"/>
      </w:rPr>
    </w:pPr>
    <w:r>
      <w:rPr>
        <w:color w:val="6E6E6E"/>
        <w:sz w:val="18"/>
        <w:szCs w:val="18"/>
      </w:rPr>
      <w:t xml:space="preserve">Australian Government </w:t>
    </w:r>
    <w:r w:rsidRPr="00852F35">
      <w:rPr>
        <w:color w:val="6E6E6E"/>
        <w:sz w:val="18"/>
        <w:szCs w:val="18"/>
      </w:rPr>
      <w:t>|</w:t>
    </w:r>
    <w:r w:rsidR="00BB1526" w:rsidRPr="00852F35">
      <w:rPr>
        <w:color w:val="6E6E6E"/>
        <w:sz w:val="18"/>
        <w:szCs w:val="18"/>
      </w:rPr>
      <w:t xml:space="preserve"> </w:t>
    </w:r>
    <w:r w:rsidR="00AF4614">
      <w:rPr>
        <w:color w:val="6E6E6E"/>
        <w:sz w:val="18"/>
        <w:szCs w:val="18"/>
      </w:rPr>
      <w:t>Improving the water efficiency of commercial ice makers</w:t>
    </w:r>
    <w:r w:rsidR="00BB1526" w:rsidRPr="00852F35">
      <w:rPr>
        <w:color w:val="6E6E6E"/>
      </w:rPr>
      <w:ptab w:relativeTo="margin" w:alignment="right" w:leader="none"/>
    </w:r>
    <w:r w:rsidR="00BB1526" w:rsidRPr="00852F35">
      <w:rPr>
        <w:rFonts w:ascii="Segoe UI" w:hAnsi="Segoe UI" w:cs="Segoe UI"/>
        <w:color w:val="6E6E6E"/>
        <w:sz w:val="18"/>
      </w:rPr>
      <w:fldChar w:fldCharType="begin"/>
    </w:r>
    <w:r w:rsidR="00BB1526"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="00BB1526" w:rsidRPr="00852F35">
      <w:rPr>
        <w:rFonts w:ascii="Segoe UI" w:hAnsi="Segoe UI" w:cs="Segoe UI"/>
        <w:color w:val="6E6E6E"/>
        <w:sz w:val="18"/>
      </w:rPr>
      <w:fldChar w:fldCharType="separate"/>
    </w:r>
    <w:r w:rsidR="00F46DB7">
      <w:rPr>
        <w:rFonts w:ascii="Segoe UI" w:hAnsi="Segoe UI" w:cs="Segoe UI"/>
        <w:noProof/>
        <w:color w:val="6E6E6E"/>
        <w:sz w:val="18"/>
      </w:rPr>
      <w:t>1</w:t>
    </w:r>
    <w:r w:rsidR="00BB1526" w:rsidRPr="00852F35">
      <w:rPr>
        <w:rFonts w:ascii="Segoe UI" w:hAnsi="Segoe UI" w:cs="Segoe UI"/>
        <w:noProof/>
        <w:color w:val="6E6E6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9510C" w14:textId="77777777" w:rsidR="00E12241" w:rsidRDefault="00E12241" w:rsidP="00F957C6">
      <w:pPr>
        <w:spacing w:after="0" w:line="240" w:lineRule="auto"/>
      </w:pPr>
      <w:r>
        <w:separator/>
      </w:r>
    </w:p>
  </w:footnote>
  <w:footnote w:type="continuationSeparator" w:id="0">
    <w:p w14:paraId="6C67BFB6" w14:textId="77777777" w:rsidR="00E12241" w:rsidRDefault="00E12241" w:rsidP="00F95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E2442" w14:textId="17779C33" w:rsidR="008636DE" w:rsidRDefault="008636D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2B0044D" wp14:editId="1F07464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4970"/>
              <wp:effectExtent l="0" t="0" r="635" b="5080"/>
              <wp:wrapNone/>
              <wp:docPr id="58059472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2586F" w14:textId="36C757FE" w:rsidR="008636DE" w:rsidRPr="008636DE" w:rsidRDefault="008636DE" w:rsidP="008636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636D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B004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" filled="f" stroked="f">
              <v:textbox style="mso-fit-shape-to-text:t" inset="0,15pt,0,0">
                <w:txbxContent>
                  <w:p w14:paraId="2CC2586F" w14:textId="36C757FE" w:rsidR="008636DE" w:rsidRPr="008636DE" w:rsidRDefault="008636DE" w:rsidP="008636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636D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12AF" w14:textId="5BA6BEDA" w:rsidR="00037513" w:rsidRPr="00D10635" w:rsidRDefault="008636DE" w:rsidP="00464D89">
    <w:pPr>
      <w:pStyle w:val="Header"/>
      <w:jc w:val="center"/>
    </w:pPr>
    <w:r>
      <w:rPr>
        <w:rFonts w:ascii="Segoe UI" w:hAnsi="Segoe UI"/>
        <w:caps/>
        <w:noProof/>
        <w:color w:val="C00000"/>
        <w:sz w:val="18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6F4AA82" wp14:editId="52E9790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4970"/>
              <wp:effectExtent l="0" t="0" r="635" b="5080"/>
              <wp:wrapNone/>
              <wp:docPr id="85584273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318FF1" w14:textId="6F6BC705" w:rsidR="008636DE" w:rsidRPr="008636DE" w:rsidRDefault="008636DE" w:rsidP="008636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8636D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F4AA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43.45pt;height:31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" filled="f" stroked="f">
              <v:textbox style="mso-fit-shape-to-text:t" inset="0,15pt,0,0">
                <w:txbxContent>
                  <w:p w14:paraId="13318FF1" w14:textId="6F6BC705" w:rsidR="008636DE" w:rsidRPr="008636DE" w:rsidRDefault="008636DE" w:rsidP="008636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8636D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CLASSIFICATIONChar"/>
        </w:rPr>
        <w:alias w:val="Classification"/>
        <w:tag w:val="Classification"/>
        <w:id w:val="-1388651098"/>
        <w15:color w:val="FF0000"/>
        <w:dropDownList>
          <w:listItem w:displayText="Classification" w:value="1"/>
          <w:listItem w:displayText="Official" w:value="2"/>
          <w:listItem w:displayText="Official: Sensitive" w:value="3"/>
          <w:listItem w:displayText="Protected" w:value="4"/>
          <w:listItem w:displayText="Protected: Cabinet" w:value="Protected: Cabinet"/>
          <w:listItem w:displayText="Secret" w:value="5"/>
          <w:listItem w:displayText="Top Secret and Codeword" w:value="6"/>
        </w:dropDownList>
      </w:sdtPr>
      <w:sdtEndPr>
        <w:rPr>
          <w:rStyle w:val="CLASSIFICATIONChar"/>
        </w:rPr>
      </w:sdtEndPr>
      <w:sdtContent>
        <w:r w:rsidR="00F64736">
          <w:rPr>
            <w:rStyle w:val="CLASSIFICATIONChar"/>
          </w:rPr>
          <w:t>Classification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512B3" w14:textId="529F84DC" w:rsidR="00037513" w:rsidRDefault="005A3632" w:rsidP="00D75A12">
    <w:pPr>
      <w:pStyle w:val="Header"/>
      <w:jc w:val="center"/>
    </w:pPr>
    <w:r>
      <w:rPr>
        <w:rStyle w:val="CLASSIFICATIONChar"/>
        <w:noProof/>
        <w:lang w:eastAsia="en-AU"/>
      </w:rPr>
      <w:drawing>
        <wp:anchor distT="0" distB="0" distL="114300" distR="114300" simplePos="0" relativeHeight="251658240" behindDoc="1" locked="0" layoutInCell="1" allowOverlap="1" wp14:anchorId="3CE512B5" wp14:editId="4CB8E096">
          <wp:simplePos x="0" y="0"/>
          <wp:positionH relativeFrom="column">
            <wp:posOffset>-48895</wp:posOffset>
          </wp:positionH>
          <wp:positionV relativeFrom="paragraph">
            <wp:posOffset>-305435</wp:posOffset>
          </wp:positionV>
          <wp:extent cx="2120900" cy="567622"/>
          <wp:effectExtent l="0" t="0" r="0" b="4445"/>
          <wp:wrapNone/>
          <wp:docPr id="224329233" name="Picture 224329233" descr="Australian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0" cy="5676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7655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pStyle w:val="BoxDark-NumberedList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9F33BBA"/>
    <w:multiLevelType w:val="hybridMultilevel"/>
    <w:tmpl w:val="0812E2DE"/>
    <w:lvl w:ilvl="0" w:tplc="E1AE5D66">
      <w:start w:val="1"/>
      <w:numFmt w:val="decimal"/>
      <w:pStyle w:val="Figure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317A4C0A"/>
    <w:multiLevelType w:val="hybridMultilevel"/>
    <w:tmpl w:val="C1C2D7D8"/>
    <w:lvl w:ilvl="0" w:tplc="20082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ACB6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360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6E5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149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4C63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6CA3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4C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AC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5C21BDF"/>
    <w:multiLevelType w:val="hybridMultilevel"/>
    <w:tmpl w:val="CD1402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E37CDA"/>
    <w:multiLevelType w:val="hybridMultilevel"/>
    <w:tmpl w:val="108E5D92"/>
    <w:lvl w:ilvl="0" w:tplc="3962CD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6895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4DC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420E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CA8F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FC1A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90A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88D8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A68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A761DA0"/>
    <w:multiLevelType w:val="hybridMultilevel"/>
    <w:tmpl w:val="5CEAEDEC"/>
    <w:lvl w:ilvl="0" w:tplc="1D525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C8F2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E4B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C2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04D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46C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868B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6BC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A29E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188907">
    <w:abstractNumId w:val="11"/>
  </w:num>
  <w:num w:numId="2" w16cid:durableId="1512793384">
    <w:abstractNumId w:val="9"/>
  </w:num>
  <w:num w:numId="3" w16cid:durableId="359554765">
    <w:abstractNumId w:val="7"/>
  </w:num>
  <w:num w:numId="4" w16cid:durableId="539047818">
    <w:abstractNumId w:val="6"/>
  </w:num>
  <w:num w:numId="5" w16cid:durableId="693967127">
    <w:abstractNumId w:val="5"/>
  </w:num>
  <w:num w:numId="6" w16cid:durableId="967708869">
    <w:abstractNumId w:val="4"/>
  </w:num>
  <w:num w:numId="7" w16cid:durableId="1646354293">
    <w:abstractNumId w:val="8"/>
  </w:num>
  <w:num w:numId="8" w16cid:durableId="1688024687">
    <w:abstractNumId w:val="3"/>
  </w:num>
  <w:num w:numId="9" w16cid:durableId="1400249605">
    <w:abstractNumId w:val="2"/>
  </w:num>
  <w:num w:numId="10" w16cid:durableId="2044362002">
    <w:abstractNumId w:val="1"/>
  </w:num>
  <w:num w:numId="11" w16cid:durableId="248663300">
    <w:abstractNumId w:val="0"/>
  </w:num>
  <w:num w:numId="12" w16cid:durableId="1557621379">
    <w:abstractNumId w:val="10"/>
  </w:num>
  <w:num w:numId="13" w16cid:durableId="547301746">
    <w:abstractNumId w:val="24"/>
  </w:num>
  <w:num w:numId="14" w16cid:durableId="1348480117">
    <w:abstractNumId w:val="16"/>
  </w:num>
  <w:num w:numId="15" w16cid:durableId="847522340">
    <w:abstractNumId w:val="16"/>
    <w:lvlOverride w:ilvl="0">
      <w:startOverride w:val="1"/>
    </w:lvlOverride>
  </w:num>
  <w:num w:numId="16" w16cid:durableId="1596593232">
    <w:abstractNumId w:val="16"/>
    <w:lvlOverride w:ilvl="0">
      <w:startOverride w:val="1"/>
    </w:lvlOverride>
  </w:num>
  <w:num w:numId="17" w16cid:durableId="663050987">
    <w:abstractNumId w:val="16"/>
    <w:lvlOverride w:ilvl="0">
      <w:startOverride w:val="1"/>
    </w:lvlOverride>
  </w:num>
  <w:num w:numId="18" w16cid:durableId="494615158">
    <w:abstractNumId w:val="16"/>
    <w:lvlOverride w:ilvl="0">
      <w:startOverride w:val="1"/>
    </w:lvlOverride>
  </w:num>
  <w:num w:numId="19" w16cid:durableId="1611819009">
    <w:abstractNumId w:val="21"/>
  </w:num>
  <w:num w:numId="20" w16cid:durableId="249701553">
    <w:abstractNumId w:val="21"/>
    <w:lvlOverride w:ilvl="0">
      <w:startOverride w:val="1"/>
    </w:lvlOverride>
  </w:num>
  <w:num w:numId="21" w16cid:durableId="1149328637">
    <w:abstractNumId w:val="25"/>
  </w:num>
  <w:num w:numId="22" w16cid:durableId="1526481762">
    <w:abstractNumId w:val="23"/>
  </w:num>
  <w:num w:numId="23" w16cid:durableId="302318949">
    <w:abstractNumId w:val="11"/>
    <w:lvlOverride w:ilvl="0">
      <w:startOverride w:val="1"/>
    </w:lvlOverride>
  </w:num>
  <w:num w:numId="24" w16cid:durableId="301733560">
    <w:abstractNumId w:val="25"/>
    <w:lvlOverride w:ilvl="0">
      <w:startOverride w:val="1"/>
    </w:lvlOverride>
  </w:num>
  <w:num w:numId="25" w16cid:durableId="107047756">
    <w:abstractNumId w:val="23"/>
    <w:lvlOverride w:ilvl="0">
      <w:startOverride w:val="1"/>
    </w:lvlOverride>
  </w:num>
  <w:num w:numId="26" w16cid:durableId="1543135307">
    <w:abstractNumId w:val="23"/>
    <w:lvlOverride w:ilvl="0">
      <w:startOverride w:val="1"/>
    </w:lvlOverride>
  </w:num>
  <w:num w:numId="27" w16cid:durableId="958607958">
    <w:abstractNumId w:val="14"/>
  </w:num>
  <w:num w:numId="28" w16cid:durableId="2109079864">
    <w:abstractNumId w:val="20"/>
  </w:num>
  <w:num w:numId="29" w16cid:durableId="259217609">
    <w:abstractNumId w:val="13"/>
  </w:num>
  <w:num w:numId="30" w16cid:durableId="1739866322">
    <w:abstractNumId w:val="15"/>
  </w:num>
  <w:num w:numId="31" w16cid:durableId="750274782">
    <w:abstractNumId w:val="12"/>
  </w:num>
  <w:num w:numId="32" w16cid:durableId="1830631414">
    <w:abstractNumId w:val="25"/>
    <w:lvlOverride w:ilvl="0">
      <w:startOverride w:val="1"/>
    </w:lvlOverride>
  </w:num>
  <w:num w:numId="33" w16cid:durableId="38944048">
    <w:abstractNumId w:val="25"/>
    <w:lvlOverride w:ilvl="0">
      <w:startOverride w:val="1"/>
    </w:lvlOverride>
  </w:num>
  <w:num w:numId="34" w16cid:durableId="2113740210">
    <w:abstractNumId w:val="25"/>
    <w:lvlOverride w:ilvl="0">
      <w:startOverride w:val="1"/>
    </w:lvlOverride>
  </w:num>
  <w:num w:numId="35" w16cid:durableId="421413563">
    <w:abstractNumId w:val="24"/>
    <w:lvlOverride w:ilvl="0">
      <w:startOverride w:val="1"/>
    </w:lvlOverride>
  </w:num>
  <w:num w:numId="36" w16cid:durableId="1970090365">
    <w:abstractNumId w:val="24"/>
    <w:lvlOverride w:ilvl="0">
      <w:startOverride w:val="1"/>
    </w:lvlOverride>
  </w:num>
  <w:num w:numId="37" w16cid:durableId="1122960316">
    <w:abstractNumId w:val="24"/>
    <w:lvlOverride w:ilvl="0">
      <w:startOverride w:val="1"/>
    </w:lvlOverride>
  </w:num>
  <w:num w:numId="38" w16cid:durableId="297106121">
    <w:abstractNumId w:val="22"/>
  </w:num>
  <w:num w:numId="39" w16cid:durableId="768699804">
    <w:abstractNumId w:val="19"/>
  </w:num>
  <w:num w:numId="40" w16cid:durableId="438840713">
    <w:abstractNumId w:val="17"/>
  </w:num>
  <w:num w:numId="41" w16cid:durableId="18209959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AU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4F3"/>
    <w:rsid w:val="00003AF2"/>
    <w:rsid w:val="000076C2"/>
    <w:rsid w:val="00027038"/>
    <w:rsid w:val="00030B92"/>
    <w:rsid w:val="0003154E"/>
    <w:rsid w:val="00032139"/>
    <w:rsid w:val="00037513"/>
    <w:rsid w:val="0006501B"/>
    <w:rsid w:val="0006627F"/>
    <w:rsid w:val="000668BB"/>
    <w:rsid w:val="000770FA"/>
    <w:rsid w:val="00080B17"/>
    <w:rsid w:val="00081D30"/>
    <w:rsid w:val="00090222"/>
    <w:rsid w:val="000A0143"/>
    <w:rsid w:val="000A4EEC"/>
    <w:rsid w:val="000B3417"/>
    <w:rsid w:val="000B36DA"/>
    <w:rsid w:val="000B6A28"/>
    <w:rsid w:val="000D749D"/>
    <w:rsid w:val="000E1CF0"/>
    <w:rsid w:val="000F376E"/>
    <w:rsid w:val="000F60F9"/>
    <w:rsid w:val="00114C8F"/>
    <w:rsid w:val="00115264"/>
    <w:rsid w:val="00117A77"/>
    <w:rsid w:val="00125770"/>
    <w:rsid w:val="00132068"/>
    <w:rsid w:val="00132887"/>
    <w:rsid w:val="00132FCD"/>
    <w:rsid w:val="00137236"/>
    <w:rsid w:val="00147E4C"/>
    <w:rsid w:val="00152412"/>
    <w:rsid w:val="001611BF"/>
    <w:rsid w:val="0017436A"/>
    <w:rsid w:val="00175841"/>
    <w:rsid w:val="001778D0"/>
    <w:rsid w:val="00190455"/>
    <w:rsid w:val="001954B4"/>
    <w:rsid w:val="001B2134"/>
    <w:rsid w:val="001B2D56"/>
    <w:rsid w:val="001C06B0"/>
    <w:rsid w:val="001C5831"/>
    <w:rsid w:val="001D15E7"/>
    <w:rsid w:val="001D16C5"/>
    <w:rsid w:val="001E3C0B"/>
    <w:rsid w:val="001E7F94"/>
    <w:rsid w:val="001F6E20"/>
    <w:rsid w:val="002002ED"/>
    <w:rsid w:val="00200551"/>
    <w:rsid w:val="00202E07"/>
    <w:rsid w:val="00212443"/>
    <w:rsid w:val="00220DDA"/>
    <w:rsid w:val="00226A86"/>
    <w:rsid w:val="00227DB5"/>
    <w:rsid w:val="002336DD"/>
    <w:rsid w:val="002461CF"/>
    <w:rsid w:val="002531B8"/>
    <w:rsid w:val="00255046"/>
    <w:rsid w:val="00266CCC"/>
    <w:rsid w:val="00272837"/>
    <w:rsid w:val="00274D42"/>
    <w:rsid w:val="00277180"/>
    <w:rsid w:val="002859ED"/>
    <w:rsid w:val="00285CAF"/>
    <w:rsid w:val="00293471"/>
    <w:rsid w:val="002A137E"/>
    <w:rsid w:val="002B53AF"/>
    <w:rsid w:val="002B661A"/>
    <w:rsid w:val="002C7A05"/>
    <w:rsid w:val="002D37AE"/>
    <w:rsid w:val="002D6B3D"/>
    <w:rsid w:val="002E5916"/>
    <w:rsid w:val="002E61BD"/>
    <w:rsid w:val="002F382A"/>
    <w:rsid w:val="0030315A"/>
    <w:rsid w:val="00303C55"/>
    <w:rsid w:val="00304D47"/>
    <w:rsid w:val="0030648C"/>
    <w:rsid w:val="00311C2D"/>
    <w:rsid w:val="00311D30"/>
    <w:rsid w:val="00316AF7"/>
    <w:rsid w:val="00317030"/>
    <w:rsid w:val="003274FA"/>
    <w:rsid w:val="00330A33"/>
    <w:rsid w:val="003336B8"/>
    <w:rsid w:val="0033452D"/>
    <w:rsid w:val="003407A3"/>
    <w:rsid w:val="00346D39"/>
    <w:rsid w:val="00352E45"/>
    <w:rsid w:val="00353E5E"/>
    <w:rsid w:val="00361020"/>
    <w:rsid w:val="003660E8"/>
    <w:rsid w:val="00374D2A"/>
    <w:rsid w:val="00376AEA"/>
    <w:rsid w:val="00376FE6"/>
    <w:rsid w:val="00385BD5"/>
    <w:rsid w:val="00397D1D"/>
    <w:rsid w:val="003A2863"/>
    <w:rsid w:val="003A54A7"/>
    <w:rsid w:val="003B05DC"/>
    <w:rsid w:val="003C181D"/>
    <w:rsid w:val="003C1C2C"/>
    <w:rsid w:val="003C1F2E"/>
    <w:rsid w:val="003D51B5"/>
    <w:rsid w:val="003D676D"/>
    <w:rsid w:val="003F23E9"/>
    <w:rsid w:val="00402E24"/>
    <w:rsid w:val="00406812"/>
    <w:rsid w:val="004073E7"/>
    <w:rsid w:val="00413312"/>
    <w:rsid w:val="00413F38"/>
    <w:rsid w:val="00416AE6"/>
    <w:rsid w:val="0044397A"/>
    <w:rsid w:val="00443F97"/>
    <w:rsid w:val="00454582"/>
    <w:rsid w:val="00460F89"/>
    <w:rsid w:val="00464D89"/>
    <w:rsid w:val="00472433"/>
    <w:rsid w:val="004756B6"/>
    <w:rsid w:val="00476A0E"/>
    <w:rsid w:val="00490B90"/>
    <w:rsid w:val="00490E25"/>
    <w:rsid w:val="00494F0C"/>
    <w:rsid w:val="00496693"/>
    <w:rsid w:val="004B088C"/>
    <w:rsid w:val="004B2C90"/>
    <w:rsid w:val="004C17DE"/>
    <w:rsid w:val="004C58F3"/>
    <w:rsid w:val="004D2BF9"/>
    <w:rsid w:val="004F4C4F"/>
    <w:rsid w:val="004F6CF1"/>
    <w:rsid w:val="00500883"/>
    <w:rsid w:val="00516260"/>
    <w:rsid w:val="005226B9"/>
    <w:rsid w:val="00522D9C"/>
    <w:rsid w:val="005272E6"/>
    <w:rsid w:val="0052777A"/>
    <w:rsid w:val="00527EBB"/>
    <w:rsid w:val="00534819"/>
    <w:rsid w:val="005445CB"/>
    <w:rsid w:val="00546EAB"/>
    <w:rsid w:val="005505E3"/>
    <w:rsid w:val="00551CB9"/>
    <w:rsid w:val="0055713D"/>
    <w:rsid w:val="00561FB9"/>
    <w:rsid w:val="00576999"/>
    <w:rsid w:val="0058178C"/>
    <w:rsid w:val="00591288"/>
    <w:rsid w:val="005917FD"/>
    <w:rsid w:val="005A3632"/>
    <w:rsid w:val="005A4AA1"/>
    <w:rsid w:val="005B3358"/>
    <w:rsid w:val="005B7FBD"/>
    <w:rsid w:val="005C0F15"/>
    <w:rsid w:val="005C3C13"/>
    <w:rsid w:val="005C5269"/>
    <w:rsid w:val="005C66F5"/>
    <w:rsid w:val="005D41FE"/>
    <w:rsid w:val="005D4706"/>
    <w:rsid w:val="005E0DC7"/>
    <w:rsid w:val="005E6E22"/>
    <w:rsid w:val="00610C0F"/>
    <w:rsid w:val="00611108"/>
    <w:rsid w:val="006147EB"/>
    <w:rsid w:val="006200EB"/>
    <w:rsid w:val="00621EA3"/>
    <w:rsid w:val="00622091"/>
    <w:rsid w:val="006324E0"/>
    <w:rsid w:val="00635BFE"/>
    <w:rsid w:val="00640234"/>
    <w:rsid w:val="0064343A"/>
    <w:rsid w:val="006536BF"/>
    <w:rsid w:val="00665FB6"/>
    <w:rsid w:val="00667B5E"/>
    <w:rsid w:val="006725BE"/>
    <w:rsid w:val="00691A2F"/>
    <w:rsid w:val="00693852"/>
    <w:rsid w:val="006949AF"/>
    <w:rsid w:val="00695EC0"/>
    <w:rsid w:val="006A008F"/>
    <w:rsid w:val="006A2ABA"/>
    <w:rsid w:val="006A2BCA"/>
    <w:rsid w:val="006A5AA6"/>
    <w:rsid w:val="006B1565"/>
    <w:rsid w:val="006B349C"/>
    <w:rsid w:val="006C2DF9"/>
    <w:rsid w:val="006C60EE"/>
    <w:rsid w:val="006C73C0"/>
    <w:rsid w:val="006D2B35"/>
    <w:rsid w:val="006D71DA"/>
    <w:rsid w:val="006E170D"/>
    <w:rsid w:val="006E5D62"/>
    <w:rsid w:val="006E698B"/>
    <w:rsid w:val="006E6FB3"/>
    <w:rsid w:val="006F25A1"/>
    <w:rsid w:val="0070761C"/>
    <w:rsid w:val="0071548B"/>
    <w:rsid w:val="00715A4A"/>
    <w:rsid w:val="007203E4"/>
    <w:rsid w:val="007204A9"/>
    <w:rsid w:val="0072538D"/>
    <w:rsid w:val="00730CD4"/>
    <w:rsid w:val="007346DE"/>
    <w:rsid w:val="00736008"/>
    <w:rsid w:val="00740E77"/>
    <w:rsid w:val="0075249A"/>
    <w:rsid w:val="00756929"/>
    <w:rsid w:val="00767DBB"/>
    <w:rsid w:val="00770519"/>
    <w:rsid w:val="00771DC8"/>
    <w:rsid w:val="00774646"/>
    <w:rsid w:val="00775526"/>
    <w:rsid w:val="00780840"/>
    <w:rsid w:val="00781695"/>
    <w:rsid w:val="00783EC4"/>
    <w:rsid w:val="007851BE"/>
    <w:rsid w:val="007A02A7"/>
    <w:rsid w:val="007A038F"/>
    <w:rsid w:val="007A213E"/>
    <w:rsid w:val="007A3AD4"/>
    <w:rsid w:val="007B1434"/>
    <w:rsid w:val="007C0935"/>
    <w:rsid w:val="007D6FA2"/>
    <w:rsid w:val="007E0375"/>
    <w:rsid w:val="007E1C98"/>
    <w:rsid w:val="007E4D8D"/>
    <w:rsid w:val="007E74EE"/>
    <w:rsid w:val="007F4E93"/>
    <w:rsid w:val="007F6CC4"/>
    <w:rsid w:val="008046D4"/>
    <w:rsid w:val="008059CB"/>
    <w:rsid w:val="008173BC"/>
    <w:rsid w:val="008204E7"/>
    <w:rsid w:val="008250D8"/>
    <w:rsid w:val="00833792"/>
    <w:rsid w:val="00833ABD"/>
    <w:rsid w:val="00835B4D"/>
    <w:rsid w:val="00837A21"/>
    <w:rsid w:val="00841BA2"/>
    <w:rsid w:val="00852F35"/>
    <w:rsid w:val="00857363"/>
    <w:rsid w:val="008636DE"/>
    <w:rsid w:val="0086394C"/>
    <w:rsid w:val="00874998"/>
    <w:rsid w:val="00876109"/>
    <w:rsid w:val="00880485"/>
    <w:rsid w:val="00883248"/>
    <w:rsid w:val="00886BCE"/>
    <w:rsid w:val="008A0614"/>
    <w:rsid w:val="008A6A80"/>
    <w:rsid w:val="008B44F5"/>
    <w:rsid w:val="008C0558"/>
    <w:rsid w:val="008C47A1"/>
    <w:rsid w:val="008C738F"/>
    <w:rsid w:val="008D6B9E"/>
    <w:rsid w:val="008D6CBB"/>
    <w:rsid w:val="008E1024"/>
    <w:rsid w:val="008E26FA"/>
    <w:rsid w:val="008E6CB3"/>
    <w:rsid w:val="008F2BB2"/>
    <w:rsid w:val="008F491B"/>
    <w:rsid w:val="00900EA3"/>
    <w:rsid w:val="009111F2"/>
    <w:rsid w:val="00913ED0"/>
    <w:rsid w:val="00920FE8"/>
    <w:rsid w:val="009231E3"/>
    <w:rsid w:val="00924B2C"/>
    <w:rsid w:val="009255CC"/>
    <w:rsid w:val="00925A5D"/>
    <w:rsid w:val="00927650"/>
    <w:rsid w:val="00931F34"/>
    <w:rsid w:val="0093222B"/>
    <w:rsid w:val="00941C25"/>
    <w:rsid w:val="009429FD"/>
    <w:rsid w:val="00942CB6"/>
    <w:rsid w:val="00942CE9"/>
    <w:rsid w:val="0094453E"/>
    <w:rsid w:val="00954FF2"/>
    <w:rsid w:val="009615D2"/>
    <w:rsid w:val="00962EE8"/>
    <w:rsid w:val="00965DA7"/>
    <w:rsid w:val="00976EE9"/>
    <w:rsid w:val="009821BE"/>
    <w:rsid w:val="0098267F"/>
    <w:rsid w:val="00984376"/>
    <w:rsid w:val="009A20C4"/>
    <w:rsid w:val="009A350B"/>
    <w:rsid w:val="009A6D9C"/>
    <w:rsid w:val="009C14AA"/>
    <w:rsid w:val="009C60F6"/>
    <w:rsid w:val="009C7A76"/>
    <w:rsid w:val="009D3E61"/>
    <w:rsid w:val="009D47A8"/>
    <w:rsid w:val="009E350A"/>
    <w:rsid w:val="009F0889"/>
    <w:rsid w:val="009F16DE"/>
    <w:rsid w:val="009F2CFD"/>
    <w:rsid w:val="009F62F4"/>
    <w:rsid w:val="009F6A0F"/>
    <w:rsid w:val="00A008E6"/>
    <w:rsid w:val="00A06DF8"/>
    <w:rsid w:val="00A12C83"/>
    <w:rsid w:val="00A12CDD"/>
    <w:rsid w:val="00A12F96"/>
    <w:rsid w:val="00A42517"/>
    <w:rsid w:val="00A52243"/>
    <w:rsid w:val="00A54836"/>
    <w:rsid w:val="00A57585"/>
    <w:rsid w:val="00A57FF6"/>
    <w:rsid w:val="00A62EF3"/>
    <w:rsid w:val="00A704F3"/>
    <w:rsid w:val="00A70C68"/>
    <w:rsid w:val="00A74313"/>
    <w:rsid w:val="00A82A58"/>
    <w:rsid w:val="00A918A7"/>
    <w:rsid w:val="00AA1C38"/>
    <w:rsid w:val="00AA705F"/>
    <w:rsid w:val="00AC2CDC"/>
    <w:rsid w:val="00AD358D"/>
    <w:rsid w:val="00AD5B8F"/>
    <w:rsid w:val="00AD7805"/>
    <w:rsid w:val="00AE2B22"/>
    <w:rsid w:val="00AF4614"/>
    <w:rsid w:val="00B0112A"/>
    <w:rsid w:val="00B05108"/>
    <w:rsid w:val="00B21521"/>
    <w:rsid w:val="00B23B3E"/>
    <w:rsid w:val="00B24542"/>
    <w:rsid w:val="00B35A1D"/>
    <w:rsid w:val="00B44432"/>
    <w:rsid w:val="00B56736"/>
    <w:rsid w:val="00B6596F"/>
    <w:rsid w:val="00B73343"/>
    <w:rsid w:val="00B81D3E"/>
    <w:rsid w:val="00B92E61"/>
    <w:rsid w:val="00B97D3A"/>
    <w:rsid w:val="00BA40C7"/>
    <w:rsid w:val="00BA7071"/>
    <w:rsid w:val="00BB1526"/>
    <w:rsid w:val="00BC75F1"/>
    <w:rsid w:val="00BC75F3"/>
    <w:rsid w:val="00BD171D"/>
    <w:rsid w:val="00BD57F5"/>
    <w:rsid w:val="00BD726F"/>
    <w:rsid w:val="00BE0F4D"/>
    <w:rsid w:val="00BE48A4"/>
    <w:rsid w:val="00BE56F0"/>
    <w:rsid w:val="00C034D3"/>
    <w:rsid w:val="00C03707"/>
    <w:rsid w:val="00C03CD2"/>
    <w:rsid w:val="00C12D35"/>
    <w:rsid w:val="00C13310"/>
    <w:rsid w:val="00C17F81"/>
    <w:rsid w:val="00C32E9F"/>
    <w:rsid w:val="00C45491"/>
    <w:rsid w:val="00C47620"/>
    <w:rsid w:val="00C47BEB"/>
    <w:rsid w:val="00C52F32"/>
    <w:rsid w:val="00C57609"/>
    <w:rsid w:val="00C6255E"/>
    <w:rsid w:val="00C62578"/>
    <w:rsid w:val="00C64422"/>
    <w:rsid w:val="00C70947"/>
    <w:rsid w:val="00C71B42"/>
    <w:rsid w:val="00C868AA"/>
    <w:rsid w:val="00C909FF"/>
    <w:rsid w:val="00CB31A8"/>
    <w:rsid w:val="00CB73A3"/>
    <w:rsid w:val="00CC42EA"/>
    <w:rsid w:val="00CC6110"/>
    <w:rsid w:val="00CD0193"/>
    <w:rsid w:val="00CD3FB5"/>
    <w:rsid w:val="00CF55DD"/>
    <w:rsid w:val="00D03799"/>
    <w:rsid w:val="00D04E61"/>
    <w:rsid w:val="00D10635"/>
    <w:rsid w:val="00D11157"/>
    <w:rsid w:val="00D11C0D"/>
    <w:rsid w:val="00D13C0A"/>
    <w:rsid w:val="00D500C1"/>
    <w:rsid w:val="00D525B8"/>
    <w:rsid w:val="00D57EA6"/>
    <w:rsid w:val="00D7338B"/>
    <w:rsid w:val="00D75A12"/>
    <w:rsid w:val="00D8019E"/>
    <w:rsid w:val="00D859BB"/>
    <w:rsid w:val="00D85DF1"/>
    <w:rsid w:val="00D90429"/>
    <w:rsid w:val="00D91B86"/>
    <w:rsid w:val="00D9417E"/>
    <w:rsid w:val="00DA18A2"/>
    <w:rsid w:val="00DB61AC"/>
    <w:rsid w:val="00DD2BE4"/>
    <w:rsid w:val="00DF2F8D"/>
    <w:rsid w:val="00E05FA4"/>
    <w:rsid w:val="00E12241"/>
    <w:rsid w:val="00E12AB4"/>
    <w:rsid w:val="00E13082"/>
    <w:rsid w:val="00E14CA0"/>
    <w:rsid w:val="00E155C1"/>
    <w:rsid w:val="00E2196D"/>
    <w:rsid w:val="00E224F4"/>
    <w:rsid w:val="00E231BC"/>
    <w:rsid w:val="00E2753F"/>
    <w:rsid w:val="00E27566"/>
    <w:rsid w:val="00E27786"/>
    <w:rsid w:val="00E27CA0"/>
    <w:rsid w:val="00E322DA"/>
    <w:rsid w:val="00E43127"/>
    <w:rsid w:val="00E50832"/>
    <w:rsid w:val="00E6176E"/>
    <w:rsid w:val="00E63FC4"/>
    <w:rsid w:val="00E67FDE"/>
    <w:rsid w:val="00E76E9A"/>
    <w:rsid w:val="00E80885"/>
    <w:rsid w:val="00E84F06"/>
    <w:rsid w:val="00E85402"/>
    <w:rsid w:val="00E86296"/>
    <w:rsid w:val="00E92551"/>
    <w:rsid w:val="00E96D4F"/>
    <w:rsid w:val="00E970FF"/>
    <w:rsid w:val="00EB6AA9"/>
    <w:rsid w:val="00EC4A85"/>
    <w:rsid w:val="00EC68BE"/>
    <w:rsid w:val="00ED0697"/>
    <w:rsid w:val="00EE1B0E"/>
    <w:rsid w:val="00EF529B"/>
    <w:rsid w:val="00F03073"/>
    <w:rsid w:val="00F049AA"/>
    <w:rsid w:val="00F135EF"/>
    <w:rsid w:val="00F262A6"/>
    <w:rsid w:val="00F3628B"/>
    <w:rsid w:val="00F42D9B"/>
    <w:rsid w:val="00F42F28"/>
    <w:rsid w:val="00F46DB7"/>
    <w:rsid w:val="00F610CE"/>
    <w:rsid w:val="00F620FD"/>
    <w:rsid w:val="00F64736"/>
    <w:rsid w:val="00F66078"/>
    <w:rsid w:val="00F66FF1"/>
    <w:rsid w:val="00F736AF"/>
    <w:rsid w:val="00F81F89"/>
    <w:rsid w:val="00F83A8A"/>
    <w:rsid w:val="00F84B5B"/>
    <w:rsid w:val="00F86700"/>
    <w:rsid w:val="00F87586"/>
    <w:rsid w:val="00F90F02"/>
    <w:rsid w:val="00F957C6"/>
    <w:rsid w:val="00F95B25"/>
    <w:rsid w:val="00FA6219"/>
    <w:rsid w:val="00FB3AF5"/>
    <w:rsid w:val="00FB7CAD"/>
    <w:rsid w:val="00FC1620"/>
    <w:rsid w:val="00FC5955"/>
    <w:rsid w:val="00FC5ACB"/>
    <w:rsid w:val="00FD20A5"/>
    <w:rsid w:val="00FD2C22"/>
    <w:rsid w:val="00FE1E35"/>
    <w:rsid w:val="00FE2C7F"/>
    <w:rsid w:val="00FF75BA"/>
    <w:rsid w:val="05D02382"/>
    <w:rsid w:val="09E6714A"/>
    <w:rsid w:val="0B09157E"/>
    <w:rsid w:val="0CA2D760"/>
    <w:rsid w:val="10BD9CAC"/>
    <w:rsid w:val="13D4AE73"/>
    <w:rsid w:val="1824A918"/>
    <w:rsid w:val="194C9A14"/>
    <w:rsid w:val="1A5E68FC"/>
    <w:rsid w:val="1FD855C5"/>
    <w:rsid w:val="2A829268"/>
    <w:rsid w:val="3E35C0B8"/>
    <w:rsid w:val="3F96F92D"/>
    <w:rsid w:val="3FE45985"/>
    <w:rsid w:val="4069881A"/>
    <w:rsid w:val="42BC8073"/>
    <w:rsid w:val="4582B025"/>
    <w:rsid w:val="46A59C70"/>
    <w:rsid w:val="4B650A17"/>
    <w:rsid w:val="4BC45302"/>
    <w:rsid w:val="4D948F24"/>
    <w:rsid w:val="4E42DB34"/>
    <w:rsid w:val="4E706FCB"/>
    <w:rsid w:val="4FE593E8"/>
    <w:rsid w:val="511D2751"/>
    <w:rsid w:val="54566AF1"/>
    <w:rsid w:val="548FF020"/>
    <w:rsid w:val="5C65D77C"/>
    <w:rsid w:val="5DADA87C"/>
    <w:rsid w:val="612E75B1"/>
    <w:rsid w:val="622945CD"/>
    <w:rsid w:val="63BA0292"/>
    <w:rsid w:val="6530E251"/>
    <w:rsid w:val="69EC8DF6"/>
    <w:rsid w:val="6A10C661"/>
    <w:rsid w:val="6B521E34"/>
    <w:rsid w:val="6E557BDF"/>
    <w:rsid w:val="706CCF46"/>
    <w:rsid w:val="72D15637"/>
    <w:rsid w:val="7462A2CB"/>
    <w:rsid w:val="7612150A"/>
    <w:rsid w:val="76C0DB9F"/>
    <w:rsid w:val="77959BF0"/>
    <w:rsid w:val="7D55D777"/>
    <w:rsid w:val="7E050D02"/>
    <w:rsid w:val="7FA1C538"/>
    <w:rsid w:val="7FCFA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3CE5127B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8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6" w:qFormat="1"/>
    <w:lsdException w:name="Intense Quote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C2C"/>
    <w:pPr>
      <w:spacing w:after="160" w:line="264" w:lineRule="auto"/>
    </w:pPr>
    <w:rPr>
      <w:rFonts w:ascii="Calibri Light" w:hAnsi="Calibri Light"/>
      <w:color w:val="1C2B39"/>
      <w:sz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2F382A"/>
    <w:pPr>
      <w:keepNext/>
      <w:keepLines/>
      <w:pBdr>
        <w:top w:val="single" w:sz="48" w:space="1" w:color="007279"/>
        <w:left w:val="single" w:sz="48" w:space="4" w:color="007279"/>
        <w:bottom w:val="single" w:sz="48" w:space="1" w:color="007279"/>
        <w:right w:val="single" w:sz="48" w:space="4" w:color="007279"/>
      </w:pBdr>
      <w:shd w:val="clear" w:color="auto" w:fill="007279"/>
      <w:spacing w:before="360" w:line="240" w:lineRule="auto"/>
      <w:outlineLvl w:val="0"/>
    </w:pPr>
    <w:rPr>
      <w:rFonts w:ascii="Calibri" w:eastAsiaTheme="majorEastAsia" w:hAnsi="Calibri" w:cstheme="majorBidi"/>
      <w:color w:val="FFFFFF" w:themeColor="background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8059CB"/>
    <w:pPr>
      <w:keepNext/>
      <w:keepLines/>
      <w:spacing w:before="240" w:line="240" w:lineRule="auto"/>
      <w:outlineLvl w:val="1"/>
    </w:pPr>
    <w:rPr>
      <w:rFonts w:ascii="Calibri" w:eastAsiaTheme="majorEastAsia" w:hAnsi="Calibri" w:cstheme="majorBidi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E86296"/>
    <w:pPr>
      <w:outlineLvl w:val="2"/>
    </w:pPr>
    <w:rPr>
      <w:color w:val="1C2B3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E86296"/>
    <w:pPr>
      <w:keepNext/>
      <w:keepLines/>
      <w:spacing w:before="240"/>
      <w:outlineLvl w:val="3"/>
    </w:pPr>
    <w:rPr>
      <w:rFonts w:eastAsiaTheme="majorEastAsia" w:cstheme="minorHAnsi"/>
      <w:b/>
      <w:color w:val="007279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857363"/>
    <w:pPr>
      <w:keepNext/>
      <w:keepLines/>
      <w:spacing w:before="240"/>
      <w:outlineLvl w:val="4"/>
    </w:pPr>
    <w:rPr>
      <w:rFonts w:eastAsiaTheme="majorEastAsia" w:cstheme="majorBidi"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2F382A"/>
    <w:rPr>
      <w:rFonts w:ascii="Calibri" w:eastAsiaTheme="majorEastAsia" w:hAnsi="Calibri" w:cstheme="majorBidi"/>
      <w:color w:val="FFFFFF" w:themeColor="background1"/>
      <w:sz w:val="48"/>
      <w:szCs w:val="40"/>
      <w:shd w:val="clear" w:color="auto" w:fill="007279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8059CB"/>
    <w:rPr>
      <w:rFonts w:ascii="Calibri" w:eastAsiaTheme="majorEastAsia" w:hAnsi="Calibri" w:cstheme="majorBidi"/>
      <w:color w:val="1C2B39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E86296"/>
    <w:rPr>
      <w:rFonts w:eastAsiaTheme="majorEastAsia" w:cstheme="minorHAnsi"/>
      <w:b/>
      <w:color w:val="1C2B39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E86296"/>
    <w:rPr>
      <w:rFonts w:eastAsiaTheme="majorEastAsia" w:cstheme="minorHAnsi"/>
      <w:b/>
      <w:color w:val="007279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857363"/>
    <w:rPr>
      <w:rFonts w:eastAsiaTheme="majorEastAsia" w:cstheme="majorBidi"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F957C6"/>
    <w:pPr>
      <w:numPr>
        <w:ilvl w:val="1"/>
      </w:numPr>
      <w:spacing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E2753F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D525B8"/>
    <w:pPr>
      <w:spacing w:line="240" w:lineRule="auto"/>
    </w:pPr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857363"/>
    <w:pPr>
      <w:spacing w:before="240"/>
      <w:ind w:left="720" w:right="720"/>
    </w:pPr>
    <w:rPr>
      <w:i/>
      <w:iCs/>
      <w:color w:val="3266AB"/>
    </w:rPr>
  </w:style>
  <w:style w:type="character" w:customStyle="1" w:styleId="QuoteChar">
    <w:name w:val="Quote Char"/>
    <w:basedOn w:val="DefaultParagraphFont"/>
    <w:link w:val="Quote"/>
    <w:uiPriority w:val="16"/>
    <w:rsid w:val="00857363"/>
    <w:rPr>
      <w:i/>
      <w:iCs/>
      <w:color w:val="3266AB"/>
      <w:sz w:val="22"/>
    </w:rPr>
  </w:style>
  <w:style w:type="paragraph" w:styleId="IntenseQuote">
    <w:name w:val="Intense Quote"/>
    <w:basedOn w:val="Normal"/>
    <w:next w:val="Normal"/>
    <w:link w:val="IntenseQuoteChar"/>
    <w:uiPriority w:val="17"/>
    <w:qFormat/>
    <w:rsid w:val="00857363"/>
    <w:pPr>
      <w:spacing w:before="120"/>
      <w:ind w:left="720" w:right="720"/>
    </w:pPr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17"/>
    <w:rsid w:val="00857363"/>
    <w:rPr>
      <w:rFonts w:asciiTheme="majorHAnsi" w:eastAsiaTheme="majorEastAsia" w:hAnsiTheme="majorHAnsi" w:cstheme="majorBidi"/>
      <w:i/>
      <w:iCs/>
      <w:color w:val="3266AB"/>
      <w:sz w:val="32"/>
      <w:szCs w:val="3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rsid w:val="00F86700"/>
    <w:pPr>
      <w:jc w:val="center"/>
    </w:pPr>
    <w:rPr>
      <w:rFonts w:ascii="Segoe UI" w:hAnsi="Segoe UI"/>
      <w:caps/>
      <w:color w:val="C00000"/>
      <w:sz w:val="18"/>
    </w:rPr>
  </w:style>
  <w:style w:type="paragraph" w:customStyle="1" w:styleId="BOXHeading2">
    <w:name w:val="BOX Heading 2"/>
    <w:basedOn w:val="Heading1"/>
    <w:next w:val="BOXText"/>
    <w:uiPriority w:val="6"/>
    <w:qFormat/>
    <w:rsid w:val="006949AF"/>
    <w:pPr>
      <w:spacing w:before="240" w:after="0"/>
      <w:ind w:left="227" w:right="227"/>
    </w:pPr>
    <w:rPr>
      <w:sz w:val="36"/>
    </w:rPr>
  </w:style>
  <w:style w:type="character" w:customStyle="1" w:styleId="CLASSIFICATIONChar">
    <w:name w:val="CLASSIFICATION Char"/>
    <w:basedOn w:val="DefaultParagraphFont"/>
    <w:link w:val="CLASSIFICATION"/>
    <w:uiPriority w:val="99"/>
    <w:rsid w:val="00F86700"/>
    <w:rPr>
      <w:rFonts w:ascii="Segoe UI" w:hAnsi="Segoe UI"/>
      <w:caps/>
      <w:color w:val="C00000"/>
      <w:sz w:val="18"/>
    </w:rPr>
  </w:style>
  <w:style w:type="paragraph" w:customStyle="1" w:styleId="BOXText">
    <w:name w:val="BOX Text"/>
    <w:basedOn w:val="Normal"/>
    <w:uiPriority w:val="4"/>
    <w:qFormat/>
    <w:rsid w:val="006D71DA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tabs>
        <w:tab w:val="left" w:pos="3300"/>
      </w:tabs>
      <w:ind w:left="227" w:right="227"/>
    </w:pPr>
  </w:style>
  <w:style w:type="paragraph" w:customStyle="1" w:styleId="BOXBulletedList">
    <w:name w:val="BOX Bulleted List"/>
    <w:basedOn w:val="BOXText"/>
    <w:uiPriority w:val="5"/>
    <w:qFormat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1D75E7" w:themeColor="accent1" w:themeTint="99"/>
        <w:left w:val="single" w:sz="4" w:space="0" w:color="1D75E7" w:themeColor="accent1" w:themeTint="99"/>
        <w:bottom w:val="single" w:sz="4" w:space="0" w:color="1D75E7" w:themeColor="accent1" w:themeTint="99"/>
        <w:right w:val="single" w:sz="4" w:space="0" w:color="1D75E7" w:themeColor="accent1" w:themeTint="99"/>
        <w:insideH w:val="single" w:sz="4" w:space="0" w:color="1D75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2B57" w:themeColor="accent1"/>
          <w:left w:val="single" w:sz="4" w:space="0" w:color="092B57" w:themeColor="accent1"/>
          <w:bottom w:val="single" w:sz="4" w:space="0" w:color="092B57" w:themeColor="accent1"/>
          <w:right w:val="single" w:sz="4" w:space="0" w:color="092B57" w:themeColor="accent1"/>
          <w:insideH w:val="nil"/>
        </w:tcBorders>
        <w:shd w:val="clear" w:color="auto" w:fill="092B57" w:themeFill="accent1"/>
      </w:tcPr>
    </w:tblStylePr>
    <w:tblStylePr w:type="lastRow">
      <w:rPr>
        <w:b/>
        <w:bCs/>
      </w:rPr>
      <w:tblPr/>
      <w:tcPr>
        <w:tcBorders>
          <w:top w:val="double" w:sz="4" w:space="0" w:color="1D75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1F7" w:themeFill="accent1" w:themeFillTint="33"/>
      </w:tcPr>
    </w:tblStylePr>
    <w:tblStylePr w:type="band1Horz">
      <w:tblPr/>
      <w:tcPr>
        <w:shd w:val="clear" w:color="auto" w:fill="B3D1F7" w:themeFill="accent1" w:themeFillTint="33"/>
      </w:tcPr>
    </w:tblStylePr>
  </w:style>
  <w:style w:type="paragraph" w:customStyle="1" w:styleId="Figure">
    <w:name w:val="Figure"/>
    <w:basedOn w:val="Normal"/>
    <w:uiPriority w:val="2"/>
    <w:qFormat/>
    <w:rsid w:val="008059CB"/>
    <w:pPr>
      <w:numPr>
        <w:numId w:val="27"/>
      </w:numPr>
      <w:spacing w:before="240"/>
    </w:pPr>
    <w:rPr>
      <w:rFonts w:cs="Segoe UI"/>
      <w:color w:val="007279"/>
    </w:rPr>
  </w:style>
  <w:style w:type="paragraph" w:customStyle="1" w:styleId="TBLHeading">
    <w:name w:val="TBL Heading"/>
    <w:basedOn w:val="Normal"/>
    <w:autoRedefine/>
    <w:uiPriority w:val="11"/>
    <w:qFormat/>
    <w:rsid w:val="009615D2"/>
    <w:pPr>
      <w:spacing w:after="0" w:line="240" w:lineRule="auto"/>
    </w:pPr>
    <w:rPr>
      <w:rFonts w:ascii="Segoe UI" w:hAnsi="Segoe UI" w:cs="Segoe UI"/>
      <w:color w:val="FFFFFF" w:themeColor="background1"/>
      <w:sz w:val="18"/>
    </w:rPr>
  </w:style>
  <w:style w:type="paragraph" w:customStyle="1" w:styleId="TBLText">
    <w:name w:val="TBL Text"/>
    <w:basedOn w:val="Normal"/>
    <w:uiPriority w:val="9"/>
    <w:qFormat/>
    <w:rsid w:val="009615D2"/>
    <w:pPr>
      <w:spacing w:after="0" w:line="240" w:lineRule="auto"/>
    </w:pPr>
    <w:rPr>
      <w:sz w:val="18"/>
      <w:szCs w:val="18"/>
    </w:rPr>
  </w:style>
  <w:style w:type="paragraph" w:customStyle="1" w:styleId="TBLBulletedList">
    <w:name w:val="TBL Bulleted List"/>
    <w:basedOn w:val="TBLText"/>
    <w:uiPriority w:val="10"/>
    <w:qFormat/>
    <w:rsid w:val="001B2D56"/>
    <w:pPr>
      <w:numPr>
        <w:numId w:val="12"/>
      </w:numPr>
      <w:ind w:left="206" w:hanging="206"/>
    </w:pPr>
  </w:style>
  <w:style w:type="paragraph" w:customStyle="1" w:styleId="TBLNumberedList">
    <w:name w:val="TBL Numbered List"/>
    <w:basedOn w:val="TBLText"/>
    <w:uiPriority w:val="10"/>
    <w:qFormat/>
    <w:rsid w:val="00E05FA4"/>
    <w:pPr>
      <w:numPr>
        <w:numId w:val="13"/>
      </w:numPr>
      <w:ind w:left="270" w:hanging="270"/>
    </w:pPr>
  </w:style>
  <w:style w:type="paragraph" w:customStyle="1" w:styleId="BOXHeading3">
    <w:name w:val="BOX Heading 3"/>
    <w:basedOn w:val="BOXHeading2"/>
    <w:next w:val="BOXText"/>
    <w:uiPriority w:val="6"/>
    <w:qFormat/>
    <w:rsid w:val="00857363"/>
    <w:pPr>
      <w:outlineLvl w:val="2"/>
    </w:pPr>
    <w:rPr>
      <w:rFonts w:asciiTheme="minorHAnsi" w:hAnsiTheme="minorHAnsi" w:cstheme="minorHAnsi"/>
      <w:b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rsid w:val="008059CB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rsid w:val="00BD171D"/>
    <w:pPr>
      <w:numPr>
        <w:ilvl w:val="2"/>
        <w:numId w:val="21"/>
      </w:numPr>
    </w:pPr>
  </w:style>
  <w:style w:type="paragraph" w:customStyle="1" w:styleId="BoxDark-HeadingLevel1">
    <w:name w:val="Box Dark - Heading Level 1"/>
    <w:basedOn w:val="BOXHeading2"/>
    <w:uiPriority w:val="9"/>
    <w:rsid w:val="00311C2D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1B375C" w:themeColor="hyperlink"/>
      <w:u w:val="single"/>
    </w:rPr>
  </w:style>
  <w:style w:type="paragraph" w:customStyle="1" w:styleId="BoxDark-HeadingLevel3">
    <w:name w:val="Box Dark - Heading Level 3"/>
    <w:basedOn w:val="BOXHeading3"/>
    <w:uiPriority w:val="9"/>
    <w:rsid w:val="00311C2D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</w:style>
  <w:style w:type="paragraph" w:customStyle="1" w:styleId="BoxDark-Text">
    <w:name w:val="Box Dark - Text"/>
    <w:basedOn w:val="BOXText"/>
    <w:uiPriority w:val="7"/>
    <w:rsid w:val="00FE2C7F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rFonts w:ascii="Segoe UI Semilight" w:hAnsi="Segoe UI Semilight"/>
      <w:color w:val="FFFFFF" w:themeColor="background1"/>
    </w:rPr>
  </w:style>
  <w:style w:type="paragraph" w:customStyle="1" w:styleId="BoxDark-BulletedList">
    <w:name w:val="Box Dark - Bulleted List"/>
    <w:basedOn w:val="BOXBulletedList"/>
    <w:uiPriority w:val="8"/>
    <w:rsid w:val="00FE2C7F"/>
    <w:p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</w:pPr>
    <w:rPr>
      <w:rFonts w:ascii="Segoe UI Semilight" w:hAnsi="Segoe UI Semilight"/>
    </w:rPr>
  </w:style>
  <w:style w:type="paragraph" w:customStyle="1" w:styleId="BOXNumberedList">
    <w:name w:val="BOX Numbered List"/>
    <w:basedOn w:val="BOXText"/>
    <w:uiPriority w:val="5"/>
    <w:qFormat/>
    <w:rsid w:val="00BD171D"/>
    <w:pPr>
      <w:numPr>
        <w:numId w:val="28"/>
      </w:numPr>
      <w:ind w:left="584" w:hanging="357"/>
    </w:pPr>
  </w:style>
  <w:style w:type="paragraph" w:customStyle="1" w:styleId="BoxDark-NumberedList">
    <w:name w:val="Box Dark - Numbered List"/>
    <w:basedOn w:val="BOXNumberedList"/>
    <w:uiPriority w:val="8"/>
    <w:rsid w:val="00FE2C7F"/>
    <w:pPr>
      <w:numPr>
        <w:numId w:val="29"/>
      </w:numPr>
      <w:pBdr>
        <w:top w:val="single" w:sz="48" w:space="1" w:color="092B57" w:themeColor="accent1"/>
        <w:left w:val="single" w:sz="48" w:space="4" w:color="092B57" w:themeColor="accent1"/>
        <w:bottom w:val="single" w:sz="48" w:space="1" w:color="092B57" w:themeColor="accent1"/>
        <w:right w:val="single" w:sz="48" w:space="4" w:color="092B57" w:themeColor="accent1"/>
      </w:pBdr>
      <w:shd w:val="clear" w:color="auto" w:fill="092B57" w:themeFill="accent1"/>
      <w:ind w:left="584" w:hanging="357"/>
    </w:pPr>
  </w:style>
  <w:style w:type="table" w:customStyle="1" w:styleId="Custom1">
    <w:name w:val="Custom 1"/>
    <w:basedOn w:val="TableNormal"/>
    <w:uiPriority w:val="99"/>
    <w:rsid w:val="00665FB6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table" w:customStyle="1" w:styleId="Style1">
    <w:name w:val="Style1"/>
    <w:basedOn w:val="Custom1"/>
    <w:uiPriority w:val="99"/>
    <w:rsid w:val="00D500C1"/>
    <w:tblPr>
      <w:tblBorders>
        <w:top w:val="none" w:sz="0" w:space="0" w:color="auto"/>
        <w:left w:val="single" w:sz="4" w:space="0" w:color="092B57" w:themeColor="accent1"/>
        <w:bottom w:val="single" w:sz="4" w:space="0" w:color="092B57" w:themeColor="accent1"/>
        <w:right w:val="single" w:sz="4" w:space="0" w:color="092B57" w:themeColor="accent1"/>
        <w:insideH w:val="none" w:sz="0" w:space="0" w:color="auto"/>
        <w:insideV w:val="single" w:sz="4" w:space="0" w:color="092B57" w:themeColor="accent1"/>
      </w:tblBorders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firstCol">
      <w:rPr>
        <w:b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styleId="NormalWeb">
    <w:name w:val="Normal (Web)"/>
    <w:basedOn w:val="Normal"/>
    <w:uiPriority w:val="99"/>
    <w:semiHidden/>
    <w:unhideWhenUsed/>
    <w:rsid w:val="005505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table" w:customStyle="1" w:styleId="Custom11">
    <w:name w:val="Custom 11"/>
    <w:basedOn w:val="TableNormal"/>
    <w:uiPriority w:val="99"/>
    <w:rsid w:val="005505E3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/>
        <w:sz w:val="18"/>
      </w:rPr>
      <w:tblPr/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sid w:val="00C47BE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BEB"/>
    <w:rPr>
      <w:rFonts w:ascii="Calibri Light" w:hAnsi="Calibri Light"/>
      <w:color w:val="1C2B39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47BEB"/>
    <w:rPr>
      <w:sz w:val="16"/>
      <w:szCs w:val="16"/>
    </w:rPr>
  </w:style>
  <w:style w:type="paragraph" w:styleId="Revision">
    <w:name w:val="Revision"/>
    <w:hidden/>
    <w:uiPriority w:val="99"/>
    <w:semiHidden/>
    <w:rsid w:val="00C47BEB"/>
    <w:pPr>
      <w:spacing w:after="0" w:line="240" w:lineRule="auto"/>
    </w:pPr>
    <w:rPr>
      <w:rFonts w:ascii="Calibri Light" w:hAnsi="Calibri Light"/>
      <w:color w:val="1C2B39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0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43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6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0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56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42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69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1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0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PM&amp;C 2022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092B57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1B375C"/>
      </a:hlink>
      <a:folHlink>
        <a:srgbClr val="1B375C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ED94D-FDE2-4103-AF67-7F0B1A58AC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e6ba7ff-9897-4e65-9803-3be34fd9cf5a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2026-02-18T05:23:00Z</dcterms:created>
  <dcterms:modified xsi:type="dcterms:W3CDTF">2026-02-18T05:24:00Z</dcterms:modified>
  <cp:category/>
</cp:coreProperties>
</file>