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C6BD" w14:textId="77777777" w:rsidR="00BB72B3" w:rsidRDefault="00BB72B3" w:rsidP="00CF4966">
      <w:pPr>
        <w:pStyle w:val="NoSpacing"/>
      </w:pPr>
    </w:p>
    <w:p w14:paraId="43F602D2" w14:textId="77777777" w:rsidR="00BB72B3" w:rsidRDefault="00BB72B3" w:rsidP="00CF4966">
      <w:pPr>
        <w:pStyle w:val="NoSpacing"/>
      </w:pPr>
    </w:p>
    <w:p w14:paraId="4FD71B0A" w14:textId="6619E122" w:rsidR="00CF4966" w:rsidRDefault="00924496" w:rsidP="00CF4966">
      <w:pPr>
        <w:pStyle w:val="NoSpacing"/>
      </w:pPr>
      <w:r>
        <w:t>Ms Joanna Abhayaratna</w:t>
      </w:r>
    </w:p>
    <w:p w14:paraId="1CFC9415" w14:textId="49A4690A" w:rsidR="00924496" w:rsidRPr="00F97C97" w:rsidRDefault="00924496" w:rsidP="00CF4966">
      <w:pPr>
        <w:pStyle w:val="NoSpacing"/>
      </w:pPr>
      <w:r>
        <w:t>Executive Director</w:t>
      </w:r>
    </w:p>
    <w:p w14:paraId="0A3525EE" w14:textId="17F454ED" w:rsidR="00CF4966" w:rsidRPr="00F97C97" w:rsidRDefault="00924496" w:rsidP="00CF4966">
      <w:pPr>
        <w:pStyle w:val="NoSpacing"/>
      </w:pPr>
      <w:r>
        <w:t>Office of Impact Analysis</w:t>
      </w:r>
    </w:p>
    <w:p w14:paraId="33FCC007" w14:textId="23DDC2E4" w:rsidR="00CF4966" w:rsidRPr="00F97C97" w:rsidRDefault="00924496" w:rsidP="00CF4966">
      <w:pPr>
        <w:pStyle w:val="NoSpacing"/>
      </w:pPr>
      <w:r>
        <w:t>Department of the Prime Minister and Cabinet</w:t>
      </w:r>
    </w:p>
    <w:p w14:paraId="025F9899" w14:textId="13490D7B" w:rsidR="00CF4966" w:rsidRPr="00F97C97" w:rsidRDefault="00924496" w:rsidP="00CF4966">
      <w:pPr>
        <w:pStyle w:val="NoSpacing"/>
      </w:pPr>
      <w:r>
        <w:t>1 National Circuit</w:t>
      </w:r>
    </w:p>
    <w:p w14:paraId="286DE712" w14:textId="1C214135" w:rsidR="00CF4966" w:rsidRDefault="00924496" w:rsidP="00CF4966">
      <w:pPr>
        <w:pStyle w:val="NoSpacing"/>
      </w:pPr>
      <w:r>
        <w:t>BARTON ACT 2600</w:t>
      </w:r>
    </w:p>
    <w:p w14:paraId="2727516E" w14:textId="77777777" w:rsidR="00924496" w:rsidRDefault="00924496" w:rsidP="00CF4966">
      <w:pPr>
        <w:pStyle w:val="NoSpacing"/>
      </w:pPr>
    </w:p>
    <w:p w14:paraId="01C9D369" w14:textId="4D1D4DB3" w:rsidR="00924496" w:rsidRPr="00F97C97" w:rsidRDefault="00924496" w:rsidP="00CF4966">
      <w:pPr>
        <w:pStyle w:val="NoSpacing"/>
      </w:pPr>
      <w:r>
        <w:t>Helpdesk-OIA@pmc.gov.au</w:t>
      </w:r>
    </w:p>
    <w:p w14:paraId="1B466DF1" w14:textId="778FF3C3" w:rsidR="00CF4966" w:rsidRDefault="00CF4966" w:rsidP="00AE399D">
      <w:pPr>
        <w:pStyle w:val="Salutation"/>
        <w:rPr>
          <w:b w:val="0"/>
          <w:bCs/>
        </w:rPr>
      </w:pPr>
      <w:r w:rsidRPr="00924496">
        <w:rPr>
          <w:b w:val="0"/>
          <w:bCs/>
        </w:rPr>
        <w:t xml:space="preserve">Dear </w:t>
      </w:r>
      <w:r w:rsidR="00924496" w:rsidRPr="00924496">
        <w:rPr>
          <w:b w:val="0"/>
          <w:bCs/>
        </w:rPr>
        <w:t xml:space="preserve">Ms </w:t>
      </w:r>
      <w:r w:rsidR="00500433" w:rsidRPr="00500433">
        <w:rPr>
          <w:b w:val="0"/>
          <w:bCs/>
        </w:rPr>
        <w:t>Abhayaratna</w:t>
      </w:r>
    </w:p>
    <w:p w14:paraId="2E61FC20" w14:textId="3F740399" w:rsidR="0014152C" w:rsidRPr="00DE3165" w:rsidRDefault="0014152C" w:rsidP="0073686C">
      <w:pPr>
        <w:spacing w:before="240" w:line="300" w:lineRule="exact"/>
        <w:rPr>
          <w:b/>
          <w:bCs/>
          <w:lang w:eastAsia="en-AU"/>
        </w:rPr>
      </w:pPr>
      <w:r w:rsidRPr="00DE3165">
        <w:rPr>
          <w:b/>
          <w:bCs/>
          <w:lang w:eastAsia="en-AU"/>
        </w:rPr>
        <w:t xml:space="preserve">Impact Analysis – </w:t>
      </w:r>
      <w:r w:rsidR="006469C3" w:rsidRPr="00DE3165">
        <w:rPr>
          <w:b/>
          <w:bCs/>
          <w:lang w:eastAsia="en-AU"/>
        </w:rPr>
        <w:t>Improving the water efficiency of commercial ice makers</w:t>
      </w:r>
      <w:r w:rsidRPr="00DE3165">
        <w:rPr>
          <w:b/>
          <w:bCs/>
          <w:lang w:eastAsia="en-AU"/>
        </w:rPr>
        <w:t xml:space="preserve"> – Second Pass Final Assessment</w:t>
      </w:r>
    </w:p>
    <w:p w14:paraId="75CA21D9" w14:textId="249A9C36" w:rsidR="00AF1F9C" w:rsidRDefault="00AF1F9C" w:rsidP="0019291C">
      <w:pPr>
        <w:spacing w:before="240" w:line="300" w:lineRule="exact"/>
        <w:rPr>
          <w:lang w:eastAsia="en-AU"/>
        </w:rPr>
      </w:pPr>
      <w:r w:rsidRPr="0022379C">
        <w:rPr>
          <w:lang w:eastAsia="en-AU"/>
        </w:rPr>
        <w:t xml:space="preserve">I am writing </w:t>
      </w:r>
      <w:r w:rsidR="00A51A75">
        <w:rPr>
          <w:lang w:eastAsia="en-AU"/>
        </w:rPr>
        <w:t xml:space="preserve">in relation </w:t>
      </w:r>
      <w:r w:rsidR="00124484">
        <w:rPr>
          <w:lang w:eastAsia="en-AU"/>
        </w:rPr>
        <w:t xml:space="preserve">to the enclosed Impact Analysis (IA) </w:t>
      </w:r>
      <w:r w:rsidR="00CA06CA">
        <w:rPr>
          <w:lang w:eastAsia="en-AU"/>
        </w:rPr>
        <w:t xml:space="preserve">which analyses options </w:t>
      </w:r>
      <w:r w:rsidR="00655475">
        <w:rPr>
          <w:lang w:eastAsia="en-AU"/>
        </w:rPr>
        <w:t xml:space="preserve">to improve the </w:t>
      </w:r>
      <w:r w:rsidRPr="0022379C">
        <w:rPr>
          <w:lang w:eastAsia="en-AU"/>
        </w:rPr>
        <w:t xml:space="preserve">water efficiency of commercial ice makers </w:t>
      </w:r>
      <w:r w:rsidR="00DD628D" w:rsidRPr="0022379C">
        <w:rPr>
          <w:lang w:eastAsia="en-AU"/>
        </w:rPr>
        <w:t>under the Water Efficiency Labelling and Standards (WELS) scheme</w:t>
      </w:r>
      <w:r w:rsidRPr="0022379C">
        <w:rPr>
          <w:lang w:eastAsia="en-AU"/>
        </w:rPr>
        <w:t>.</w:t>
      </w:r>
    </w:p>
    <w:p w14:paraId="11278FF9" w14:textId="7DA026F5" w:rsidR="003E22AC" w:rsidRDefault="00287954" w:rsidP="00727C6A">
      <w:pPr>
        <w:spacing w:before="240" w:line="300" w:lineRule="exact"/>
        <w:rPr>
          <w:lang w:eastAsia="en-AU"/>
        </w:rPr>
      </w:pPr>
      <w:r w:rsidRPr="00727C6A">
        <w:rPr>
          <w:lang w:eastAsia="en-AU"/>
        </w:rPr>
        <w:t xml:space="preserve">I am satisfied that the </w:t>
      </w:r>
      <w:r w:rsidR="00763365">
        <w:rPr>
          <w:lang w:eastAsia="en-AU"/>
        </w:rPr>
        <w:t xml:space="preserve">IA </w:t>
      </w:r>
      <w:r w:rsidRPr="00727C6A">
        <w:rPr>
          <w:lang w:eastAsia="en-AU"/>
        </w:rPr>
        <w:t xml:space="preserve">addresses the </w:t>
      </w:r>
      <w:r w:rsidR="001F0BA1">
        <w:rPr>
          <w:lang w:eastAsia="en-AU"/>
        </w:rPr>
        <w:t>issues</w:t>
      </w:r>
      <w:r w:rsidRPr="00727C6A">
        <w:rPr>
          <w:lang w:eastAsia="en-AU"/>
        </w:rPr>
        <w:t xml:space="preserve"> raised in your letter of </w:t>
      </w:r>
      <w:r w:rsidR="00727C6A" w:rsidRPr="00727C6A">
        <w:rPr>
          <w:lang w:eastAsia="en-AU"/>
        </w:rPr>
        <w:t>20 October 2025</w:t>
      </w:r>
      <w:r w:rsidR="00EA1F78">
        <w:rPr>
          <w:lang w:eastAsia="en-AU"/>
        </w:rPr>
        <w:t>, following your first pass assessment</w:t>
      </w:r>
      <w:r w:rsidRPr="00727C6A">
        <w:rPr>
          <w:lang w:eastAsia="en-AU"/>
        </w:rPr>
        <w:t xml:space="preserve">. </w:t>
      </w:r>
      <w:r w:rsidR="00B154B8">
        <w:rPr>
          <w:lang w:eastAsia="en-AU"/>
        </w:rPr>
        <w:t>The Department of Climate Change, Energy, the Environment and Water</w:t>
      </w:r>
      <w:r w:rsidR="005A0291">
        <w:rPr>
          <w:lang w:eastAsia="en-AU"/>
        </w:rPr>
        <w:t xml:space="preserve"> (the department) </w:t>
      </w:r>
      <w:r w:rsidR="00AC08F1">
        <w:rPr>
          <w:lang w:eastAsia="en-AU"/>
        </w:rPr>
        <w:t xml:space="preserve">has </w:t>
      </w:r>
      <w:r w:rsidR="00B154B8">
        <w:rPr>
          <w:lang w:eastAsia="en-AU"/>
        </w:rPr>
        <w:t xml:space="preserve">worked </w:t>
      </w:r>
      <w:r w:rsidR="001E496E">
        <w:rPr>
          <w:lang w:eastAsia="en-AU"/>
        </w:rPr>
        <w:t xml:space="preserve">constructively and in an iterative manner with the Office of Impact Analysis </w:t>
      </w:r>
      <w:r w:rsidR="003E22AC">
        <w:rPr>
          <w:lang w:eastAsia="en-AU"/>
        </w:rPr>
        <w:t xml:space="preserve">(OIA) </w:t>
      </w:r>
      <w:r w:rsidR="001E496E">
        <w:rPr>
          <w:lang w:eastAsia="en-AU"/>
        </w:rPr>
        <w:t xml:space="preserve">to </w:t>
      </w:r>
      <w:r w:rsidR="00F43009">
        <w:rPr>
          <w:lang w:eastAsia="en-AU"/>
        </w:rPr>
        <w:t xml:space="preserve">deliver the </w:t>
      </w:r>
      <w:r w:rsidR="003E22AC">
        <w:rPr>
          <w:lang w:eastAsia="en-AU"/>
        </w:rPr>
        <w:t xml:space="preserve">second pass </w:t>
      </w:r>
      <w:r w:rsidR="00F43009">
        <w:rPr>
          <w:lang w:eastAsia="en-AU"/>
        </w:rPr>
        <w:t>IA</w:t>
      </w:r>
      <w:r w:rsidR="003E22AC">
        <w:rPr>
          <w:lang w:eastAsia="en-AU"/>
        </w:rPr>
        <w:t>.</w:t>
      </w:r>
    </w:p>
    <w:p w14:paraId="5D83DA0E" w14:textId="2AA54876" w:rsidR="00287954" w:rsidRDefault="00F5506A" w:rsidP="00727C6A">
      <w:pPr>
        <w:spacing w:before="240" w:line="300" w:lineRule="exact"/>
        <w:rPr>
          <w:lang w:eastAsia="en-AU"/>
        </w:rPr>
      </w:pPr>
      <w:r>
        <w:rPr>
          <w:lang w:eastAsia="en-AU"/>
        </w:rPr>
        <w:t>The IA has been clarified and strengthen</w:t>
      </w:r>
      <w:r w:rsidR="00BB57B7">
        <w:rPr>
          <w:lang w:eastAsia="en-AU"/>
        </w:rPr>
        <w:t>ed</w:t>
      </w:r>
      <w:r w:rsidR="007B342E">
        <w:rPr>
          <w:lang w:eastAsia="en-AU"/>
        </w:rPr>
        <w:t>, with th</w:t>
      </w:r>
      <w:r w:rsidR="005A0291">
        <w:rPr>
          <w:lang w:eastAsia="en-AU"/>
        </w:rPr>
        <w:t xml:space="preserve">e department </w:t>
      </w:r>
      <w:r w:rsidR="007B342E">
        <w:rPr>
          <w:lang w:eastAsia="en-AU"/>
        </w:rPr>
        <w:t xml:space="preserve">addressing </w:t>
      </w:r>
      <w:r w:rsidR="004F32F3">
        <w:rPr>
          <w:lang w:eastAsia="en-AU"/>
        </w:rPr>
        <w:t>the issues raised in Attachment A of your letter, including:</w:t>
      </w:r>
    </w:p>
    <w:p w14:paraId="4F4CAC62" w14:textId="2F312CEA" w:rsidR="005A0291" w:rsidRDefault="00F56882" w:rsidP="005A0291">
      <w:pPr>
        <w:pStyle w:val="ListParagraph"/>
        <w:numPr>
          <w:ilvl w:val="0"/>
          <w:numId w:val="40"/>
        </w:numPr>
        <w:spacing w:before="240" w:line="300" w:lineRule="exact"/>
        <w:rPr>
          <w:lang w:eastAsia="en-AU"/>
        </w:rPr>
      </w:pPr>
      <w:r>
        <w:rPr>
          <w:rFonts w:asciiTheme="majorHAnsi" w:hAnsiTheme="majorHAnsi" w:cstheme="majorHAnsi"/>
        </w:rPr>
        <w:t xml:space="preserve">the role of </w:t>
      </w:r>
      <w:r w:rsidR="005D1468">
        <w:rPr>
          <w:rFonts w:asciiTheme="majorHAnsi" w:hAnsiTheme="majorHAnsi" w:cstheme="majorHAnsi"/>
        </w:rPr>
        <w:t xml:space="preserve">international </w:t>
      </w:r>
      <w:r w:rsidR="00D937DF">
        <w:rPr>
          <w:rFonts w:asciiTheme="majorHAnsi" w:hAnsiTheme="majorHAnsi" w:cstheme="majorHAnsi"/>
        </w:rPr>
        <w:t xml:space="preserve">and domestic product </w:t>
      </w:r>
      <w:r w:rsidR="005D1468">
        <w:rPr>
          <w:rFonts w:asciiTheme="majorHAnsi" w:hAnsiTheme="majorHAnsi" w:cstheme="majorHAnsi"/>
        </w:rPr>
        <w:t>standards</w:t>
      </w:r>
      <w:r w:rsidR="00D937DF">
        <w:rPr>
          <w:rFonts w:asciiTheme="majorHAnsi" w:hAnsiTheme="majorHAnsi" w:cstheme="majorHAnsi"/>
        </w:rPr>
        <w:t>, and th</w:t>
      </w:r>
      <w:r w:rsidR="00A35964">
        <w:rPr>
          <w:rFonts w:asciiTheme="majorHAnsi" w:hAnsiTheme="majorHAnsi" w:cstheme="majorHAnsi"/>
        </w:rPr>
        <w:t xml:space="preserve">e alignment </w:t>
      </w:r>
      <w:r w:rsidR="007F2BE0">
        <w:rPr>
          <w:rFonts w:asciiTheme="majorHAnsi" w:hAnsiTheme="majorHAnsi" w:cstheme="majorHAnsi"/>
        </w:rPr>
        <w:t>of</w:t>
      </w:r>
      <w:r w:rsidR="00A35964">
        <w:rPr>
          <w:rFonts w:asciiTheme="majorHAnsi" w:hAnsiTheme="majorHAnsi" w:cstheme="majorHAnsi"/>
        </w:rPr>
        <w:t xml:space="preserve"> </w:t>
      </w:r>
      <w:r w:rsidR="00DF2474">
        <w:rPr>
          <w:rFonts w:asciiTheme="majorHAnsi" w:hAnsiTheme="majorHAnsi" w:cstheme="majorHAnsi"/>
        </w:rPr>
        <w:t xml:space="preserve">proposed </w:t>
      </w:r>
      <w:r w:rsidR="003226E6">
        <w:rPr>
          <w:rFonts w:asciiTheme="majorHAnsi" w:hAnsiTheme="majorHAnsi" w:cstheme="majorHAnsi"/>
        </w:rPr>
        <w:t xml:space="preserve">product </w:t>
      </w:r>
      <w:r w:rsidR="00DF2474">
        <w:rPr>
          <w:rFonts w:asciiTheme="majorHAnsi" w:hAnsiTheme="majorHAnsi" w:cstheme="majorHAnsi"/>
        </w:rPr>
        <w:t xml:space="preserve">labelling and </w:t>
      </w:r>
      <w:r w:rsidR="003226E6">
        <w:rPr>
          <w:rFonts w:asciiTheme="majorHAnsi" w:hAnsiTheme="majorHAnsi" w:cstheme="majorHAnsi"/>
        </w:rPr>
        <w:t>M</w:t>
      </w:r>
      <w:r w:rsidR="00DF2474">
        <w:rPr>
          <w:rFonts w:asciiTheme="majorHAnsi" w:hAnsiTheme="majorHAnsi" w:cstheme="majorHAnsi"/>
        </w:rPr>
        <w:t xml:space="preserve">inimum </w:t>
      </w:r>
      <w:r w:rsidR="003226E6">
        <w:rPr>
          <w:rFonts w:asciiTheme="majorHAnsi" w:hAnsiTheme="majorHAnsi" w:cstheme="majorHAnsi"/>
        </w:rPr>
        <w:t>Water Efficiency S</w:t>
      </w:r>
      <w:r w:rsidR="00DF2474">
        <w:rPr>
          <w:rFonts w:asciiTheme="majorHAnsi" w:hAnsiTheme="majorHAnsi" w:cstheme="majorHAnsi"/>
        </w:rPr>
        <w:t>tandards</w:t>
      </w:r>
      <w:r w:rsidR="00E02483">
        <w:rPr>
          <w:rFonts w:asciiTheme="majorHAnsi" w:hAnsiTheme="majorHAnsi" w:cstheme="majorHAnsi"/>
        </w:rPr>
        <w:t xml:space="preserve"> requirements</w:t>
      </w:r>
    </w:p>
    <w:p w14:paraId="5EEFEA0B" w14:textId="17B20FFC" w:rsidR="005A0291" w:rsidRPr="007F528D" w:rsidRDefault="00EC2BE1" w:rsidP="005A0291">
      <w:pPr>
        <w:pStyle w:val="ListParagraph"/>
        <w:numPr>
          <w:ilvl w:val="0"/>
          <w:numId w:val="40"/>
        </w:numPr>
        <w:spacing w:before="240" w:line="300" w:lineRule="exact"/>
        <w:rPr>
          <w:lang w:eastAsia="en-AU"/>
        </w:rPr>
      </w:pPr>
      <w:r>
        <w:rPr>
          <w:rFonts w:asciiTheme="majorHAnsi" w:hAnsiTheme="majorHAnsi" w:cstheme="majorHAnsi"/>
        </w:rPr>
        <w:t xml:space="preserve">language to more </w:t>
      </w:r>
      <w:r w:rsidR="00047F12">
        <w:rPr>
          <w:rFonts w:asciiTheme="majorHAnsi" w:hAnsiTheme="majorHAnsi" w:cstheme="majorHAnsi"/>
        </w:rPr>
        <w:t>strongly</w:t>
      </w:r>
      <w:r>
        <w:rPr>
          <w:rFonts w:asciiTheme="majorHAnsi" w:hAnsiTheme="majorHAnsi" w:cstheme="majorHAnsi"/>
        </w:rPr>
        <w:t xml:space="preserve"> connect the objective of intervention</w:t>
      </w:r>
      <w:r w:rsidR="00C762C1">
        <w:rPr>
          <w:rFonts w:asciiTheme="majorHAnsi" w:hAnsiTheme="majorHAnsi" w:cstheme="majorHAnsi"/>
        </w:rPr>
        <w:t xml:space="preserve"> </w:t>
      </w:r>
      <w:r w:rsidR="00BF4DCF">
        <w:rPr>
          <w:rFonts w:asciiTheme="majorHAnsi" w:hAnsiTheme="majorHAnsi" w:cstheme="majorHAnsi"/>
        </w:rPr>
        <w:t>and the proposed options</w:t>
      </w:r>
    </w:p>
    <w:p w14:paraId="75B56B6B" w14:textId="6676FDF3" w:rsidR="007F528D" w:rsidRDefault="007F528D" w:rsidP="005A0291">
      <w:pPr>
        <w:pStyle w:val="ListParagraph"/>
        <w:numPr>
          <w:ilvl w:val="0"/>
          <w:numId w:val="40"/>
        </w:numPr>
        <w:spacing w:before="240" w:line="300" w:lineRule="exact"/>
        <w:rPr>
          <w:lang w:eastAsia="en-AU"/>
        </w:rPr>
      </w:pPr>
      <w:r>
        <w:rPr>
          <w:rFonts w:asciiTheme="majorHAnsi" w:hAnsiTheme="majorHAnsi" w:cstheme="majorHAnsi"/>
        </w:rPr>
        <w:t>the</w:t>
      </w:r>
      <w:r w:rsidR="00DA4E03">
        <w:rPr>
          <w:rFonts w:asciiTheme="majorHAnsi" w:hAnsiTheme="majorHAnsi" w:cstheme="majorHAnsi"/>
        </w:rPr>
        <w:t xml:space="preserve"> clear identification of implementation risks, including their </w:t>
      </w:r>
      <w:r w:rsidR="00047F12">
        <w:rPr>
          <w:rFonts w:asciiTheme="majorHAnsi" w:hAnsiTheme="majorHAnsi" w:cstheme="majorHAnsi"/>
        </w:rPr>
        <w:t>likelihood,</w:t>
      </w:r>
      <w:r w:rsidR="00C20BCB">
        <w:rPr>
          <w:rFonts w:asciiTheme="majorHAnsi" w:hAnsiTheme="majorHAnsi" w:cstheme="majorHAnsi"/>
        </w:rPr>
        <w:t xml:space="preserve"> </w:t>
      </w:r>
      <w:r w:rsidR="00CA06CA">
        <w:rPr>
          <w:rFonts w:asciiTheme="majorHAnsi" w:hAnsiTheme="majorHAnsi" w:cstheme="majorHAnsi"/>
        </w:rPr>
        <w:t>consequence,</w:t>
      </w:r>
      <w:r w:rsidR="00C20BCB">
        <w:rPr>
          <w:rFonts w:asciiTheme="majorHAnsi" w:hAnsiTheme="majorHAnsi" w:cstheme="majorHAnsi"/>
        </w:rPr>
        <w:t xml:space="preserve"> and mitigation.</w:t>
      </w:r>
    </w:p>
    <w:p w14:paraId="50B34BFE" w14:textId="08FFA77C" w:rsidR="005A0291" w:rsidRDefault="006B274B" w:rsidP="005A0291">
      <w:pPr>
        <w:pStyle w:val="ListParagraph"/>
        <w:numPr>
          <w:ilvl w:val="0"/>
          <w:numId w:val="40"/>
        </w:numPr>
        <w:spacing w:before="240" w:line="300" w:lineRule="exact"/>
        <w:rPr>
          <w:lang w:eastAsia="en-AU"/>
        </w:rPr>
      </w:pPr>
      <w:r>
        <w:rPr>
          <w:rFonts w:asciiTheme="majorHAnsi" w:hAnsiTheme="majorHAnsi" w:cstheme="majorHAnsi"/>
        </w:rPr>
        <w:t xml:space="preserve">presentation of regulatory burden data </w:t>
      </w:r>
      <w:r w:rsidR="009775F1">
        <w:rPr>
          <w:rFonts w:asciiTheme="majorHAnsi" w:hAnsiTheme="majorHAnsi" w:cstheme="majorHAnsi"/>
        </w:rPr>
        <w:t xml:space="preserve">as </w:t>
      </w:r>
      <w:r w:rsidR="00A251B0">
        <w:rPr>
          <w:rFonts w:asciiTheme="majorHAnsi" w:hAnsiTheme="majorHAnsi" w:cstheme="majorHAnsi"/>
        </w:rPr>
        <w:t>an average annual cost over a 10-year period.</w:t>
      </w:r>
    </w:p>
    <w:p w14:paraId="08689DF2" w14:textId="59CF185C" w:rsidR="00F206A9" w:rsidRDefault="00CA06CA" w:rsidP="006267DB">
      <w:pPr>
        <w:spacing w:before="240" w:line="300" w:lineRule="exact"/>
        <w:rPr>
          <w:lang w:eastAsia="en-AU"/>
        </w:rPr>
      </w:pPr>
      <w:r w:rsidRPr="00E82EEF">
        <w:rPr>
          <w:lang w:eastAsia="en-AU"/>
        </w:rPr>
        <w:t xml:space="preserve">The </w:t>
      </w:r>
      <w:r w:rsidRPr="00727C6A">
        <w:rPr>
          <w:lang w:eastAsia="en-AU"/>
        </w:rPr>
        <w:t xml:space="preserve">regulatory burden to business, community organisations or individuals is quantified using the Australian Government’s </w:t>
      </w:r>
      <w:r w:rsidRPr="00C13C86">
        <w:rPr>
          <w:i/>
          <w:iCs/>
          <w:lang w:eastAsia="en-AU"/>
        </w:rPr>
        <w:t>Regulatory Burden Measurement</w:t>
      </w:r>
      <w:r w:rsidRPr="00727C6A">
        <w:rPr>
          <w:lang w:eastAsia="en-AU"/>
        </w:rPr>
        <w:t xml:space="preserve"> framework and is provided below.</w:t>
      </w:r>
      <w:r>
        <w:rPr>
          <w:lang w:eastAsia="en-AU"/>
        </w:rPr>
        <w:t xml:space="preserve"> </w:t>
      </w:r>
      <w:r w:rsidR="00F206A9">
        <w:rPr>
          <w:lang w:eastAsia="en-AU"/>
        </w:rPr>
        <w:t>In recognition of</w:t>
      </w:r>
      <w:r w:rsidR="00604806">
        <w:rPr>
          <w:lang w:eastAsia="en-AU"/>
        </w:rPr>
        <w:t xml:space="preserve"> potential </w:t>
      </w:r>
      <w:r w:rsidR="00F206A9">
        <w:rPr>
          <w:lang w:eastAsia="en-AU"/>
        </w:rPr>
        <w:t xml:space="preserve">implementation risks and </w:t>
      </w:r>
      <w:r w:rsidR="009A3F95">
        <w:rPr>
          <w:lang w:eastAsia="en-AU"/>
        </w:rPr>
        <w:t>the need to strengthen data holdings in relation to the Australian commercial ice maker market, a stage</w:t>
      </w:r>
      <w:r>
        <w:rPr>
          <w:lang w:eastAsia="en-AU"/>
        </w:rPr>
        <w:t>d</w:t>
      </w:r>
      <w:r w:rsidR="009A3F95">
        <w:rPr>
          <w:lang w:eastAsia="en-AU"/>
        </w:rPr>
        <w:t xml:space="preserve"> approach to </w:t>
      </w:r>
      <w:r w:rsidR="0088371B">
        <w:rPr>
          <w:lang w:eastAsia="en-AU"/>
        </w:rPr>
        <w:t xml:space="preserve">the </w:t>
      </w:r>
      <w:r w:rsidR="009A3F95">
        <w:rPr>
          <w:lang w:eastAsia="en-AU"/>
        </w:rPr>
        <w:t xml:space="preserve">implementation of options </w:t>
      </w:r>
      <w:r w:rsidR="005950D2">
        <w:rPr>
          <w:lang w:eastAsia="en-AU"/>
        </w:rPr>
        <w:t>will be taken</w:t>
      </w:r>
      <w:r w:rsidR="009A3F95">
        <w:rPr>
          <w:lang w:eastAsia="en-AU"/>
        </w:rPr>
        <w:t>.</w:t>
      </w:r>
      <w:r w:rsidR="000917FE">
        <w:rPr>
          <w:lang w:eastAsia="en-AU"/>
        </w:rPr>
        <w:t xml:space="preserve"> This is reflected in the regulatory burden estimates table.</w:t>
      </w:r>
    </w:p>
    <w:p w14:paraId="6ADA178D" w14:textId="72ADACBB" w:rsidR="006267DB" w:rsidRPr="00727C6A" w:rsidRDefault="00CA06CA" w:rsidP="006267DB">
      <w:pPr>
        <w:spacing w:before="240" w:line="300" w:lineRule="exact"/>
        <w:rPr>
          <w:lang w:eastAsia="en-AU"/>
        </w:rPr>
      </w:pPr>
      <w:r>
        <w:rPr>
          <w:lang w:eastAsia="en-AU"/>
        </w:rPr>
        <w:t>T</w:t>
      </w:r>
      <w:r w:rsidR="00A378F6">
        <w:rPr>
          <w:lang w:eastAsia="en-AU"/>
        </w:rPr>
        <w:t>he regulatory burden estimate table shows the cost of two options</w:t>
      </w:r>
      <w:r w:rsidR="00A95289">
        <w:rPr>
          <w:lang w:eastAsia="en-AU"/>
        </w:rPr>
        <w:t xml:space="preserve"> (</w:t>
      </w:r>
      <w:r w:rsidR="00C10EA0">
        <w:rPr>
          <w:lang w:eastAsia="en-AU"/>
        </w:rPr>
        <w:t xml:space="preserve">non-regulatory </w:t>
      </w:r>
      <w:r w:rsidR="00A95289">
        <w:rPr>
          <w:lang w:eastAsia="en-AU"/>
        </w:rPr>
        <w:t>Option 2</w:t>
      </w:r>
      <w:r w:rsidR="00165720">
        <w:rPr>
          <w:lang w:eastAsia="en-AU"/>
        </w:rPr>
        <w:t xml:space="preserve"> and</w:t>
      </w:r>
      <w:r w:rsidR="00A95289">
        <w:rPr>
          <w:lang w:eastAsia="en-AU"/>
        </w:rPr>
        <w:t xml:space="preserve"> </w:t>
      </w:r>
      <w:r w:rsidR="00C10EA0">
        <w:rPr>
          <w:lang w:eastAsia="en-AU"/>
        </w:rPr>
        <w:t xml:space="preserve">regulatory </w:t>
      </w:r>
      <w:r w:rsidR="004F141E">
        <w:rPr>
          <w:lang w:eastAsia="en-AU"/>
        </w:rPr>
        <w:t xml:space="preserve">Option </w:t>
      </w:r>
      <w:r w:rsidR="00A95289">
        <w:rPr>
          <w:lang w:eastAsia="en-AU"/>
        </w:rPr>
        <w:t xml:space="preserve">3A). A decision on which option to pursue will be made in mid-2026, after </w:t>
      </w:r>
      <w:r w:rsidR="0051351C">
        <w:rPr>
          <w:lang w:eastAsia="en-AU"/>
        </w:rPr>
        <w:t xml:space="preserve">commercial ice maker </w:t>
      </w:r>
      <w:r w:rsidR="00D969E6">
        <w:rPr>
          <w:lang w:eastAsia="en-AU"/>
        </w:rPr>
        <w:t xml:space="preserve">data is gathered </w:t>
      </w:r>
      <w:r w:rsidR="001E17F8">
        <w:rPr>
          <w:lang w:eastAsia="en-AU"/>
        </w:rPr>
        <w:t xml:space="preserve">and analysed </w:t>
      </w:r>
      <w:r w:rsidR="00D969E6">
        <w:rPr>
          <w:lang w:eastAsia="en-AU"/>
        </w:rPr>
        <w:t xml:space="preserve">through </w:t>
      </w:r>
      <w:r w:rsidR="0051351C">
        <w:rPr>
          <w:lang w:eastAsia="en-AU"/>
        </w:rPr>
        <w:t xml:space="preserve">mechanisms available under </w:t>
      </w:r>
      <w:r w:rsidR="00D969E6">
        <w:rPr>
          <w:lang w:eastAsia="en-AU"/>
        </w:rPr>
        <w:t>the status quo (Option 1).</w:t>
      </w:r>
    </w:p>
    <w:p w14:paraId="5F5B3913" w14:textId="77777777" w:rsidR="00A8185E" w:rsidRPr="001C0867" w:rsidRDefault="00A8185E" w:rsidP="001C0867">
      <w:pPr>
        <w:keepNext/>
        <w:keepLines/>
        <w:spacing w:before="40" w:after="0"/>
        <w:outlineLvl w:val="1"/>
        <w:rPr>
          <w:rFonts w:ascii="Calibri" w:hAnsi="Calibri" w:cs="Calibri"/>
          <w:b/>
          <w:color w:val="000000"/>
        </w:rPr>
      </w:pPr>
      <w:r w:rsidRPr="001C0867">
        <w:rPr>
          <w:rFonts w:ascii="Calibri" w:hAnsi="Calibri" w:cs="Calibri"/>
          <w:b/>
          <w:color w:val="000000"/>
        </w:rPr>
        <w:lastRenderedPageBreak/>
        <w:t>Regulatory burden estimate table</w:t>
      </w:r>
    </w:p>
    <w:tbl>
      <w:tblPr>
        <w:tblStyle w:val="LightGrid-Accent21"/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  <w:tblCaption w:val="Regulatory burden and cost offset estimate table"/>
        <w:tblDescription w:val="Template for the Regulatory burden and cost offset estimate table"/>
      </w:tblPr>
      <w:tblGrid>
        <w:gridCol w:w="1871"/>
        <w:gridCol w:w="2088"/>
        <w:gridCol w:w="1654"/>
        <w:gridCol w:w="1748"/>
        <w:gridCol w:w="1995"/>
      </w:tblGrid>
      <w:tr w:rsidR="001236CE" w:rsidRPr="001236CE" w14:paraId="068FCC93" w14:textId="77777777" w:rsidTr="00462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5"/>
            <w:shd w:val="clear" w:color="auto" w:fill="0F243E"/>
            <w:noWrap/>
          </w:tcPr>
          <w:p w14:paraId="49A97F91" w14:textId="2E77E4AF" w:rsidR="00A8185E" w:rsidRPr="001236CE" w:rsidRDefault="00A8185E" w:rsidP="0046293F">
            <w:pPr>
              <w:spacing w:before="120"/>
              <w:rPr>
                <w:rFonts w:ascii="Calibri" w:hAnsi="Calibri" w:cs="Calibri"/>
                <w:sz w:val="20"/>
              </w:rPr>
            </w:pPr>
            <w:r w:rsidRPr="001236CE">
              <w:rPr>
                <w:rFonts w:ascii="Calibri" w:hAnsi="Calibri" w:cs="Calibri"/>
                <w:sz w:val="20"/>
              </w:rPr>
              <w:t>Average annual regulatory costs</w:t>
            </w:r>
            <w:r w:rsidR="00864389" w:rsidRPr="001236CE">
              <w:rPr>
                <w:rFonts w:ascii="Calibri" w:hAnsi="Calibri" w:cs="Calibri"/>
                <w:sz w:val="20"/>
              </w:rPr>
              <w:t xml:space="preserve"> over 10 years</w:t>
            </w:r>
            <w:r w:rsidRPr="001236CE">
              <w:rPr>
                <w:rFonts w:ascii="Calibri" w:hAnsi="Calibri" w:cs="Calibri"/>
                <w:sz w:val="20"/>
              </w:rPr>
              <w:t xml:space="preserve"> (from business as usual)</w:t>
            </w:r>
          </w:p>
        </w:tc>
      </w:tr>
      <w:tr w:rsidR="001236CE" w:rsidRPr="001236CE" w14:paraId="36521F8A" w14:textId="77777777" w:rsidTr="001236C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4E355941" w14:textId="77777777" w:rsidR="00A8185E" w:rsidRPr="001236CE" w:rsidRDefault="00A8185E" w:rsidP="0046293F">
            <w:pPr>
              <w:spacing w:before="120" w:line="240" w:lineRule="auto"/>
              <w:rPr>
                <w:rFonts w:ascii="Calibri" w:hAnsi="Calibri" w:cs="Calibri"/>
                <w:b w:val="0"/>
                <w:bCs w:val="0"/>
                <w:sz w:val="20"/>
              </w:rPr>
            </w:pPr>
            <w:r w:rsidRPr="001236CE">
              <w:rPr>
                <w:rFonts w:ascii="Calibri" w:hAnsi="Calibri" w:cs="Calibri"/>
                <w:sz w:val="20"/>
              </w:rPr>
              <w:t>Change in costs</w:t>
            </w:r>
          </w:p>
          <w:p w14:paraId="55A7D049" w14:textId="37B026DF" w:rsidR="00CA52A1" w:rsidRPr="001236CE" w:rsidRDefault="00CA52A1" w:rsidP="0046293F">
            <w:pPr>
              <w:spacing w:before="120" w:line="240" w:lineRule="auto"/>
              <w:rPr>
                <w:rFonts w:ascii="Calibri" w:hAnsi="Calibri" w:cs="Calibri"/>
                <w:sz w:val="20"/>
              </w:rPr>
            </w:pPr>
            <w:r w:rsidRPr="001236CE">
              <w:rPr>
                <w:rFonts w:ascii="Calibri" w:hAnsi="Calibri" w:cs="Calibri"/>
                <w:sz w:val="20"/>
              </w:rPr>
              <w:t>($ million)</w:t>
            </w:r>
          </w:p>
        </w:tc>
        <w:tc>
          <w:tcPr>
            <w:tcW w:w="2088" w:type="dxa"/>
            <w:noWrap/>
          </w:tcPr>
          <w:p w14:paraId="21EE52CB" w14:textId="77777777" w:rsidR="00A8185E" w:rsidRPr="001236CE" w:rsidRDefault="00A8185E" w:rsidP="0046293F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</w:rPr>
            </w:pPr>
            <w:r w:rsidRPr="001236CE">
              <w:rPr>
                <w:rFonts w:ascii="Calibri" w:hAnsi="Calibri" w:cs="Calibri"/>
                <w:bCs/>
                <w:sz w:val="20"/>
              </w:rPr>
              <w:t>Business</w:t>
            </w:r>
          </w:p>
        </w:tc>
        <w:tc>
          <w:tcPr>
            <w:tcW w:w="1654" w:type="dxa"/>
            <w:noWrap/>
          </w:tcPr>
          <w:p w14:paraId="4EEAFA28" w14:textId="77777777" w:rsidR="00A8185E" w:rsidRPr="001236CE" w:rsidRDefault="00A8185E" w:rsidP="0046293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236CE">
              <w:rPr>
                <w:rFonts w:ascii="Calibri" w:hAnsi="Calibri" w:cs="Calibri"/>
                <w:sz w:val="20"/>
              </w:rPr>
              <w:t>Community organisations</w:t>
            </w:r>
          </w:p>
        </w:tc>
        <w:tc>
          <w:tcPr>
            <w:tcW w:w="1748" w:type="dxa"/>
            <w:noWrap/>
          </w:tcPr>
          <w:p w14:paraId="278BA427" w14:textId="77777777" w:rsidR="00A8185E" w:rsidRPr="001236CE" w:rsidRDefault="00A8185E" w:rsidP="0046293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236CE">
              <w:rPr>
                <w:rFonts w:ascii="Calibri" w:hAnsi="Calibri" w:cs="Calibri"/>
                <w:sz w:val="20"/>
              </w:rPr>
              <w:t>Individuals</w:t>
            </w:r>
          </w:p>
        </w:tc>
        <w:tc>
          <w:tcPr>
            <w:tcW w:w="1995" w:type="dxa"/>
            <w:noWrap/>
          </w:tcPr>
          <w:p w14:paraId="33253AEB" w14:textId="77777777" w:rsidR="00A8185E" w:rsidRPr="001236CE" w:rsidRDefault="00A8185E" w:rsidP="0046293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236CE">
              <w:rPr>
                <w:rFonts w:ascii="Calibri" w:hAnsi="Calibri" w:cs="Calibri"/>
                <w:sz w:val="20"/>
              </w:rPr>
              <w:t>Total change in costs</w:t>
            </w:r>
          </w:p>
        </w:tc>
      </w:tr>
      <w:tr w:rsidR="001236CE" w:rsidRPr="001236CE" w14:paraId="7A8F50B0" w14:textId="77777777" w:rsidTr="001236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790C6A1" w14:textId="77777777" w:rsidR="00A8185E" w:rsidRPr="001236CE" w:rsidRDefault="00A8185E" w:rsidP="0046293F">
            <w:pPr>
              <w:spacing w:before="120"/>
              <w:rPr>
                <w:rFonts w:ascii="Calibri" w:hAnsi="Calibri" w:cs="Calibri"/>
                <w:sz w:val="20"/>
              </w:rPr>
            </w:pPr>
            <w:r w:rsidRPr="001236CE">
              <w:rPr>
                <w:rFonts w:ascii="Calibri" w:hAnsi="Calibri" w:cs="Calibri"/>
                <w:sz w:val="20"/>
              </w:rPr>
              <w:t>Total, by sector</w:t>
            </w:r>
          </w:p>
        </w:tc>
        <w:tc>
          <w:tcPr>
            <w:tcW w:w="20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81F2D89" w14:textId="27E9B330" w:rsidR="00A8185E" w:rsidRPr="001236CE" w:rsidRDefault="00A8185E" w:rsidP="0046293F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236CE">
              <w:rPr>
                <w:rFonts w:ascii="Calibri" w:hAnsi="Calibri" w:cs="Calibri"/>
                <w:sz w:val="20"/>
              </w:rPr>
              <w:t>$</w:t>
            </w:r>
            <w:r w:rsidR="00CA52A1" w:rsidRPr="001236CE">
              <w:rPr>
                <w:rFonts w:ascii="Calibri" w:hAnsi="Calibri" w:cs="Calibri"/>
                <w:sz w:val="20"/>
              </w:rPr>
              <w:t>0.083</w:t>
            </w:r>
            <w:r w:rsidR="00D27743" w:rsidRPr="001236CE">
              <w:rPr>
                <w:rFonts w:ascii="Calibri" w:hAnsi="Calibri" w:cs="Calibri"/>
                <w:sz w:val="20"/>
              </w:rPr>
              <w:t xml:space="preserve"> (Option 2)</w:t>
            </w:r>
          </w:p>
          <w:p w14:paraId="5820CBA1" w14:textId="4040CE75" w:rsidR="009B2A17" w:rsidRPr="001236CE" w:rsidRDefault="00080C08" w:rsidP="0046293F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236CE">
              <w:rPr>
                <w:rFonts w:ascii="Calibri" w:hAnsi="Calibri" w:cs="Calibri"/>
                <w:sz w:val="20"/>
              </w:rPr>
              <w:t>$</w:t>
            </w:r>
            <w:r w:rsidR="00CA52A1" w:rsidRPr="001236CE">
              <w:rPr>
                <w:rFonts w:ascii="Calibri" w:hAnsi="Calibri" w:cs="Calibri"/>
                <w:sz w:val="20"/>
              </w:rPr>
              <w:t>0.262</w:t>
            </w:r>
            <w:r w:rsidRPr="001236CE">
              <w:rPr>
                <w:rFonts w:ascii="Calibri" w:hAnsi="Calibri" w:cs="Calibri"/>
                <w:sz w:val="20"/>
              </w:rPr>
              <w:t xml:space="preserve"> (Option 3A)</w:t>
            </w:r>
          </w:p>
        </w:tc>
        <w:tc>
          <w:tcPr>
            <w:tcW w:w="16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88757ED" w14:textId="77777777" w:rsidR="00A8185E" w:rsidRPr="001236CE" w:rsidRDefault="00A8185E" w:rsidP="0046293F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236CE">
              <w:rPr>
                <w:rFonts w:ascii="Calibri" w:hAnsi="Calibri" w:cs="Calibri"/>
                <w:sz w:val="20"/>
              </w:rPr>
              <w:t>$</w:t>
            </w:r>
            <w:r w:rsidR="00EC1B3E" w:rsidRPr="001236CE">
              <w:rPr>
                <w:rFonts w:ascii="Calibri" w:hAnsi="Calibri" w:cs="Calibri"/>
                <w:sz w:val="20"/>
              </w:rPr>
              <w:t>0</w:t>
            </w:r>
          </w:p>
          <w:p w14:paraId="7D30C1B7" w14:textId="23B23709" w:rsidR="00080C08" w:rsidRPr="001236CE" w:rsidRDefault="00080C08" w:rsidP="0046293F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236CE">
              <w:rPr>
                <w:rFonts w:ascii="Calibri" w:hAnsi="Calibri" w:cs="Calibri"/>
                <w:sz w:val="20"/>
              </w:rPr>
              <w:t>$0</w:t>
            </w:r>
          </w:p>
        </w:tc>
        <w:tc>
          <w:tcPr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9B063BF" w14:textId="77777777" w:rsidR="00A8185E" w:rsidRPr="001236CE" w:rsidRDefault="00A8185E" w:rsidP="0046293F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236CE">
              <w:rPr>
                <w:rFonts w:ascii="Calibri" w:hAnsi="Calibri" w:cs="Calibri"/>
                <w:sz w:val="20"/>
              </w:rPr>
              <w:t>$</w:t>
            </w:r>
            <w:r w:rsidR="00EC1B3E" w:rsidRPr="001236CE">
              <w:rPr>
                <w:rFonts w:ascii="Calibri" w:hAnsi="Calibri" w:cs="Calibri"/>
                <w:sz w:val="20"/>
              </w:rPr>
              <w:t>0</w:t>
            </w:r>
          </w:p>
          <w:p w14:paraId="52848EB4" w14:textId="71808073" w:rsidR="00080C08" w:rsidRPr="001236CE" w:rsidRDefault="00080C08" w:rsidP="0046293F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236CE">
              <w:rPr>
                <w:rFonts w:ascii="Calibri" w:hAnsi="Calibri" w:cs="Calibri"/>
                <w:sz w:val="20"/>
              </w:rPr>
              <w:t>$0</w:t>
            </w:r>
          </w:p>
        </w:tc>
        <w:tc>
          <w:tcPr>
            <w:tcW w:w="19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ABC8750" w14:textId="1B820F8D" w:rsidR="00A8185E" w:rsidRPr="001236CE" w:rsidRDefault="00A8185E" w:rsidP="0046293F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236CE">
              <w:rPr>
                <w:rFonts w:ascii="Calibri" w:hAnsi="Calibri" w:cs="Calibri"/>
                <w:sz w:val="20"/>
              </w:rPr>
              <w:t>$</w:t>
            </w:r>
            <w:r w:rsidR="00CA52A1" w:rsidRPr="001236CE">
              <w:rPr>
                <w:rFonts w:ascii="Calibri" w:hAnsi="Calibri" w:cs="Calibri"/>
                <w:sz w:val="20"/>
              </w:rPr>
              <w:t>0.083</w:t>
            </w:r>
            <w:r w:rsidR="00D27743" w:rsidRPr="001236CE">
              <w:rPr>
                <w:rFonts w:ascii="Calibri" w:hAnsi="Calibri" w:cs="Calibri"/>
                <w:sz w:val="20"/>
              </w:rPr>
              <w:t xml:space="preserve"> (Option 2)</w:t>
            </w:r>
          </w:p>
          <w:p w14:paraId="426367BB" w14:textId="58D38554" w:rsidR="00080C08" w:rsidRPr="001236CE" w:rsidRDefault="00080C08" w:rsidP="0046293F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1236CE">
              <w:rPr>
                <w:rFonts w:ascii="Calibri" w:hAnsi="Calibri" w:cs="Calibri"/>
                <w:sz w:val="20"/>
              </w:rPr>
              <w:t>$</w:t>
            </w:r>
            <w:r w:rsidR="00CA52A1" w:rsidRPr="001236CE">
              <w:rPr>
                <w:rFonts w:ascii="Calibri" w:hAnsi="Calibri" w:cs="Calibri"/>
                <w:sz w:val="20"/>
              </w:rPr>
              <w:t>0.262</w:t>
            </w:r>
            <w:r w:rsidRPr="001236CE">
              <w:rPr>
                <w:rFonts w:ascii="Calibri" w:hAnsi="Calibri" w:cs="Calibri"/>
                <w:sz w:val="20"/>
              </w:rPr>
              <w:t xml:space="preserve"> (Option 3A)</w:t>
            </w:r>
          </w:p>
        </w:tc>
      </w:tr>
    </w:tbl>
    <w:p w14:paraId="45BD0274" w14:textId="5A1F5FCF" w:rsidR="00E918F3" w:rsidRPr="009144F3" w:rsidRDefault="00CA52A1" w:rsidP="009144F3">
      <w:pPr>
        <w:spacing w:before="240" w:line="300" w:lineRule="exact"/>
        <w:rPr>
          <w:lang w:eastAsia="en-AU"/>
        </w:rPr>
      </w:pPr>
      <w:r>
        <w:rPr>
          <w:lang w:eastAsia="en-AU"/>
        </w:rPr>
        <w:t xml:space="preserve">Accordingly, </w:t>
      </w:r>
      <w:r w:rsidR="00E918F3" w:rsidRPr="009144F3">
        <w:rPr>
          <w:lang w:eastAsia="en-AU"/>
        </w:rPr>
        <w:t xml:space="preserve">I am satisfied that the IA is consistent with the six principles for Australian Government policy makers as specified in the </w:t>
      </w:r>
      <w:r w:rsidR="00E918F3" w:rsidRPr="00EC6C9F">
        <w:rPr>
          <w:i/>
          <w:iCs/>
          <w:lang w:eastAsia="en-AU"/>
        </w:rPr>
        <w:t>Australian Government Guide to Policy Impact Analysis</w:t>
      </w:r>
      <w:r w:rsidR="00E918F3" w:rsidRPr="009144F3">
        <w:rPr>
          <w:lang w:eastAsia="en-AU"/>
        </w:rPr>
        <w:t>.</w:t>
      </w:r>
    </w:p>
    <w:p w14:paraId="7F13F766" w14:textId="0D3C1E0B" w:rsidR="00E918F3" w:rsidRPr="009144F3" w:rsidRDefault="00E918F3" w:rsidP="009144F3">
      <w:pPr>
        <w:spacing w:before="240" w:line="300" w:lineRule="exact"/>
        <w:rPr>
          <w:lang w:eastAsia="en-AU"/>
        </w:rPr>
      </w:pPr>
      <w:r w:rsidRPr="009144F3">
        <w:rPr>
          <w:lang w:eastAsia="en-AU"/>
        </w:rPr>
        <w:t xml:space="preserve">I submit the IA to the </w:t>
      </w:r>
      <w:r w:rsidR="00BB57B7">
        <w:rPr>
          <w:lang w:eastAsia="en-AU"/>
        </w:rPr>
        <w:t xml:space="preserve">OIA </w:t>
      </w:r>
      <w:r w:rsidRPr="009144F3">
        <w:rPr>
          <w:lang w:eastAsia="en-AU"/>
        </w:rPr>
        <w:t>for formal final assessment.</w:t>
      </w:r>
    </w:p>
    <w:p w14:paraId="5E44CA77" w14:textId="411B3E55" w:rsidR="00CF4966" w:rsidRPr="009144F3" w:rsidRDefault="00CF4966" w:rsidP="009144F3">
      <w:pPr>
        <w:spacing w:before="240" w:line="300" w:lineRule="exact"/>
        <w:rPr>
          <w:lang w:eastAsia="en-AU"/>
        </w:rPr>
      </w:pPr>
      <w:r w:rsidRPr="009144F3">
        <w:rPr>
          <w:lang w:eastAsia="en-AU"/>
        </w:rPr>
        <w:t>Yours sincerely</w:t>
      </w:r>
    </w:p>
    <w:p w14:paraId="3B88B70A" w14:textId="77777777" w:rsidR="00924496" w:rsidRDefault="00924496" w:rsidP="000E2D7C">
      <w:pPr>
        <w:spacing w:before="120" w:line="300" w:lineRule="exact"/>
      </w:pPr>
    </w:p>
    <w:p w14:paraId="44EFEF4C" w14:textId="77777777" w:rsidR="00924496" w:rsidRPr="00924496" w:rsidRDefault="00924496" w:rsidP="000E2D7C">
      <w:pPr>
        <w:spacing w:before="120" w:line="300" w:lineRule="exact"/>
      </w:pPr>
    </w:p>
    <w:p w14:paraId="101815A5" w14:textId="44733F16" w:rsidR="00CF4966" w:rsidRPr="000E2D7C" w:rsidRDefault="00924496" w:rsidP="000E2D7C">
      <w:pPr>
        <w:spacing w:before="120" w:line="300" w:lineRule="exact"/>
        <w:rPr>
          <w:bCs/>
        </w:rPr>
      </w:pPr>
      <w:r w:rsidRPr="000E2D7C">
        <w:rPr>
          <w:bCs/>
        </w:rPr>
        <w:t>Sean Sullivan</w:t>
      </w:r>
    </w:p>
    <w:p w14:paraId="07030953" w14:textId="33180011" w:rsidR="00CF4966" w:rsidRPr="000E2D7C" w:rsidRDefault="00924496" w:rsidP="000E2D7C">
      <w:pPr>
        <w:spacing w:before="120" w:line="300" w:lineRule="exact"/>
      </w:pPr>
      <w:r w:rsidRPr="000E2D7C">
        <w:t>Deputy Secretary</w:t>
      </w:r>
    </w:p>
    <w:p w14:paraId="5CC6EBF6" w14:textId="01990792" w:rsidR="0032021C" w:rsidRPr="000E2D7C" w:rsidRDefault="00AB7A0F" w:rsidP="000E2D7C">
      <w:pPr>
        <w:spacing w:before="120" w:line="300" w:lineRule="exact"/>
      </w:pPr>
      <w:r>
        <w:t xml:space="preserve">      </w:t>
      </w:r>
      <w:r w:rsidR="000004A0">
        <w:t>November</w:t>
      </w:r>
      <w:r w:rsidR="00924496" w:rsidRPr="000E2D7C">
        <w:t xml:space="preserve"> 2025</w:t>
      </w:r>
    </w:p>
    <w:p w14:paraId="1986CA90" w14:textId="77777777" w:rsidR="00924336" w:rsidRDefault="00924336" w:rsidP="00AA740C">
      <w:pPr>
        <w:rPr>
          <w:color w:val="000000"/>
        </w:rPr>
      </w:pPr>
    </w:p>
    <w:p w14:paraId="1D2ABF25" w14:textId="360FDC64" w:rsidR="0022379C" w:rsidRDefault="0022379C" w:rsidP="00AA740C">
      <w:pPr>
        <w:rPr>
          <w:color w:val="000000"/>
        </w:rPr>
      </w:pPr>
      <w:r>
        <w:rPr>
          <w:color w:val="000000"/>
        </w:rPr>
        <w:t>Enc</w:t>
      </w:r>
    </w:p>
    <w:p w14:paraId="78B109F2" w14:textId="2FF203BD" w:rsidR="0022379C" w:rsidRDefault="000E2D7C" w:rsidP="00AA740C">
      <w:r w:rsidRPr="0022379C">
        <w:t>Impact Analysis to improve the water efficiency of commercial ice makers</w:t>
      </w:r>
    </w:p>
    <w:p w14:paraId="7B5F4E9D" w14:textId="6B6966F2" w:rsidR="009144F3" w:rsidRPr="00924496" w:rsidRDefault="009144F3" w:rsidP="00AA740C">
      <w:pPr>
        <w:rPr>
          <w:color w:val="000000"/>
        </w:rPr>
      </w:pPr>
      <w:r>
        <w:t>Impact Analysis – One page summary</w:t>
      </w:r>
    </w:p>
    <w:sectPr w:rsidR="009144F3" w:rsidRPr="00924496" w:rsidSect="00EC00A2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40" w:bottom="1440" w:left="1440" w:header="851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0BDC" w14:textId="77777777" w:rsidR="005E33B9" w:rsidRDefault="005E33B9" w:rsidP="00B251DB">
      <w:pPr>
        <w:spacing w:after="0" w:line="240" w:lineRule="auto"/>
      </w:pPr>
      <w:r>
        <w:separator/>
      </w:r>
    </w:p>
  </w:endnote>
  <w:endnote w:type="continuationSeparator" w:id="0">
    <w:p w14:paraId="1C3D2238" w14:textId="77777777" w:rsidR="005E33B9" w:rsidRDefault="005E33B9" w:rsidP="00B2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B842" w14:textId="680177BA" w:rsidR="000E2D7C" w:rsidRDefault="000E2D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B5B0485" wp14:editId="7F7DB5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3526936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86540" w14:textId="38A0F7D5" w:rsidR="000E2D7C" w:rsidRPr="000E2D7C" w:rsidRDefault="000E2D7C" w:rsidP="000E2D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E2D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B04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" filled="f" stroked="f">
              <v:textbox style="mso-fit-shape-to-text:t" inset="0,0,0,15pt">
                <w:txbxContent>
                  <w:p w14:paraId="11886540" w14:textId="38A0F7D5" w:rsidR="000E2D7C" w:rsidRPr="000E2D7C" w:rsidRDefault="000E2D7C" w:rsidP="000E2D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E2D7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9116" w14:textId="3B18DDE4" w:rsidR="00BD0F8A" w:rsidRDefault="00BD0F8A" w:rsidP="00BD0F8A">
    <w:pPr>
      <w:pStyle w:val="Footer"/>
      <w:jc w:val="right"/>
    </w:pPr>
    <w:r>
      <w:tab/>
    </w:r>
    <w:r w:rsidR="006607F7">
      <w:t>dcceew.gov.au</w:t>
    </w:r>
    <w:r>
      <w:tab/>
    </w:r>
    <w:sdt>
      <w:sdtPr>
        <w:id w:val="-10261765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EE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930C" w14:textId="737799A7" w:rsidR="00CF4966" w:rsidRPr="00AE399D" w:rsidRDefault="00A10EEF" w:rsidP="00CF4966">
    <w:pPr>
      <w:pStyle w:val="Footer"/>
      <w:ind w:right="360"/>
      <w:rPr>
        <w:sz w:val="20"/>
        <w:szCs w:val="20"/>
      </w:rPr>
    </w:pPr>
    <w:r>
      <w:rPr>
        <w:b/>
        <w:sz w:val="20"/>
        <w:szCs w:val="20"/>
      </w:rPr>
      <w:t>DCCEEW</w:t>
    </w:r>
    <w:r w:rsidR="00CF4966" w:rsidRPr="00AE399D">
      <w:rPr>
        <w:b/>
        <w:sz w:val="20"/>
        <w:szCs w:val="20"/>
      </w:rPr>
      <w:t>.gov.au</w:t>
    </w:r>
    <w:r w:rsidR="00CF4966" w:rsidRPr="00AE399D">
      <w:rPr>
        <w:sz w:val="20"/>
        <w:szCs w:val="20"/>
      </w:rPr>
      <w:t xml:space="preserve"> </w:t>
    </w:r>
  </w:p>
  <w:p w14:paraId="79DFEEED" w14:textId="77777777" w:rsidR="00CF4966" w:rsidRPr="00AE399D" w:rsidRDefault="00CF4966" w:rsidP="00CF4966">
    <w:pPr>
      <w:pStyle w:val="Footer"/>
      <w:framePr w:wrap="around" w:vAnchor="text" w:hAnchor="page" w:x="10369" w:y="27"/>
      <w:rPr>
        <w:rStyle w:val="PageNumber"/>
        <w:sz w:val="20"/>
        <w:szCs w:val="20"/>
      </w:rPr>
    </w:pPr>
    <w:r w:rsidRPr="00AE399D">
      <w:rPr>
        <w:rStyle w:val="PageNumber"/>
        <w:sz w:val="20"/>
        <w:szCs w:val="20"/>
      </w:rPr>
      <w:fldChar w:fldCharType="begin"/>
    </w:r>
    <w:r w:rsidRPr="00AE399D">
      <w:rPr>
        <w:rStyle w:val="PageNumber"/>
        <w:sz w:val="20"/>
        <w:szCs w:val="20"/>
      </w:rPr>
      <w:instrText xml:space="preserve">PAGE  </w:instrText>
    </w:r>
    <w:r w:rsidRPr="00AE399D">
      <w:rPr>
        <w:rStyle w:val="PageNumber"/>
        <w:sz w:val="20"/>
        <w:szCs w:val="20"/>
      </w:rPr>
      <w:fldChar w:fldCharType="separate"/>
    </w:r>
    <w:r w:rsidR="00617496">
      <w:rPr>
        <w:rStyle w:val="PageNumber"/>
        <w:noProof/>
        <w:sz w:val="20"/>
        <w:szCs w:val="20"/>
      </w:rPr>
      <w:t>1</w:t>
    </w:r>
    <w:r w:rsidRPr="00AE399D">
      <w:rPr>
        <w:rStyle w:val="PageNumber"/>
        <w:sz w:val="20"/>
        <w:szCs w:val="20"/>
      </w:rPr>
      <w:fldChar w:fldCharType="end"/>
    </w:r>
  </w:p>
  <w:p w14:paraId="1EDDE373" w14:textId="77777777" w:rsidR="00CF4966" w:rsidRPr="00AE399D" w:rsidRDefault="00FE6964" w:rsidP="00CF4966">
    <w:pPr>
      <w:pStyle w:val="Footer"/>
      <w:ind w:right="360"/>
      <w:rPr>
        <w:sz w:val="20"/>
        <w:szCs w:val="20"/>
      </w:rPr>
    </w:pPr>
    <w:r w:rsidRPr="00FE6964">
      <w:rPr>
        <w:sz w:val="20"/>
        <w:szCs w:val="20"/>
      </w:rPr>
      <w:t>John Gorton Building</w:t>
    </w:r>
    <w:r w:rsidR="00CF4966" w:rsidRPr="00AE399D">
      <w:rPr>
        <w:sz w:val="20"/>
        <w:szCs w:val="20"/>
      </w:rPr>
      <w:t xml:space="preserve"> -</w:t>
    </w:r>
    <w:r w:rsidRPr="00FE6964">
      <w:rPr>
        <w:sz w:val="20"/>
        <w:szCs w:val="20"/>
      </w:rPr>
      <w:t xml:space="preserve"> King Edward Terrace, Parkes ACT 2600 Australia</w:t>
    </w:r>
  </w:p>
  <w:p w14:paraId="416B753D" w14:textId="77777777" w:rsidR="00607188" w:rsidRDefault="00CF4966" w:rsidP="00CF4966">
    <w:pPr>
      <w:pStyle w:val="Footer"/>
      <w:ind w:right="360"/>
      <w:rPr>
        <w:sz w:val="20"/>
        <w:szCs w:val="20"/>
      </w:rPr>
    </w:pPr>
    <w:r w:rsidRPr="00A10EEF">
      <w:rPr>
        <w:sz w:val="20"/>
        <w:szCs w:val="20"/>
      </w:rPr>
      <w:t xml:space="preserve">GPO Box </w:t>
    </w:r>
    <w:r w:rsidR="001C21D7">
      <w:rPr>
        <w:sz w:val="20"/>
        <w:szCs w:val="20"/>
      </w:rPr>
      <w:t>3090</w:t>
    </w:r>
    <w:r w:rsidRPr="00A10EEF">
      <w:rPr>
        <w:sz w:val="20"/>
        <w:szCs w:val="20"/>
      </w:rPr>
      <w:t xml:space="preserve"> Canberra ACT </w:t>
    </w:r>
    <w:r w:rsidR="00617496">
      <w:rPr>
        <w:sz w:val="20"/>
        <w:szCs w:val="20"/>
      </w:rPr>
      <w:t>2601</w:t>
    </w:r>
    <w:r w:rsidRPr="00ED2FB7">
      <w:rPr>
        <w:sz w:val="20"/>
        <w:szCs w:val="20"/>
      </w:rPr>
      <w:t xml:space="preserve"> ABN: </w:t>
    </w:r>
    <w:r w:rsidR="00617496" w:rsidRPr="00617496">
      <w:rPr>
        <w:bCs/>
        <w:sz w:val="20"/>
        <w:szCs w:val="20"/>
      </w:rPr>
      <w:t>63 573 932 849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1637F" w14:textId="77777777" w:rsidR="005E33B9" w:rsidRDefault="005E33B9" w:rsidP="00B251DB">
      <w:pPr>
        <w:spacing w:after="0" w:line="240" w:lineRule="auto"/>
      </w:pPr>
      <w:r>
        <w:separator/>
      </w:r>
    </w:p>
  </w:footnote>
  <w:footnote w:type="continuationSeparator" w:id="0">
    <w:p w14:paraId="155E56E9" w14:textId="77777777" w:rsidR="005E33B9" w:rsidRDefault="005E33B9" w:rsidP="00B2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FB17" w14:textId="074C1EB0" w:rsidR="000E2D7C" w:rsidRDefault="000E2D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41F957" wp14:editId="06439C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4448222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39A78" w14:textId="1B29BCF2" w:rsidR="000E2D7C" w:rsidRPr="000E2D7C" w:rsidRDefault="000E2D7C" w:rsidP="000E2D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E2D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1F9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2F639A78" w14:textId="1B29BCF2" w:rsidR="000E2D7C" w:rsidRPr="000E2D7C" w:rsidRDefault="000E2D7C" w:rsidP="000E2D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E2D7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E2CC" w14:textId="71F8D477" w:rsidR="00CF4966" w:rsidRPr="00BB72B3" w:rsidRDefault="009948F5" w:rsidP="00EA70CB">
    <w:pPr>
      <w:pStyle w:val="Header"/>
    </w:pPr>
    <w:r w:rsidRPr="00180BF8">
      <w:rPr>
        <w:noProof/>
        <w:lang w:eastAsia="en-AU"/>
      </w:rPr>
      <w:drawing>
        <wp:inline distT="0" distB="0" distL="0" distR="0" wp14:anchorId="6D6F3290" wp14:editId="71FBCC8B">
          <wp:extent cx="2923111" cy="607375"/>
          <wp:effectExtent l="0" t="0" r="0" b="2540"/>
          <wp:docPr id="1" name="Picture 1" title="Australian Government Department of Climate Change, Energy, the Environment and Wa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IS-header-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78004" cy="6187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F31"/>
    <w:multiLevelType w:val="hybridMultilevel"/>
    <w:tmpl w:val="7FB26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5419C"/>
    <w:multiLevelType w:val="hybridMultilevel"/>
    <w:tmpl w:val="62861B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F01A0"/>
    <w:multiLevelType w:val="hybridMultilevel"/>
    <w:tmpl w:val="1D5CC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26234"/>
    <w:multiLevelType w:val="hybridMultilevel"/>
    <w:tmpl w:val="701C7F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5427E"/>
    <w:multiLevelType w:val="hybridMultilevel"/>
    <w:tmpl w:val="29D2E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F6C54"/>
    <w:multiLevelType w:val="hybridMultilevel"/>
    <w:tmpl w:val="7AEE9BAC"/>
    <w:lvl w:ilvl="0" w:tplc="A704BBF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C2AF2"/>
    <w:multiLevelType w:val="hybridMultilevel"/>
    <w:tmpl w:val="A6ACA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1032A"/>
    <w:multiLevelType w:val="hybridMultilevel"/>
    <w:tmpl w:val="29F4EA92"/>
    <w:lvl w:ilvl="0" w:tplc="E36889C0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722E1"/>
    <w:multiLevelType w:val="hybridMultilevel"/>
    <w:tmpl w:val="E132CB96"/>
    <w:lvl w:ilvl="0" w:tplc="F0C8E0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80F37"/>
    <w:multiLevelType w:val="hybridMultilevel"/>
    <w:tmpl w:val="B394CB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1413BA"/>
    <w:multiLevelType w:val="hybridMultilevel"/>
    <w:tmpl w:val="F634B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10280"/>
    <w:multiLevelType w:val="hybridMultilevel"/>
    <w:tmpl w:val="800A5E84"/>
    <w:lvl w:ilvl="0" w:tplc="68E6AEB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31355F"/>
    <w:multiLevelType w:val="hybridMultilevel"/>
    <w:tmpl w:val="F2B4A074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E36889C0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E10FD"/>
    <w:multiLevelType w:val="hybridMultilevel"/>
    <w:tmpl w:val="A154A084"/>
    <w:lvl w:ilvl="0" w:tplc="A6EACFDA"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E36889C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F3D3E"/>
    <w:multiLevelType w:val="hybridMultilevel"/>
    <w:tmpl w:val="60E0E362"/>
    <w:lvl w:ilvl="0" w:tplc="F0C8E0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3A14B5"/>
    <w:multiLevelType w:val="hybridMultilevel"/>
    <w:tmpl w:val="505A2518"/>
    <w:lvl w:ilvl="0" w:tplc="C56428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456429"/>
    <w:multiLevelType w:val="multilevel"/>
    <w:tmpl w:val="7CD43CDE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Theme="majorHAnsi" w:hAnsiTheme="majorHAnsi" w:cstheme="majorHAnsi" w:hint="default"/>
        <w:color w:val="000000" w:themeColor="text1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17" w15:restartNumberingAfterBreak="0">
    <w:nsid w:val="655074E5"/>
    <w:multiLevelType w:val="hybridMultilevel"/>
    <w:tmpl w:val="911412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71E81"/>
    <w:multiLevelType w:val="hybridMultilevel"/>
    <w:tmpl w:val="DC5A221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07927"/>
    <w:multiLevelType w:val="hybridMultilevel"/>
    <w:tmpl w:val="2F2E4EEA"/>
    <w:lvl w:ilvl="0" w:tplc="0C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768E74D7"/>
    <w:multiLevelType w:val="hybridMultilevel"/>
    <w:tmpl w:val="3D763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A1CE5"/>
    <w:multiLevelType w:val="hybridMultilevel"/>
    <w:tmpl w:val="43F0DBB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73560872">
    <w:abstractNumId w:val="6"/>
  </w:num>
  <w:num w:numId="2" w16cid:durableId="1301036522">
    <w:abstractNumId w:val="5"/>
  </w:num>
  <w:num w:numId="3" w16cid:durableId="784693231">
    <w:abstractNumId w:val="12"/>
  </w:num>
  <w:num w:numId="4" w16cid:durableId="938635014">
    <w:abstractNumId w:val="8"/>
  </w:num>
  <w:num w:numId="5" w16cid:durableId="393895901">
    <w:abstractNumId w:val="14"/>
  </w:num>
  <w:num w:numId="6" w16cid:durableId="1912306942">
    <w:abstractNumId w:val="3"/>
  </w:num>
  <w:num w:numId="7" w16cid:durableId="228275089">
    <w:abstractNumId w:val="0"/>
  </w:num>
  <w:num w:numId="8" w16cid:durableId="983047221">
    <w:abstractNumId w:val="1"/>
  </w:num>
  <w:num w:numId="9" w16cid:durableId="1164198448">
    <w:abstractNumId w:val="10"/>
  </w:num>
  <w:num w:numId="10" w16cid:durableId="1704163527">
    <w:abstractNumId w:val="13"/>
  </w:num>
  <w:num w:numId="11" w16cid:durableId="1517112850">
    <w:abstractNumId w:val="4"/>
  </w:num>
  <w:num w:numId="12" w16cid:durableId="1717966286">
    <w:abstractNumId w:val="21"/>
  </w:num>
  <w:num w:numId="13" w16cid:durableId="355693623">
    <w:abstractNumId w:val="15"/>
  </w:num>
  <w:num w:numId="14" w16cid:durableId="12076319">
    <w:abstractNumId w:val="7"/>
  </w:num>
  <w:num w:numId="15" w16cid:durableId="2122870142">
    <w:abstractNumId w:val="17"/>
  </w:num>
  <w:num w:numId="16" w16cid:durableId="1301770634">
    <w:abstractNumId w:val="11"/>
  </w:num>
  <w:num w:numId="17" w16cid:durableId="1407386118">
    <w:abstractNumId w:val="9"/>
  </w:num>
  <w:num w:numId="18" w16cid:durableId="1129011554">
    <w:abstractNumId w:val="13"/>
  </w:num>
  <w:num w:numId="19" w16cid:durableId="1331980297">
    <w:abstractNumId w:val="13"/>
  </w:num>
  <w:num w:numId="20" w16cid:durableId="2045521152">
    <w:abstractNumId w:val="13"/>
  </w:num>
  <w:num w:numId="21" w16cid:durableId="1726563681">
    <w:abstractNumId w:val="13"/>
  </w:num>
  <w:num w:numId="22" w16cid:durableId="134487963">
    <w:abstractNumId w:val="13"/>
  </w:num>
  <w:num w:numId="23" w16cid:durableId="1841581350">
    <w:abstractNumId w:val="13"/>
  </w:num>
  <w:num w:numId="24" w16cid:durableId="1501234734">
    <w:abstractNumId w:val="13"/>
  </w:num>
  <w:num w:numId="25" w16cid:durableId="527135645">
    <w:abstractNumId w:val="13"/>
  </w:num>
  <w:num w:numId="26" w16cid:durableId="397753773">
    <w:abstractNumId w:val="13"/>
  </w:num>
  <w:num w:numId="27" w16cid:durableId="535972498">
    <w:abstractNumId w:val="13"/>
  </w:num>
  <w:num w:numId="28" w16cid:durableId="722675308">
    <w:abstractNumId w:val="13"/>
  </w:num>
  <w:num w:numId="29" w16cid:durableId="449126971">
    <w:abstractNumId w:val="16"/>
  </w:num>
  <w:num w:numId="30" w16cid:durableId="1262102669">
    <w:abstractNumId w:val="19"/>
  </w:num>
  <w:num w:numId="31" w16cid:durableId="297155015">
    <w:abstractNumId w:val="13"/>
  </w:num>
  <w:num w:numId="32" w16cid:durableId="870534171">
    <w:abstractNumId w:val="18"/>
  </w:num>
  <w:num w:numId="33" w16cid:durableId="1173762859">
    <w:abstractNumId w:val="13"/>
  </w:num>
  <w:num w:numId="34" w16cid:durableId="1744568700">
    <w:abstractNumId w:val="13"/>
  </w:num>
  <w:num w:numId="35" w16cid:durableId="1045570248">
    <w:abstractNumId w:val="13"/>
  </w:num>
  <w:num w:numId="36" w16cid:durableId="14378733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668509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8966607">
    <w:abstractNumId w:val="20"/>
  </w:num>
  <w:num w:numId="39" w16cid:durableId="585110159">
    <w:abstractNumId w:val="13"/>
  </w:num>
  <w:num w:numId="40" w16cid:durableId="28615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96"/>
    <w:rsid w:val="000004A0"/>
    <w:rsid w:val="00032995"/>
    <w:rsid w:val="00046045"/>
    <w:rsid w:val="00046C20"/>
    <w:rsid w:val="00047F12"/>
    <w:rsid w:val="000552B3"/>
    <w:rsid w:val="0007067B"/>
    <w:rsid w:val="00080C08"/>
    <w:rsid w:val="00081D07"/>
    <w:rsid w:val="000917FE"/>
    <w:rsid w:val="000C3494"/>
    <w:rsid w:val="000E2D7C"/>
    <w:rsid w:val="000E3D94"/>
    <w:rsid w:val="000E599A"/>
    <w:rsid w:val="000F2564"/>
    <w:rsid w:val="001011B7"/>
    <w:rsid w:val="00111339"/>
    <w:rsid w:val="001236CE"/>
    <w:rsid w:val="00124484"/>
    <w:rsid w:val="001339FD"/>
    <w:rsid w:val="0014152C"/>
    <w:rsid w:val="00153C15"/>
    <w:rsid w:val="00161ADB"/>
    <w:rsid w:val="00165720"/>
    <w:rsid w:val="00165E59"/>
    <w:rsid w:val="0019291C"/>
    <w:rsid w:val="00192DBF"/>
    <w:rsid w:val="001B30E4"/>
    <w:rsid w:val="001C0867"/>
    <w:rsid w:val="001C21D7"/>
    <w:rsid w:val="001D216A"/>
    <w:rsid w:val="001D2E82"/>
    <w:rsid w:val="001E17F8"/>
    <w:rsid w:val="001E496E"/>
    <w:rsid w:val="001F0BA1"/>
    <w:rsid w:val="001F5AB1"/>
    <w:rsid w:val="00205DF3"/>
    <w:rsid w:val="00217B34"/>
    <w:rsid w:val="0022083E"/>
    <w:rsid w:val="00222D0B"/>
    <w:rsid w:val="0022379C"/>
    <w:rsid w:val="00233FF9"/>
    <w:rsid w:val="0023661E"/>
    <w:rsid w:val="00241942"/>
    <w:rsid w:val="00241D3D"/>
    <w:rsid w:val="00254DA8"/>
    <w:rsid w:val="00272B04"/>
    <w:rsid w:val="00287954"/>
    <w:rsid w:val="002A56B5"/>
    <w:rsid w:val="002B5C69"/>
    <w:rsid w:val="002D230B"/>
    <w:rsid w:val="00313856"/>
    <w:rsid w:val="0032021C"/>
    <w:rsid w:val="003226E6"/>
    <w:rsid w:val="003D38ED"/>
    <w:rsid w:val="003E22AC"/>
    <w:rsid w:val="00430C4D"/>
    <w:rsid w:val="00436FEA"/>
    <w:rsid w:val="004455FA"/>
    <w:rsid w:val="004632E9"/>
    <w:rsid w:val="0046678C"/>
    <w:rsid w:val="00471239"/>
    <w:rsid w:val="004A5D10"/>
    <w:rsid w:val="004B4254"/>
    <w:rsid w:val="004D3B0F"/>
    <w:rsid w:val="004F141E"/>
    <w:rsid w:val="004F32F3"/>
    <w:rsid w:val="00500433"/>
    <w:rsid w:val="00501652"/>
    <w:rsid w:val="0051351C"/>
    <w:rsid w:val="00516B0E"/>
    <w:rsid w:val="005327B0"/>
    <w:rsid w:val="00584B74"/>
    <w:rsid w:val="00590141"/>
    <w:rsid w:val="005950D2"/>
    <w:rsid w:val="00596EAE"/>
    <w:rsid w:val="005A0291"/>
    <w:rsid w:val="005D1468"/>
    <w:rsid w:val="005E33B9"/>
    <w:rsid w:val="005E3E54"/>
    <w:rsid w:val="005F44CA"/>
    <w:rsid w:val="006009BE"/>
    <w:rsid w:val="00603DDF"/>
    <w:rsid w:val="00604806"/>
    <w:rsid w:val="00607188"/>
    <w:rsid w:val="00617496"/>
    <w:rsid w:val="006267DB"/>
    <w:rsid w:val="006469C3"/>
    <w:rsid w:val="00655475"/>
    <w:rsid w:val="006607F7"/>
    <w:rsid w:val="00671D1D"/>
    <w:rsid w:val="0068286F"/>
    <w:rsid w:val="00697F9E"/>
    <w:rsid w:val="006B090D"/>
    <w:rsid w:val="006B274B"/>
    <w:rsid w:val="006C4C9C"/>
    <w:rsid w:val="006C5288"/>
    <w:rsid w:val="006D2221"/>
    <w:rsid w:val="006E01B3"/>
    <w:rsid w:val="006E1E6A"/>
    <w:rsid w:val="006E4001"/>
    <w:rsid w:val="006F13AF"/>
    <w:rsid w:val="006F504C"/>
    <w:rsid w:val="006F58A5"/>
    <w:rsid w:val="006F5FF9"/>
    <w:rsid w:val="00711349"/>
    <w:rsid w:val="00723C5D"/>
    <w:rsid w:val="00727C6A"/>
    <w:rsid w:val="00731604"/>
    <w:rsid w:val="007344F7"/>
    <w:rsid w:val="0073686C"/>
    <w:rsid w:val="00763365"/>
    <w:rsid w:val="00763AAE"/>
    <w:rsid w:val="007833EE"/>
    <w:rsid w:val="007B0AEE"/>
    <w:rsid w:val="007B146B"/>
    <w:rsid w:val="007B342E"/>
    <w:rsid w:val="007B553F"/>
    <w:rsid w:val="007B6FAE"/>
    <w:rsid w:val="007F1589"/>
    <w:rsid w:val="007F2BE0"/>
    <w:rsid w:val="007F528D"/>
    <w:rsid w:val="008046C1"/>
    <w:rsid w:val="00806473"/>
    <w:rsid w:val="00824662"/>
    <w:rsid w:val="00853A7A"/>
    <w:rsid w:val="00864389"/>
    <w:rsid w:val="0088371B"/>
    <w:rsid w:val="00892B6E"/>
    <w:rsid w:val="008A1771"/>
    <w:rsid w:val="008B23D1"/>
    <w:rsid w:val="008B6A79"/>
    <w:rsid w:val="008C48FC"/>
    <w:rsid w:val="009144F3"/>
    <w:rsid w:val="00924336"/>
    <w:rsid w:val="00924496"/>
    <w:rsid w:val="00950C55"/>
    <w:rsid w:val="00960C6B"/>
    <w:rsid w:val="009775F1"/>
    <w:rsid w:val="009948F5"/>
    <w:rsid w:val="009A3F95"/>
    <w:rsid w:val="009A549D"/>
    <w:rsid w:val="009B20B9"/>
    <w:rsid w:val="009B2A17"/>
    <w:rsid w:val="009D55C1"/>
    <w:rsid w:val="00A00408"/>
    <w:rsid w:val="00A031B9"/>
    <w:rsid w:val="00A10EEF"/>
    <w:rsid w:val="00A251B0"/>
    <w:rsid w:val="00A35964"/>
    <w:rsid w:val="00A378F6"/>
    <w:rsid w:val="00A40067"/>
    <w:rsid w:val="00A40957"/>
    <w:rsid w:val="00A44121"/>
    <w:rsid w:val="00A51A75"/>
    <w:rsid w:val="00A52F3D"/>
    <w:rsid w:val="00A71B41"/>
    <w:rsid w:val="00A731BB"/>
    <w:rsid w:val="00A8185E"/>
    <w:rsid w:val="00A95289"/>
    <w:rsid w:val="00AA740C"/>
    <w:rsid w:val="00AB7A0F"/>
    <w:rsid w:val="00AC08F1"/>
    <w:rsid w:val="00AC59F0"/>
    <w:rsid w:val="00AE399D"/>
    <w:rsid w:val="00AE57E8"/>
    <w:rsid w:val="00AF1F9C"/>
    <w:rsid w:val="00B0558D"/>
    <w:rsid w:val="00B154B8"/>
    <w:rsid w:val="00B251DB"/>
    <w:rsid w:val="00B26C25"/>
    <w:rsid w:val="00B35C0C"/>
    <w:rsid w:val="00B526F5"/>
    <w:rsid w:val="00B64B22"/>
    <w:rsid w:val="00B65656"/>
    <w:rsid w:val="00B87064"/>
    <w:rsid w:val="00BA103F"/>
    <w:rsid w:val="00BB57B7"/>
    <w:rsid w:val="00BB72B3"/>
    <w:rsid w:val="00BC644A"/>
    <w:rsid w:val="00BD0F8A"/>
    <w:rsid w:val="00BE37DB"/>
    <w:rsid w:val="00BE6061"/>
    <w:rsid w:val="00BE6EEA"/>
    <w:rsid w:val="00BF4DCF"/>
    <w:rsid w:val="00C068FF"/>
    <w:rsid w:val="00C10EA0"/>
    <w:rsid w:val="00C13C86"/>
    <w:rsid w:val="00C20BCB"/>
    <w:rsid w:val="00C20D6A"/>
    <w:rsid w:val="00C252CF"/>
    <w:rsid w:val="00C762C1"/>
    <w:rsid w:val="00C87B4B"/>
    <w:rsid w:val="00CA06CA"/>
    <w:rsid w:val="00CA52A1"/>
    <w:rsid w:val="00CC59E2"/>
    <w:rsid w:val="00CF4966"/>
    <w:rsid w:val="00D220CF"/>
    <w:rsid w:val="00D22930"/>
    <w:rsid w:val="00D24FE9"/>
    <w:rsid w:val="00D27743"/>
    <w:rsid w:val="00D33AE4"/>
    <w:rsid w:val="00D42846"/>
    <w:rsid w:val="00D841E9"/>
    <w:rsid w:val="00D937DF"/>
    <w:rsid w:val="00D969E6"/>
    <w:rsid w:val="00DA4E03"/>
    <w:rsid w:val="00DB3EE3"/>
    <w:rsid w:val="00DC572C"/>
    <w:rsid w:val="00DD3BD4"/>
    <w:rsid w:val="00DD628D"/>
    <w:rsid w:val="00DE3165"/>
    <w:rsid w:val="00DF2474"/>
    <w:rsid w:val="00E01D7D"/>
    <w:rsid w:val="00E02483"/>
    <w:rsid w:val="00E02F32"/>
    <w:rsid w:val="00E3027E"/>
    <w:rsid w:val="00E379C4"/>
    <w:rsid w:val="00E525F8"/>
    <w:rsid w:val="00E640F3"/>
    <w:rsid w:val="00E872AD"/>
    <w:rsid w:val="00E90E9C"/>
    <w:rsid w:val="00E918F3"/>
    <w:rsid w:val="00E93787"/>
    <w:rsid w:val="00E96870"/>
    <w:rsid w:val="00EA1F78"/>
    <w:rsid w:val="00EA70CB"/>
    <w:rsid w:val="00EB3B80"/>
    <w:rsid w:val="00EC00A2"/>
    <w:rsid w:val="00EC1B3E"/>
    <w:rsid w:val="00EC2BE1"/>
    <w:rsid w:val="00EC308A"/>
    <w:rsid w:val="00EC6C9F"/>
    <w:rsid w:val="00EC7B7C"/>
    <w:rsid w:val="00ED2FB7"/>
    <w:rsid w:val="00F206A9"/>
    <w:rsid w:val="00F22BB9"/>
    <w:rsid w:val="00F43009"/>
    <w:rsid w:val="00F5506A"/>
    <w:rsid w:val="00F56882"/>
    <w:rsid w:val="00F56955"/>
    <w:rsid w:val="00F652D0"/>
    <w:rsid w:val="00F86EBC"/>
    <w:rsid w:val="00F877DF"/>
    <w:rsid w:val="00F9049D"/>
    <w:rsid w:val="00FD1791"/>
    <w:rsid w:val="00FE20C6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5C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99D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0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83A42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964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color w:val="BB4E06" w:themeColor="accent3" w:themeTint="BF"/>
      <w:sz w:val="40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40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83A42" w:themeColor="text2"/>
      <w:sz w:val="32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9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BB4E06" w:themeColor="accent3" w:themeTint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2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83A42" w:themeColor="text2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55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62403" w:themeColor="accent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5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83A4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1DB"/>
  </w:style>
  <w:style w:type="paragraph" w:styleId="Footer">
    <w:name w:val="footer"/>
    <w:basedOn w:val="Normal"/>
    <w:link w:val="FooterChar"/>
    <w:uiPriority w:val="99"/>
    <w:unhideWhenUsed/>
    <w:rsid w:val="00B25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1DB"/>
  </w:style>
  <w:style w:type="character" w:customStyle="1" w:styleId="Heading1Char">
    <w:name w:val="Heading 1 Char"/>
    <w:basedOn w:val="DefaultParagraphFont"/>
    <w:link w:val="Heading1"/>
    <w:uiPriority w:val="9"/>
    <w:rsid w:val="00EC00A2"/>
    <w:rPr>
      <w:rFonts w:asciiTheme="majorHAnsi" w:eastAsiaTheme="majorEastAsia" w:hAnsiTheme="majorHAnsi" w:cstheme="majorBidi"/>
      <w:color w:val="083A42" w:themeColor="text2"/>
      <w:sz w:val="4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C00A2"/>
    <w:pPr>
      <w:pBdr>
        <w:bottom w:val="single" w:sz="8" w:space="1" w:color="083A42" w:themeColor="text2"/>
      </w:pBdr>
      <w:spacing w:before="360" w:line="240" w:lineRule="auto"/>
      <w:contextualSpacing/>
      <w:outlineLvl w:val="0"/>
    </w:pPr>
    <w:rPr>
      <w:rFonts w:asciiTheme="majorHAnsi" w:eastAsiaTheme="majorEastAsia" w:hAnsiTheme="majorHAnsi" w:cstheme="majorBidi"/>
      <w:color w:val="083A42" w:themeColor="text2"/>
      <w:spacing w:val="-10"/>
      <w:kern w:val="28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C00A2"/>
    <w:rPr>
      <w:rFonts w:asciiTheme="majorHAnsi" w:eastAsiaTheme="majorEastAsia" w:hAnsiTheme="majorHAnsi" w:cstheme="majorBidi"/>
      <w:color w:val="083A42" w:themeColor="text2"/>
      <w:spacing w:val="-10"/>
      <w:kern w:val="28"/>
      <w:sz w:val="56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964"/>
    <w:pPr>
      <w:numPr>
        <w:ilvl w:val="1"/>
      </w:numPr>
    </w:pPr>
    <w:rPr>
      <w:rFonts w:eastAsiaTheme="minorEastAsia"/>
      <w:color w:val="71BAAF" w:themeColor="accent2" w:themeTint="80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E6964"/>
    <w:rPr>
      <w:rFonts w:eastAsiaTheme="minorEastAsia"/>
      <w:color w:val="71BAAF" w:themeColor="accent2" w:themeTint="8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6964"/>
    <w:rPr>
      <w:rFonts w:asciiTheme="majorHAnsi" w:eastAsiaTheme="majorEastAsia" w:hAnsiTheme="majorHAnsi" w:cstheme="majorBidi"/>
      <w:color w:val="BB4E06" w:themeColor="accent3" w:themeTint="BF"/>
      <w:sz w:val="40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E4001"/>
    <w:rPr>
      <w:rFonts w:asciiTheme="majorHAnsi" w:eastAsiaTheme="majorEastAsia" w:hAnsiTheme="majorHAnsi" w:cstheme="majorBidi"/>
      <w:color w:val="083A42" w:themeColor="text2"/>
      <w:sz w:val="32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FE6964"/>
    <w:rPr>
      <w:rFonts w:asciiTheme="majorHAnsi" w:eastAsiaTheme="majorEastAsia" w:hAnsiTheme="majorHAnsi" w:cstheme="majorBidi"/>
      <w:iCs/>
      <w:color w:val="BB4E06" w:themeColor="accent3" w:themeTint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632E9"/>
    <w:rPr>
      <w:rFonts w:asciiTheme="majorHAnsi" w:eastAsiaTheme="majorEastAsia" w:hAnsiTheme="majorHAnsi" w:cstheme="majorBidi"/>
      <w:color w:val="083A42" w:themeColor="text2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BE6EEA"/>
    <w:pPr>
      <w:pBdr>
        <w:top w:val="single" w:sz="4" w:space="6" w:color="auto"/>
        <w:bottom w:val="single" w:sz="4" w:space="6" w:color="auto"/>
      </w:pBdr>
      <w:spacing w:before="200"/>
      <w:ind w:left="720" w:right="864"/>
      <w:jc w:val="center"/>
    </w:pPr>
    <w:rPr>
      <w:i/>
      <w:iCs/>
      <w:color w:val="000000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E6EEA"/>
    <w:rPr>
      <w:i/>
      <w:iCs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B251DB"/>
    <w:rPr>
      <w:b/>
      <w:bCs/>
    </w:rPr>
  </w:style>
  <w:style w:type="character" w:styleId="Emphasis">
    <w:name w:val="Emphasis"/>
    <w:basedOn w:val="DefaultParagraphFont"/>
    <w:uiPriority w:val="20"/>
    <w:qFormat/>
    <w:rsid w:val="00B251DB"/>
    <w:rPr>
      <w:i/>
      <w:iCs/>
    </w:rPr>
  </w:style>
  <w:style w:type="paragraph" w:styleId="ListParagraph">
    <w:name w:val="List Paragraph"/>
    <w:aliases w:val="List Paragraph1,Recommendation,List Paragraph11,L,bullet point list,1 heading,Bullet point,Dot point 1.5 line spacing,List Paragraph - bullets,NFP GP Bulleted List,Bullets,Content descriptions,DDM Gen Text,List Paragraph Number,NAST Quote"/>
    <w:basedOn w:val="Normal"/>
    <w:link w:val="ListParagraphChar"/>
    <w:uiPriority w:val="34"/>
    <w:qFormat/>
    <w:rsid w:val="004632E9"/>
    <w:pPr>
      <w:numPr>
        <w:numId w:val="10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71134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11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113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7113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FE6964"/>
    <w:pPr>
      <w:spacing w:line="240" w:lineRule="auto"/>
    </w:pPr>
    <w:rPr>
      <w:i/>
      <w:iCs/>
      <w:color w:val="408479" w:themeColor="accent2" w:themeTint="BF"/>
      <w:szCs w:val="18"/>
    </w:rPr>
  </w:style>
  <w:style w:type="character" w:styleId="PlaceholderText">
    <w:name w:val="Placeholder Text"/>
    <w:basedOn w:val="DefaultParagraphFont"/>
    <w:uiPriority w:val="99"/>
    <w:semiHidden/>
    <w:rsid w:val="00BD0F8A"/>
    <w:rPr>
      <w:color w:val="808080"/>
    </w:rPr>
  </w:style>
  <w:style w:type="paragraph" w:styleId="NoSpacing">
    <w:name w:val="No Spacing"/>
    <w:link w:val="NoSpacingChar"/>
    <w:uiPriority w:val="1"/>
    <w:qFormat/>
    <w:rsid w:val="00671D1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71D1D"/>
    <w:rPr>
      <w:rFonts w:eastAsiaTheme="minorEastAsia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F2564"/>
    <w:pPr>
      <w:spacing w:after="48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F2564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F25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F2564"/>
    <w:pPr>
      <w:spacing w:after="100"/>
      <w:ind w:left="440"/>
    </w:pPr>
  </w:style>
  <w:style w:type="paragraph" w:customStyle="1" w:styleId="Address">
    <w:name w:val="Address"/>
    <w:basedOn w:val="Subtitle"/>
    <w:qFormat/>
    <w:rsid w:val="009A549D"/>
    <w:pPr>
      <w:spacing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7E"/>
    <w:rPr>
      <w:rFonts w:ascii="Segoe UI" w:hAnsi="Segoe UI" w:cs="Segoe UI"/>
      <w:sz w:val="18"/>
      <w:szCs w:val="18"/>
    </w:rPr>
  </w:style>
  <w:style w:type="table" w:styleId="ListTable3-Accent2">
    <w:name w:val="List Table 3 Accent 2"/>
    <w:basedOn w:val="TableNormal"/>
    <w:uiPriority w:val="48"/>
    <w:rsid w:val="00153C15"/>
    <w:pPr>
      <w:spacing w:after="0" w:line="240" w:lineRule="auto"/>
    </w:pPr>
    <w:tblPr>
      <w:tblStyleRowBandSize w:val="1"/>
      <w:tblStyleColBandSize w:val="1"/>
      <w:tblBorders>
        <w:top w:val="single" w:sz="4" w:space="0" w:color="1E3E39" w:themeColor="accent2"/>
        <w:left w:val="single" w:sz="4" w:space="0" w:color="1E3E39" w:themeColor="accent2"/>
        <w:bottom w:val="single" w:sz="4" w:space="0" w:color="1E3E39" w:themeColor="accent2"/>
        <w:right w:val="single" w:sz="4" w:space="0" w:color="1E3E3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3E39" w:themeFill="accent2"/>
      </w:tcPr>
    </w:tblStylePr>
    <w:tblStylePr w:type="lastRow">
      <w:rPr>
        <w:b/>
        <w:bCs/>
      </w:rPr>
      <w:tblPr/>
      <w:tcPr>
        <w:tcBorders>
          <w:top w:val="double" w:sz="4" w:space="0" w:color="1E3E3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3E39" w:themeColor="accent2"/>
          <w:right w:val="single" w:sz="4" w:space="0" w:color="1E3E39" w:themeColor="accent2"/>
        </w:tcBorders>
      </w:tcPr>
    </w:tblStylePr>
    <w:tblStylePr w:type="band1Horz">
      <w:tblPr/>
      <w:tcPr>
        <w:tcBorders>
          <w:top w:val="single" w:sz="4" w:space="0" w:color="1E3E39" w:themeColor="accent2"/>
          <w:bottom w:val="single" w:sz="4" w:space="0" w:color="1E3E3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3E39" w:themeColor="accent2"/>
          <w:left w:val="nil"/>
        </w:tcBorders>
      </w:tcPr>
    </w:tblStylePr>
    <w:tblStylePr w:type="swCell">
      <w:tblPr/>
      <w:tcPr>
        <w:tcBorders>
          <w:top w:val="double" w:sz="4" w:space="0" w:color="1E3E3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53C15"/>
    <w:pPr>
      <w:spacing w:after="0" w:line="240" w:lineRule="auto"/>
    </w:pPr>
    <w:tblPr>
      <w:tblStyleRowBandSize w:val="1"/>
      <w:tblStyleColBandSize w:val="1"/>
      <w:tblBorders>
        <w:top w:val="single" w:sz="4" w:space="0" w:color="562403" w:themeColor="accent3"/>
        <w:left w:val="single" w:sz="4" w:space="0" w:color="562403" w:themeColor="accent3"/>
        <w:bottom w:val="single" w:sz="4" w:space="0" w:color="562403" w:themeColor="accent3"/>
        <w:right w:val="single" w:sz="4" w:space="0" w:color="5624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2403" w:themeFill="accent3"/>
      </w:tcPr>
    </w:tblStylePr>
    <w:tblStylePr w:type="lastRow">
      <w:rPr>
        <w:b/>
        <w:bCs/>
      </w:rPr>
      <w:tblPr/>
      <w:tcPr>
        <w:tcBorders>
          <w:top w:val="double" w:sz="4" w:space="0" w:color="5624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2403" w:themeColor="accent3"/>
          <w:right w:val="single" w:sz="4" w:space="0" w:color="562403" w:themeColor="accent3"/>
        </w:tcBorders>
      </w:tcPr>
    </w:tblStylePr>
    <w:tblStylePr w:type="band1Horz">
      <w:tblPr/>
      <w:tcPr>
        <w:tcBorders>
          <w:top w:val="single" w:sz="4" w:space="0" w:color="562403" w:themeColor="accent3"/>
          <w:bottom w:val="single" w:sz="4" w:space="0" w:color="5624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2403" w:themeColor="accent3"/>
          <w:left w:val="nil"/>
        </w:tcBorders>
      </w:tcPr>
    </w:tblStylePr>
    <w:tblStylePr w:type="swCell">
      <w:tblPr/>
      <w:tcPr>
        <w:tcBorders>
          <w:top w:val="double" w:sz="4" w:space="0" w:color="562403" w:themeColor="accent3"/>
          <w:right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964"/>
    <w:pPr>
      <w:pBdr>
        <w:top w:val="single" w:sz="4" w:space="6" w:color="B8DCD7" w:themeColor="accent2" w:themeTint="40"/>
        <w:left w:val="single" w:sz="4" w:space="4" w:color="B8DCD7" w:themeColor="accent2" w:themeTint="40"/>
        <w:bottom w:val="single" w:sz="4" w:space="6" w:color="B8DCD7" w:themeColor="accent2" w:themeTint="40"/>
        <w:right w:val="single" w:sz="4" w:space="4" w:color="B8DCD7" w:themeColor="accent2" w:themeTint="40"/>
      </w:pBdr>
      <w:shd w:val="clear" w:color="auto" w:fill="B8DCD7" w:themeFill="accent2" w:themeFillTint="40"/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964"/>
    <w:rPr>
      <w:i/>
      <w:iCs/>
      <w:shd w:val="clear" w:color="auto" w:fill="B8DCD7" w:themeFill="accent2" w:themeFillTint="40"/>
    </w:rPr>
  </w:style>
  <w:style w:type="paragraph" w:customStyle="1" w:styleId="Calloutbox">
    <w:name w:val="Call out box"/>
    <w:basedOn w:val="Normal"/>
    <w:qFormat/>
    <w:rsid w:val="00FE6964"/>
    <w:pPr>
      <w:pBdr>
        <w:top w:val="single" w:sz="4" w:space="6" w:color="B8DCD7" w:themeColor="accent2" w:themeTint="40"/>
        <w:left w:val="single" w:sz="4" w:space="4" w:color="B8DCD7" w:themeColor="accent2" w:themeTint="40"/>
        <w:bottom w:val="single" w:sz="4" w:space="6" w:color="B8DCD7" w:themeColor="accent2" w:themeTint="40"/>
        <w:right w:val="single" w:sz="4" w:space="4" w:color="B8DCD7" w:themeColor="accent2" w:themeTint="40"/>
      </w:pBdr>
      <w:shd w:val="clear" w:color="auto" w:fill="B8DCD7" w:themeFill="accent2" w:themeFillTint="4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9D55C1"/>
    <w:rPr>
      <w:rFonts w:asciiTheme="majorHAnsi" w:eastAsiaTheme="majorEastAsia" w:hAnsiTheme="majorHAnsi" w:cstheme="majorBidi"/>
      <w:color w:val="562403" w:themeColor="accent3"/>
    </w:rPr>
  </w:style>
  <w:style w:type="table" w:styleId="GridTable4-Accent2">
    <w:name w:val="Grid Table 4 Accent 2"/>
    <w:basedOn w:val="TableNormal"/>
    <w:uiPriority w:val="49"/>
    <w:rsid w:val="004D3B0F"/>
    <w:pPr>
      <w:spacing w:after="0" w:line="240" w:lineRule="auto"/>
    </w:pPr>
    <w:tblPr>
      <w:tblStyleRowBandSize w:val="1"/>
      <w:tblStyleColBandSize w:val="1"/>
      <w:tblBorders>
        <w:top w:val="single" w:sz="4" w:space="0" w:color="55AD9F" w:themeColor="accent2" w:themeTint="99"/>
        <w:left w:val="single" w:sz="4" w:space="0" w:color="55AD9F" w:themeColor="accent2" w:themeTint="99"/>
        <w:bottom w:val="single" w:sz="4" w:space="0" w:color="55AD9F" w:themeColor="accent2" w:themeTint="99"/>
        <w:right w:val="single" w:sz="4" w:space="0" w:color="55AD9F" w:themeColor="accent2" w:themeTint="99"/>
        <w:insideH w:val="single" w:sz="4" w:space="0" w:color="55AD9F" w:themeColor="accent2" w:themeTint="99"/>
        <w:insideV w:val="single" w:sz="4" w:space="0" w:color="55AD9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3E39" w:themeColor="accent2"/>
          <w:left w:val="single" w:sz="4" w:space="0" w:color="1E3E39" w:themeColor="accent2"/>
          <w:bottom w:val="single" w:sz="4" w:space="0" w:color="1E3E39" w:themeColor="accent2"/>
          <w:right w:val="single" w:sz="4" w:space="0" w:color="1E3E39" w:themeColor="accent2"/>
          <w:insideH w:val="nil"/>
          <w:insideV w:val="nil"/>
        </w:tcBorders>
        <w:shd w:val="clear" w:color="auto" w:fill="1E3E39" w:themeFill="accent2"/>
      </w:tcPr>
    </w:tblStylePr>
    <w:tblStylePr w:type="lastRow">
      <w:rPr>
        <w:b/>
        <w:bCs/>
      </w:rPr>
      <w:tblPr/>
      <w:tcPr>
        <w:tcBorders>
          <w:top w:val="double" w:sz="4" w:space="0" w:color="1E3E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DF" w:themeFill="accent2" w:themeFillTint="33"/>
      </w:tcPr>
    </w:tblStylePr>
    <w:tblStylePr w:type="band1Horz">
      <w:tblPr/>
      <w:tcPr>
        <w:shd w:val="clear" w:color="auto" w:fill="C6E3DF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4D3B0F"/>
    <w:pPr>
      <w:spacing w:after="0" w:line="240" w:lineRule="auto"/>
    </w:pPr>
    <w:tblPr>
      <w:tblStyleRowBandSize w:val="1"/>
      <w:tblStyleColBandSize w:val="1"/>
      <w:tblBorders>
        <w:top w:val="single" w:sz="4" w:space="0" w:color="8EC8BF" w:themeColor="accent2" w:themeTint="66"/>
        <w:left w:val="single" w:sz="4" w:space="0" w:color="8EC8BF" w:themeColor="accent2" w:themeTint="66"/>
        <w:bottom w:val="single" w:sz="4" w:space="0" w:color="8EC8BF" w:themeColor="accent2" w:themeTint="66"/>
        <w:right w:val="single" w:sz="4" w:space="0" w:color="8EC8BF" w:themeColor="accent2" w:themeTint="66"/>
        <w:insideH w:val="single" w:sz="4" w:space="0" w:color="8EC8BF" w:themeColor="accent2" w:themeTint="66"/>
        <w:insideV w:val="single" w:sz="4" w:space="0" w:color="8EC8B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5AD9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AD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4D3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3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2F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2F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2F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2F49" w:themeFill="accent1"/>
      </w:tcPr>
    </w:tblStylePr>
    <w:tblStylePr w:type="band1Vert">
      <w:tblPr/>
      <w:tcPr>
        <w:shd w:val="clear" w:color="auto" w:fill="84A8D5" w:themeFill="accent1" w:themeFillTint="66"/>
      </w:tcPr>
    </w:tblStylePr>
    <w:tblStylePr w:type="band1Horz">
      <w:tblPr/>
      <w:tcPr>
        <w:shd w:val="clear" w:color="auto" w:fill="84A8D5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4D3B0F"/>
    <w:pPr>
      <w:spacing w:after="0" w:line="240" w:lineRule="auto"/>
    </w:pPr>
    <w:tblPr>
      <w:tblStyleRowBandSize w:val="1"/>
      <w:tblStyleColBandSize w:val="1"/>
      <w:tblBorders>
        <w:top w:val="single" w:sz="4" w:space="0" w:color="467DC0" w:themeColor="accent1" w:themeTint="99"/>
        <w:left w:val="single" w:sz="4" w:space="0" w:color="467DC0" w:themeColor="accent1" w:themeTint="99"/>
        <w:bottom w:val="single" w:sz="4" w:space="0" w:color="467DC0" w:themeColor="accent1" w:themeTint="99"/>
        <w:right w:val="single" w:sz="4" w:space="0" w:color="467DC0" w:themeColor="accent1" w:themeTint="99"/>
        <w:insideH w:val="single" w:sz="4" w:space="0" w:color="467DC0" w:themeColor="accent1" w:themeTint="99"/>
        <w:insideV w:val="single" w:sz="4" w:space="0" w:color="467DC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2F49" w:themeColor="accent1"/>
          <w:left w:val="single" w:sz="4" w:space="0" w:color="192F49" w:themeColor="accent1"/>
          <w:bottom w:val="single" w:sz="4" w:space="0" w:color="192F49" w:themeColor="accent1"/>
          <w:right w:val="single" w:sz="4" w:space="0" w:color="192F49" w:themeColor="accent1"/>
          <w:insideH w:val="nil"/>
          <w:insideV w:val="nil"/>
        </w:tcBorders>
        <w:shd w:val="clear" w:color="auto" w:fill="192F49" w:themeFill="accent1"/>
      </w:tcPr>
    </w:tblStylePr>
    <w:tblStylePr w:type="lastRow">
      <w:rPr>
        <w:b/>
        <w:bCs/>
      </w:rPr>
      <w:tblPr/>
      <w:tcPr>
        <w:tcBorders>
          <w:top w:val="double" w:sz="4" w:space="0" w:color="192F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3EA" w:themeFill="accent1" w:themeFillTint="33"/>
      </w:tcPr>
    </w:tblStylePr>
    <w:tblStylePr w:type="band1Horz">
      <w:tblPr/>
      <w:tcPr>
        <w:shd w:val="clear" w:color="auto" w:fill="C1D3EA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4D3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4D3B0F"/>
    <w:pPr>
      <w:spacing w:after="0" w:line="240" w:lineRule="auto"/>
    </w:pPr>
    <w:tblPr>
      <w:tblStyleRowBandSize w:val="1"/>
      <w:tblStyleColBandSize w:val="1"/>
      <w:tblBorders>
        <w:top w:val="single" w:sz="4" w:space="0" w:color="857C7C" w:themeColor="accent4" w:themeTint="99"/>
        <w:left w:val="single" w:sz="4" w:space="0" w:color="857C7C" w:themeColor="accent4" w:themeTint="99"/>
        <w:bottom w:val="single" w:sz="4" w:space="0" w:color="857C7C" w:themeColor="accent4" w:themeTint="99"/>
        <w:right w:val="single" w:sz="4" w:space="0" w:color="857C7C" w:themeColor="accent4" w:themeTint="99"/>
        <w:insideH w:val="single" w:sz="4" w:space="0" w:color="857C7C" w:themeColor="accent4" w:themeTint="99"/>
        <w:insideV w:val="single" w:sz="4" w:space="0" w:color="857C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2B2B" w:themeColor="accent4"/>
          <w:left w:val="single" w:sz="4" w:space="0" w:color="2E2B2B" w:themeColor="accent4"/>
          <w:bottom w:val="single" w:sz="4" w:space="0" w:color="2E2B2B" w:themeColor="accent4"/>
          <w:right w:val="single" w:sz="4" w:space="0" w:color="2E2B2B" w:themeColor="accent4"/>
          <w:insideH w:val="nil"/>
          <w:insideV w:val="nil"/>
        </w:tcBorders>
        <w:shd w:val="clear" w:color="auto" w:fill="2E2B2B" w:themeFill="accent4"/>
      </w:tcPr>
    </w:tblStylePr>
    <w:tblStylePr w:type="lastRow">
      <w:rPr>
        <w:b/>
        <w:bCs/>
      </w:rPr>
      <w:tblPr/>
      <w:tcPr>
        <w:tcBorders>
          <w:top w:val="double" w:sz="4" w:space="0" w:color="2E2B2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3D3" w:themeFill="accent4" w:themeFillTint="33"/>
      </w:tcPr>
    </w:tblStylePr>
    <w:tblStylePr w:type="band1Horz">
      <w:tblPr/>
      <w:tcPr>
        <w:shd w:val="clear" w:color="auto" w:fill="D6D3D3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4D3B0F"/>
    <w:pPr>
      <w:spacing w:after="0" w:line="240" w:lineRule="auto"/>
    </w:pPr>
    <w:tblPr>
      <w:tblStyleRowBandSize w:val="1"/>
      <w:tblStyleColBandSize w:val="1"/>
      <w:tblBorders>
        <w:top w:val="single" w:sz="4" w:space="0" w:color="F6680A" w:themeColor="accent3" w:themeTint="99"/>
        <w:left w:val="single" w:sz="4" w:space="0" w:color="F6680A" w:themeColor="accent3" w:themeTint="99"/>
        <w:bottom w:val="single" w:sz="4" w:space="0" w:color="F6680A" w:themeColor="accent3" w:themeTint="99"/>
        <w:right w:val="single" w:sz="4" w:space="0" w:color="F6680A" w:themeColor="accent3" w:themeTint="99"/>
        <w:insideH w:val="single" w:sz="4" w:space="0" w:color="F6680A" w:themeColor="accent3" w:themeTint="99"/>
        <w:insideV w:val="single" w:sz="4" w:space="0" w:color="F6680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2403" w:themeColor="accent3"/>
          <w:left w:val="single" w:sz="4" w:space="0" w:color="562403" w:themeColor="accent3"/>
          <w:bottom w:val="single" w:sz="4" w:space="0" w:color="562403" w:themeColor="accent3"/>
          <w:right w:val="single" w:sz="4" w:space="0" w:color="562403" w:themeColor="accent3"/>
          <w:insideH w:val="nil"/>
          <w:insideV w:val="nil"/>
        </w:tcBorders>
        <w:shd w:val="clear" w:color="auto" w:fill="562403" w:themeFill="accent3"/>
      </w:tcPr>
    </w:tblStylePr>
    <w:tblStylePr w:type="lastRow">
      <w:rPr>
        <w:b/>
        <w:bCs/>
      </w:rPr>
      <w:tblPr/>
      <w:tcPr>
        <w:tcBorders>
          <w:top w:val="double" w:sz="4" w:space="0" w:color="5624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CAD" w:themeFill="accent3" w:themeFillTint="33"/>
      </w:tcPr>
    </w:tblStylePr>
    <w:tblStylePr w:type="band1Horz">
      <w:tblPr/>
      <w:tcPr>
        <w:shd w:val="clear" w:color="auto" w:fill="FCCCAD" w:themeFill="accent3" w:themeFillTint="33"/>
      </w:tcPr>
    </w:tblStylePr>
  </w:style>
  <w:style w:type="paragraph" w:styleId="Salutation">
    <w:name w:val="Salutation"/>
    <w:basedOn w:val="Normal"/>
    <w:next w:val="Normal"/>
    <w:link w:val="SalutationChar"/>
    <w:uiPriority w:val="99"/>
    <w:unhideWhenUsed/>
    <w:rsid w:val="00CF4966"/>
    <w:pPr>
      <w:spacing w:before="480" w:after="24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rsid w:val="00CF4966"/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CF4966"/>
  </w:style>
  <w:style w:type="character" w:customStyle="1" w:styleId="Heading7Char">
    <w:name w:val="Heading 7 Char"/>
    <w:basedOn w:val="DefaultParagraphFont"/>
    <w:link w:val="Heading7"/>
    <w:uiPriority w:val="9"/>
    <w:semiHidden/>
    <w:rsid w:val="009D55C1"/>
    <w:rPr>
      <w:rFonts w:asciiTheme="majorHAnsi" w:eastAsiaTheme="majorEastAsia" w:hAnsiTheme="majorHAnsi" w:cstheme="majorBidi"/>
      <w:i/>
      <w:iCs/>
      <w:color w:val="083A42" w:themeColor="text2"/>
    </w:rPr>
  </w:style>
  <w:style w:type="paragraph" w:styleId="ListNumber">
    <w:name w:val="List Number"/>
    <w:basedOn w:val="Normal"/>
    <w:uiPriority w:val="99"/>
    <w:qFormat/>
    <w:rsid w:val="00FE20C6"/>
    <w:pPr>
      <w:numPr>
        <w:numId w:val="29"/>
      </w:numPr>
      <w:spacing w:after="200"/>
    </w:pPr>
    <w:rPr>
      <w:rFonts w:ascii="Arial" w:eastAsia="Calibri" w:hAnsi="Arial" w:cs="Times New Roman"/>
    </w:rPr>
  </w:style>
  <w:style w:type="paragraph" w:styleId="ListNumber2">
    <w:name w:val="List Number 2"/>
    <w:basedOn w:val="Normal"/>
    <w:uiPriority w:val="99"/>
    <w:rsid w:val="00FE20C6"/>
    <w:pPr>
      <w:numPr>
        <w:ilvl w:val="1"/>
        <w:numId w:val="29"/>
      </w:numPr>
      <w:spacing w:after="200"/>
    </w:pPr>
    <w:rPr>
      <w:rFonts w:ascii="Arial" w:eastAsia="Calibri" w:hAnsi="Arial" w:cs="Times New Roman"/>
    </w:rPr>
  </w:style>
  <w:style w:type="paragraph" w:styleId="ListNumber3">
    <w:name w:val="List Number 3"/>
    <w:basedOn w:val="Normal"/>
    <w:uiPriority w:val="99"/>
    <w:rsid w:val="00FE20C6"/>
    <w:pPr>
      <w:numPr>
        <w:ilvl w:val="2"/>
        <w:numId w:val="29"/>
      </w:numPr>
      <w:spacing w:after="200"/>
    </w:pPr>
    <w:rPr>
      <w:rFonts w:ascii="Arial" w:eastAsia="Calibri" w:hAnsi="Arial" w:cs="Times New Roman"/>
    </w:rPr>
  </w:style>
  <w:style w:type="paragraph" w:styleId="ListNumber4">
    <w:name w:val="List Number 4"/>
    <w:basedOn w:val="Normal"/>
    <w:uiPriority w:val="99"/>
    <w:rsid w:val="00FE20C6"/>
    <w:pPr>
      <w:numPr>
        <w:ilvl w:val="3"/>
        <w:numId w:val="29"/>
      </w:numPr>
      <w:spacing w:after="200"/>
    </w:pPr>
    <w:rPr>
      <w:rFonts w:ascii="Arial" w:eastAsia="Calibri" w:hAnsi="Arial" w:cs="Times New Roman"/>
    </w:rPr>
  </w:style>
  <w:style w:type="paragraph" w:styleId="ListNumber5">
    <w:name w:val="List Number 5"/>
    <w:basedOn w:val="Normal"/>
    <w:uiPriority w:val="99"/>
    <w:rsid w:val="00FE20C6"/>
    <w:pPr>
      <w:numPr>
        <w:ilvl w:val="4"/>
        <w:numId w:val="29"/>
      </w:numPr>
      <w:spacing w:after="200"/>
    </w:pPr>
    <w:rPr>
      <w:rFonts w:ascii="Arial" w:eastAsia="Calibri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63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3A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3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AAE"/>
    <w:rPr>
      <w:b/>
      <w:bCs/>
      <w:sz w:val="20"/>
      <w:szCs w:val="20"/>
    </w:rPr>
  </w:style>
  <w:style w:type="character" w:customStyle="1" w:styleId="ListParagraphChar">
    <w:name w:val="List Paragraph Char"/>
    <w:aliases w:val="List Paragraph1 Char,Recommendation Char,List Paragraph11 Char,L Char,bullet point list Char,1 heading Char,Bullet point Char,Dot point 1.5 line spacing Char,List Paragraph - bullets Char,NFP GP Bulleted List Char,Bullets Char"/>
    <w:basedOn w:val="DefaultParagraphFont"/>
    <w:link w:val="ListParagraph"/>
    <w:uiPriority w:val="34"/>
    <w:locked/>
    <w:rsid w:val="006B090D"/>
  </w:style>
  <w:style w:type="paragraph" w:styleId="BodyText">
    <w:name w:val="Body Text"/>
    <w:basedOn w:val="Normal"/>
    <w:link w:val="BodyTextChar"/>
    <w:uiPriority w:val="99"/>
    <w:rsid w:val="00287954"/>
    <w:pPr>
      <w:spacing w:before="240" w:after="0" w:line="300" w:lineRule="exac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287954"/>
    <w:rPr>
      <w:rFonts w:ascii="Times New Roman" w:eastAsia="Times New Roman" w:hAnsi="Times New Roman" w:cs="Times New Roman"/>
      <w:sz w:val="24"/>
      <w:szCs w:val="20"/>
      <w:lang w:eastAsia="en-AU"/>
    </w:rPr>
  </w:style>
  <w:style w:type="table" w:customStyle="1" w:styleId="LightGrid-Accent21">
    <w:name w:val="Light Grid - Accent 21"/>
    <w:basedOn w:val="TableNormal"/>
    <w:next w:val="LightGrid-Accent2"/>
    <w:uiPriority w:val="62"/>
    <w:rsid w:val="00A8185E"/>
    <w:pPr>
      <w:spacing w:after="0" w:line="240" w:lineRule="auto"/>
    </w:pPr>
    <w:rPr>
      <w:rFonts w:eastAsia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shd w:val="clear" w:color="auto" w:fill="CD0920"/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8185E"/>
    <w:pPr>
      <w:spacing w:after="0" w:line="240" w:lineRule="auto"/>
    </w:pPr>
    <w:tblPr>
      <w:tblStyleRowBandSize w:val="1"/>
      <w:tblStyleColBandSize w:val="1"/>
      <w:tblBorders>
        <w:top w:val="single" w:sz="8" w:space="0" w:color="1E3E39" w:themeColor="accent2"/>
        <w:left w:val="single" w:sz="8" w:space="0" w:color="1E3E39" w:themeColor="accent2"/>
        <w:bottom w:val="single" w:sz="8" w:space="0" w:color="1E3E39" w:themeColor="accent2"/>
        <w:right w:val="single" w:sz="8" w:space="0" w:color="1E3E39" w:themeColor="accent2"/>
        <w:insideH w:val="single" w:sz="8" w:space="0" w:color="1E3E39" w:themeColor="accent2"/>
        <w:insideV w:val="single" w:sz="8" w:space="0" w:color="1E3E3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3E39" w:themeColor="accent2"/>
          <w:left w:val="single" w:sz="8" w:space="0" w:color="1E3E39" w:themeColor="accent2"/>
          <w:bottom w:val="single" w:sz="18" w:space="0" w:color="1E3E39" w:themeColor="accent2"/>
          <w:right w:val="single" w:sz="8" w:space="0" w:color="1E3E39" w:themeColor="accent2"/>
          <w:insideH w:val="nil"/>
          <w:insideV w:val="single" w:sz="8" w:space="0" w:color="1E3E3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3E39" w:themeColor="accent2"/>
          <w:left w:val="single" w:sz="8" w:space="0" w:color="1E3E39" w:themeColor="accent2"/>
          <w:bottom w:val="single" w:sz="8" w:space="0" w:color="1E3E39" w:themeColor="accent2"/>
          <w:right w:val="single" w:sz="8" w:space="0" w:color="1E3E39" w:themeColor="accent2"/>
          <w:insideH w:val="nil"/>
          <w:insideV w:val="single" w:sz="8" w:space="0" w:color="1E3E3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3E39" w:themeColor="accent2"/>
          <w:left w:val="single" w:sz="8" w:space="0" w:color="1E3E39" w:themeColor="accent2"/>
          <w:bottom w:val="single" w:sz="8" w:space="0" w:color="1E3E39" w:themeColor="accent2"/>
          <w:right w:val="single" w:sz="8" w:space="0" w:color="1E3E39" w:themeColor="accent2"/>
        </w:tcBorders>
      </w:tcPr>
    </w:tblStylePr>
    <w:tblStylePr w:type="band1Vert">
      <w:tblPr/>
      <w:tcPr>
        <w:tcBorders>
          <w:top w:val="single" w:sz="8" w:space="0" w:color="1E3E39" w:themeColor="accent2"/>
          <w:left w:val="single" w:sz="8" w:space="0" w:color="1E3E39" w:themeColor="accent2"/>
          <w:bottom w:val="single" w:sz="8" w:space="0" w:color="1E3E39" w:themeColor="accent2"/>
          <w:right w:val="single" w:sz="8" w:space="0" w:color="1E3E39" w:themeColor="accent2"/>
        </w:tcBorders>
        <w:shd w:val="clear" w:color="auto" w:fill="B9DDD7" w:themeFill="accent2" w:themeFillTint="3F"/>
      </w:tcPr>
    </w:tblStylePr>
    <w:tblStylePr w:type="band1Horz">
      <w:tblPr/>
      <w:tcPr>
        <w:tcBorders>
          <w:top w:val="single" w:sz="8" w:space="0" w:color="1E3E39" w:themeColor="accent2"/>
          <w:left w:val="single" w:sz="8" w:space="0" w:color="1E3E39" w:themeColor="accent2"/>
          <w:bottom w:val="single" w:sz="8" w:space="0" w:color="1E3E39" w:themeColor="accent2"/>
          <w:right w:val="single" w:sz="8" w:space="0" w:color="1E3E39" w:themeColor="accent2"/>
          <w:insideV w:val="single" w:sz="8" w:space="0" w:color="1E3E39" w:themeColor="accent2"/>
        </w:tcBorders>
        <w:shd w:val="clear" w:color="auto" w:fill="B9DDD7" w:themeFill="accent2" w:themeFillTint="3F"/>
      </w:tcPr>
    </w:tblStylePr>
    <w:tblStylePr w:type="band2Horz">
      <w:tblPr/>
      <w:tcPr>
        <w:tcBorders>
          <w:top w:val="single" w:sz="8" w:space="0" w:color="1E3E39" w:themeColor="accent2"/>
          <w:left w:val="single" w:sz="8" w:space="0" w:color="1E3E39" w:themeColor="accent2"/>
          <w:bottom w:val="single" w:sz="8" w:space="0" w:color="1E3E39" w:themeColor="accent2"/>
          <w:right w:val="single" w:sz="8" w:space="0" w:color="1E3E39" w:themeColor="accent2"/>
          <w:insideV w:val="single" w:sz="8" w:space="0" w:color="1E3E39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CCEEW">
      <a:dk1>
        <a:sysClr val="windowText" lastClr="000000"/>
      </a:dk1>
      <a:lt1>
        <a:sysClr val="window" lastClr="FFFFFF"/>
      </a:lt1>
      <a:dk2>
        <a:srgbClr val="083A42"/>
      </a:dk2>
      <a:lt2>
        <a:srgbClr val="E7E6E6"/>
      </a:lt2>
      <a:accent1>
        <a:srgbClr val="192F49"/>
      </a:accent1>
      <a:accent2>
        <a:srgbClr val="1E3E39"/>
      </a:accent2>
      <a:accent3>
        <a:srgbClr val="562403"/>
      </a:accent3>
      <a:accent4>
        <a:srgbClr val="2E2B2B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4DFED-1977-466B-8F9D-3547FA815B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2026-02-03T22:41:00Z</dcterms:created>
  <dcterms:modified xsi:type="dcterms:W3CDTF">2026-02-03T22:41:00Z</dcterms:modified>
</cp:coreProperties>
</file>