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E2CDB" w14:textId="77777777" w:rsidR="00107DD5" w:rsidRDefault="00221D8F" w:rsidP="00CA4815">
      <w:bookmarkStart w:id="0" w:name="_GoBack"/>
      <w:bookmarkEnd w:id="0"/>
      <w:r w:rsidRPr="00CA4815">
        <w:rPr>
          <w:b/>
          <w:bCs/>
          <w:noProof/>
          <w:lang w:eastAsia="en-AU"/>
        </w:rPr>
        <w:drawing>
          <wp:anchor distT="0" distB="0" distL="114300" distR="114300" simplePos="0" relativeHeight="251658240" behindDoc="1" locked="1" layoutInCell="1" allowOverlap="1" wp14:anchorId="470D005C" wp14:editId="58D3B5C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lang w:eastAsia="en-AU"/>
        </w:rPr>
        <w:drawing>
          <wp:inline distT="0" distB="0" distL="0" distR="0" wp14:anchorId="4CF11311" wp14:editId="57755E79">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a:off x="0" y="0"/>
                      <a:ext cx="2271600" cy="554400"/>
                    </a:xfrm>
                    <a:prstGeom prst="rect">
                      <a:avLst/>
                    </a:prstGeom>
                  </pic:spPr>
                </pic:pic>
              </a:graphicData>
            </a:graphic>
          </wp:inline>
        </w:drawing>
      </w:r>
    </w:p>
    <w:p w14:paraId="65AB73EB" w14:textId="690B1455" w:rsidR="00221D8F" w:rsidRPr="00C07143" w:rsidRDefault="00C07143" w:rsidP="00221D8F">
      <w:pPr>
        <w:pStyle w:val="Heading1"/>
        <w:rPr>
          <w:b w:val="0"/>
          <w:bCs/>
        </w:rPr>
      </w:pPr>
      <w:bookmarkStart w:id="1" w:name="_Toc126923146"/>
      <w:bookmarkStart w:id="2" w:name="_Toc126923157"/>
      <w:r w:rsidRPr="00C07143">
        <w:rPr>
          <w:rFonts w:eastAsiaTheme="minorHAnsi"/>
          <w:b w:val="0"/>
          <w:bCs/>
        </w:rPr>
        <w:t>Improving Integrity in the International Education Sector</w:t>
      </w:r>
      <w:bookmarkEnd w:id="1"/>
      <w:bookmarkEnd w:id="2"/>
    </w:p>
    <w:p w14:paraId="7D8AFE92" w14:textId="4F3F9D93" w:rsidR="0017134D" w:rsidRDefault="00C07143" w:rsidP="00EB4C2F">
      <w:pPr>
        <w:pStyle w:val="Subtitle"/>
      </w:pPr>
      <w:r>
        <w:t>Addendum: Prohibiting agent commissions for onshore transfers</w:t>
      </w:r>
    </w:p>
    <w:p w14:paraId="58551F13" w14:textId="77777777" w:rsidR="00107D87" w:rsidRDefault="00107D87">
      <w:pPr>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6FCF1CB9" w14:textId="77777777" w:rsidR="00965874" w:rsidRDefault="00965874" w:rsidP="0017134D">
      <w:pPr>
        <w:rPr>
          <w:rStyle w:val="Strong"/>
        </w:rPr>
      </w:pPr>
    </w:p>
    <w:p w14:paraId="15EF49A0" w14:textId="77777777" w:rsidR="00965874" w:rsidRDefault="00965874" w:rsidP="0017134D">
      <w:pPr>
        <w:rPr>
          <w:rStyle w:val="Strong"/>
        </w:rPr>
      </w:pPr>
    </w:p>
    <w:p w14:paraId="450EEB68" w14:textId="77777777" w:rsidR="00965874" w:rsidRDefault="00965874" w:rsidP="0017134D">
      <w:pPr>
        <w:rPr>
          <w:rStyle w:val="Strong"/>
        </w:rPr>
      </w:pPr>
    </w:p>
    <w:p w14:paraId="3DA44162" w14:textId="77777777" w:rsidR="00965874" w:rsidRDefault="00965874" w:rsidP="0017134D">
      <w:pPr>
        <w:rPr>
          <w:rStyle w:val="Strong"/>
        </w:rPr>
      </w:pPr>
    </w:p>
    <w:p w14:paraId="33011361" w14:textId="77777777" w:rsidR="00965874" w:rsidRDefault="00965874" w:rsidP="0017134D">
      <w:pPr>
        <w:rPr>
          <w:rStyle w:val="Strong"/>
        </w:rPr>
      </w:pPr>
    </w:p>
    <w:p w14:paraId="07BEFC83" w14:textId="77777777" w:rsidR="00965874" w:rsidRDefault="00965874" w:rsidP="0017134D">
      <w:pPr>
        <w:rPr>
          <w:rStyle w:val="Strong"/>
        </w:rPr>
      </w:pPr>
    </w:p>
    <w:p w14:paraId="5B101EFC" w14:textId="77777777" w:rsidR="00965874" w:rsidRDefault="00965874" w:rsidP="0017134D">
      <w:pPr>
        <w:rPr>
          <w:rStyle w:val="Strong"/>
        </w:rPr>
      </w:pPr>
    </w:p>
    <w:p w14:paraId="4A0CE271" w14:textId="77777777" w:rsidR="00965874" w:rsidRDefault="00965874" w:rsidP="0017134D">
      <w:pPr>
        <w:rPr>
          <w:rStyle w:val="Strong"/>
        </w:rPr>
      </w:pPr>
    </w:p>
    <w:p w14:paraId="28EF70BD" w14:textId="77777777" w:rsidR="00965874" w:rsidRDefault="00965874" w:rsidP="0017134D">
      <w:pPr>
        <w:rPr>
          <w:rStyle w:val="Strong"/>
        </w:rPr>
      </w:pPr>
    </w:p>
    <w:p w14:paraId="0D240501" w14:textId="77777777" w:rsidR="00965874" w:rsidRDefault="00965874" w:rsidP="0017134D">
      <w:pPr>
        <w:rPr>
          <w:rStyle w:val="Strong"/>
        </w:rPr>
      </w:pPr>
    </w:p>
    <w:p w14:paraId="7E8D632A" w14:textId="77777777" w:rsidR="00965874" w:rsidRDefault="00965874" w:rsidP="0017134D">
      <w:pPr>
        <w:rPr>
          <w:rStyle w:val="Strong"/>
        </w:rPr>
      </w:pPr>
    </w:p>
    <w:p w14:paraId="6BD7E98A" w14:textId="77777777" w:rsidR="00965874" w:rsidRDefault="00965874" w:rsidP="0017134D">
      <w:pPr>
        <w:rPr>
          <w:rStyle w:val="Strong"/>
        </w:rPr>
      </w:pPr>
    </w:p>
    <w:p w14:paraId="60A67CB5" w14:textId="77777777" w:rsidR="00965874" w:rsidRDefault="00965874" w:rsidP="0017134D">
      <w:pPr>
        <w:rPr>
          <w:rStyle w:val="Strong"/>
        </w:rPr>
      </w:pPr>
    </w:p>
    <w:p w14:paraId="3CFE4F0C" w14:textId="77777777" w:rsidR="00965874" w:rsidRDefault="00965874" w:rsidP="0017134D">
      <w:pPr>
        <w:rPr>
          <w:rStyle w:val="Strong"/>
        </w:rPr>
      </w:pPr>
    </w:p>
    <w:p w14:paraId="31B083B3" w14:textId="77777777" w:rsidR="00965874" w:rsidRDefault="00965874" w:rsidP="0017134D">
      <w:pPr>
        <w:rPr>
          <w:rStyle w:val="Strong"/>
        </w:rPr>
      </w:pPr>
    </w:p>
    <w:p w14:paraId="35F4AF69" w14:textId="77777777" w:rsidR="00965874" w:rsidRDefault="00965874" w:rsidP="0017134D">
      <w:pPr>
        <w:rPr>
          <w:rStyle w:val="Strong"/>
        </w:rPr>
      </w:pPr>
    </w:p>
    <w:p w14:paraId="26AF3F49" w14:textId="77777777" w:rsidR="00965874" w:rsidRDefault="00965874" w:rsidP="0017134D">
      <w:pPr>
        <w:rPr>
          <w:rStyle w:val="Strong"/>
        </w:rPr>
      </w:pPr>
    </w:p>
    <w:p w14:paraId="4BA81D7E" w14:textId="355C0818" w:rsidR="0017134D" w:rsidRDefault="00107D87" w:rsidP="0017134D">
      <w:r>
        <w:rPr>
          <w:noProof/>
          <w:lang w:eastAsia="en-AU"/>
        </w:rPr>
        <w:drawing>
          <wp:inline distT="0" distB="0" distL="0" distR="0" wp14:anchorId="4CB625FE" wp14:editId="02DC598B">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0B803781"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21"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50DE0357" w14:textId="77777777" w:rsidR="0017134D" w:rsidRDefault="0017134D" w:rsidP="0017134D">
      <w:r>
        <w:t xml:space="preserve">The details of the relevant licence conditions are available on the Creative Commons website (accessible using the links provided) as is the full legal code for the </w:t>
      </w:r>
      <w:hyperlink r:id="rId22"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DA5BDDC" w14:textId="62131E9A" w:rsidR="00137804" w:rsidRPr="00137804" w:rsidRDefault="0017134D" w:rsidP="00137804">
      <w:r>
        <w:t xml:space="preserve">The document must be attributed as </w:t>
      </w:r>
      <w:r w:rsidR="00012E2E" w:rsidRPr="007B04D7">
        <w:rPr>
          <w:i/>
          <w:iCs/>
        </w:rPr>
        <w:t xml:space="preserve">Improving Integrity in the International Education Sector </w:t>
      </w:r>
      <w:r w:rsidR="006E2A3E" w:rsidRPr="007B04D7">
        <w:rPr>
          <w:i/>
          <w:iCs/>
        </w:rPr>
        <w:t xml:space="preserve">Impact Analysis – Addendum: </w:t>
      </w:r>
      <w:r w:rsidR="00137804" w:rsidRPr="007B04D7">
        <w:rPr>
          <w:i/>
          <w:iCs/>
        </w:rPr>
        <w:t>Prohibiting agent commissions for onshore transfers</w:t>
      </w:r>
      <w:r w:rsidR="00137804">
        <w:t>.</w:t>
      </w:r>
    </w:p>
    <w:p w14:paraId="7032F246" w14:textId="6E67753A" w:rsidR="0017134D" w:rsidRDefault="0017134D" w:rsidP="0017134D"/>
    <w:p w14:paraId="6D85672E" w14:textId="77777777" w:rsidR="00107D87" w:rsidRDefault="00107D87" w:rsidP="0017134D">
      <w:pPr>
        <w:sectPr w:rsidR="00107D87">
          <w:pgSz w:w="11906" w:h="16838"/>
          <w:pgMar w:top="1440" w:right="1440" w:bottom="1440" w:left="1440" w:header="708" w:footer="708" w:gutter="0"/>
          <w:cols w:space="708"/>
          <w:docGrid w:linePitch="360"/>
        </w:sectPr>
      </w:pPr>
    </w:p>
    <w:p w14:paraId="31D44460" w14:textId="77777777" w:rsidR="00AF1F18" w:rsidRPr="00AD631F" w:rsidRDefault="00AF1F18" w:rsidP="00AF1F18">
      <w:pPr>
        <w:pStyle w:val="TOCHeading"/>
      </w:pPr>
      <w:r w:rsidRPr="00AF1F18">
        <w:lastRenderedPageBreak/>
        <w:t>Contents</w:t>
      </w:r>
    </w:p>
    <w:p w14:paraId="047116E0" w14:textId="618A0D54" w:rsidR="0015533D"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218778630" w:history="1">
        <w:r w:rsidR="0015533D" w:rsidRPr="003F57BB">
          <w:rPr>
            <w:rStyle w:val="Hyperlink"/>
            <w:noProof/>
          </w:rPr>
          <w:t>Executive Summary</w:t>
        </w:r>
        <w:r w:rsidR="0015533D">
          <w:rPr>
            <w:noProof/>
            <w:webHidden/>
          </w:rPr>
          <w:tab/>
        </w:r>
        <w:r w:rsidR="0015533D">
          <w:rPr>
            <w:noProof/>
            <w:webHidden/>
          </w:rPr>
          <w:fldChar w:fldCharType="begin"/>
        </w:r>
        <w:r w:rsidR="0015533D">
          <w:rPr>
            <w:noProof/>
            <w:webHidden/>
          </w:rPr>
          <w:instrText xml:space="preserve"> PAGEREF _Toc218778630 \h </w:instrText>
        </w:r>
        <w:r w:rsidR="0015533D">
          <w:rPr>
            <w:noProof/>
            <w:webHidden/>
          </w:rPr>
        </w:r>
        <w:r w:rsidR="0015533D">
          <w:rPr>
            <w:noProof/>
            <w:webHidden/>
          </w:rPr>
          <w:fldChar w:fldCharType="separate"/>
        </w:r>
        <w:r w:rsidR="005F53E8">
          <w:rPr>
            <w:noProof/>
            <w:webHidden/>
          </w:rPr>
          <w:t>4</w:t>
        </w:r>
        <w:r w:rsidR="0015533D">
          <w:rPr>
            <w:noProof/>
            <w:webHidden/>
          </w:rPr>
          <w:fldChar w:fldCharType="end"/>
        </w:r>
      </w:hyperlink>
    </w:p>
    <w:p w14:paraId="0187373E" w14:textId="2CDF9E73" w:rsidR="0015533D" w:rsidRDefault="00DF5B25">
      <w:pPr>
        <w:pStyle w:val="TOC1"/>
        <w:tabs>
          <w:tab w:val="left" w:pos="440"/>
        </w:tabs>
        <w:rPr>
          <w:rFonts w:eastAsiaTheme="minorEastAsia"/>
          <w:noProof/>
          <w:kern w:val="2"/>
          <w:sz w:val="24"/>
          <w:szCs w:val="24"/>
          <w:lang w:eastAsia="en-AU"/>
          <w14:ligatures w14:val="standardContextual"/>
        </w:rPr>
      </w:pPr>
      <w:hyperlink w:anchor="_Toc218778631" w:history="1">
        <w:r w:rsidR="0015533D" w:rsidRPr="003F57BB">
          <w:rPr>
            <w:rStyle w:val="Hyperlink"/>
            <w:noProof/>
          </w:rPr>
          <w:t>1.</w:t>
        </w:r>
        <w:r w:rsidR="0015533D">
          <w:rPr>
            <w:rFonts w:eastAsiaTheme="minorEastAsia"/>
            <w:noProof/>
            <w:kern w:val="2"/>
            <w:sz w:val="24"/>
            <w:szCs w:val="24"/>
            <w:lang w:eastAsia="en-AU"/>
            <w14:ligatures w14:val="standardContextual"/>
          </w:rPr>
          <w:tab/>
        </w:r>
        <w:r w:rsidR="0015533D" w:rsidRPr="003F57BB">
          <w:rPr>
            <w:rStyle w:val="Hyperlink"/>
            <w:noProof/>
          </w:rPr>
          <w:t>Background</w:t>
        </w:r>
        <w:r w:rsidR="0015533D">
          <w:rPr>
            <w:noProof/>
            <w:webHidden/>
          </w:rPr>
          <w:tab/>
        </w:r>
        <w:r w:rsidR="0015533D">
          <w:rPr>
            <w:noProof/>
            <w:webHidden/>
          </w:rPr>
          <w:fldChar w:fldCharType="begin"/>
        </w:r>
        <w:r w:rsidR="0015533D">
          <w:rPr>
            <w:noProof/>
            <w:webHidden/>
          </w:rPr>
          <w:instrText xml:space="preserve"> PAGEREF _Toc218778631 \h </w:instrText>
        </w:r>
        <w:r w:rsidR="0015533D">
          <w:rPr>
            <w:noProof/>
            <w:webHidden/>
          </w:rPr>
        </w:r>
        <w:r w:rsidR="0015533D">
          <w:rPr>
            <w:noProof/>
            <w:webHidden/>
          </w:rPr>
          <w:fldChar w:fldCharType="separate"/>
        </w:r>
        <w:r w:rsidR="005F53E8">
          <w:rPr>
            <w:noProof/>
            <w:webHidden/>
          </w:rPr>
          <w:t>5</w:t>
        </w:r>
        <w:r w:rsidR="0015533D">
          <w:rPr>
            <w:noProof/>
            <w:webHidden/>
          </w:rPr>
          <w:fldChar w:fldCharType="end"/>
        </w:r>
      </w:hyperlink>
    </w:p>
    <w:p w14:paraId="3B5EEAEA" w14:textId="1C7866FA" w:rsidR="0015533D" w:rsidRDefault="00DF5B25">
      <w:pPr>
        <w:pStyle w:val="TOC2"/>
        <w:rPr>
          <w:rFonts w:eastAsiaTheme="minorEastAsia"/>
          <w:noProof/>
          <w:kern w:val="2"/>
          <w:sz w:val="24"/>
          <w:szCs w:val="24"/>
          <w:lang w:eastAsia="en-AU"/>
          <w14:ligatures w14:val="standardContextual"/>
        </w:rPr>
      </w:pPr>
      <w:hyperlink w:anchor="_Toc218778632" w:history="1">
        <w:r w:rsidR="0015533D" w:rsidRPr="003F57BB">
          <w:rPr>
            <w:rStyle w:val="Hyperlink"/>
            <w:noProof/>
          </w:rPr>
          <w:t>1.1</w:t>
        </w:r>
        <w:r w:rsidR="0015533D">
          <w:rPr>
            <w:rFonts w:eastAsiaTheme="minorEastAsia"/>
            <w:noProof/>
            <w:kern w:val="2"/>
            <w:sz w:val="24"/>
            <w:szCs w:val="24"/>
            <w:lang w:eastAsia="en-AU"/>
            <w14:ligatures w14:val="standardContextual"/>
          </w:rPr>
          <w:tab/>
        </w:r>
        <w:r w:rsidR="0015533D" w:rsidRPr="003F57BB">
          <w:rPr>
            <w:rStyle w:val="Hyperlink"/>
            <w:noProof/>
          </w:rPr>
          <w:t>Issues identified in the sector</w:t>
        </w:r>
        <w:r w:rsidR="0015533D">
          <w:rPr>
            <w:noProof/>
            <w:webHidden/>
          </w:rPr>
          <w:tab/>
        </w:r>
        <w:r w:rsidR="0015533D">
          <w:rPr>
            <w:noProof/>
            <w:webHidden/>
          </w:rPr>
          <w:fldChar w:fldCharType="begin"/>
        </w:r>
        <w:r w:rsidR="0015533D">
          <w:rPr>
            <w:noProof/>
            <w:webHidden/>
          </w:rPr>
          <w:instrText xml:space="preserve"> PAGEREF _Toc218778632 \h </w:instrText>
        </w:r>
        <w:r w:rsidR="0015533D">
          <w:rPr>
            <w:noProof/>
            <w:webHidden/>
          </w:rPr>
        </w:r>
        <w:r w:rsidR="0015533D">
          <w:rPr>
            <w:noProof/>
            <w:webHidden/>
          </w:rPr>
          <w:fldChar w:fldCharType="separate"/>
        </w:r>
        <w:r w:rsidR="005F53E8">
          <w:rPr>
            <w:noProof/>
            <w:webHidden/>
          </w:rPr>
          <w:t>5</w:t>
        </w:r>
        <w:r w:rsidR="0015533D">
          <w:rPr>
            <w:noProof/>
            <w:webHidden/>
          </w:rPr>
          <w:fldChar w:fldCharType="end"/>
        </w:r>
      </w:hyperlink>
    </w:p>
    <w:p w14:paraId="4366DEFD" w14:textId="47D93C78" w:rsidR="0015533D" w:rsidRDefault="00DF5B25">
      <w:pPr>
        <w:pStyle w:val="TOC2"/>
        <w:rPr>
          <w:rFonts w:eastAsiaTheme="minorEastAsia"/>
          <w:noProof/>
          <w:kern w:val="2"/>
          <w:sz w:val="24"/>
          <w:szCs w:val="24"/>
          <w:lang w:eastAsia="en-AU"/>
          <w14:ligatures w14:val="standardContextual"/>
        </w:rPr>
      </w:pPr>
      <w:hyperlink w:anchor="_Toc218778633" w:history="1">
        <w:r w:rsidR="0015533D" w:rsidRPr="003F57BB">
          <w:rPr>
            <w:rStyle w:val="Hyperlink"/>
            <w:noProof/>
          </w:rPr>
          <w:t>1.2</w:t>
        </w:r>
        <w:r w:rsidR="0015533D">
          <w:rPr>
            <w:rFonts w:eastAsiaTheme="minorEastAsia"/>
            <w:noProof/>
            <w:kern w:val="2"/>
            <w:sz w:val="24"/>
            <w:szCs w:val="24"/>
            <w:lang w:eastAsia="en-AU"/>
            <w14:ligatures w14:val="standardContextual"/>
          </w:rPr>
          <w:tab/>
        </w:r>
        <w:r w:rsidR="0015533D" w:rsidRPr="003F57BB">
          <w:rPr>
            <w:rStyle w:val="Hyperlink"/>
            <w:noProof/>
          </w:rPr>
          <w:t>Education agents and commissions</w:t>
        </w:r>
        <w:r w:rsidR="0015533D">
          <w:rPr>
            <w:noProof/>
            <w:webHidden/>
          </w:rPr>
          <w:tab/>
        </w:r>
        <w:r w:rsidR="0015533D">
          <w:rPr>
            <w:noProof/>
            <w:webHidden/>
          </w:rPr>
          <w:fldChar w:fldCharType="begin"/>
        </w:r>
        <w:r w:rsidR="0015533D">
          <w:rPr>
            <w:noProof/>
            <w:webHidden/>
          </w:rPr>
          <w:instrText xml:space="preserve"> PAGEREF _Toc218778633 \h </w:instrText>
        </w:r>
        <w:r w:rsidR="0015533D">
          <w:rPr>
            <w:noProof/>
            <w:webHidden/>
          </w:rPr>
        </w:r>
        <w:r w:rsidR="0015533D">
          <w:rPr>
            <w:noProof/>
            <w:webHidden/>
          </w:rPr>
          <w:fldChar w:fldCharType="separate"/>
        </w:r>
        <w:r w:rsidR="005F53E8">
          <w:rPr>
            <w:noProof/>
            <w:webHidden/>
          </w:rPr>
          <w:t>5</w:t>
        </w:r>
        <w:r w:rsidR="0015533D">
          <w:rPr>
            <w:noProof/>
            <w:webHidden/>
          </w:rPr>
          <w:fldChar w:fldCharType="end"/>
        </w:r>
      </w:hyperlink>
    </w:p>
    <w:p w14:paraId="5C8555E4" w14:textId="17ED6F72" w:rsidR="0015533D" w:rsidRDefault="00DF5B25">
      <w:pPr>
        <w:pStyle w:val="TOC2"/>
        <w:rPr>
          <w:rFonts w:eastAsiaTheme="minorEastAsia"/>
          <w:noProof/>
          <w:kern w:val="2"/>
          <w:sz w:val="24"/>
          <w:szCs w:val="24"/>
          <w:lang w:eastAsia="en-AU"/>
          <w14:ligatures w14:val="standardContextual"/>
        </w:rPr>
      </w:pPr>
      <w:hyperlink w:anchor="_Toc218778634" w:history="1">
        <w:r w:rsidR="0015533D" w:rsidRPr="003F57BB">
          <w:rPr>
            <w:rStyle w:val="Hyperlink"/>
            <w:noProof/>
          </w:rPr>
          <w:t>1.3</w:t>
        </w:r>
        <w:r w:rsidR="0015533D">
          <w:rPr>
            <w:rFonts w:eastAsiaTheme="minorEastAsia"/>
            <w:noProof/>
            <w:kern w:val="2"/>
            <w:sz w:val="24"/>
            <w:szCs w:val="24"/>
            <w:lang w:eastAsia="en-AU"/>
            <w14:ligatures w14:val="standardContextual"/>
          </w:rPr>
          <w:tab/>
        </w:r>
        <w:r w:rsidR="0015533D" w:rsidRPr="003F57BB">
          <w:rPr>
            <w:rStyle w:val="Hyperlink"/>
            <w:noProof/>
          </w:rPr>
          <w:t>Broader context of reform</w:t>
        </w:r>
        <w:r w:rsidR="0015533D">
          <w:rPr>
            <w:noProof/>
            <w:webHidden/>
          </w:rPr>
          <w:tab/>
        </w:r>
        <w:r w:rsidR="0015533D">
          <w:rPr>
            <w:noProof/>
            <w:webHidden/>
          </w:rPr>
          <w:fldChar w:fldCharType="begin"/>
        </w:r>
        <w:r w:rsidR="0015533D">
          <w:rPr>
            <w:noProof/>
            <w:webHidden/>
          </w:rPr>
          <w:instrText xml:space="preserve"> PAGEREF _Toc218778634 \h </w:instrText>
        </w:r>
        <w:r w:rsidR="0015533D">
          <w:rPr>
            <w:noProof/>
            <w:webHidden/>
          </w:rPr>
        </w:r>
        <w:r w:rsidR="0015533D">
          <w:rPr>
            <w:noProof/>
            <w:webHidden/>
          </w:rPr>
          <w:fldChar w:fldCharType="separate"/>
        </w:r>
        <w:r w:rsidR="005F53E8">
          <w:rPr>
            <w:noProof/>
            <w:webHidden/>
          </w:rPr>
          <w:t>6</w:t>
        </w:r>
        <w:r w:rsidR="0015533D">
          <w:rPr>
            <w:noProof/>
            <w:webHidden/>
          </w:rPr>
          <w:fldChar w:fldCharType="end"/>
        </w:r>
      </w:hyperlink>
    </w:p>
    <w:p w14:paraId="023CFEB3" w14:textId="4A1A9CF1" w:rsidR="0015533D" w:rsidRDefault="00DF5B25">
      <w:pPr>
        <w:pStyle w:val="TOC2"/>
        <w:rPr>
          <w:rFonts w:eastAsiaTheme="minorEastAsia"/>
          <w:noProof/>
          <w:kern w:val="2"/>
          <w:sz w:val="24"/>
          <w:szCs w:val="24"/>
          <w:lang w:eastAsia="en-AU"/>
          <w14:ligatures w14:val="standardContextual"/>
        </w:rPr>
      </w:pPr>
      <w:hyperlink w:anchor="_Toc218778635" w:history="1">
        <w:r w:rsidR="0015533D" w:rsidRPr="003F57BB">
          <w:rPr>
            <w:rStyle w:val="Hyperlink"/>
            <w:noProof/>
          </w:rPr>
          <w:t>1.4</w:t>
        </w:r>
        <w:r w:rsidR="0015533D">
          <w:rPr>
            <w:rFonts w:eastAsiaTheme="minorEastAsia"/>
            <w:noProof/>
            <w:kern w:val="2"/>
            <w:sz w:val="24"/>
            <w:szCs w:val="24"/>
            <w:lang w:eastAsia="en-AU"/>
            <w14:ligatures w14:val="standardContextual"/>
          </w:rPr>
          <w:tab/>
        </w:r>
        <w:r w:rsidR="0015533D" w:rsidRPr="003F57BB">
          <w:rPr>
            <w:rStyle w:val="Hyperlink"/>
            <w:noProof/>
          </w:rPr>
          <w:t>Policy objectives</w:t>
        </w:r>
        <w:r w:rsidR="0015533D">
          <w:rPr>
            <w:noProof/>
            <w:webHidden/>
          </w:rPr>
          <w:tab/>
        </w:r>
        <w:r w:rsidR="0015533D">
          <w:rPr>
            <w:noProof/>
            <w:webHidden/>
          </w:rPr>
          <w:fldChar w:fldCharType="begin"/>
        </w:r>
        <w:r w:rsidR="0015533D">
          <w:rPr>
            <w:noProof/>
            <w:webHidden/>
          </w:rPr>
          <w:instrText xml:space="preserve"> PAGEREF _Toc218778635 \h </w:instrText>
        </w:r>
        <w:r w:rsidR="0015533D">
          <w:rPr>
            <w:noProof/>
            <w:webHidden/>
          </w:rPr>
        </w:r>
        <w:r w:rsidR="0015533D">
          <w:rPr>
            <w:noProof/>
            <w:webHidden/>
          </w:rPr>
          <w:fldChar w:fldCharType="separate"/>
        </w:r>
        <w:r w:rsidR="005F53E8">
          <w:rPr>
            <w:noProof/>
            <w:webHidden/>
          </w:rPr>
          <w:t>7</w:t>
        </w:r>
        <w:r w:rsidR="0015533D">
          <w:rPr>
            <w:noProof/>
            <w:webHidden/>
          </w:rPr>
          <w:fldChar w:fldCharType="end"/>
        </w:r>
      </w:hyperlink>
    </w:p>
    <w:p w14:paraId="7903B798" w14:textId="7A71B00C" w:rsidR="0015533D" w:rsidRDefault="00DF5B25">
      <w:pPr>
        <w:pStyle w:val="TOC1"/>
        <w:tabs>
          <w:tab w:val="left" w:pos="440"/>
        </w:tabs>
        <w:rPr>
          <w:rFonts w:eastAsiaTheme="minorEastAsia"/>
          <w:noProof/>
          <w:kern w:val="2"/>
          <w:sz w:val="24"/>
          <w:szCs w:val="24"/>
          <w:lang w:eastAsia="en-AU"/>
          <w14:ligatures w14:val="standardContextual"/>
        </w:rPr>
      </w:pPr>
      <w:hyperlink w:anchor="_Toc218778636" w:history="1">
        <w:r w:rsidR="0015533D" w:rsidRPr="003F57BB">
          <w:rPr>
            <w:rStyle w:val="Hyperlink"/>
            <w:noProof/>
          </w:rPr>
          <w:t>2.</w:t>
        </w:r>
        <w:r w:rsidR="0015533D">
          <w:rPr>
            <w:rFonts w:eastAsiaTheme="minorEastAsia"/>
            <w:noProof/>
            <w:kern w:val="2"/>
            <w:sz w:val="24"/>
            <w:szCs w:val="24"/>
            <w:lang w:eastAsia="en-AU"/>
            <w14:ligatures w14:val="standardContextual"/>
          </w:rPr>
          <w:tab/>
        </w:r>
        <w:r w:rsidR="0015533D" w:rsidRPr="003F57BB">
          <w:rPr>
            <w:rStyle w:val="Hyperlink"/>
            <w:noProof/>
          </w:rPr>
          <w:t>Options for reform</w:t>
        </w:r>
        <w:r w:rsidR="0015533D">
          <w:rPr>
            <w:noProof/>
            <w:webHidden/>
          </w:rPr>
          <w:tab/>
        </w:r>
        <w:r w:rsidR="0015533D">
          <w:rPr>
            <w:noProof/>
            <w:webHidden/>
          </w:rPr>
          <w:fldChar w:fldCharType="begin"/>
        </w:r>
        <w:r w:rsidR="0015533D">
          <w:rPr>
            <w:noProof/>
            <w:webHidden/>
          </w:rPr>
          <w:instrText xml:space="preserve"> PAGEREF _Toc218778636 \h </w:instrText>
        </w:r>
        <w:r w:rsidR="0015533D">
          <w:rPr>
            <w:noProof/>
            <w:webHidden/>
          </w:rPr>
        </w:r>
        <w:r w:rsidR="0015533D">
          <w:rPr>
            <w:noProof/>
            <w:webHidden/>
          </w:rPr>
          <w:fldChar w:fldCharType="separate"/>
        </w:r>
        <w:r w:rsidR="005F53E8">
          <w:rPr>
            <w:noProof/>
            <w:webHidden/>
          </w:rPr>
          <w:t>8</w:t>
        </w:r>
        <w:r w:rsidR="0015533D">
          <w:rPr>
            <w:noProof/>
            <w:webHidden/>
          </w:rPr>
          <w:fldChar w:fldCharType="end"/>
        </w:r>
      </w:hyperlink>
    </w:p>
    <w:p w14:paraId="1EA7469F" w14:textId="019C4D7B" w:rsidR="0015533D" w:rsidRDefault="00DF5B25">
      <w:pPr>
        <w:pStyle w:val="TOC2"/>
        <w:rPr>
          <w:rFonts w:eastAsiaTheme="minorEastAsia"/>
          <w:noProof/>
          <w:kern w:val="2"/>
          <w:sz w:val="24"/>
          <w:szCs w:val="24"/>
          <w:lang w:eastAsia="en-AU"/>
          <w14:ligatures w14:val="standardContextual"/>
        </w:rPr>
      </w:pPr>
      <w:hyperlink w:anchor="_Toc218778637" w:history="1">
        <w:r w:rsidR="0015533D" w:rsidRPr="003F57BB">
          <w:rPr>
            <w:rStyle w:val="Hyperlink"/>
            <w:noProof/>
          </w:rPr>
          <w:t>2.1</w:t>
        </w:r>
        <w:r w:rsidR="0015533D">
          <w:rPr>
            <w:rFonts w:eastAsiaTheme="minorEastAsia"/>
            <w:noProof/>
            <w:kern w:val="2"/>
            <w:sz w:val="24"/>
            <w:szCs w:val="24"/>
            <w:lang w:eastAsia="en-AU"/>
            <w14:ligatures w14:val="standardContextual"/>
          </w:rPr>
          <w:tab/>
        </w:r>
        <w:r w:rsidR="0015533D" w:rsidRPr="003F57BB">
          <w:rPr>
            <w:rStyle w:val="Hyperlink"/>
            <w:noProof/>
          </w:rPr>
          <w:t>Option 1: Status quo</w:t>
        </w:r>
        <w:r w:rsidR="0015533D">
          <w:rPr>
            <w:noProof/>
            <w:webHidden/>
          </w:rPr>
          <w:tab/>
        </w:r>
        <w:r w:rsidR="0015533D">
          <w:rPr>
            <w:noProof/>
            <w:webHidden/>
          </w:rPr>
          <w:fldChar w:fldCharType="begin"/>
        </w:r>
        <w:r w:rsidR="0015533D">
          <w:rPr>
            <w:noProof/>
            <w:webHidden/>
          </w:rPr>
          <w:instrText xml:space="preserve"> PAGEREF _Toc218778637 \h </w:instrText>
        </w:r>
        <w:r w:rsidR="0015533D">
          <w:rPr>
            <w:noProof/>
            <w:webHidden/>
          </w:rPr>
        </w:r>
        <w:r w:rsidR="0015533D">
          <w:rPr>
            <w:noProof/>
            <w:webHidden/>
          </w:rPr>
          <w:fldChar w:fldCharType="separate"/>
        </w:r>
        <w:r w:rsidR="005F53E8">
          <w:rPr>
            <w:noProof/>
            <w:webHidden/>
          </w:rPr>
          <w:t>8</w:t>
        </w:r>
        <w:r w:rsidR="0015533D">
          <w:rPr>
            <w:noProof/>
            <w:webHidden/>
          </w:rPr>
          <w:fldChar w:fldCharType="end"/>
        </w:r>
      </w:hyperlink>
    </w:p>
    <w:p w14:paraId="124D0AAC" w14:textId="2FAF4931" w:rsidR="0015533D" w:rsidRDefault="00DF5B25">
      <w:pPr>
        <w:pStyle w:val="TOC2"/>
        <w:rPr>
          <w:rFonts w:eastAsiaTheme="minorEastAsia"/>
          <w:noProof/>
          <w:kern w:val="2"/>
          <w:sz w:val="24"/>
          <w:szCs w:val="24"/>
          <w:lang w:eastAsia="en-AU"/>
          <w14:ligatures w14:val="standardContextual"/>
        </w:rPr>
      </w:pPr>
      <w:hyperlink w:anchor="_Toc218778638" w:history="1">
        <w:r w:rsidR="0015533D" w:rsidRPr="003F57BB">
          <w:rPr>
            <w:rStyle w:val="Hyperlink"/>
            <w:noProof/>
          </w:rPr>
          <w:t>2.2</w:t>
        </w:r>
        <w:r w:rsidR="0015533D">
          <w:rPr>
            <w:rFonts w:eastAsiaTheme="minorEastAsia"/>
            <w:noProof/>
            <w:kern w:val="2"/>
            <w:sz w:val="24"/>
            <w:szCs w:val="24"/>
            <w:lang w:eastAsia="en-AU"/>
            <w14:ligatures w14:val="standardContextual"/>
          </w:rPr>
          <w:tab/>
        </w:r>
        <w:r w:rsidR="0015533D" w:rsidRPr="003F57BB">
          <w:rPr>
            <w:rStyle w:val="Hyperlink"/>
            <w:noProof/>
          </w:rPr>
          <w:t>Option 2: Non-regulatory option</w:t>
        </w:r>
        <w:r w:rsidR="0015533D">
          <w:rPr>
            <w:noProof/>
            <w:webHidden/>
          </w:rPr>
          <w:tab/>
        </w:r>
        <w:r w:rsidR="0015533D">
          <w:rPr>
            <w:noProof/>
            <w:webHidden/>
          </w:rPr>
          <w:fldChar w:fldCharType="begin"/>
        </w:r>
        <w:r w:rsidR="0015533D">
          <w:rPr>
            <w:noProof/>
            <w:webHidden/>
          </w:rPr>
          <w:instrText xml:space="preserve"> PAGEREF _Toc218778638 \h </w:instrText>
        </w:r>
        <w:r w:rsidR="0015533D">
          <w:rPr>
            <w:noProof/>
            <w:webHidden/>
          </w:rPr>
        </w:r>
        <w:r w:rsidR="0015533D">
          <w:rPr>
            <w:noProof/>
            <w:webHidden/>
          </w:rPr>
          <w:fldChar w:fldCharType="separate"/>
        </w:r>
        <w:r w:rsidR="005F53E8">
          <w:rPr>
            <w:noProof/>
            <w:webHidden/>
          </w:rPr>
          <w:t>8</w:t>
        </w:r>
        <w:r w:rsidR="0015533D">
          <w:rPr>
            <w:noProof/>
            <w:webHidden/>
          </w:rPr>
          <w:fldChar w:fldCharType="end"/>
        </w:r>
      </w:hyperlink>
    </w:p>
    <w:p w14:paraId="309F11D9" w14:textId="3D38D1F0" w:rsidR="0015533D" w:rsidRDefault="00DF5B25">
      <w:pPr>
        <w:pStyle w:val="TOC2"/>
        <w:rPr>
          <w:rFonts w:eastAsiaTheme="minorEastAsia"/>
          <w:noProof/>
          <w:kern w:val="2"/>
          <w:sz w:val="24"/>
          <w:szCs w:val="24"/>
          <w:lang w:eastAsia="en-AU"/>
          <w14:ligatures w14:val="standardContextual"/>
        </w:rPr>
      </w:pPr>
      <w:hyperlink w:anchor="_Toc218778639" w:history="1">
        <w:r w:rsidR="0015533D" w:rsidRPr="003F57BB">
          <w:rPr>
            <w:rStyle w:val="Hyperlink"/>
            <w:noProof/>
          </w:rPr>
          <w:t>2.3</w:t>
        </w:r>
        <w:r w:rsidR="0015533D">
          <w:rPr>
            <w:rFonts w:eastAsiaTheme="minorEastAsia"/>
            <w:noProof/>
            <w:kern w:val="2"/>
            <w:sz w:val="24"/>
            <w:szCs w:val="24"/>
            <w:lang w:eastAsia="en-AU"/>
            <w14:ligatures w14:val="standardContextual"/>
          </w:rPr>
          <w:tab/>
        </w:r>
        <w:r w:rsidR="0015533D" w:rsidRPr="003F57BB">
          <w:rPr>
            <w:rStyle w:val="Hyperlink"/>
            <w:noProof/>
          </w:rPr>
          <w:t>Option 3: Regulatory option</w:t>
        </w:r>
        <w:r w:rsidR="0015533D">
          <w:rPr>
            <w:noProof/>
            <w:webHidden/>
          </w:rPr>
          <w:tab/>
        </w:r>
        <w:r w:rsidR="0015533D">
          <w:rPr>
            <w:noProof/>
            <w:webHidden/>
          </w:rPr>
          <w:fldChar w:fldCharType="begin"/>
        </w:r>
        <w:r w:rsidR="0015533D">
          <w:rPr>
            <w:noProof/>
            <w:webHidden/>
          </w:rPr>
          <w:instrText xml:space="preserve"> PAGEREF _Toc218778639 \h </w:instrText>
        </w:r>
        <w:r w:rsidR="0015533D">
          <w:rPr>
            <w:noProof/>
            <w:webHidden/>
          </w:rPr>
        </w:r>
        <w:r w:rsidR="0015533D">
          <w:rPr>
            <w:noProof/>
            <w:webHidden/>
          </w:rPr>
          <w:fldChar w:fldCharType="separate"/>
        </w:r>
        <w:r w:rsidR="005F53E8">
          <w:rPr>
            <w:noProof/>
            <w:webHidden/>
          </w:rPr>
          <w:t>8</w:t>
        </w:r>
        <w:r w:rsidR="0015533D">
          <w:rPr>
            <w:noProof/>
            <w:webHidden/>
          </w:rPr>
          <w:fldChar w:fldCharType="end"/>
        </w:r>
      </w:hyperlink>
    </w:p>
    <w:p w14:paraId="617C6F7F" w14:textId="2C65B37A" w:rsidR="0015533D" w:rsidRDefault="00DF5B25">
      <w:pPr>
        <w:pStyle w:val="TOC1"/>
        <w:tabs>
          <w:tab w:val="left" w:pos="440"/>
        </w:tabs>
        <w:rPr>
          <w:rFonts w:eastAsiaTheme="minorEastAsia"/>
          <w:noProof/>
          <w:kern w:val="2"/>
          <w:sz w:val="24"/>
          <w:szCs w:val="24"/>
          <w:lang w:eastAsia="en-AU"/>
          <w14:ligatures w14:val="standardContextual"/>
        </w:rPr>
      </w:pPr>
      <w:hyperlink w:anchor="_Toc218778640" w:history="1">
        <w:r w:rsidR="0015533D" w:rsidRPr="003F57BB">
          <w:rPr>
            <w:rStyle w:val="Hyperlink"/>
            <w:noProof/>
          </w:rPr>
          <w:t>3.</w:t>
        </w:r>
        <w:r w:rsidR="0015533D">
          <w:rPr>
            <w:rFonts w:eastAsiaTheme="minorEastAsia"/>
            <w:noProof/>
            <w:kern w:val="2"/>
            <w:sz w:val="24"/>
            <w:szCs w:val="24"/>
            <w:lang w:eastAsia="en-AU"/>
            <w14:ligatures w14:val="standardContextual"/>
          </w:rPr>
          <w:tab/>
        </w:r>
        <w:r w:rsidR="0015533D" w:rsidRPr="003F57BB">
          <w:rPr>
            <w:rStyle w:val="Hyperlink"/>
            <w:noProof/>
          </w:rPr>
          <w:t>Regulatory impact</w:t>
        </w:r>
        <w:r w:rsidR="0015533D">
          <w:rPr>
            <w:noProof/>
            <w:webHidden/>
          </w:rPr>
          <w:tab/>
        </w:r>
        <w:r w:rsidR="0015533D">
          <w:rPr>
            <w:noProof/>
            <w:webHidden/>
          </w:rPr>
          <w:fldChar w:fldCharType="begin"/>
        </w:r>
        <w:r w:rsidR="0015533D">
          <w:rPr>
            <w:noProof/>
            <w:webHidden/>
          </w:rPr>
          <w:instrText xml:space="preserve"> PAGEREF _Toc218778640 \h </w:instrText>
        </w:r>
        <w:r w:rsidR="0015533D">
          <w:rPr>
            <w:noProof/>
            <w:webHidden/>
          </w:rPr>
        </w:r>
        <w:r w:rsidR="0015533D">
          <w:rPr>
            <w:noProof/>
            <w:webHidden/>
          </w:rPr>
          <w:fldChar w:fldCharType="separate"/>
        </w:r>
        <w:r w:rsidR="005F53E8">
          <w:rPr>
            <w:noProof/>
            <w:webHidden/>
          </w:rPr>
          <w:t>9</w:t>
        </w:r>
        <w:r w:rsidR="0015533D">
          <w:rPr>
            <w:noProof/>
            <w:webHidden/>
          </w:rPr>
          <w:fldChar w:fldCharType="end"/>
        </w:r>
      </w:hyperlink>
    </w:p>
    <w:p w14:paraId="7DCE47C7" w14:textId="108071D0" w:rsidR="0015533D" w:rsidRDefault="00DF5B25">
      <w:pPr>
        <w:pStyle w:val="TOC2"/>
        <w:rPr>
          <w:rFonts w:eastAsiaTheme="minorEastAsia"/>
          <w:noProof/>
          <w:kern w:val="2"/>
          <w:sz w:val="24"/>
          <w:szCs w:val="24"/>
          <w:lang w:eastAsia="en-AU"/>
          <w14:ligatures w14:val="standardContextual"/>
        </w:rPr>
      </w:pPr>
      <w:hyperlink w:anchor="_Toc218778641" w:history="1">
        <w:r w:rsidR="0015533D" w:rsidRPr="003F57BB">
          <w:rPr>
            <w:rStyle w:val="Hyperlink"/>
            <w:noProof/>
          </w:rPr>
          <w:t>3.1</w:t>
        </w:r>
        <w:r w:rsidR="0015533D">
          <w:rPr>
            <w:rFonts w:eastAsiaTheme="minorEastAsia"/>
            <w:noProof/>
            <w:kern w:val="2"/>
            <w:sz w:val="24"/>
            <w:szCs w:val="24"/>
            <w:lang w:eastAsia="en-AU"/>
            <w14:ligatures w14:val="standardContextual"/>
          </w:rPr>
          <w:tab/>
        </w:r>
        <w:r w:rsidR="0015533D" w:rsidRPr="003F57BB">
          <w:rPr>
            <w:rStyle w:val="Hyperlink"/>
            <w:noProof/>
          </w:rPr>
          <w:t>Option 1: Status quo</w:t>
        </w:r>
        <w:r w:rsidR="0015533D">
          <w:rPr>
            <w:noProof/>
            <w:webHidden/>
          </w:rPr>
          <w:tab/>
        </w:r>
        <w:r w:rsidR="0015533D">
          <w:rPr>
            <w:noProof/>
            <w:webHidden/>
          </w:rPr>
          <w:fldChar w:fldCharType="begin"/>
        </w:r>
        <w:r w:rsidR="0015533D">
          <w:rPr>
            <w:noProof/>
            <w:webHidden/>
          </w:rPr>
          <w:instrText xml:space="preserve"> PAGEREF _Toc218778641 \h </w:instrText>
        </w:r>
        <w:r w:rsidR="0015533D">
          <w:rPr>
            <w:noProof/>
            <w:webHidden/>
          </w:rPr>
        </w:r>
        <w:r w:rsidR="0015533D">
          <w:rPr>
            <w:noProof/>
            <w:webHidden/>
          </w:rPr>
          <w:fldChar w:fldCharType="separate"/>
        </w:r>
        <w:r w:rsidR="005F53E8">
          <w:rPr>
            <w:noProof/>
            <w:webHidden/>
          </w:rPr>
          <w:t>9</w:t>
        </w:r>
        <w:r w:rsidR="0015533D">
          <w:rPr>
            <w:noProof/>
            <w:webHidden/>
          </w:rPr>
          <w:fldChar w:fldCharType="end"/>
        </w:r>
      </w:hyperlink>
    </w:p>
    <w:p w14:paraId="6DA4AC07" w14:textId="170A2E87" w:rsidR="0015533D" w:rsidRDefault="00DF5B25">
      <w:pPr>
        <w:pStyle w:val="TOC2"/>
        <w:rPr>
          <w:rFonts w:eastAsiaTheme="minorEastAsia"/>
          <w:noProof/>
          <w:kern w:val="2"/>
          <w:sz w:val="24"/>
          <w:szCs w:val="24"/>
          <w:lang w:eastAsia="en-AU"/>
          <w14:ligatures w14:val="standardContextual"/>
        </w:rPr>
      </w:pPr>
      <w:hyperlink w:anchor="_Toc218778642" w:history="1">
        <w:r w:rsidR="0015533D" w:rsidRPr="003F57BB">
          <w:rPr>
            <w:rStyle w:val="Hyperlink"/>
            <w:noProof/>
          </w:rPr>
          <w:t>3.2</w:t>
        </w:r>
        <w:r w:rsidR="0015533D">
          <w:rPr>
            <w:rFonts w:eastAsiaTheme="minorEastAsia"/>
            <w:noProof/>
            <w:kern w:val="2"/>
            <w:sz w:val="24"/>
            <w:szCs w:val="24"/>
            <w:lang w:eastAsia="en-AU"/>
            <w14:ligatures w14:val="standardContextual"/>
          </w:rPr>
          <w:tab/>
        </w:r>
        <w:r w:rsidR="0015533D" w:rsidRPr="003F57BB">
          <w:rPr>
            <w:rStyle w:val="Hyperlink"/>
            <w:noProof/>
          </w:rPr>
          <w:t>Option 2: Non-regulatory option</w:t>
        </w:r>
        <w:r w:rsidR="0015533D">
          <w:rPr>
            <w:noProof/>
            <w:webHidden/>
          </w:rPr>
          <w:tab/>
        </w:r>
        <w:r w:rsidR="0015533D">
          <w:rPr>
            <w:noProof/>
            <w:webHidden/>
          </w:rPr>
          <w:fldChar w:fldCharType="begin"/>
        </w:r>
        <w:r w:rsidR="0015533D">
          <w:rPr>
            <w:noProof/>
            <w:webHidden/>
          </w:rPr>
          <w:instrText xml:space="preserve"> PAGEREF _Toc218778642 \h </w:instrText>
        </w:r>
        <w:r w:rsidR="0015533D">
          <w:rPr>
            <w:noProof/>
            <w:webHidden/>
          </w:rPr>
        </w:r>
        <w:r w:rsidR="0015533D">
          <w:rPr>
            <w:noProof/>
            <w:webHidden/>
          </w:rPr>
          <w:fldChar w:fldCharType="separate"/>
        </w:r>
        <w:r w:rsidR="005F53E8">
          <w:rPr>
            <w:noProof/>
            <w:webHidden/>
          </w:rPr>
          <w:t>9</w:t>
        </w:r>
        <w:r w:rsidR="0015533D">
          <w:rPr>
            <w:noProof/>
            <w:webHidden/>
          </w:rPr>
          <w:fldChar w:fldCharType="end"/>
        </w:r>
      </w:hyperlink>
    </w:p>
    <w:p w14:paraId="616889CB" w14:textId="48CC380E" w:rsidR="0015533D" w:rsidRDefault="00DF5B25">
      <w:pPr>
        <w:pStyle w:val="TOC2"/>
        <w:rPr>
          <w:rFonts w:eastAsiaTheme="minorEastAsia"/>
          <w:noProof/>
          <w:kern w:val="2"/>
          <w:sz w:val="24"/>
          <w:szCs w:val="24"/>
          <w:lang w:eastAsia="en-AU"/>
          <w14:ligatures w14:val="standardContextual"/>
        </w:rPr>
      </w:pPr>
      <w:hyperlink w:anchor="_Toc218778643" w:history="1">
        <w:r w:rsidR="0015533D" w:rsidRPr="003F57BB">
          <w:rPr>
            <w:rStyle w:val="Hyperlink"/>
            <w:noProof/>
          </w:rPr>
          <w:t>3.3</w:t>
        </w:r>
        <w:r w:rsidR="0015533D">
          <w:rPr>
            <w:rFonts w:eastAsiaTheme="minorEastAsia"/>
            <w:noProof/>
            <w:kern w:val="2"/>
            <w:sz w:val="24"/>
            <w:szCs w:val="24"/>
            <w:lang w:eastAsia="en-AU"/>
            <w14:ligatures w14:val="standardContextual"/>
          </w:rPr>
          <w:tab/>
        </w:r>
        <w:r w:rsidR="0015533D" w:rsidRPr="003F57BB">
          <w:rPr>
            <w:rStyle w:val="Hyperlink"/>
            <w:noProof/>
          </w:rPr>
          <w:t>Option 3: Regulatory option</w:t>
        </w:r>
        <w:r w:rsidR="0015533D">
          <w:rPr>
            <w:noProof/>
            <w:webHidden/>
          </w:rPr>
          <w:tab/>
        </w:r>
        <w:r w:rsidR="0015533D">
          <w:rPr>
            <w:noProof/>
            <w:webHidden/>
          </w:rPr>
          <w:fldChar w:fldCharType="begin"/>
        </w:r>
        <w:r w:rsidR="0015533D">
          <w:rPr>
            <w:noProof/>
            <w:webHidden/>
          </w:rPr>
          <w:instrText xml:space="preserve"> PAGEREF _Toc218778643 \h </w:instrText>
        </w:r>
        <w:r w:rsidR="0015533D">
          <w:rPr>
            <w:noProof/>
            <w:webHidden/>
          </w:rPr>
        </w:r>
        <w:r w:rsidR="0015533D">
          <w:rPr>
            <w:noProof/>
            <w:webHidden/>
          </w:rPr>
          <w:fldChar w:fldCharType="separate"/>
        </w:r>
        <w:r w:rsidR="005F53E8">
          <w:rPr>
            <w:noProof/>
            <w:webHidden/>
          </w:rPr>
          <w:t>9</w:t>
        </w:r>
        <w:r w:rsidR="0015533D">
          <w:rPr>
            <w:noProof/>
            <w:webHidden/>
          </w:rPr>
          <w:fldChar w:fldCharType="end"/>
        </w:r>
      </w:hyperlink>
    </w:p>
    <w:p w14:paraId="027B1754" w14:textId="5C03C5BC" w:rsidR="0015533D" w:rsidRDefault="00DF5B25">
      <w:pPr>
        <w:pStyle w:val="TOC3"/>
        <w:tabs>
          <w:tab w:val="left" w:pos="1200"/>
          <w:tab w:val="right" w:leader="dot" w:pos="9016"/>
        </w:tabs>
        <w:rPr>
          <w:rFonts w:eastAsiaTheme="minorEastAsia"/>
          <w:noProof/>
          <w:kern w:val="2"/>
          <w:sz w:val="24"/>
          <w:szCs w:val="24"/>
          <w:lang w:eastAsia="en-AU"/>
          <w14:ligatures w14:val="standardContextual"/>
        </w:rPr>
      </w:pPr>
      <w:hyperlink w:anchor="_Toc218778644" w:history="1">
        <w:r w:rsidR="0015533D" w:rsidRPr="003F57BB">
          <w:rPr>
            <w:rStyle w:val="Hyperlink"/>
            <w:noProof/>
          </w:rPr>
          <w:t>3.3.1</w:t>
        </w:r>
        <w:r w:rsidR="0015533D">
          <w:rPr>
            <w:rFonts w:eastAsiaTheme="minorEastAsia"/>
            <w:noProof/>
            <w:kern w:val="2"/>
            <w:sz w:val="24"/>
            <w:szCs w:val="24"/>
            <w:lang w:eastAsia="en-AU"/>
            <w14:ligatures w14:val="standardContextual"/>
          </w:rPr>
          <w:tab/>
        </w:r>
        <w:r w:rsidR="0015533D" w:rsidRPr="003F57BB">
          <w:rPr>
            <w:rStyle w:val="Hyperlink"/>
            <w:noProof/>
          </w:rPr>
          <w:t>Genuine versus non-genuine transfers</w:t>
        </w:r>
        <w:r w:rsidR="0015533D">
          <w:rPr>
            <w:noProof/>
            <w:webHidden/>
          </w:rPr>
          <w:tab/>
        </w:r>
        <w:r w:rsidR="0015533D">
          <w:rPr>
            <w:noProof/>
            <w:webHidden/>
          </w:rPr>
          <w:fldChar w:fldCharType="begin"/>
        </w:r>
        <w:r w:rsidR="0015533D">
          <w:rPr>
            <w:noProof/>
            <w:webHidden/>
          </w:rPr>
          <w:instrText xml:space="preserve"> PAGEREF _Toc218778644 \h </w:instrText>
        </w:r>
        <w:r w:rsidR="0015533D">
          <w:rPr>
            <w:noProof/>
            <w:webHidden/>
          </w:rPr>
        </w:r>
        <w:r w:rsidR="0015533D">
          <w:rPr>
            <w:noProof/>
            <w:webHidden/>
          </w:rPr>
          <w:fldChar w:fldCharType="separate"/>
        </w:r>
        <w:r w:rsidR="005F53E8">
          <w:rPr>
            <w:noProof/>
            <w:webHidden/>
          </w:rPr>
          <w:t>9</w:t>
        </w:r>
        <w:r w:rsidR="0015533D">
          <w:rPr>
            <w:noProof/>
            <w:webHidden/>
          </w:rPr>
          <w:fldChar w:fldCharType="end"/>
        </w:r>
      </w:hyperlink>
    </w:p>
    <w:p w14:paraId="473A982E" w14:textId="15A80455" w:rsidR="0015533D" w:rsidRDefault="00DF5B25">
      <w:pPr>
        <w:pStyle w:val="TOC3"/>
        <w:tabs>
          <w:tab w:val="left" w:pos="1200"/>
          <w:tab w:val="right" w:leader="dot" w:pos="9016"/>
        </w:tabs>
        <w:rPr>
          <w:rFonts w:eastAsiaTheme="minorEastAsia"/>
          <w:noProof/>
          <w:kern w:val="2"/>
          <w:sz w:val="24"/>
          <w:szCs w:val="24"/>
          <w:lang w:eastAsia="en-AU"/>
          <w14:ligatures w14:val="standardContextual"/>
        </w:rPr>
      </w:pPr>
      <w:hyperlink w:anchor="_Toc218778645" w:history="1">
        <w:r w:rsidR="0015533D" w:rsidRPr="003F57BB">
          <w:rPr>
            <w:rStyle w:val="Hyperlink"/>
            <w:noProof/>
          </w:rPr>
          <w:t>3.3.2</w:t>
        </w:r>
        <w:r w:rsidR="0015533D">
          <w:rPr>
            <w:rFonts w:eastAsiaTheme="minorEastAsia"/>
            <w:noProof/>
            <w:kern w:val="2"/>
            <w:sz w:val="24"/>
            <w:szCs w:val="24"/>
            <w:lang w:eastAsia="en-AU"/>
            <w14:ligatures w14:val="standardContextual"/>
          </w:rPr>
          <w:tab/>
        </w:r>
        <w:r w:rsidR="0015533D" w:rsidRPr="003F57BB">
          <w:rPr>
            <w:rStyle w:val="Hyperlink"/>
            <w:noProof/>
          </w:rPr>
          <w:t>Understanding the potential market response</w:t>
        </w:r>
        <w:r w:rsidR="0015533D">
          <w:rPr>
            <w:noProof/>
            <w:webHidden/>
          </w:rPr>
          <w:tab/>
        </w:r>
        <w:r w:rsidR="0015533D">
          <w:rPr>
            <w:noProof/>
            <w:webHidden/>
          </w:rPr>
          <w:fldChar w:fldCharType="begin"/>
        </w:r>
        <w:r w:rsidR="0015533D">
          <w:rPr>
            <w:noProof/>
            <w:webHidden/>
          </w:rPr>
          <w:instrText xml:space="preserve"> PAGEREF _Toc218778645 \h </w:instrText>
        </w:r>
        <w:r w:rsidR="0015533D">
          <w:rPr>
            <w:noProof/>
            <w:webHidden/>
          </w:rPr>
        </w:r>
        <w:r w:rsidR="0015533D">
          <w:rPr>
            <w:noProof/>
            <w:webHidden/>
          </w:rPr>
          <w:fldChar w:fldCharType="separate"/>
        </w:r>
        <w:r w:rsidR="005F53E8">
          <w:rPr>
            <w:noProof/>
            <w:webHidden/>
          </w:rPr>
          <w:t>10</w:t>
        </w:r>
        <w:r w:rsidR="0015533D">
          <w:rPr>
            <w:noProof/>
            <w:webHidden/>
          </w:rPr>
          <w:fldChar w:fldCharType="end"/>
        </w:r>
      </w:hyperlink>
    </w:p>
    <w:p w14:paraId="2DECEC10" w14:textId="44FC2485" w:rsidR="0015533D" w:rsidRDefault="00DF5B25">
      <w:pPr>
        <w:pStyle w:val="TOC3"/>
        <w:tabs>
          <w:tab w:val="left" w:pos="1200"/>
          <w:tab w:val="right" w:leader="dot" w:pos="9016"/>
        </w:tabs>
        <w:rPr>
          <w:rFonts w:eastAsiaTheme="minorEastAsia"/>
          <w:noProof/>
          <w:kern w:val="2"/>
          <w:sz w:val="24"/>
          <w:szCs w:val="24"/>
          <w:lang w:eastAsia="en-AU"/>
          <w14:ligatures w14:val="standardContextual"/>
        </w:rPr>
      </w:pPr>
      <w:hyperlink w:anchor="_Toc218778646" w:history="1">
        <w:r w:rsidR="0015533D" w:rsidRPr="003F57BB">
          <w:rPr>
            <w:rStyle w:val="Hyperlink"/>
            <w:noProof/>
          </w:rPr>
          <w:t>3.3.3</w:t>
        </w:r>
        <w:r w:rsidR="0015533D">
          <w:rPr>
            <w:rFonts w:eastAsiaTheme="minorEastAsia"/>
            <w:noProof/>
            <w:kern w:val="2"/>
            <w:sz w:val="24"/>
            <w:szCs w:val="24"/>
            <w:lang w:eastAsia="en-AU"/>
            <w14:ligatures w14:val="standardContextual"/>
          </w:rPr>
          <w:tab/>
        </w:r>
        <w:r w:rsidR="0015533D" w:rsidRPr="003F57BB">
          <w:rPr>
            <w:rStyle w:val="Hyperlink"/>
            <w:noProof/>
          </w:rPr>
          <w:t>The expected benefits and costs</w:t>
        </w:r>
        <w:r w:rsidR="0015533D">
          <w:rPr>
            <w:noProof/>
            <w:webHidden/>
          </w:rPr>
          <w:tab/>
        </w:r>
        <w:r w:rsidR="0015533D">
          <w:rPr>
            <w:noProof/>
            <w:webHidden/>
          </w:rPr>
          <w:fldChar w:fldCharType="begin"/>
        </w:r>
        <w:r w:rsidR="0015533D">
          <w:rPr>
            <w:noProof/>
            <w:webHidden/>
          </w:rPr>
          <w:instrText xml:space="preserve"> PAGEREF _Toc218778646 \h </w:instrText>
        </w:r>
        <w:r w:rsidR="0015533D">
          <w:rPr>
            <w:noProof/>
            <w:webHidden/>
          </w:rPr>
        </w:r>
        <w:r w:rsidR="0015533D">
          <w:rPr>
            <w:noProof/>
            <w:webHidden/>
          </w:rPr>
          <w:fldChar w:fldCharType="separate"/>
        </w:r>
        <w:r w:rsidR="005F53E8">
          <w:rPr>
            <w:noProof/>
            <w:webHidden/>
          </w:rPr>
          <w:t>11</w:t>
        </w:r>
        <w:r w:rsidR="0015533D">
          <w:rPr>
            <w:noProof/>
            <w:webHidden/>
          </w:rPr>
          <w:fldChar w:fldCharType="end"/>
        </w:r>
      </w:hyperlink>
    </w:p>
    <w:p w14:paraId="7528FA00" w14:textId="7FB38226" w:rsidR="0015533D" w:rsidRDefault="00DF5B25">
      <w:pPr>
        <w:pStyle w:val="TOC3"/>
        <w:tabs>
          <w:tab w:val="left" w:pos="1200"/>
          <w:tab w:val="right" w:leader="dot" w:pos="9016"/>
        </w:tabs>
        <w:rPr>
          <w:rFonts w:eastAsiaTheme="minorEastAsia"/>
          <w:noProof/>
          <w:kern w:val="2"/>
          <w:sz w:val="24"/>
          <w:szCs w:val="24"/>
          <w:lang w:eastAsia="en-AU"/>
          <w14:ligatures w14:val="standardContextual"/>
        </w:rPr>
      </w:pPr>
      <w:hyperlink w:anchor="_Toc218778647" w:history="1">
        <w:r w:rsidR="0015533D" w:rsidRPr="003F57BB">
          <w:rPr>
            <w:rStyle w:val="Hyperlink"/>
            <w:noProof/>
          </w:rPr>
          <w:t>3.3.4</w:t>
        </w:r>
        <w:r w:rsidR="0015533D">
          <w:rPr>
            <w:rFonts w:eastAsiaTheme="minorEastAsia"/>
            <w:noProof/>
            <w:kern w:val="2"/>
            <w:sz w:val="24"/>
            <w:szCs w:val="24"/>
            <w:lang w:eastAsia="en-AU"/>
            <w14:ligatures w14:val="standardContextual"/>
          </w:rPr>
          <w:tab/>
        </w:r>
        <w:r w:rsidR="0015533D" w:rsidRPr="003F57BB">
          <w:rPr>
            <w:rStyle w:val="Hyperlink"/>
            <w:noProof/>
          </w:rPr>
          <w:t>Results</w:t>
        </w:r>
        <w:r w:rsidR="0015533D">
          <w:rPr>
            <w:noProof/>
            <w:webHidden/>
          </w:rPr>
          <w:tab/>
        </w:r>
        <w:r w:rsidR="0015533D">
          <w:rPr>
            <w:noProof/>
            <w:webHidden/>
          </w:rPr>
          <w:fldChar w:fldCharType="begin"/>
        </w:r>
        <w:r w:rsidR="0015533D">
          <w:rPr>
            <w:noProof/>
            <w:webHidden/>
          </w:rPr>
          <w:instrText xml:space="preserve"> PAGEREF _Toc218778647 \h </w:instrText>
        </w:r>
        <w:r w:rsidR="0015533D">
          <w:rPr>
            <w:noProof/>
            <w:webHidden/>
          </w:rPr>
        </w:r>
        <w:r w:rsidR="0015533D">
          <w:rPr>
            <w:noProof/>
            <w:webHidden/>
          </w:rPr>
          <w:fldChar w:fldCharType="separate"/>
        </w:r>
        <w:r w:rsidR="005F53E8">
          <w:rPr>
            <w:noProof/>
            <w:webHidden/>
          </w:rPr>
          <w:t>12</w:t>
        </w:r>
        <w:r w:rsidR="0015533D">
          <w:rPr>
            <w:noProof/>
            <w:webHidden/>
          </w:rPr>
          <w:fldChar w:fldCharType="end"/>
        </w:r>
      </w:hyperlink>
    </w:p>
    <w:p w14:paraId="400BCA2F" w14:textId="7FC75F20" w:rsidR="0015533D" w:rsidRDefault="00DF5B25">
      <w:pPr>
        <w:pStyle w:val="TOC1"/>
        <w:tabs>
          <w:tab w:val="left" w:pos="440"/>
        </w:tabs>
        <w:rPr>
          <w:rFonts w:eastAsiaTheme="minorEastAsia"/>
          <w:noProof/>
          <w:kern w:val="2"/>
          <w:sz w:val="24"/>
          <w:szCs w:val="24"/>
          <w:lang w:eastAsia="en-AU"/>
          <w14:ligatures w14:val="standardContextual"/>
        </w:rPr>
      </w:pPr>
      <w:hyperlink w:anchor="_Toc218778649" w:history="1">
        <w:r w:rsidR="0015533D" w:rsidRPr="003F57BB">
          <w:rPr>
            <w:rStyle w:val="Hyperlink"/>
            <w:noProof/>
          </w:rPr>
          <w:t>4.</w:t>
        </w:r>
        <w:r w:rsidR="0015533D">
          <w:rPr>
            <w:rFonts w:eastAsiaTheme="minorEastAsia"/>
            <w:noProof/>
            <w:kern w:val="2"/>
            <w:sz w:val="24"/>
            <w:szCs w:val="24"/>
            <w:lang w:eastAsia="en-AU"/>
            <w14:ligatures w14:val="standardContextual"/>
          </w:rPr>
          <w:tab/>
        </w:r>
        <w:r w:rsidR="0015533D" w:rsidRPr="003F57BB">
          <w:rPr>
            <w:rStyle w:val="Hyperlink"/>
            <w:noProof/>
          </w:rPr>
          <w:t>Consultation</w:t>
        </w:r>
        <w:r w:rsidR="0015533D">
          <w:rPr>
            <w:noProof/>
            <w:webHidden/>
          </w:rPr>
          <w:tab/>
        </w:r>
        <w:r w:rsidR="0015533D">
          <w:rPr>
            <w:noProof/>
            <w:webHidden/>
          </w:rPr>
          <w:fldChar w:fldCharType="begin"/>
        </w:r>
        <w:r w:rsidR="0015533D">
          <w:rPr>
            <w:noProof/>
            <w:webHidden/>
          </w:rPr>
          <w:instrText xml:space="preserve"> PAGEREF _Toc218778649 \h </w:instrText>
        </w:r>
        <w:r w:rsidR="0015533D">
          <w:rPr>
            <w:noProof/>
            <w:webHidden/>
          </w:rPr>
        </w:r>
        <w:r w:rsidR="0015533D">
          <w:rPr>
            <w:noProof/>
            <w:webHidden/>
          </w:rPr>
          <w:fldChar w:fldCharType="separate"/>
        </w:r>
        <w:r w:rsidR="005F53E8">
          <w:rPr>
            <w:noProof/>
            <w:webHidden/>
          </w:rPr>
          <w:t>15</w:t>
        </w:r>
        <w:r w:rsidR="0015533D">
          <w:rPr>
            <w:noProof/>
            <w:webHidden/>
          </w:rPr>
          <w:fldChar w:fldCharType="end"/>
        </w:r>
      </w:hyperlink>
    </w:p>
    <w:p w14:paraId="1F585467" w14:textId="7AA88A60" w:rsidR="0015533D" w:rsidRDefault="00DF5B25">
      <w:pPr>
        <w:pStyle w:val="TOC2"/>
        <w:rPr>
          <w:rFonts w:eastAsiaTheme="minorEastAsia"/>
          <w:noProof/>
          <w:kern w:val="2"/>
          <w:sz w:val="24"/>
          <w:szCs w:val="24"/>
          <w:lang w:eastAsia="en-AU"/>
          <w14:ligatures w14:val="standardContextual"/>
        </w:rPr>
      </w:pPr>
      <w:hyperlink w:anchor="_Toc218778650" w:history="1">
        <w:r w:rsidR="0015533D" w:rsidRPr="003F57BB">
          <w:rPr>
            <w:rStyle w:val="Hyperlink"/>
            <w:noProof/>
          </w:rPr>
          <w:t>4.1</w:t>
        </w:r>
        <w:r w:rsidR="0015533D">
          <w:rPr>
            <w:rFonts w:eastAsiaTheme="minorEastAsia"/>
            <w:noProof/>
            <w:kern w:val="2"/>
            <w:sz w:val="24"/>
            <w:szCs w:val="24"/>
            <w:lang w:eastAsia="en-AU"/>
            <w14:ligatures w14:val="standardContextual"/>
          </w:rPr>
          <w:tab/>
        </w:r>
        <w:r w:rsidR="0015533D" w:rsidRPr="003F57BB">
          <w:rPr>
            <w:rStyle w:val="Hyperlink"/>
            <w:noProof/>
          </w:rPr>
          <w:t>Consultation Undertaken</w:t>
        </w:r>
        <w:r w:rsidR="0015533D">
          <w:rPr>
            <w:noProof/>
            <w:webHidden/>
          </w:rPr>
          <w:tab/>
        </w:r>
        <w:r w:rsidR="0015533D">
          <w:rPr>
            <w:noProof/>
            <w:webHidden/>
          </w:rPr>
          <w:fldChar w:fldCharType="begin"/>
        </w:r>
        <w:r w:rsidR="0015533D">
          <w:rPr>
            <w:noProof/>
            <w:webHidden/>
          </w:rPr>
          <w:instrText xml:space="preserve"> PAGEREF _Toc218778650 \h </w:instrText>
        </w:r>
        <w:r w:rsidR="0015533D">
          <w:rPr>
            <w:noProof/>
            <w:webHidden/>
          </w:rPr>
        </w:r>
        <w:r w:rsidR="0015533D">
          <w:rPr>
            <w:noProof/>
            <w:webHidden/>
          </w:rPr>
          <w:fldChar w:fldCharType="separate"/>
        </w:r>
        <w:r w:rsidR="005F53E8">
          <w:rPr>
            <w:noProof/>
            <w:webHidden/>
          </w:rPr>
          <w:t>15</w:t>
        </w:r>
        <w:r w:rsidR="0015533D">
          <w:rPr>
            <w:noProof/>
            <w:webHidden/>
          </w:rPr>
          <w:fldChar w:fldCharType="end"/>
        </w:r>
      </w:hyperlink>
    </w:p>
    <w:p w14:paraId="1AAAB967" w14:textId="38B42D86" w:rsidR="0015533D" w:rsidRDefault="00DF5B25">
      <w:pPr>
        <w:pStyle w:val="TOC2"/>
        <w:rPr>
          <w:rFonts w:eastAsiaTheme="minorEastAsia"/>
          <w:noProof/>
          <w:kern w:val="2"/>
          <w:sz w:val="24"/>
          <w:szCs w:val="24"/>
          <w:lang w:eastAsia="en-AU"/>
          <w14:ligatures w14:val="standardContextual"/>
        </w:rPr>
      </w:pPr>
      <w:hyperlink w:anchor="_Toc218778651" w:history="1">
        <w:r w:rsidR="0015533D" w:rsidRPr="003F57BB">
          <w:rPr>
            <w:rStyle w:val="Hyperlink"/>
            <w:noProof/>
          </w:rPr>
          <w:t>4.2</w:t>
        </w:r>
        <w:r w:rsidR="0015533D">
          <w:rPr>
            <w:rFonts w:eastAsiaTheme="minorEastAsia"/>
            <w:noProof/>
            <w:kern w:val="2"/>
            <w:sz w:val="24"/>
            <w:szCs w:val="24"/>
            <w:lang w:eastAsia="en-AU"/>
            <w14:ligatures w14:val="standardContextual"/>
          </w:rPr>
          <w:tab/>
        </w:r>
        <w:r w:rsidR="0015533D" w:rsidRPr="003F57BB">
          <w:rPr>
            <w:rStyle w:val="Hyperlink"/>
            <w:noProof/>
          </w:rPr>
          <w:t>Feedback Received</w:t>
        </w:r>
        <w:r w:rsidR="0015533D">
          <w:rPr>
            <w:noProof/>
            <w:webHidden/>
          </w:rPr>
          <w:tab/>
        </w:r>
        <w:r w:rsidR="0015533D">
          <w:rPr>
            <w:noProof/>
            <w:webHidden/>
          </w:rPr>
          <w:fldChar w:fldCharType="begin"/>
        </w:r>
        <w:r w:rsidR="0015533D">
          <w:rPr>
            <w:noProof/>
            <w:webHidden/>
          </w:rPr>
          <w:instrText xml:space="preserve"> PAGEREF _Toc218778651 \h </w:instrText>
        </w:r>
        <w:r w:rsidR="0015533D">
          <w:rPr>
            <w:noProof/>
            <w:webHidden/>
          </w:rPr>
        </w:r>
        <w:r w:rsidR="0015533D">
          <w:rPr>
            <w:noProof/>
            <w:webHidden/>
          </w:rPr>
          <w:fldChar w:fldCharType="separate"/>
        </w:r>
        <w:r w:rsidR="005F53E8">
          <w:rPr>
            <w:noProof/>
            <w:webHidden/>
          </w:rPr>
          <w:t>16</w:t>
        </w:r>
        <w:r w:rsidR="0015533D">
          <w:rPr>
            <w:noProof/>
            <w:webHidden/>
          </w:rPr>
          <w:fldChar w:fldCharType="end"/>
        </w:r>
      </w:hyperlink>
    </w:p>
    <w:p w14:paraId="229770EC" w14:textId="78AB1902" w:rsidR="0015533D" w:rsidRDefault="00DF5B25">
      <w:pPr>
        <w:pStyle w:val="TOC1"/>
        <w:tabs>
          <w:tab w:val="left" w:pos="440"/>
        </w:tabs>
        <w:rPr>
          <w:rFonts w:eastAsiaTheme="minorEastAsia"/>
          <w:noProof/>
          <w:kern w:val="2"/>
          <w:sz w:val="24"/>
          <w:szCs w:val="24"/>
          <w:lang w:eastAsia="en-AU"/>
          <w14:ligatures w14:val="standardContextual"/>
        </w:rPr>
      </w:pPr>
      <w:hyperlink w:anchor="_Toc218778652" w:history="1">
        <w:r w:rsidR="0015533D" w:rsidRPr="003F57BB">
          <w:rPr>
            <w:rStyle w:val="Hyperlink"/>
            <w:noProof/>
          </w:rPr>
          <w:t>5.</w:t>
        </w:r>
        <w:r w:rsidR="0015533D">
          <w:rPr>
            <w:rFonts w:eastAsiaTheme="minorEastAsia"/>
            <w:noProof/>
            <w:kern w:val="2"/>
            <w:sz w:val="24"/>
            <w:szCs w:val="24"/>
            <w:lang w:eastAsia="en-AU"/>
            <w14:ligatures w14:val="standardContextual"/>
          </w:rPr>
          <w:tab/>
        </w:r>
        <w:r w:rsidR="0015533D" w:rsidRPr="003F57BB">
          <w:rPr>
            <w:rStyle w:val="Hyperlink"/>
            <w:noProof/>
          </w:rPr>
          <w:t>Best option</w:t>
        </w:r>
        <w:r w:rsidR="0015533D">
          <w:rPr>
            <w:noProof/>
            <w:webHidden/>
          </w:rPr>
          <w:tab/>
        </w:r>
        <w:r w:rsidR="0015533D">
          <w:rPr>
            <w:noProof/>
            <w:webHidden/>
          </w:rPr>
          <w:fldChar w:fldCharType="begin"/>
        </w:r>
        <w:r w:rsidR="0015533D">
          <w:rPr>
            <w:noProof/>
            <w:webHidden/>
          </w:rPr>
          <w:instrText xml:space="preserve"> PAGEREF _Toc218778652 \h </w:instrText>
        </w:r>
        <w:r w:rsidR="0015533D">
          <w:rPr>
            <w:noProof/>
            <w:webHidden/>
          </w:rPr>
        </w:r>
        <w:r w:rsidR="0015533D">
          <w:rPr>
            <w:noProof/>
            <w:webHidden/>
          </w:rPr>
          <w:fldChar w:fldCharType="separate"/>
        </w:r>
        <w:r w:rsidR="005F53E8">
          <w:rPr>
            <w:noProof/>
            <w:webHidden/>
          </w:rPr>
          <w:t>19</w:t>
        </w:r>
        <w:r w:rsidR="0015533D">
          <w:rPr>
            <w:noProof/>
            <w:webHidden/>
          </w:rPr>
          <w:fldChar w:fldCharType="end"/>
        </w:r>
      </w:hyperlink>
    </w:p>
    <w:p w14:paraId="26D3D2AC" w14:textId="1F6EF555" w:rsidR="0015533D" w:rsidRDefault="00DF5B25">
      <w:pPr>
        <w:pStyle w:val="TOC2"/>
        <w:rPr>
          <w:rFonts w:eastAsiaTheme="minorEastAsia"/>
          <w:noProof/>
          <w:kern w:val="2"/>
          <w:sz w:val="24"/>
          <w:szCs w:val="24"/>
          <w:lang w:eastAsia="en-AU"/>
          <w14:ligatures w14:val="standardContextual"/>
        </w:rPr>
      </w:pPr>
      <w:hyperlink w:anchor="_Toc218778653" w:history="1">
        <w:r w:rsidR="0015533D" w:rsidRPr="003F57BB">
          <w:rPr>
            <w:rStyle w:val="Hyperlink"/>
            <w:noProof/>
          </w:rPr>
          <w:t>5.1</w:t>
        </w:r>
        <w:r w:rsidR="0015533D">
          <w:rPr>
            <w:rFonts w:eastAsiaTheme="minorEastAsia"/>
            <w:noProof/>
            <w:kern w:val="2"/>
            <w:sz w:val="24"/>
            <w:szCs w:val="24"/>
            <w:lang w:eastAsia="en-AU"/>
            <w14:ligatures w14:val="standardContextual"/>
          </w:rPr>
          <w:tab/>
        </w:r>
        <w:r w:rsidR="0015533D" w:rsidRPr="003F57BB">
          <w:rPr>
            <w:rStyle w:val="Hyperlink"/>
            <w:noProof/>
          </w:rPr>
          <w:t>Option 1: Status quo</w:t>
        </w:r>
        <w:r w:rsidR="0015533D">
          <w:rPr>
            <w:noProof/>
            <w:webHidden/>
          </w:rPr>
          <w:tab/>
        </w:r>
        <w:r w:rsidR="0015533D">
          <w:rPr>
            <w:noProof/>
            <w:webHidden/>
          </w:rPr>
          <w:fldChar w:fldCharType="begin"/>
        </w:r>
        <w:r w:rsidR="0015533D">
          <w:rPr>
            <w:noProof/>
            <w:webHidden/>
          </w:rPr>
          <w:instrText xml:space="preserve"> PAGEREF _Toc218778653 \h </w:instrText>
        </w:r>
        <w:r w:rsidR="0015533D">
          <w:rPr>
            <w:noProof/>
            <w:webHidden/>
          </w:rPr>
        </w:r>
        <w:r w:rsidR="0015533D">
          <w:rPr>
            <w:noProof/>
            <w:webHidden/>
          </w:rPr>
          <w:fldChar w:fldCharType="separate"/>
        </w:r>
        <w:r w:rsidR="005F53E8">
          <w:rPr>
            <w:noProof/>
            <w:webHidden/>
          </w:rPr>
          <w:t>19</w:t>
        </w:r>
        <w:r w:rsidR="0015533D">
          <w:rPr>
            <w:noProof/>
            <w:webHidden/>
          </w:rPr>
          <w:fldChar w:fldCharType="end"/>
        </w:r>
      </w:hyperlink>
    </w:p>
    <w:p w14:paraId="2745C828" w14:textId="1DA9E53A" w:rsidR="0015533D" w:rsidRDefault="00DF5B25">
      <w:pPr>
        <w:pStyle w:val="TOC2"/>
        <w:rPr>
          <w:rFonts w:eastAsiaTheme="minorEastAsia"/>
          <w:noProof/>
          <w:kern w:val="2"/>
          <w:sz w:val="24"/>
          <w:szCs w:val="24"/>
          <w:lang w:eastAsia="en-AU"/>
          <w14:ligatures w14:val="standardContextual"/>
        </w:rPr>
      </w:pPr>
      <w:hyperlink w:anchor="_Toc218778654" w:history="1">
        <w:r w:rsidR="0015533D" w:rsidRPr="003F57BB">
          <w:rPr>
            <w:rStyle w:val="Hyperlink"/>
            <w:noProof/>
          </w:rPr>
          <w:t>5.2</w:t>
        </w:r>
        <w:r w:rsidR="0015533D">
          <w:rPr>
            <w:rFonts w:eastAsiaTheme="minorEastAsia"/>
            <w:noProof/>
            <w:kern w:val="2"/>
            <w:sz w:val="24"/>
            <w:szCs w:val="24"/>
            <w:lang w:eastAsia="en-AU"/>
            <w14:ligatures w14:val="standardContextual"/>
          </w:rPr>
          <w:tab/>
        </w:r>
        <w:r w:rsidR="0015533D" w:rsidRPr="003F57BB">
          <w:rPr>
            <w:rStyle w:val="Hyperlink"/>
            <w:noProof/>
          </w:rPr>
          <w:t>Option 2: Non-regulatory option</w:t>
        </w:r>
        <w:r w:rsidR="0015533D">
          <w:rPr>
            <w:noProof/>
            <w:webHidden/>
          </w:rPr>
          <w:tab/>
        </w:r>
        <w:r w:rsidR="0015533D">
          <w:rPr>
            <w:noProof/>
            <w:webHidden/>
          </w:rPr>
          <w:fldChar w:fldCharType="begin"/>
        </w:r>
        <w:r w:rsidR="0015533D">
          <w:rPr>
            <w:noProof/>
            <w:webHidden/>
          </w:rPr>
          <w:instrText xml:space="preserve"> PAGEREF _Toc218778654 \h </w:instrText>
        </w:r>
        <w:r w:rsidR="0015533D">
          <w:rPr>
            <w:noProof/>
            <w:webHidden/>
          </w:rPr>
        </w:r>
        <w:r w:rsidR="0015533D">
          <w:rPr>
            <w:noProof/>
            <w:webHidden/>
          </w:rPr>
          <w:fldChar w:fldCharType="separate"/>
        </w:r>
        <w:r w:rsidR="005F53E8">
          <w:rPr>
            <w:noProof/>
            <w:webHidden/>
          </w:rPr>
          <w:t>19</w:t>
        </w:r>
        <w:r w:rsidR="0015533D">
          <w:rPr>
            <w:noProof/>
            <w:webHidden/>
          </w:rPr>
          <w:fldChar w:fldCharType="end"/>
        </w:r>
      </w:hyperlink>
    </w:p>
    <w:p w14:paraId="3B1C7ECC" w14:textId="3193F4C6" w:rsidR="0015533D" w:rsidRDefault="00DF5B25">
      <w:pPr>
        <w:pStyle w:val="TOC2"/>
        <w:rPr>
          <w:rFonts w:eastAsiaTheme="minorEastAsia"/>
          <w:noProof/>
          <w:kern w:val="2"/>
          <w:sz w:val="24"/>
          <w:szCs w:val="24"/>
          <w:lang w:eastAsia="en-AU"/>
          <w14:ligatures w14:val="standardContextual"/>
        </w:rPr>
      </w:pPr>
      <w:hyperlink w:anchor="_Toc218778655" w:history="1">
        <w:r w:rsidR="0015533D" w:rsidRPr="003F57BB">
          <w:rPr>
            <w:rStyle w:val="Hyperlink"/>
            <w:noProof/>
          </w:rPr>
          <w:t>5.3</w:t>
        </w:r>
        <w:r w:rsidR="0015533D">
          <w:rPr>
            <w:rFonts w:eastAsiaTheme="minorEastAsia"/>
            <w:noProof/>
            <w:kern w:val="2"/>
            <w:sz w:val="24"/>
            <w:szCs w:val="24"/>
            <w:lang w:eastAsia="en-AU"/>
            <w14:ligatures w14:val="standardContextual"/>
          </w:rPr>
          <w:tab/>
        </w:r>
        <w:r w:rsidR="0015533D" w:rsidRPr="003F57BB">
          <w:rPr>
            <w:rStyle w:val="Hyperlink"/>
            <w:noProof/>
          </w:rPr>
          <w:t>Option 3: Regulatory option</w:t>
        </w:r>
        <w:r w:rsidR="0015533D">
          <w:rPr>
            <w:noProof/>
            <w:webHidden/>
          </w:rPr>
          <w:tab/>
        </w:r>
        <w:r w:rsidR="0015533D">
          <w:rPr>
            <w:noProof/>
            <w:webHidden/>
          </w:rPr>
          <w:fldChar w:fldCharType="begin"/>
        </w:r>
        <w:r w:rsidR="0015533D">
          <w:rPr>
            <w:noProof/>
            <w:webHidden/>
          </w:rPr>
          <w:instrText xml:space="preserve"> PAGEREF _Toc218778655 \h </w:instrText>
        </w:r>
        <w:r w:rsidR="0015533D">
          <w:rPr>
            <w:noProof/>
            <w:webHidden/>
          </w:rPr>
        </w:r>
        <w:r w:rsidR="0015533D">
          <w:rPr>
            <w:noProof/>
            <w:webHidden/>
          </w:rPr>
          <w:fldChar w:fldCharType="separate"/>
        </w:r>
        <w:r w:rsidR="005F53E8">
          <w:rPr>
            <w:noProof/>
            <w:webHidden/>
          </w:rPr>
          <w:t>19</w:t>
        </w:r>
        <w:r w:rsidR="0015533D">
          <w:rPr>
            <w:noProof/>
            <w:webHidden/>
          </w:rPr>
          <w:fldChar w:fldCharType="end"/>
        </w:r>
      </w:hyperlink>
    </w:p>
    <w:p w14:paraId="4F3930E6" w14:textId="7DAEFBFA" w:rsidR="0015533D" w:rsidRDefault="00DF5B25">
      <w:pPr>
        <w:pStyle w:val="TOC2"/>
        <w:rPr>
          <w:rFonts w:eastAsiaTheme="minorEastAsia"/>
          <w:noProof/>
          <w:kern w:val="2"/>
          <w:sz w:val="24"/>
          <w:szCs w:val="24"/>
          <w:lang w:eastAsia="en-AU"/>
          <w14:ligatures w14:val="standardContextual"/>
        </w:rPr>
      </w:pPr>
      <w:hyperlink w:anchor="_Toc218778656" w:history="1">
        <w:r w:rsidR="0015533D" w:rsidRPr="003F57BB">
          <w:rPr>
            <w:rStyle w:val="Hyperlink"/>
            <w:rFonts w:cstheme="majorHAnsi"/>
            <w:noProof/>
          </w:rPr>
          <w:t>5.4</w:t>
        </w:r>
        <w:r w:rsidR="0015533D">
          <w:rPr>
            <w:rFonts w:eastAsiaTheme="minorEastAsia"/>
            <w:noProof/>
            <w:kern w:val="2"/>
            <w:sz w:val="24"/>
            <w:szCs w:val="24"/>
            <w:lang w:eastAsia="en-AU"/>
            <w14:ligatures w14:val="standardContextual"/>
          </w:rPr>
          <w:tab/>
        </w:r>
        <w:r w:rsidR="0015533D" w:rsidRPr="003F57BB">
          <w:rPr>
            <w:rStyle w:val="Hyperlink"/>
            <w:rFonts w:cstheme="majorHAnsi"/>
            <w:noProof/>
          </w:rPr>
          <w:t>Implementation</w:t>
        </w:r>
        <w:r w:rsidR="0015533D">
          <w:rPr>
            <w:noProof/>
            <w:webHidden/>
          </w:rPr>
          <w:tab/>
        </w:r>
        <w:r w:rsidR="0015533D">
          <w:rPr>
            <w:noProof/>
            <w:webHidden/>
          </w:rPr>
          <w:fldChar w:fldCharType="begin"/>
        </w:r>
        <w:r w:rsidR="0015533D">
          <w:rPr>
            <w:noProof/>
            <w:webHidden/>
          </w:rPr>
          <w:instrText xml:space="preserve"> PAGEREF _Toc218778656 \h </w:instrText>
        </w:r>
        <w:r w:rsidR="0015533D">
          <w:rPr>
            <w:noProof/>
            <w:webHidden/>
          </w:rPr>
        </w:r>
        <w:r w:rsidR="0015533D">
          <w:rPr>
            <w:noProof/>
            <w:webHidden/>
          </w:rPr>
          <w:fldChar w:fldCharType="separate"/>
        </w:r>
        <w:r w:rsidR="005F53E8">
          <w:rPr>
            <w:noProof/>
            <w:webHidden/>
          </w:rPr>
          <w:t>20</w:t>
        </w:r>
        <w:r w:rsidR="0015533D">
          <w:rPr>
            <w:noProof/>
            <w:webHidden/>
          </w:rPr>
          <w:fldChar w:fldCharType="end"/>
        </w:r>
      </w:hyperlink>
    </w:p>
    <w:p w14:paraId="6015CAC2" w14:textId="1B7194EE" w:rsidR="0015533D" w:rsidRDefault="00DF5B25">
      <w:pPr>
        <w:pStyle w:val="TOC2"/>
        <w:rPr>
          <w:rFonts w:eastAsiaTheme="minorEastAsia"/>
          <w:noProof/>
          <w:kern w:val="2"/>
          <w:sz w:val="24"/>
          <w:szCs w:val="24"/>
          <w:lang w:eastAsia="en-AU"/>
          <w14:ligatures w14:val="standardContextual"/>
        </w:rPr>
      </w:pPr>
      <w:hyperlink w:anchor="_Toc218778657" w:history="1">
        <w:r w:rsidR="0015533D" w:rsidRPr="003F57BB">
          <w:rPr>
            <w:rStyle w:val="Hyperlink"/>
            <w:rFonts w:cstheme="majorHAnsi"/>
            <w:noProof/>
          </w:rPr>
          <w:t>5.5</w:t>
        </w:r>
        <w:r w:rsidR="0015533D">
          <w:rPr>
            <w:rFonts w:eastAsiaTheme="minorEastAsia"/>
            <w:noProof/>
            <w:kern w:val="2"/>
            <w:sz w:val="24"/>
            <w:szCs w:val="24"/>
            <w:lang w:eastAsia="en-AU"/>
            <w14:ligatures w14:val="standardContextual"/>
          </w:rPr>
          <w:tab/>
        </w:r>
        <w:r w:rsidR="0015533D" w:rsidRPr="003F57BB">
          <w:rPr>
            <w:rStyle w:val="Hyperlink"/>
            <w:noProof/>
          </w:rPr>
          <w:t>Evaluation</w:t>
        </w:r>
        <w:r w:rsidR="0015533D">
          <w:rPr>
            <w:noProof/>
            <w:webHidden/>
          </w:rPr>
          <w:tab/>
        </w:r>
        <w:r w:rsidR="0015533D">
          <w:rPr>
            <w:noProof/>
            <w:webHidden/>
          </w:rPr>
          <w:fldChar w:fldCharType="begin"/>
        </w:r>
        <w:r w:rsidR="0015533D">
          <w:rPr>
            <w:noProof/>
            <w:webHidden/>
          </w:rPr>
          <w:instrText xml:space="preserve"> PAGEREF _Toc218778657 \h </w:instrText>
        </w:r>
        <w:r w:rsidR="0015533D">
          <w:rPr>
            <w:noProof/>
            <w:webHidden/>
          </w:rPr>
        </w:r>
        <w:r w:rsidR="0015533D">
          <w:rPr>
            <w:noProof/>
            <w:webHidden/>
          </w:rPr>
          <w:fldChar w:fldCharType="separate"/>
        </w:r>
        <w:r w:rsidR="005F53E8">
          <w:rPr>
            <w:noProof/>
            <w:webHidden/>
          </w:rPr>
          <w:t>20</w:t>
        </w:r>
        <w:r w:rsidR="0015533D">
          <w:rPr>
            <w:noProof/>
            <w:webHidden/>
          </w:rPr>
          <w:fldChar w:fldCharType="end"/>
        </w:r>
      </w:hyperlink>
    </w:p>
    <w:p w14:paraId="3F106133" w14:textId="7FA23C15" w:rsidR="0015533D" w:rsidRDefault="00DF5B25">
      <w:pPr>
        <w:pStyle w:val="TOC1"/>
        <w:rPr>
          <w:rFonts w:eastAsiaTheme="minorEastAsia"/>
          <w:noProof/>
          <w:kern w:val="2"/>
          <w:sz w:val="24"/>
          <w:szCs w:val="24"/>
          <w:lang w:eastAsia="en-AU"/>
          <w14:ligatures w14:val="standardContextual"/>
        </w:rPr>
      </w:pPr>
      <w:hyperlink w:anchor="_Toc218778658" w:history="1">
        <w:r w:rsidR="0015533D" w:rsidRPr="003F57BB">
          <w:rPr>
            <w:rStyle w:val="Hyperlink"/>
            <w:noProof/>
          </w:rPr>
          <w:t>Appendix A: Approach to cost-benefit analysis</w:t>
        </w:r>
        <w:r w:rsidR="0015533D">
          <w:rPr>
            <w:noProof/>
            <w:webHidden/>
          </w:rPr>
          <w:tab/>
        </w:r>
        <w:r w:rsidR="0015533D">
          <w:rPr>
            <w:noProof/>
            <w:webHidden/>
          </w:rPr>
          <w:fldChar w:fldCharType="begin"/>
        </w:r>
        <w:r w:rsidR="0015533D">
          <w:rPr>
            <w:noProof/>
            <w:webHidden/>
          </w:rPr>
          <w:instrText xml:space="preserve"> PAGEREF _Toc218778658 \h </w:instrText>
        </w:r>
        <w:r w:rsidR="0015533D">
          <w:rPr>
            <w:noProof/>
            <w:webHidden/>
          </w:rPr>
        </w:r>
        <w:r w:rsidR="0015533D">
          <w:rPr>
            <w:noProof/>
            <w:webHidden/>
          </w:rPr>
          <w:fldChar w:fldCharType="separate"/>
        </w:r>
        <w:r w:rsidR="005F53E8">
          <w:rPr>
            <w:noProof/>
            <w:webHidden/>
          </w:rPr>
          <w:t>21</w:t>
        </w:r>
        <w:r w:rsidR="0015533D">
          <w:rPr>
            <w:noProof/>
            <w:webHidden/>
          </w:rPr>
          <w:fldChar w:fldCharType="end"/>
        </w:r>
      </w:hyperlink>
    </w:p>
    <w:p w14:paraId="239B741E" w14:textId="726DAA81" w:rsidR="0017134D" w:rsidRDefault="00AF1F18">
      <w:r>
        <w:fldChar w:fldCharType="end"/>
      </w:r>
      <w:r w:rsidR="0017134D">
        <w:br w:type="page"/>
      </w:r>
    </w:p>
    <w:p w14:paraId="063C588B" w14:textId="71C7F09A" w:rsidR="00C07143" w:rsidRPr="00C07143" w:rsidRDefault="00C07143" w:rsidP="00C07143">
      <w:pPr>
        <w:pStyle w:val="Heading2"/>
        <w:numPr>
          <w:ilvl w:val="0"/>
          <w:numId w:val="0"/>
        </w:numPr>
        <w:ind w:left="426" w:hanging="426"/>
      </w:pPr>
      <w:bookmarkStart w:id="3" w:name="_Toc218778630"/>
      <w:bookmarkStart w:id="4" w:name="_Toc126923147"/>
      <w:bookmarkStart w:id="5" w:name="_Toc126923158"/>
      <w:r w:rsidRPr="00C07143">
        <w:lastRenderedPageBreak/>
        <w:t>Executive Summary</w:t>
      </w:r>
      <w:bookmarkEnd w:id="3"/>
    </w:p>
    <w:p w14:paraId="541D82BE" w14:textId="1D44B6E1" w:rsidR="00C07143" w:rsidRDefault="00C07143" w:rsidP="00C07143">
      <w:r>
        <w:t xml:space="preserve">This is an addendum to the </w:t>
      </w:r>
      <w:r>
        <w:rPr>
          <w:i/>
          <w:iCs/>
        </w:rPr>
        <w:t xml:space="preserve">Improving Integrity in the International Education </w:t>
      </w:r>
      <w:r w:rsidRPr="00370585">
        <w:rPr>
          <w:i/>
          <w:iCs/>
        </w:rPr>
        <w:t>Sector Impact Analysis</w:t>
      </w:r>
      <w:r w:rsidR="0000350B">
        <w:t xml:space="preserve"> (Impact Analysis)</w:t>
      </w:r>
      <w:r>
        <w:t>.</w:t>
      </w:r>
      <w:r>
        <w:rPr>
          <w:rStyle w:val="FootnoteReference"/>
        </w:rPr>
        <w:footnoteReference w:id="2"/>
      </w:r>
      <w:r>
        <w:t xml:space="preserve"> Its purpose is to analyse the impact of amending the </w:t>
      </w:r>
      <w:r>
        <w:rPr>
          <w:i/>
          <w:iCs/>
        </w:rPr>
        <w:t xml:space="preserve">National Code of Practice for Providers of Education and Training to Overseas Students 2018 </w:t>
      </w:r>
      <w:r>
        <w:t>(National Code)</w:t>
      </w:r>
      <w:r w:rsidRPr="00C658FE">
        <w:rPr>
          <w:rFonts w:ascii="Calibri" w:hAnsi="Calibri" w:cs="Calibri"/>
          <w:color w:val="000000"/>
          <w:shd w:val="clear" w:color="auto" w:fill="FFFFFF"/>
        </w:rPr>
        <w:t xml:space="preserve"> </w:t>
      </w:r>
      <w:r>
        <w:t>to i</w:t>
      </w:r>
      <w:r w:rsidRPr="00C658FE">
        <w:t xml:space="preserve">nclude a new subsection that prohibits </w:t>
      </w:r>
      <w:r>
        <w:t xml:space="preserve">education </w:t>
      </w:r>
      <w:r w:rsidRPr="00C658FE">
        <w:t xml:space="preserve">providers from paying a commission to an agent </w:t>
      </w:r>
      <w:r>
        <w:t>in relation to an</w:t>
      </w:r>
      <w:r w:rsidRPr="00C658FE">
        <w:t xml:space="preserve"> onshore student transfer.</w:t>
      </w:r>
      <w:r>
        <w:t xml:space="preserve"> The Minister for Education announced this change on 2 October 2023.</w:t>
      </w:r>
      <w:r>
        <w:rPr>
          <w:rStyle w:val="FootnoteReference"/>
        </w:rPr>
        <w:footnoteReference w:id="3"/>
      </w:r>
    </w:p>
    <w:p w14:paraId="0B2DA059" w14:textId="77777777" w:rsidR="00C07143" w:rsidRDefault="00C07143" w:rsidP="00C07143">
      <w:r>
        <w:t xml:space="preserve">International education brings important economic, cultural, and social benefits to Australia. Integrity is a key factor in maintaining a strong international education sector, and ensuring that overseas students have a high quality, positive educational experience in Australia. </w:t>
      </w:r>
    </w:p>
    <w:p w14:paraId="706D2A54" w14:textId="77777777" w:rsidR="00C07143" w:rsidRDefault="00C07143" w:rsidP="00C07143">
      <w:r>
        <w:t>Several recent reviews have identified integrity issues in the sector, including evidence of unscrupulous education agents facilitating non-genuine transfers of international students once onshore. This addendum considers the potential impacts of three options to address this problem:</w:t>
      </w:r>
    </w:p>
    <w:p w14:paraId="26FDDAF8" w14:textId="77777777" w:rsidR="00C07143" w:rsidRDefault="00C07143" w:rsidP="00B64A7D">
      <w:pPr>
        <w:pStyle w:val="ListParagraph"/>
        <w:numPr>
          <w:ilvl w:val="0"/>
          <w:numId w:val="50"/>
        </w:numPr>
      </w:pPr>
      <w:r>
        <w:t>No change (status quo)</w:t>
      </w:r>
    </w:p>
    <w:p w14:paraId="73C618B5" w14:textId="77777777" w:rsidR="00C07143" w:rsidRDefault="00C07143" w:rsidP="00B64A7D">
      <w:pPr>
        <w:pStyle w:val="ListParagraph"/>
        <w:numPr>
          <w:ilvl w:val="0"/>
          <w:numId w:val="50"/>
        </w:numPr>
      </w:pPr>
      <w:r>
        <w:t>A non-regulatory, educative approach</w:t>
      </w:r>
    </w:p>
    <w:p w14:paraId="11AED5F0" w14:textId="77777777" w:rsidR="00C07143" w:rsidRDefault="00C07143" w:rsidP="00B64A7D">
      <w:pPr>
        <w:pStyle w:val="ListParagraph"/>
        <w:numPr>
          <w:ilvl w:val="0"/>
          <w:numId w:val="50"/>
        </w:numPr>
      </w:pPr>
      <w:r>
        <w:t>A regulatory approach (the banning of onshore transfer commissions for education agents).</w:t>
      </w:r>
    </w:p>
    <w:p w14:paraId="7B52072A" w14:textId="77777777" w:rsidR="00C07143" w:rsidRPr="003816C3" w:rsidRDefault="00C07143" w:rsidP="00C07143">
      <w:r>
        <w:t xml:space="preserve">Considering the seriousness of the issue, the costs and benefits associated with each option, and substantial stakeholder feedback, Option 3, a regulatory approach, was decided to be the most appropriate response. This option also has the strongest alignment with and best supports Government objectives. </w:t>
      </w:r>
    </w:p>
    <w:p w14:paraId="5BA124AC" w14:textId="77777777" w:rsidR="00B64A7D" w:rsidRDefault="00B64A7D">
      <w:pPr>
        <w:spacing w:after="160"/>
        <w:rPr>
          <w:rFonts w:asciiTheme="majorHAnsi" w:eastAsiaTheme="majorEastAsia" w:hAnsiTheme="majorHAnsi" w:cstheme="majorBidi"/>
          <w:b/>
          <w:color w:val="55437E" w:themeColor="accent2"/>
          <w:sz w:val="44"/>
          <w:szCs w:val="26"/>
        </w:rPr>
      </w:pPr>
      <w:r>
        <w:br w:type="page"/>
      </w:r>
    </w:p>
    <w:p w14:paraId="14E9D231" w14:textId="1F38A866" w:rsidR="00C07143" w:rsidRDefault="00C07143" w:rsidP="00C07143">
      <w:pPr>
        <w:pStyle w:val="Heading2"/>
      </w:pPr>
      <w:bookmarkStart w:id="6" w:name="_Toc218778631"/>
      <w:r>
        <w:lastRenderedPageBreak/>
        <w:t>Background</w:t>
      </w:r>
      <w:bookmarkEnd w:id="6"/>
      <w:r>
        <w:t xml:space="preserve"> </w:t>
      </w:r>
    </w:p>
    <w:p w14:paraId="6931660F" w14:textId="69584CF1" w:rsidR="00C07143" w:rsidRPr="00C07143" w:rsidRDefault="00C07143" w:rsidP="00FC5E88">
      <w:pPr>
        <w:pStyle w:val="Heading3"/>
      </w:pPr>
      <w:bookmarkStart w:id="7" w:name="_Toc218778632"/>
      <w:r w:rsidRPr="00C07143">
        <w:t>Issues identified in the sector</w:t>
      </w:r>
      <w:bookmarkEnd w:id="7"/>
    </w:p>
    <w:p w14:paraId="2725397F" w14:textId="1170735E" w:rsidR="00C07143" w:rsidRDefault="00C07143" w:rsidP="00C07143">
      <w:pPr>
        <w:spacing w:line="276" w:lineRule="auto"/>
        <w:rPr>
          <w:rFonts w:cstheme="majorBidi"/>
        </w:rPr>
      </w:pPr>
      <w:r>
        <w:rPr>
          <w:rFonts w:cstheme="majorBidi"/>
        </w:rPr>
        <w:t xml:space="preserve">As set out in the Impact Analysis, recent reviews and inquiries have uncovered significant </w:t>
      </w:r>
      <w:r w:rsidRPr="008300B8">
        <w:rPr>
          <w:rFonts w:cstheme="majorBidi"/>
        </w:rPr>
        <w:t>integrity and quality issues in the international education sector. These issues include the exploitation of overseas students, and the presence of actors who seek to subvert Australia’s migration and education systems to enable the entry of people into Australia for purposes other than study. This</w:t>
      </w:r>
      <w:r w:rsidR="00CC3A71">
        <w:rPr>
          <w:rFonts w:cstheme="majorBidi"/>
        </w:rPr>
        <w:t> </w:t>
      </w:r>
      <w:r w:rsidRPr="008300B8">
        <w:rPr>
          <w:rFonts w:cstheme="majorBidi"/>
        </w:rPr>
        <w:t xml:space="preserve">exploitation can range from providing poor quality education products to high student fees and false promises of pathways to permanent migration. </w:t>
      </w:r>
    </w:p>
    <w:p w14:paraId="5A1B9421" w14:textId="77777777" w:rsidR="00C07143" w:rsidRPr="00C52BAB" w:rsidRDefault="00C07143" w:rsidP="00C07143">
      <w:pPr>
        <w:spacing w:after="0" w:line="276" w:lineRule="auto"/>
        <w:rPr>
          <w:rFonts w:cstheme="majorBidi"/>
        </w:rPr>
      </w:pPr>
      <w:r w:rsidRPr="00C52BAB">
        <w:rPr>
          <w:rFonts w:cstheme="majorBidi"/>
        </w:rPr>
        <w:t>Th</w:t>
      </w:r>
      <w:r>
        <w:rPr>
          <w:rFonts w:cstheme="majorBidi"/>
        </w:rPr>
        <w:t>e</w:t>
      </w:r>
      <w:r w:rsidRPr="00C52BAB">
        <w:rPr>
          <w:rFonts w:cstheme="majorBidi"/>
        </w:rPr>
        <w:t xml:space="preserve"> I</w:t>
      </w:r>
      <w:r>
        <w:rPr>
          <w:rFonts w:cstheme="majorBidi"/>
        </w:rPr>
        <w:t xml:space="preserve">mpact </w:t>
      </w:r>
      <w:r w:rsidRPr="00C52BAB">
        <w:rPr>
          <w:rFonts w:cstheme="majorBidi"/>
        </w:rPr>
        <w:t>A</w:t>
      </w:r>
      <w:r>
        <w:rPr>
          <w:rFonts w:cstheme="majorBidi"/>
        </w:rPr>
        <w:t>nalysis</w:t>
      </w:r>
      <w:r w:rsidRPr="00C52BAB">
        <w:rPr>
          <w:rFonts w:cstheme="majorBidi"/>
        </w:rPr>
        <w:t xml:space="preserve"> responds to the following recent reviews and inquiry:</w:t>
      </w:r>
    </w:p>
    <w:p w14:paraId="6F0E8B67" w14:textId="77777777" w:rsidR="00C07143" w:rsidRPr="00A17DD2" w:rsidRDefault="00C07143" w:rsidP="00B64A7D">
      <w:pPr>
        <w:pStyle w:val="ListParagraph"/>
        <w:numPr>
          <w:ilvl w:val="0"/>
          <w:numId w:val="51"/>
        </w:numPr>
        <w:spacing w:line="276" w:lineRule="auto"/>
        <w:rPr>
          <w:rFonts w:cstheme="majorBidi"/>
        </w:rPr>
      </w:pPr>
      <w:r w:rsidRPr="00A17DD2">
        <w:rPr>
          <w:rFonts w:cstheme="majorBidi"/>
          <w:i/>
          <w:iCs/>
        </w:rPr>
        <w:t>Review of the Migration System Final Report 2023</w:t>
      </w:r>
      <w:r w:rsidRPr="00A17DD2">
        <w:rPr>
          <w:rFonts w:cstheme="majorBidi"/>
        </w:rPr>
        <w:t xml:space="preserve"> (the Migration Review). </w:t>
      </w:r>
    </w:p>
    <w:p w14:paraId="1C06F152" w14:textId="77777777" w:rsidR="00C07143" w:rsidRPr="00A17DD2" w:rsidRDefault="00C07143" w:rsidP="00B64A7D">
      <w:pPr>
        <w:pStyle w:val="ListParagraph"/>
        <w:numPr>
          <w:ilvl w:val="0"/>
          <w:numId w:val="51"/>
        </w:numPr>
        <w:spacing w:line="276" w:lineRule="auto"/>
        <w:rPr>
          <w:rFonts w:cstheme="majorBidi"/>
        </w:rPr>
      </w:pPr>
      <w:r w:rsidRPr="00A17DD2">
        <w:rPr>
          <w:rFonts w:cstheme="majorBidi"/>
          <w:i/>
          <w:iCs/>
        </w:rPr>
        <w:t>The Rapid Review into the Exploitation of Australia’s Visa System</w:t>
      </w:r>
      <w:r w:rsidRPr="00A17DD2">
        <w:rPr>
          <w:rFonts w:cstheme="majorBidi"/>
        </w:rPr>
        <w:t xml:space="preserve"> (the Nixon Review).</w:t>
      </w:r>
    </w:p>
    <w:p w14:paraId="516496DA" w14:textId="77777777" w:rsidR="00C07143" w:rsidRPr="00A17DD2" w:rsidRDefault="00C07143" w:rsidP="00B64A7D">
      <w:pPr>
        <w:pStyle w:val="ListParagraph"/>
        <w:numPr>
          <w:ilvl w:val="0"/>
          <w:numId w:val="51"/>
        </w:numPr>
        <w:spacing w:line="276" w:lineRule="auto"/>
        <w:rPr>
          <w:rFonts w:cstheme="majorBidi"/>
        </w:rPr>
      </w:pPr>
      <w:r w:rsidRPr="00A17DD2">
        <w:rPr>
          <w:rFonts w:cstheme="majorBidi"/>
        </w:rPr>
        <w:t xml:space="preserve">the Joint Standing Committee on Foreign Affairs, Defence and Trade (JSCFADT) Inquiry into Australia’s tourism and international education sector’s </w:t>
      </w:r>
      <w:r w:rsidRPr="00A17DD2">
        <w:rPr>
          <w:rFonts w:cstheme="majorBidi"/>
          <w:i/>
          <w:iCs/>
        </w:rPr>
        <w:t>Quality and Integrity – the Quest for Sustainable Growth: Interim Report into International Education</w:t>
      </w:r>
      <w:r w:rsidRPr="00A17DD2">
        <w:rPr>
          <w:rFonts w:cstheme="majorBidi"/>
        </w:rPr>
        <w:t xml:space="preserve"> (the JSCFADT Inquiry).</w:t>
      </w:r>
    </w:p>
    <w:p w14:paraId="1AFC0EA7" w14:textId="056F7F7F" w:rsidR="00C07143" w:rsidRDefault="00C07143" w:rsidP="7A5630F0">
      <w:pPr>
        <w:spacing w:line="276" w:lineRule="auto"/>
        <w:rPr>
          <w:rFonts w:cstheme="majorBidi"/>
        </w:rPr>
      </w:pPr>
      <w:r w:rsidRPr="7A5630F0">
        <w:rPr>
          <w:rFonts w:cstheme="majorBidi"/>
        </w:rPr>
        <w:t>This addendum additionally considers evidence from the more recent Standing Senate Committee on Education and Employment inquiry into the Education Services for Overseas Students</w:t>
      </w:r>
      <w:r w:rsidR="00DB3C7F">
        <w:rPr>
          <w:rFonts w:cstheme="majorBidi"/>
        </w:rPr>
        <w:t xml:space="preserve"> </w:t>
      </w:r>
      <w:r w:rsidRPr="7A5630F0">
        <w:rPr>
          <w:rFonts w:cstheme="majorBidi"/>
        </w:rPr>
        <w:t>Amendment (Quality and Integrity) Bill 2024 (</w:t>
      </w:r>
      <w:r w:rsidR="009473BC" w:rsidRPr="7A5630F0">
        <w:rPr>
          <w:rFonts w:cstheme="majorBidi"/>
        </w:rPr>
        <w:t>ESOS Bill</w:t>
      </w:r>
      <w:r w:rsidRPr="7A5630F0">
        <w:rPr>
          <w:rFonts w:cstheme="majorBidi"/>
        </w:rPr>
        <w:t xml:space="preserve"> Inquiry)</w:t>
      </w:r>
      <w:r w:rsidR="601CBB2F" w:rsidRPr="7A5630F0">
        <w:rPr>
          <w:rFonts w:cstheme="majorBidi"/>
        </w:rPr>
        <w:t xml:space="preserve">, and the Standing Senate Committee on Education and Employment inquiry into the Education Legislation Amendment (Integrity and Other Measures) </w:t>
      </w:r>
      <w:r w:rsidR="00E852B7">
        <w:rPr>
          <w:rFonts w:cstheme="majorBidi"/>
        </w:rPr>
        <w:t>Bill</w:t>
      </w:r>
      <w:r w:rsidR="601CBB2F" w:rsidRPr="7A5630F0">
        <w:rPr>
          <w:rFonts w:cstheme="majorBidi"/>
        </w:rPr>
        <w:t xml:space="preserve"> 2025 (ELA </w:t>
      </w:r>
      <w:r w:rsidR="00E852B7">
        <w:rPr>
          <w:rFonts w:cstheme="majorBidi"/>
        </w:rPr>
        <w:t>Bill</w:t>
      </w:r>
      <w:r w:rsidR="601CBB2F" w:rsidRPr="7A5630F0">
        <w:rPr>
          <w:rFonts w:cstheme="majorBidi"/>
        </w:rPr>
        <w:t xml:space="preserve"> Inquiry)</w:t>
      </w:r>
      <w:r w:rsidRPr="7A5630F0">
        <w:rPr>
          <w:rFonts w:cstheme="majorBidi"/>
        </w:rPr>
        <w:t>.</w:t>
      </w:r>
    </w:p>
    <w:p w14:paraId="52CACDE5" w14:textId="77777777" w:rsidR="00C07143" w:rsidRPr="00C52BAB" w:rsidRDefault="00C07143" w:rsidP="00FC5E88">
      <w:pPr>
        <w:pStyle w:val="Heading3"/>
      </w:pPr>
      <w:bookmarkStart w:id="8" w:name="_Toc218778633"/>
      <w:r>
        <w:t>Education agents and commissions</w:t>
      </w:r>
      <w:bookmarkEnd w:id="8"/>
    </w:p>
    <w:p w14:paraId="4949B0FE" w14:textId="366A0D88" w:rsidR="00C07143" w:rsidRDefault="00C07143" w:rsidP="00C07143">
      <w:pPr>
        <w:spacing w:line="276" w:lineRule="auto"/>
        <w:rPr>
          <w:rFonts w:cstheme="majorBidi"/>
        </w:rPr>
      </w:pPr>
      <w:r>
        <w:rPr>
          <w:rFonts w:cstheme="majorBidi"/>
        </w:rPr>
        <w:t>Agent commissions have been identified as an area of significant concern with regard to integrity problems in the international education sector. Because international student fees are generally much higher than domestic student fees, providers are incentivised to pay high commissions to agents in order to enrol international students</w:t>
      </w:r>
      <w:r w:rsidR="00BF6D57">
        <w:rPr>
          <w:rFonts w:cstheme="majorBidi"/>
        </w:rPr>
        <w:t xml:space="preserve"> both onshore and offshore</w:t>
      </w:r>
      <w:r>
        <w:rPr>
          <w:rFonts w:cstheme="majorBidi"/>
        </w:rPr>
        <w:t>.</w:t>
      </w:r>
      <w:r w:rsidR="008B77CC">
        <w:rPr>
          <w:rFonts w:cstheme="majorBidi"/>
        </w:rPr>
        <w:t xml:space="preserve"> Under the</w:t>
      </w:r>
      <w:r w:rsidR="00FB6100">
        <w:rPr>
          <w:rFonts w:cstheme="majorBidi"/>
        </w:rPr>
        <w:t xml:space="preserve"> </w:t>
      </w:r>
      <w:r w:rsidR="00FB6100">
        <w:rPr>
          <w:rFonts w:cstheme="majorBidi"/>
          <w:i/>
          <w:iCs/>
        </w:rPr>
        <w:t xml:space="preserve">Education Services for Overseas Students Act 2000 </w:t>
      </w:r>
      <w:r w:rsidR="00FB6100">
        <w:rPr>
          <w:rFonts w:cstheme="majorBidi"/>
        </w:rPr>
        <w:t>(ESOS Act) and its associated legislative framework</w:t>
      </w:r>
      <w:r w:rsidR="008B77CC">
        <w:rPr>
          <w:rFonts w:cstheme="majorBidi"/>
        </w:rPr>
        <w:t xml:space="preserve"> </w:t>
      </w:r>
      <w:r w:rsidR="00FB6100">
        <w:rPr>
          <w:rFonts w:cstheme="majorBidi"/>
        </w:rPr>
        <w:t>(</w:t>
      </w:r>
      <w:r w:rsidR="008B77CC">
        <w:rPr>
          <w:rFonts w:cstheme="majorBidi"/>
        </w:rPr>
        <w:t>ESOS Framework</w:t>
      </w:r>
      <w:r w:rsidR="00FB6100">
        <w:rPr>
          <w:rFonts w:cstheme="majorBidi"/>
        </w:rPr>
        <w:t>)</w:t>
      </w:r>
      <w:r w:rsidR="008B77CC">
        <w:rPr>
          <w:rFonts w:cstheme="majorBidi"/>
        </w:rPr>
        <w:t xml:space="preserve">, providers are responsible for the education agents they </w:t>
      </w:r>
      <w:r w:rsidR="001C4D1C">
        <w:rPr>
          <w:rFonts w:cstheme="majorBidi"/>
        </w:rPr>
        <w:t>engage.</w:t>
      </w:r>
    </w:p>
    <w:p w14:paraId="2B17E235" w14:textId="6DEB100B" w:rsidR="00C07143" w:rsidRDefault="00C07143" w:rsidP="7A5630F0">
      <w:pPr>
        <w:spacing w:line="276" w:lineRule="auto"/>
        <w:rPr>
          <w:rFonts w:cstheme="majorBidi"/>
        </w:rPr>
      </w:pPr>
      <w:r w:rsidRPr="7A5630F0">
        <w:rPr>
          <w:rFonts w:cstheme="majorBidi"/>
        </w:rPr>
        <w:t>There are significant variations in commissions between providers, with recent media reports indicating that providers are offering commissions as high as 50 per cent of a student’s annual tuition fee, and offering substantial bonuses.</w:t>
      </w:r>
      <w:r w:rsidRPr="7A5630F0">
        <w:rPr>
          <w:rFonts w:cstheme="majorBidi"/>
          <w:vertAlign w:val="superscript"/>
        </w:rPr>
        <w:footnoteReference w:id="4"/>
      </w:r>
      <w:r w:rsidRPr="7A5630F0">
        <w:rPr>
          <w:rFonts w:cstheme="majorBidi"/>
        </w:rPr>
        <w:t xml:space="preserve"> At </w:t>
      </w:r>
      <w:r w:rsidR="000F06B1">
        <w:rPr>
          <w:rFonts w:cstheme="majorBidi"/>
        </w:rPr>
        <w:t>an</w:t>
      </w:r>
      <w:r w:rsidR="79A30585" w:rsidRPr="7A5630F0">
        <w:rPr>
          <w:rFonts w:cstheme="majorBidi"/>
        </w:rPr>
        <w:t xml:space="preserve"> </w:t>
      </w:r>
      <w:r w:rsidR="009473BC" w:rsidRPr="7A5630F0">
        <w:rPr>
          <w:rFonts w:cstheme="majorBidi"/>
        </w:rPr>
        <w:t>ESOS Bill</w:t>
      </w:r>
      <w:r w:rsidRPr="7A5630F0">
        <w:rPr>
          <w:rFonts w:cstheme="majorBidi"/>
        </w:rPr>
        <w:t xml:space="preserve"> Inquiry</w:t>
      </w:r>
      <w:r w:rsidR="003171F0" w:rsidRPr="7A5630F0">
        <w:rPr>
          <w:rFonts w:cstheme="majorBidi"/>
        </w:rPr>
        <w:t xml:space="preserve"> </w:t>
      </w:r>
      <w:r w:rsidRPr="7A5630F0">
        <w:rPr>
          <w:rFonts w:cstheme="majorBidi"/>
        </w:rPr>
        <w:t>hearing, one witness spoke to skyrocketing agent commission rates, suggesting that current settings for agent commissions were damaging the sector.</w:t>
      </w:r>
      <w:r w:rsidRPr="7A5630F0">
        <w:rPr>
          <w:rStyle w:val="FootnoteReference"/>
          <w:rFonts w:cstheme="majorBidi"/>
        </w:rPr>
        <w:footnoteReference w:id="5"/>
      </w:r>
    </w:p>
    <w:p w14:paraId="4C9658AF" w14:textId="53ADA169" w:rsidR="009F406C" w:rsidRDefault="00C07143" w:rsidP="006060C3">
      <w:pPr>
        <w:keepLines/>
        <w:spacing w:line="276" w:lineRule="auto"/>
        <w:rPr>
          <w:rFonts w:cstheme="majorBidi"/>
          <w:highlight w:val="yellow"/>
        </w:rPr>
      </w:pPr>
      <w:r w:rsidRPr="1CCF1BB8">
        <w:rPr>
          <w:rFonts w:cstheme="majorBidi"/>
        </w:rPr>
        <w:lastRenderedPageBreak/>
        <w:t xml:space="preserve">Concerns have also been raised about onshore student transfers. </w:t>
      </w:r>
      <w:r w:rsidR="009923E1" w:rsidRPr="009923E1">
        <w:rPr>
          <w:rFonts w:cstheme="majorBidi"/>
        </w:rPr>
        <w:t>Analysis by the Department of Education suggests that there are high levels of transfers taking place: in 2024 student transfers made up approximately 9 per cent of all international student enrolments that year.</w:t>
      </w:r>
      <w:r w:rsidR="00B050C3">
        <w:rPr>
          <w:rStyle w:val="FootnoteReference"/>
          <w:rFonts w:cstheme="majorBidi"/>
        </w:rPr>
        <w:footnoteReference w:id="6"/>
      </w:r>
      <w:r w:rsidR="009923E1" w:rsidRPr="009923E1">
        <w:rPr>
          <w:rFonts w:cstheme="majorBidi"/>
        </w:rPr>
        <w:t xml:space="preserve"> As of May 2025, transfer enrolments were set to meet or exceed 2024 levels.</w:t>
      </w:r>
      <w:r w:rsidR="00907880">
        <w:rPr>
          <w:rFonts w:cstheme="majorBidi"/>
        </w:rPr>
        <w:t xml:space="preserve"> </w:t>
      </w:r>
      <w:r w:rsidR="00907880">
        <w:t xml:space="preserve">While transfers can take place for genuine reasons, for example, due to changed study goals, transfers may also be facilitated by unscrupulous agents and providers for financial benefits and not occur in the best interests of the student. </w:t>
      </w:r>
      <w:r w:rsidR="009923E1" w:rsidRPr="009923E1">
        <w:rPr>
          <w:rFonts w:cstheme="majorBidi"/>
        </w:rPr>
        <w:t xml:space="preserve"> </w:t>
      </w:r>
    </w:p>
    <w:p w14:paraId="4E4DCE3D" w14:textId="46E1D2E1" w:rsidR="00C07143" w:rsidRDefault="00C07143" w:rsidP="00C07143">
      <w:pPr>
        <w:spacing w:line="276" w:lineRule="auto"/>
        <w:rPr>
          <w:rFonts w:cstheme="majorBidi"/>
        </w:rPr>
      </w:pPr>
      <w:r>
        <w:rPr>
          <w:rFonts w:cstheme="majorBidi"/>
        </w:rPr>
        <w:t>High agent commissions have the potential to lead to higher levels of onshore transfers by students in two ways</w:t>
      </w:r>
      <w:r w:rsidR="009F406C">
        <w:rPr>
          <w:rFonts w:cstheme="majorBidi"/>
        </w:rPr>
        <w:t>:</w:t>
      </w:r>
    </w:p>
    <w:p w14:paraId="19EDE2D6" w14:textId="2F7AD409" w:rsidR="00C07143" w:rsidRDefault="00C07143" w:rsidP="7A5630F0">
      <w:pPr>
        <w:pStyle w:val="ListBullet"/>
        <w:spacing w:after="240"/>
        <w:contextualSpacing w:val="0"/>
        <w:rPr>
          <w:rFonts w:cstheme="majorBidi"/>
        </w:rPr>
      </w:pPr>
      <w:r w:rsidRPr="7A5630F0">
        <w:rPr>
          <w:rFonts w:cstheme="majorBidi"/>
        </w:rPr>
        <w:t xml:space="preserve">First, overseas students are often not aware of these commission arrangements, which raises concerns about their ability to critically evaluate the information provided by agents to make informed decisions. The </w:t>
      </w:r>
      <w:r w:rsidR="009473BC" w:rsidRPr="7A5630F0">
        <w:rPr>
          <w:rFonts w:cstheme="majorBidi"/>
        </w:rPr>
        <w:t>ESOS Bill</w:t>
      </w:r>
      <w:r w:rsidRPr="7A5630F0">
        <w:rPr>
          <w:rFonts w:cstheme="majorBidi"/>
        </w:rPr>
        <w:t xml:space="preserve"> Inquiry heard evidence that some education agents direct genuine students to take up courses that are unsuitable for the student, but profitable for the agent in commissions</w:t>
      </w:r>
      <w:r w:rsidR="00517C8F" w:rsidRPr="7A5630F0">
        <w:rPr>
          <w:rFonts w:cstheme="majorBidi"/>
        </w:rPr>
        <w:t>,</w:t>
      </w:r>
      <w:r w:rsidRPr="7A5630F0">
        <w:rPr>
          <w:rFonts w:cstheme="majorBidi"/>
        </w:rPr>
        <w:t xml:space="preserve"> and for the provider in terms of recruitment numbers. One peak body, ISANA (International Education Association Inc.) reported students being given misinformation by education agents, resulting in students leaving their primary course and course hopping.</w:t>
      </w:r>
      <w:r w:rsidRPr="7A5630F0">
        <w:rPr>
          <w:rFonts w:cstheme="majorBidi"/>
          <w:vertAlign w:val="superscript"/>
        </w:rPr>
        <w:footnoteReference w:id="7"/>
      </w:r>
      <w:r w:rsidRPr="7A5630F0">
        <w:rPr>
          <w:rFonts w:cstheme="majorBidi"/>
        </w:rPr>
        <w:t xml:space="preserve"> </w:t>
      </w:r>
    </w:p>
    <w:p w14:paraId="5623FC10" w14:textId="6063E29E" w:rsidR="00C07143" w:rsidRDefault="00C07143" w:rsidP="001B1958">
      <w:pPr>
        <w:pStyle w:val="ListBullet"/>
        <w:spacing w:after="240"/>
        <w:contextualSpacing w:val="0"/>
        <w:rPr>
          <w:rFonts w:cstheme="majorBidi"/>
        </w:rPr>
      </w:pPr>
      <w:r>
        <w:rPr>
          <w:rFonts w:cstheme="majorBidi"/>
        </w:rPr>
        <w:t xml:space="preserve">Second, agents are incentivised to help and encourage students to transfer while onshore </w:t>
      </w:r>
      <w:r w:rsidR="00E60784">
        <w:rPr>
          <w:rFonts w:cstheme="majorBidi"/>
        </w:rPr>
        <w:t>to</w:t>
      </w:r>
      <w:r>
        <w:rPr>
          <w:rFonts w:cstheme="majorBidi"/>
        </w:rPr>
        <w:t xml:space="preserve"> access a second commission, regardless of whether such a move is in a student’s best interests.</w:t>
      </w:r>
      <w:r>
        <w:rPr>
          <w:rStyle w:val="FootnoteReference"/>
          <w:rFonts w:cstheme="majorBidi"/>
        </w:rPr>
        <w:footnoteReference w:id="8"/>
      </w:r>
      <w:r>
        <w:rPr>
          <w:rFonts w:cstheme="majorBidi"/>
        </w:rPr>
        <w:t xml:space="preserve"> This can take place after the agent has given the student misinformation while offshore, so a student enrols in an unsuitable course onshore, from which they then want to transfer. This can also involve collusive business practices between providers and agents. Some providers specialise in ‘poaching’ students onshore, with the help of education agents, to save on the labour-intensive and costly process of offshore recruitment.</w:t>
      </w:r>
    </w:p>
    <w:p w14:paraId="3D89E73A" w14:textId="77777777" w:rsidR="00C07143" w:rsidRDefault="00C07143" w:rsidP="00FC5E88">
      <w:pPr>
        <w:pStyle w:val="Heading3"/>
      </w:pPr>
      <w:bookmarkStart w:id="9" w:name="_Toc218778634"/>
      <w:r>
        <w:t>Broader context of reform</w:t>
      </w:r>
      <w:bookmarkEnd w:id="9"/>
    </w:p>
    <w:p w14:paraId="6E7867BF" w14:textId="26B9A45D" w:rsidR="00C07143" w:rsidRPr="001353B7" w:rsidRDefault="00C07143" w:rsidP="00C07143">
      <w:pPr>
        <w:spacing w:line="276" w:lineRule="auto"/>
        <w:rPr>
          <w:rFonts w:cstheme="majorBidi"/>
          <w:iCs/>
        </w:rPr>
      </w:pPr>
      <w:r w:rsidRPr="405C3919">
        <w:rPr>
          <w:rFonts w:cstheme="majorBidi"/>
        </w:rPr>
        <w:t xml:space="preserve">The </w:t>
      </w:r>
      <w:r w:rsidR="009A667D">
        <w:rPr>
          <w:rFonts w:cstheme="majorBidi"/>
        </w:rPr>
        <w:t>Impact Analysis</w:t>
      </w:r>
      <w:r w:rsidRPr="405C3919">
        <w:rPr>
          <w:rFonts w:cstheme="majorBidi"/>
        </w:rPr>
        <w:t xml:space="preserve"> considered options </w:t>
      </w:r>
      <w:r>
        <w:rPr>
          <w:rFonts w:cstheme="majorBidi"/>
        </w:rPr>
        <w:t xml:space="preserve">to address the broad integrity issues in the sector </w:t>
      </w:r>
      <w:r w:rsidRPr="405C3919">
        <w:rPr>
          <w:rFonts w:cstheme="majorBidi"/>
        </w:rPr>
        <w:t>and recommended targeted legislative reform to the</w:t>
      </w:r>
      <w:r w:rsidR="001353B7">
        <w:rPr>
          <w:rFonts w:cstheme="majorBidi"/>
          <w:i/>
        </w:rPr>
        <w:t xml:space="preserve"> </w:t>
      </w:r>
      <w:r w:rsidR="001353B7">
        <w:rPr>
          <w:rFonts w:cstheme="majorBidi"/>
          <w:iCs/>
        </w:rPr>
        <w:t>ESOS Act.</w:t>
      </w:r>
    </w:p>
    <w:p w14:paraId="1C30F5C3" w14:textId="0238227A" w:rsidR="00C07143" w:rsidRPr="009C45A1" w:rsidRDefault="00526861" w:rsidP="00C07143">
      <w:pPr>
        <w:spacing w:line="276" w:lineRule="auto"/>
        <w:rPr>
          <w:rFonts w:cstheme="majorBidi"/>
        </w:rPr>
      </w:pPr>
      <w:r w:rsidRPr="00084C98">
        <w:rPr>
          <w:rFonts w:cstheme="majorBidi"/>
        </w:rPr>
        <w:t xml:space="preserve">The </w:t>
      </w:r>
      <w:r w:rsidRPr="00083EB9">
        <w:rPr>
          <w:rFonts w:cstheme="majorBidi"/>
          <w:i/>
        </w:rPr>
        <w:t xml:space="preserve">Education Legislation Amendment </w:t>
      </w:r>
      <w:r w:rsidR="006B3BE0" w:rsidRPr="00083EB9">
        <w:rPr>
          <w:rFonts w:cstheme="majorBidi"/>
          <w:i/>
        </w:rPr>
        <w:t xml:space="preserve">(Integrity and Other Measures) </w:t>
      </w:r>
      <w:r w:rsidR="00AF74C2" w:rsidRPr="00083EB9">
        <w:rPr>
          <w:rFonts w:cstheme="majorBidi"/>
          <w:i/>
        </w:rPr>
        <w:t>Act</w:t>
      </w:r>
      <w:r w:rsidR="006B3BE0" w:rsidRPr="00083EB9">
        <w:rPr>
          <w:rFonts w:cstheme="majorBidi"/>
          <w:i/>
        </w:rPr>
        <w:t xml:space="preserve"> 2025</w:t>
      </w:r>
      <w:r w:rsidR="006B3BE0" w:rsidRPr="00084C98">
        <w:rPr>
          <w:rFonts w:cstheme="majorBidi"/>
        </w:rPr>
        <w:t xml:space="preserve"> </w:t>
      </w:r>
      <w:r w:rsidR="00E4563E" w:rsidRPr="00084C98">
        <w:rPr>
          <w:rFonts w:cstheme="majorBidi"/>
        </w:rPr>
        <w:t xml:space="preserve">(ELA </w:t>
      </w:r>
      <w:r w:rsidR="00AF74C2">
        <w:rPr>
          <w:rFonts w:cstheme="majorBidi"/>
        </w:rPr>
        <w:t>Act</w:t>
      </w:r>
      <w:r w:rsidR="00E4563E" w:rsidRPr="00084C98">
        <w:rPr>
          <w:rFonts w:cstheme="majorBidi"/>
        </w:rPr>
        <w:t xml:space="preserve">) </w:t>
      </w:r>
      <w:r w:rsidR="006B3BE0" w:rsidRPr="00084C98">
        <w:rPr>
          <w:rFonts w:cstheme="majorBidi"/>
        </w:rPr>
        <w:t xml:space="preserve">was passed by Parliament in November 2025. </w:t>
      </w:r>
      <w:r w:rsidR="00C07143" w:rsidRPr="00084C98">
        <w:rPr>
          <w:rFonts w:cstheme="majorBidi"/>
        </w:rPr>
        <w:t xml:space="preserve">The legislative changes in the </w:t>
      </w:r>
      <w:r w:rsidR="00083EB9">
        <w:rPr>
          <w:rFonts w:cstheme="majorBidi"/>
        </w:rPr>
        <w:t xml:space="preserve">ELA </w:t>
      </w:r>
      <w:r w:rsidR="007E4335">
        <w:rPr>
          <w:rFonts w:cstheme="majorBidi"/>
        </w:rPr>
        <w:t>Act</w:t>
      </w:r>
      <w:r w:rsidR="00C07143" w:rsidRPr="00084C98">
        <w:rPr>
          <w:rFonts w:cstheme="majorBidi"/>
        </w:rPr>
        <w:t xml:space="preserve"> are complementary to the policy objectives outlined in this addendum. For example, the </w:t>
      </w:r>
      <w:r w:rsidR="00083EB9">
        <w:rPr>
          <w:rFonts w:cstheme="majorBidi"/>
        </w:rPr>
        <w:t xml:space="preserve">ELA </w:t>
      </w:r>
      <w:r w:rsidR="007E4335">
        <w:rPr>
          <w:rFonts w:cstheme="majorBidi"/>
        </w:rPr>
        <w:t>Act</w:t>
      </w:r>
      <w:r w:rsidR="00C07143" w:rsidRPr="00084C98">
        <w:rPr>
          <w:rFonts w:cstheme="majorBidi"/>
        </w:rPr>
        <w:t xml:space="preserve"> includes a provision to require greater sharing of education agent commission data by providers. Such a change will improve ESOS agencies</w:t>
      </w:r>
      <w:r w:rsidR="00D90F30">
        <w:rPr>
          <w:rFonts w:cstheme="majorBidi"/>
        </w:rPr>
        <w:t>’</w:t>
      </w:r>
      <w:r w:rsidR="00C07143" w:rsidRPr="00084C98">
        <w:rPr>
          <w:rFonts w:cstheme="majorBidi"/>
        </w:rPr>
        <w:t xml:space="preserve"> ability to monitor </w:t>
      </w:r>
      <w:r w:rsidR="00610EAD" w:rsidRPr="00084C98">
        <w:rPr>
          <w:rFonts w:cstheme="majorBidi"/>
        </w:rPr>
        <w:t>providers’ use of</w:t>
      </w:r>
      <w:r w:rsidR="00C07143" w:rsidRPr="00084C98">
        <w:rPr>
          <w:rFonts w:cstheme="majorBidi"/>
        </w:rPr>
        <w:t xml:space="preserve"> education agents and identify integrity issues when they arise.</w:t>
      </w:r>
    </w:p>
    <w:p w14:paraId="1D50F88F" w14:textId="77777777" w:rsidR="00C07143" w:rsidRDefault="00C07143" w:rsidP="00FC5E88">
      <w:pPr>
        <w:pStyle w:val="Heading3"/>
      </w:pPr>
      <w:bookmarkStart w:id="10" w:name="_Toc218778635"/>
      <w:r>
        <w:lastRenderedPageBreak/>
        <w:t>Policy objectives</w:t>
      </w:r>
      <w:bookmarkEnd w:id="10"/>
    </w:p>
    <w:p w14:paraId="465C3AB3" w14:textId="5BA416D1" w:rsidR="00C07143" w:rsidRDefault="00610CBC" w:rsidP="00C07143">
      <w:pPr>
        <w:spacing w:line="276" w:lineRule="auto"/>
        <w:rPr>
          <w:rFonts w:cstheme="majorBidi"/>
        </w:rPr>
      </w:pPr>
      <w:r>
        <w:rPr>
          <w:rFonts w:cstheme="majorBidi"/>
        </w:rPr>
        <w:t>Onshore recruitment and course transfers have been repeatedly raised as a concern a</w:t>
      </w:r>
      <w:r w:rsidR="00C07143">
        <w:rPr>
          <w:rFonts w:cstheme="majorBidi"/>
        </w:rPr>
        <w:t xml:space="preserve">cross the three reviews, regular consultation </w:t>
      </w:r>
      <w:r w:rsidR="009D7E8F">
        <w:rPr>
          <w:rFonts w:cstheme="majorBidi"/>
        </w:rPr>
        <w:t>with stakeholders</w:t>
      </w:r>
      <w:r w:rsidR="00A67885">
        <w:rPr>
          <w:rFonts w:cstheme="majorBidi"/>
        </w:rPr>
        <w:t>,</w:t>
      </w:r>
      <w:r w:rsidR="009D7E8F">
        <w:rPr>
          <w:rFonts w:cstheme="majorBidi"/>
        </w:rPr>
        <w:t xml:space="preserve"> </w:t>
      </w:r>
      <w:r w:rsidR="00C07143">
        <w:rPr>
          <w:rFonts w:cstheme="majorBidi"/>
        </w:rPr>
        <w:t xml:space="preserve">and the Senate inquiry into the </w:t>
      </w:r>
      <w:r w:rsidR="00F132F7">
        <w:rPr>
          <w:rFonts w:cstheme="majorBidi"/>
        </w:rPr>
        <w:t>Education Services for Overseas Students (Quality &amp; Integrity) Bill 2024</w:t>
      </w:r>
      <w:r w:rsidR="006F1B28">
        <w:rPr>
          <w:rFonts w:cstheme="majorBidi"/>
        </w:rPr>
        <w:t xml:space="preserve"> (</w:t>
      </w:r>
      <w:r w:rsidR="00C07143">
        <w:rPr>
          <w:rFonts w:cstheme="majorBidi"/>
        </w:rPr>
        <w:t>ESOS Bill</w:t>
      </w:r>
      <w:r w:rsidR="006F1B28">
        <w:rPr>
          <w:rFonts w:cstheme="majorBidi"/>
        </w:rPr>
        <w:t>)</w:t>
      </w:r>
      <w:r w:rsidR="00C07143">
        <w:rPr>
          <w:rFonts w:cstheme="majorBidi"/>
        </w:rPr>
        <w:t xml:space="preserve">. Stakeholders suggest that there are many examples of how </w:t>
      </w:r>
      <w:r w:rsidR="009A0268">
        <w:rPr>
          <w:rFonts w:cstheme="majorBidi"/>
        </w:rPr>
        <w:t xml:space="preserve">agents or education providers encourage </w:t>
      </w:r>
      <w:r w:rsidR="00771D9E">
        <w:rPr>
          <w:rFonts w:cstheme="majorBidi"/>
        </w:rPr>
        <w:t>onshore</w:t>
      </w:r>
      <w:r w:rsidR="009A0268">
        <w:rPr>
          <w:rFonts w:cstheme="majorBidi"/>
        </w:rPr>
        <w:t xml:space="preserve"> students</w:t>
      </w:r>
      <w:r w:rsidR="00C07143">
        <w:rPr>
          <w:rFonts w:cstheme="majorBidi"/>
        </w:rPr>
        <w:t xml:space="preserve"> to change courses</w:t>
      </w:r>
      <w:r w:rsidR="00070BAA">
        <w:rPr>
          <w:rFonts w:cstheme="majorBidi"/>
        </w:rPr>
        <w:t>, including</w:t>
      </w:r>
      <w:r w:rsidR="00C07143">
        <w:rPr>
          <w:rFonts w:cstheme="majorBidi"/>
        </w:rPr>
        <w:t xml:space="preserve"> before they have completed six months of their principal course.</w:t>
      </w:r>
    </w:p>
    <w:p w14:paraId="4B7DA3F5" w14:textId="29E70EA0" w:rsidR="001D68DD" w:rsidRDefault="00C07143" w:rsidP="00E27ED3">
      <w:r w:rsidRPr="003F74E1">
        <w:rPr>
          <w:rFonts w:cstheme="majorBidi"/>
        </w:rPr>
        <w:t>The policy objective to be analysed in this addendum is to reduce these non-genuine onshore transfers and ensure that overseas students are receiving high-quality advice from education agents</w:t>
      </w:r>
      <w:r w:rsidR="00FA06CA" w:rsidRPr="003F74E1">
        <w:rPr>
          <w:rFonts w:cstheme="majorBidi"/>
        </w:rPr>
        <w:t xml:space="preserve"> and providers</w:t>
      </w:r>
      <w:r w:rsidRPr="003F74E1">
        <w:rPr>
          <w:rFonts w:cstheme="majorBidi"/>
        </w:rPr>
        <w:t xml:space="preserve">, </w:t>
      </w:r>
      <w:r w:rsidR="00FE5E10" w:rsidRPr="003F74E1">
        <w:rPr>
          <w:rFonts w:cstheme="majorBidi"/>
        </w:rPr>
        <w:t>that are in</w:t>
      </w:r>
      <w:r w:rsidRPr="003F74E1">
        <w:rPr>
          <w:rFonts w:cstheme="majorBidi"/>
        </w:rPr>
        <w:t xml:space="preserve"> </w:t>
      </w:r>
      <w:r w:rsidR="00FE5E10" w:rsidRPr="003F74E1">
        <w:rPr>
          <w:rFonts w:cstheme="majorBidi"/>
        </w:rPr>
        <w:t>the student</w:t>
      </w:r>
      <w:r w:rsidR="00D03642" w:rsidRPr="003F74E1">
        <w:rPr>
          <w:rFonts w:cstheme="majorBidi"/>
        </w:rPr>
        <w:t xml:space="preserve">s’ </w:t>
      </w:r>
      <w:r w:rsidRPr="003F74E1">
        <w:rPr>
          <w:rFonts w:cstheme="majorBidi"/>
        </w:rPr>
        <w:t>best interests.</w:t>
      </w:r>
      <w:r w:rsidR="002B1724">
        <w:t xml:space="preserve"> </w:t>
      </w:r>
    </w:p>
    <w:p w14:paraId="6FF44F00" w14:textId="77777777" w:rsidR="000E33D3" w:rsidRDefault="000E33D3">
      <w:pPr>
        <w:spacing w:after="160"/>
        <w:rPr>
          <w:rFonts w:asciiTheme="majorHAnsi" w:eastAsiaTheme="majorEastAsia" w:hAnsiTheme="majorHAnsi" w:cstheme="majorBidi"/>
          <w:b/>
          <w:color w:val="55437E" w:themeColor="accent2"/>
          <w:sz w:val="44"/>
          <w:szCs w:val="26"/>
        </w:rPr>
      </w:pPr>
      <w:r>
        <w:br w:type="page"/>
      </w:r>
    </w:p>
    <w:p w14:paraId="76A32498" w14:textId="77777777" w:rsidR="00C07143" w:rsidRDefault="00C07143" w:rsidP="001D68DD">
      <w:pPr>
        <w:pStyle w:val="Heading2"/>
      </w:pPr>
      <w:bookmarkStart w:id="11" w:name="_Toc218778636"/>
      <w:r>
        <w:lastRenderedPageBreak/>
        <w:t>Options for reform</w:t>
      </w:r>
      <w:bookmarkEnd w:id="11"/>
    </w:p>
    <w:p w14:paraId="6BBFD62C" w14:textId="5D756BD3" w:rsidR="00C07143" w:rsidRPr="000637A2" w:rsidRDefault="00C07143" w:rsidP="00C07143">
      <w:pPr>
        <w:spacing w:line="276" w:lineRule="auto"/>
        <w:rPr>
          <w:rFonts w:cstheme="majorBidi"/>
        </w:rPr>
      </w:pPr>
      <w:r w:rsidRPr="000637A2">
        <w:rPr>
          <w:rFonts w:cstheme="majorBidi"/>
        </w:rPr>
        <w:t xml:space="preserve">The Government </w:t>
      </w:r>
      <w:r w:rsidR="00FD4C29">
        <w:rPr>
          <w:rFonts w:cstheme="majorBidi"/>
        </w:rPr>
        <w:t>has considered</w:t>
      </w:r>
      <w:r w:rsidRPr="000637A2">
        <w:rPr>
          <w:rFonts w:cstheme="majorBidi"/>
        </w:rPr>
        <w:t xml:space="preserve"> three options. </w:t>
      </w:r>
    </w:p>
    <w:p w14:paraId="39885909" w14:textId="77777777" w:rsidR="00C07143" w:rsidRPr="00C07143" w:rsidRDefault="00C07143" w:rsidP="00FC5E88">
      <w:pPr>
        <w:pStyle w:val="Heading3"/>
      </w:pPr>
      <w:bookmarkStart w:id="12" w:name="_Toc218778637"/>
      <w:r w:rsidRPr="00C07143">
        <w:t>Option 1: Status quo</w:t>
      </w:r>
      <w:bookmarkEnd w:id="12"/>
      <w:r w:rsidRPr="00C07143">
        <w:t> </w:t>
      </w:r>
    </w:p>
    <w:p w14:paraId="3ECC7C45" w14:textId="77777777" w:rsidR="00C07143" w:rsidRDefault="00C07143" w:rsidP="00C07143">
      <w:pPr>
        <w:spacing w:line="276" w:lineRule="auto"/>
        <w:rPr>
          <w:rFonts w:cstheme="majorBidi"/>
        </w:rPr>
      </w:pPr>
      <w:r w:rsidRPr="000637A2">
        <w:rPr>
          <w:rFonts w:cstheme="majorBidi"/>
        </w:rPr>
        <w:t xml:space="preserve">This option would involve no changes to the </w:t>
      </w:r>
      <w:r>
        <w:rPr>
          <w:rFonts w:cstheme="majorBidi"/>
        </w:rPr>
        <w:t>rules around education agents and onshore transfers</w:t>
      </w:r>
      <w:r w:rsidRPr="000637A2">
        <w:rPr>
          <w:rFonts w:cstheme="majorBidi"/>
        </w:rPr>
        <w:t>. </w:t>
      </w:r>
    </w:p>
    <w:p w14:paraId="45C84047" w14:textId="7CF78ADE" w:rsidR="00C07143" w:rsidRPr="000637A2" w:rsidRDefault="00C07143" w:rsidP="00C07143">
      <w:pPr>
        <w:spacing w:line="276" w:lineRule="auto"/>
        <w:rPr>
          <w:rFonts w:cstheme="majorBidi"/>
        </w:rPr>
      </w:pPr>
      <w:r>
        <w:rPr>
          <w:rFonts w:cstheme="majorBidi"/>
        </w:rPr>
        <w:t>Education agents would continue to be financially incentivised to encourage students to transfer while onshore, and to direct students to unsuitable providers and courses</w:t>
      </w:r>
      <w:r w:rsidR="00137FB4">
        <w:rPr>
          <w:rFonts w:cstheme="majorBidi"/>
        </w:rPr>
        <w:t>, leading to continued high rates of onshore transfers</w:t>
      </w:r>
      <w:r>
        <w:rPr>
          <w:rFonts w:cstheme="majorBidi"/>
        </w:rPr>
        <w:t>.</w:t>
      </w:r>
    </w:p>
    <w:p w14:paraId="507C441C" w14:textId="77777777" w:rsidR="00C07143" w:rsidRPr="00C07143" w:rsidRDefault="00C07143" w:rsidP="00FC5E88">
      <w:pPr>
        <w:pStyle w:val="Heading3"/>
      </w:pPr>
      <w:bookmarkStart w:id="13" w:name="_Toc218778638"/>
      <w:r w:rsidRPr="00C07143">
        <w:t>Option 2: Non-regulatory option</w:t>
      </w:r>
      <w:bookmarkEnd w:id="13"/>
      <w:r w:rsidRPr="00C07143">
        <w:t> </w:t>
      </w:r>
    </w:p>
    <w:p w14:paraId="4A4DC541" w14:textId="079B5AD4" w:rsidR="00C07143" w:rsidRPr="000637A2" w:rsidRDefault="00C07143" w:rsidP="00C07143">
      <w:pPr>
        <w:spacing w:line="276" w:lineRule="auto"/>
        <w:rPr>
          <w:rFonts w:cstheme="majorBidi"/>
        </w:rPr>
      </w:pPr>
      <w:r w:rsidRPr="52C27C33">
        <w:rPr>
          <w:rFonts w:cstheme="majorBidi"/>
        </w:rPr>
        <w:t xml:space="preserve">This option would involve an educative approach, whereby the department </w:t>
      </w:r>
      <w:r w:rsidR="00226394">
        <w:rPr>
          <w:rFonts w:cstheme="majorBidi"/>
        </w:rPr>
        <w:t>targets international students</w:t>
      </w:r>
      <w:r w:rsidR="00D93DB3">
        <w:rPr>
          <w:rFonts w:cstheme="majorBidi"/>
        </w:rPr>
        <w:t xml:space="preserve"> to help inform them about the financial incentives associated with education agents</w:t>
      </w:r>
      <w:r w:rsidR="006D30E8">
        <w:rPr>
          <w:rFonts w:cstheme="majorBidi"/>
        </w:rPr>
        <w:t xml:space="preserve"> and the risks involved with onshore transfers</w:t>
      </w:r>
      <w:r w:rsidR="00D93DB3">
        <w:rPr>
          <w:rFonts w:cstheme="majorBidi"/>
        </w:rPr>
        <w:t xml:space="preserve">. </w:t>
      </w:r>
      <w:r w:rsidR="006D30E8">
        <w:rPr>
          <w:rFonts w:cstheme="majorBidi"/>
        </w:rPr>
        <w:t xml:space="preserve">This would aim to help students </w:t>
      </w:r>
      <w:r w:rsidR="00041086">
        <w:rPr>
          <w:rFonts w:cstheme="majorBidi"/>
        </w:rPr>
        <w:t xml:space="preserve">identify unscrupulous agent behaviour and think more carefully about the courses and providers they enrolled with, as well as to encourage students to ask about the commissions their agents are being paid by providers. </w:t>
      </w:r>
      <w:r w:rsidRPr="52C27C33">
        <w:rPr>
          <w:rFonts w:cstheme="majorBidi"/>
        </w:rPr>
        <w:t xml:space="preserve">The department would hold a sector-wide survey on education agent commissions to improve understanding and run information sessions with </w:t>
      </w:r>
      <w:r w:rsidR="00015412">
        <w:rPr>
          <w:rFonts w:cstheme="majorBidi"/>
        </w:rPr>
        <w:t>students and student bodies to help them identify risks involved with using education agents.</w:t>
      </w:r>
      <w:r w:rsidRPr="52C27C33">
        <w:rPr>
          <w:rFonts w:cstheme="majorBidi"/>
        </w:rPr>
        <w:t xml:space="preserve"> The department would also develop written engagement materials in collaboration with regulators, such as fact sheets, to distribute to </w:t>
      </w:r>
      <w:r w:rsidR="00015412">
        <w:rPr>
          <w:rFonts w:cstheme="majorBidi"/>
        </w:rPr>
        <w:t>students</w:t>
      </w:r>
      <w:r w:rsidRPr="52C27C33">
        <w:rPr>
          <w:rFonts w:cstheme="majorBidi"/>
        </w:rPr>
        <w:t>.</w:t>
      </w:r>
    </w:p>
    <w:p w14:paraId="24953BB6" w14:textId="77777777" w:rsidR="00C07143" w:rsidRPr="00C07143" w:rsidRDefault="00C07143" w:rsidP="00FC5E88">
      <w:pPr>
        <w:pStyle w:val="Heading3"/>
      </w:pPr>
      <w:bookmarkStart w:id="14" w:name="_Toc218778639"/>
      <w:r w:rsidRPr="00C07143">
        <w:t>Option 3: Regulatory option</w:t>
      </w:r>
      <w:bookmarkEnd w:id="14"/>
      <w:r w:rsidRPr="00C07143">
        <w:t> </w:t>
      </w:r>
    </w:p>
    <w:p w14:paraId="0C207A94" w14:textId="01B2E2EA" w:rsidR="00C07143" w:rsidRPr="000637A2" w:rsidRDefault="00C07143" w:rsidP="00C07143">
      <w:pPr>
        <w:spacing w:line="276" w:lineRule="auto"/>
        <w:rPr>
          <w:rFonts w:cstheme="majorBidi"/>
        </w:rPr>
      </w:pPr>
      <w:r w:rsidRPr="5211E326">
        <w:rPr>
          <w:rFonts w:cstheme="majorBidi"/>
        </w:rPr>
        <w:t xml:space="preserve">This option would involve a change to </w:t>
      </w:r>
      <w:r w:rsidR="008C14F7">
        <w:rPr>
          <w:rFonts w:cstheme="majorBidi"/>
        </w:rPr>
        <w:t xml:space="preserve">Standard 4 of </w:t>
      </w:r>
      <w:r w:rsidRPr="5211E326">
        <w:rPr>
          <w:rFonts w:cstheme="majorBidi"/>
        </w:rPr>
        <w:t xml:space="preserve">the National Code, with providers prohibited from paying a commission to an education agent for onshore student transfers. This change is designed to remove incentives for </w:t>
      </w:r>
      <w:r w:rsidR="008C14F7">
        <w:rPr>
          <w:rFonts w:cstheme="majorBidi"/>
        </w:rPr>
        <w:t>education agents to facilitate non-genuine onshore student transfers</w:t>
      </w:r>
      <w:r w:rsidRPr="5211E326">
        <w:rPr>
          <w:rFonts w:cstheme="majorBidi"/>
        </w:rPr>
        <w:t>. Such a change acknowledges the role of education agents in providing overseas students with guidance, particularly before these students arrive onshore, while at the same time affirming that this advice must be provided in those students’ best interests.</w:t>
      </w:r>
      <w:r w:rsidR="00EE78E3">
        <w:rPr>
          <w:rFonts w:cstheme="majorBidi"/>
        </w:rPr>
        <w:t xml:space="preserve"> While this policy is aimed at addressing </w:t>
      </w:r>
      <w:r w:rsidR="0049563C">
        <w:rPr>
          <w:rFonts w:cstheme="majorBidi"/>
        </w:rPr>
        <w:t xml:space="preserve">non-genuine transfers, this </w:t>
      </w:r>
      <w:r w:rsidR="00D07FDB">
        <w:rPr>
          <w:rFonts w:cstheme="majorBidi"/>
        </w:rPr>
        <w:t>commission ban would apply to all onshore transfers.</w:t>
      </w:r>
    </w:p>
    <w:p w14:paraId="550B41DA" w14:textId="47507489" w:rsidR="00C07143" w:rsidRDefault="00C07143" w:rsidP="00C07143">
      <w:pPr>
        <w:spacing w:line="276" w:lineRule="auto"/>
        <w:rPr>
          <w:rFonts w:cstheme="majorBidi"/>
        </w:rPr>
      </w:pPr>
      <w:r w:rsidRPr="52C27C33">
        <w:rPr>
          <w:rFonts w:cstheme="majorBidi"/>
        </w:rPr>
        <w:t xml:space="preserve">This </w:t>
      </w:r>
      <w:r w:rsidR="00B87616" w:rsidRPr="52C27C33">
        <w:rPr>
          <w:rFonts w:cstheme="majorBidi"/>
        </w:rPr>
        <w:t>c</w:t>
      </w:r>
      <w:r w:rsidR="00B87616">
        <w:rPr>
          <w:rFonts w:cstheme="majorBidi"/>
        </w:rPr>
        <w:t>ommission ban</w:t>
      </w:r>
      <w:r w:rsidRPr="52C27C33">
        <w:rPr>
          <w:rFonts w:cstheme="majorBidi"/>
        </w:rPr>
        <w:t xml:space="preserve"> should not prevent genuine transfers from taking place</w:t>
      </w:r>
      <w:r w:rsidR="002F6418">
        <w:rPr>
          <w:rFonts w:cstheme="majorBidi"/>
        </w:rPr>
        <w:t xml:space="preserve">. </w:t>
      </w:r>
      <w:r w:rsidRPr="52C27C33">
        <w:rPr>
          <w:rFonts w:cstheme="majorBidi"/>
        </w:rPr>
        <w:t xml:space="preserve">Once onshore, it is expected that students are </w:t>
      </w:r>
      <w:r>
        <w:rPr>
          <w:rFonts w:cstheme="majorBidi"/>
        </w:rPr>
        <w:t xml:space="preserve">more </w:t>
      </w:r>
      <w:r w:rsidRPr="52C27C33">
        <w:rPr>
          <w:rFonts w:cstheme="majorBidi"/>
        </w:rPr>
        <w:t>capable of navigating Australian systems and have</w:t>
      </w:r>
      <w:r>
        <w:rPr>
          <w:rFonts w:cstheme="majorBidi"/>
        </w:rPr>
        <w:t xml:space="preserve"> sufficient </w:t>
      </w:r>
      <w:r w:rsidRPr="52C27C33">
        <w:rPr>
          <w:rFonts w:cstheme="majorBidi"/>
        </w:rPr>
        <w:t xml:space="preserve">English language skills to transfer providers independently. If students </w:t>
      </w:r>
      <w:r>
        <w:rPr>
          <w:rFonts w:cstheme="majorBidi"/>
        </w:rPr>
        <w:t>would like</w:t>
      </w:r>
      <w:r w:rsidRPr="52C27C33">
        <w:rPr>
          <w:rFonts w:cstheme="majorBidi"/>
        </w:rPr>
        <w:t xml:space="preserve"> further guidance, education agents will still be able to charge students a direct fee for services to facilitate their transfer, </w:t>
      </w:r>
      <w:r w:rsidR="008029B8" w:rsidRPr="50F13152">
        <w:rPr>
          <w:rFonts w:cstheme="majorBidi"/>
        </w:rPr>
        <w:t>where</w:t>
      </w:r>
      <w:r w:rsidR="00057FDF">
        <w:rPr>
          <w:rFonts w:cstheme="majorBidi"/>
        </w:rPr>
        <w:t xml:space="preserve"> students are willing to pay for the service</w:t>
      </w:r>
      <w:r w:rsidRPr="52C27C33">
        <w:rPr>
          <w:rFonts w:cstheme="majorBidi"/>
        </w:rPr>
        <w:t>.</w:t>
      </w:r>
      <w:r>
        <w:rPr>
          <w:rFonts w:cstheme="majorBidi"/>
        </w:rPr>
        <w:t xml:space="preserve"> </w:t>
      </w:r>
      <w:r w:rsidR="006D4695">
        <w:rPr>
          <w:rFonts w:cstheme="majorBidi"/>
        </w:rPr>
        <w:t xml:space="preserve">Additionally, under Standard </w:t>
      </w:r>
      <w:r w:rsidR="00A031E9">
        <w:rPr>
          <w:rFonts w:cstheme="majorBidi"/>
        </w:rPr>
        <w:t xml:space="preserve">6 of the National Code, </w:t>
      </w:r>
      <w:r w:rsidR="007E65E3">
        <w:rPr>
          <w:rFonts w:cstheme="majorBidi"/>
        </w:rPr>
        <w:t>there are requirements on providers to provide support services to students, which</w:t>
      </w:r>
      <w:r w:rsidR="0004148B">
        <w:rPr>
          <w:rFonts w:cstheme="majorBidi"/>
        </w:rPr>
        <w:t xml:space="preserve"> </w:t>
      </w:r>
      <w:r w:rsidR="007E65E3" w:rsidRPr="50F13152">
        <w:rPr>
          <w:rFonts w:cstheme="majorBidi"/>
        </w:rPr>
        <w:t>mean</w:t>
      </w:r>
      <w:r w:rsidR="035EF2B5" w:rsidRPr="50F13152">
        <w:rPr>
          <w:rFonts w:cstheme="majorBidi"/>
        </w:rPr>
        <w:t>s</w:t>
      </w:r>
      <w:r w:rsidR="007E65E3">
        <w:rPr>
          <w:rFonts w:cstheme="majorBidi"/>
        </w:rPr>
        <w:t xml:space="preserve"> that providers have a role in supporting their students in genuine </w:t>
      </w:r>
      <w:r w:rsidR="007E65E3" w:rsidRPr="50F13152">
        <w:rPr>
          <w:rFonts w:cstheme="majorBidi"/>
        </w:rPr>
        <w:t>transfer</w:t>
      </w:r>
      <w:r w:rsidR="5BD71068" w:rsidRPr="50F13152">
        <w:rPr>
          <w:rFonts w:cstheme="majorBidi"/>
        </w:rPr>
        <w:t xml:space="preserve"> situations</w:t>
      </w:r>
      <w:r w:rsidR="007E65E3" w:rsidRPr="50F13152">
        <w:rPr>
          <w:rFonts w:cstheme="majorBidi"/>
        </w:rPr>
        <w:t>.</w:t>
      </w:r>
      <w:r w:rsidR="007E65E3">
        <w:rPr>
          <w:rFonts w:cstheme="majorBidi"/>
        </w:rPr>
        <w:t xml:space="preserve"> </w:t>
      </w:r>
      <w:r w:rsidRPr="5211E326">
        <w:rPr>
          <w:rFonts w:cstheme="majorBidi"/>
        </w:rPr>
        <w:t>Further,</w:t>
      </w:r>
      <w:r w:rsidR="00345EAA">
        <w:rPr>
          <w:rFonts w:cstheme="majorBidi"/>
        </w:rPr>
        <w:t> </w:t>
      </w:r>
      <w:r w:rsidRPr="5211E326">
        <w:rPr>
          <w:rFonts w:cstheme="majorBidi"/>
        </w:rPr>
        <w:t xml:space="preserve">providers </w:t>
      </w:r>
      <w:r w:rsidR="003E2CD5">
        <w:rPr>
          <w:rFonts w:cstheme="majorBidi"/>
        </w:rPr>
        <w:t>would</w:t>
      </w:r>
      <w:r w:rsidRPr="5211E326">
        <w:rPr>
          <w:rFonts w:cstheme="majorBidi"/>
        </w:rPr>
        <w:t xml:space="preserve"> not be prevented from paying an agent a commission for recruiting students who have completed </w:t>
      </w:r>
      <w:r w:rsidR="00E513A3">
        <w:rPr>
          <w:rFonts w:cstheme="majorBidi"/>
        </w:rPr>
        <w:t>their course(s) of study and are looking to enrol in further study</w:t>
      </w:r>
      <w:r w:rsidRPr="5211E326">
        <w:rPr>
          <w:rFonts w:cstheme="majorBidi"/>
        </w:rPr>
        <w:t xml:space="preserve"> </w:t>
      </w:r>
      <w:r w:rsidR="1056395D" w:rsidRPr="50F13152">
        <w:rPr>
          <w:rFonts w:cstheme="majorBidi"/>
        </w:rPr>
        <w:t xml:space="preserve">such as </w:t>
      </w:r>
      <w:r w:rsidRPr="5211E326">
        <w:rPr>
          <w:rFonts w:cstheme="majorBidi"/>
        </w:rPr>
        <w:t>postgraduate study</w:t>
      </w:r>
      <w:r w:rsidR="00E10744" w:rsidRPr="50F13152">
        <w:rPr>
          <w:rFonts w:cstheme="majorBidi"/>
        </w:rPr>
        <w:t>.</w:t>
      </w:r>
      <w:r w:rsidR="00E10744" w:rsidRPr="5211E326">
        <w:rPr>
          <w:rFonts w:cstheme="majorBidi"/>
        </w:rPr>
        <w:t xml:space="preserve"> </w:t>
      </w:r>
      <w:r w:rsidR="003467B3" w:rsidRPr="000E33D3">
        <w:rPr>
          <w:rFonts w:cstheme="majorBidi"/>
        </w:rPr>
        <w:t xml:space="preserve">Providers </w:t>
      </w:r>
      <w:r w:rsidR="000E33D3" w:rsidRPr="000E33D3">
        <w:rPr>
          <w:rFonts w:cstheme="majorBidi"/>
        </w:rPr>
        <w:t>would</w:t>
      </w:r>
      <w:r w:rsidR="003467B3" w:rsidRPr="000E33D3">
        <w:rPr>
          <w:rFonts w:cstheme="majorBidi"/>
        </w:rPr>
        <w:t xml:space="preserve"> also not </w:t>
      </w:r>
      <w:r w:rsidR="000E33D3" w:rsidRPr="000E33D3">
        <w:rPr>
          <w:rFonts w:cstheme="majorBidi"/>
        </w:rPr>
        <w:t>be</w:t>
      </w:r>
      <w:r w:rsidR="003467B3" w:rsidRPr="000E33D3">
        <w:rPr>
          <w:rFonts w:cstheme="majorBidi"/>
        </w:rPr>
        <w:t xml:space="preserve"> prevented from paying an agent a commissio</w:t>
      </w:r>
      <w:r w:rsidR="009F19B5" w:rsidRPr="000E33D3">
        <w:rPr>
          <w:rFonts w:cstheme="majorBidi"/>
        </w:rPr>
        <w:t>n in relation to a student who is progressing through a set package of courses for which their visa has been granted.</w:t>
      </w:r>
    </w:p>
    <w:p w14:paraId="2BEA29FA" w14:textId="77777777" w:rsidR="00C07143" w:rsidRPr="00C07143" w:rsidRDefault="00C07143" w:rsidP="00C07143">
      <w:pPr>
        <w:pStyle w:val="Heading2"/>
      </w:pPr>
      <w:bookmarkStart w:id="15" w:name="_Toc218778640"/>
      <w:r w:rsidRPr="00C07143">
        <w:lastRenderedPageBreak/>
        <w:t>Regulatory impact</w:t>
      </w:r>
      <w:bookmarkEnd w:id="15"/>
    </w:p>
    <w:p w14:paraId="5159373B" w14:textId="4F1C440B" w:rsidR="00C07143" w:rsidRPr="00C07143" w:rsidRDefault="00284855" w:rsidP="00FC5E88">
      <w:pPr>
        <w:pStyle w:val="Heading3"/>
      </w:pPr>
      <w:bookmarkStart w:id="16" w:name="_Toc218778641"/>
      <w:r>
        <w:t xml:space="preserve">Option 1: </w:t>
      </w:r>
      <w:r w:rsidR="00C07143" w:rsidRPr="00C07143">
        <w:t>Status quo</w:t>
      </w:r>
      <w:bookmarkEnd w:id="16"/>
    </w:p>
    <w:p w14:paraId="66A8C359" w14:textId="77777777" w:rsidR="00C07143" w:rsidRDefault="00C07143" w:rsidP="00C07143">
      <w:pPr>
        <w:spacing w:line="276" w:lineRule="auto"/>
        <w:rPr>
          <w:rFonts w:cstheme="majorHAnsi"/>
        </w:rPr>
      </w:pPr>
      <w:r>
        <w:rPr>
          <w:rFonts w:cstheme="majorHAnsi"/>
        </w:rPr>
        <w:t>Option 1 maintains the status quo. Under this option, the Government would not take any non-regulatory or regulatory actions to address the problems outlined above. This option would not incur any regulatory burden in addition to existing regulatory requirements for education providers.</w:t>
      </w:r>
    </w:p>
    <w:p w14:paraId="735B2344" w14:textId="21D30243" w:rsidR="00C07143" w:rsidRPr="000D110A" w:rsidRDefault="00284855" w:rsidP="00FC5E88">
      <w:pPr>
        <w:pStyle w:val="Heading3"/>
      </w:pPr>
      <w:bookmarkStart w:id="17" w:name="_Toc218778642"/>
      <w:r>
        <w:t xml:space="preserve">Option 2: </w:t>
      </w:r>
      <w:r w:rsidR="00C07143" w:rsidRPr="000D110A">
        <w:t>Non-regulatory option</w:t>
      </w:r>
      <w:bookmarkEnd w:id="17"/>
    </w:p>
    <w:p w14:paraId="0A64E42A" w14:textId="62428847" w:rsidR="00C07143" w:rsidRDefault="00C07143" w:rsidP="00C07143">
      <w:pPr>
        <w:spacing w:line="276" w:lineRule="auto"/>
        <w:rPr>
          <w:rFonts w:cstheme="majorBidi"/>
        </w:rPr>
      </w:pPr>
      <w:r w:rsidRPr="50F13152">
        <w:rPr>
          <w:rFonts w:cstheme="majorBidi"/>
        </w:rPr>
        <w:t xml:space="preserve">Option 2 takes a non-regulatory, educative approach to raise awareness about education agent commissions. The level of benefit that this option would deliver is dependent on buy-in from </w:t>
      </w:r>
      <w:r w:rsidR="00402191" w:rsidRPr="50F13152">
        <w:rPr>
          <w:rFonts w:cstheme="majorBidi"/>
        </w:rPr>
        <w:t>overseas students</w:t>
      </w:r>
      <w:r w:rsidR="75558243" w:rsidRPr="50F13152">
        <w:rPr>
          <w:rFonts w:cstheme="majorBidi"/>
        </w:rPr>
        <w:t xml:space="preserve"> and </w:t>
      </w:r>
      <w:r w:rsidR="00331708" w:rsidRPr="50F13152">
        <w:rPr>
          <w:rFonts w:cstheme="majorBidi"/>
        </w:rPr>
        <w:t>high-quality</w:t>
      </w:r>
      <w:r w:rsidR="75558243" w:rsidRPr="50F13152">
        <w:rPr>
          <w:rFonts w:cstheme="majorBidi"/>
        </w:rPr>
        <w:t xml:space="preserve"> genuine providers</w:t>
      </w:r>
      <w:r w:rsidRPr="50F13152">
        <w:rPr>
          <w:rFonts w:cstheme="majorBidi"/>
        </w:rPr>
        <w:t>. As the nature of collusive practices between agents and providers is driven by strong financial incentives, this option is highly unlikely to be effective in changing the behaviours of unscrupulous agents and providers.</w:t>
      </w:r>
    </w:p>
    <w:p w14:paraId="5B91C77E" w14:textId="2FA7C343" w:rsidR="00C07143" w:rsidRDefault="00C07143" w:rsidP="00C07143">
      <w:pPr>
        <w:spacing w:line="276" w:lineRule="auto"/>
        <w:rPr>
          <w:rFonts w:cstheme="majorHAnsi"/>
        </w:rPr>
      </w:pPr>
      <w:r>
        <w:rPr>
          <w:rFonts w:cstheme="majorHAnsi"/>
        </w:rPr>
        <w:t xml:space="preserve">This option would not increase any costs to unscrupulous </w:t>
      </w:r>
      <w:r w:rsidR="00402191">
        <w:rPr>
          <w:rFonts w:cstheme="majorHAnsi"/>
        </w:rPr>
        <w:t xml:space="preserve">agents or </w:t>
      </w:r>
      <w:r>
        <w:rPr>
          <w:rFonts w:cstheme="majorHAnsi"/>
        </w:rPr>
        <w:t xml:space="preserve">providers who are unlikely to change their </w:t>
      </w:r>
      <w:r w:rsidR="00EE0B69">
        <w:rPr>
          <w:rFonts w:cstheme="majorHAnsi"/>
        </w:rPr>
        <w:t>behaviours</w:t>
      </w:r>
      <w:r>
        <w:rPr>
          <w:rFonts w:cstheme="majorHAnsi"/>
        </w:rPr>
        <w:t>.</w:t>
      </w:r>
    </w:p>
    <w:p w14:paraId="029F1B5F" w14:textId="77777777" w:rsidR="00C07143" w:rsidRPr="002140E4" w:rsidRDefault="00C07143" w:rsidP="00C07143">
      <w:pPr>
        <w:spacing w:line="276" w:lineRule="auto"/>
        <w:rPr>
          <w:rFonts w:cstheme="majorBidi"/>
        </w:rPr>
      </w:pPr>
      <w:r w:rsidRPr="5211E326">
        <w:rPr>
          <w:rFonts w:cstheme="majorBidi"/>
        </w:rPr>
        <w:t>This option would incur some costs to the Government for undertaking surveys and information sessions</w:t>
      </w:r>
      <w:r>
        <w:rPr>
          <w:rFonts w:cstheme="majorBidi"/>
        </w:rPr>
        <w:t>, and in developing written communication materials.</w:t>
      </w:r>
    </w:p>
    <w:p w14:paraId="2CE9C2E3" w14:textId="77777777" w:rsidR="00C07143" w:rsidRDefault="00C07143" w:rsidP="00C07143">
      <w:pPr>
        <w:spacing w:line="276" w:lineRule="auto"/>
        <w:rPr>
          <w:rFonts w:cstheme="majorBidi"/>
        </w:rPr>
      </w:pPr>
      <w:r w:rsidRPr="52C27C33">
        <w:rPr>
          <w:rFonts w:cstheme="majorBidi"/>
        </w:rPr>
        <w:t>Stakeholders have raised concerns over the effectiveness of a non-regulatory approach. There is generally a view that good agents already self-regulate well, while bad agents are unlikely to change their behaviour without an incentive to do so. </w:t>
      </w:r>
    </w:p>
    <w:p w14:paraId="1EE63ADD" w14:textId="3578AE07" w:rsidR="00C07143" w:rsidRPr="008001F8" w:rsidRDefault="00284855" w:rsidP="00FC5E88">
      <w:pPr>
        <w:pStyle w:val="Heading3"/>
      </w:pPr>
      <w:bookmarkStart w:id="18" w:name="_Toc218778643"/>
      <w:r>
        <w:t xml:space="preserve">Option 3: </w:t>
      </w:r>
      <w:r w:rsidR="00C07143" w:rsidRPr="008001F8">
        <w:t>Regulatory option</w:t>
      </w:r>
      <w:bookmarkEnd w:id="18"/>
    </w:p>
    <w:p w14:paraId="016CE3D7" w14:textId="5DEE6B39" w:rsidR="00C07143" w:rsidRDefault="00C07143" w:rsidP="00C07143">
      <w:pPr>
        <w:spacing w:line="276" w:lineRule="auto"/>
        <w:rPr>
          <w:rFonts w:cstheme="majorHAnsi"/>
        </w:rPr>
      </w:pPr>
      <w:r w:rsidRPr="52C27C33">
        <w:rPr>
          <w:rFonts w:cstheme="majorBidi"/>
        </w:rPr>
        <w:t xml:space="preserve">Option 3 involves a change to Standard 4 of the National Code to prohibit providers from paying a commission to </w:t>
      </w:r>
      <w:r>
        <w:rPr>
          <w:rFonts w:cstheme="majorBidi"/>
        </w:rPr>
        <w:t xml:space="preserve">education </w:t>
      </w:r>
      <w:r w:rsidRPr="52C27C33">
        <w:rPr>
          <w:rFonts w:cstheme="majorBidi"/>
        </w:rPr>
        <w:t>agents for onshore student transfers</w:t>
      </w:r>
      <w:r w:rsidR="00E10744" w:rsidRPr="52C27C33">
        <w:rPr>
          <w:rFonts w:cstheme="majorBidi"/>
        </w:rPr>
        <w:t xml:space="preserve">. </w:t>
      </w:r>
      <w:r w:rsidR="00A3075B">
        <w:rPr>
          <w:rFonts w:cstheme="majorBidi"/>
        </w:rPr>
        <w:t xml:space="preserve">This change is aimed at reducing non-genuine transfers from taking place but would apply to all onshore student transfers. </w:t>
      </w:r>
      <w:r w:rsidRPr="00544BAB">
        <w:rPr>
          <w:rFonts w:cstheme="majorBidi"/>
        </w:rPr>
        <w:t>This rule would not</w:t>
      </w:r>
      <w:r w:rsidR="00640856">
        <w:rPr>
          <w:rFonts w:cstheme="majorBidi"/>
        </w:rPr>
        <w:t xml:space="preserve"> </w:t>
      </w:r>
      <w:r w:rsidRPr="00544BAB">
        <w:rPr>
          <w:rFonts w:cstheme="majorBidi"/>
        </w:rPr>
        <w:t xml:space="preserve">apply to </w:t>
      </w:r>
      <w:r w:rsidRPr="52C27C33">
        <w:rPr>
          <w:rFonts w:cstheme="majorBidi"/>
        </w:rPr>
        <w:t xml:space="preserve">the </w:t>
      </w:r>
      <w:r w:rsidRPr="00544BAB">
        <w:rPr>
          <w:rFonts w:cstheme="majorBidi"/>
        </w:rPr>
        <w:t>recruitment</w:t>
      </w:r>
      <w:r w:rsidRPr="52C27C33">
        <w:rPr>
          <w:rFonts w:cstheme="majorBidi"/>
        </w:rPr>
        <w:t xml:space="preserve"> of students for courses that are set to commence after the completion of a student’s principal course (i.e. when a student is seeking to enrol in further study)</w:t>
      </w:r>
      <w:r w:rsidR="00640856">
        <w:rPr>
          <w:rFonts w:cstheme="majorBidi"/>
        </w:rPr>
        <w:t>, as this would not constitute a transfer</w:t>
      </w:r>
      <w:r w:rsidRPr="52C27C33">
        <w:rPr>
          <w:rFonts w:cstheme="majorBidi"/>
        </w:rPr>
        <w:t>.</w:t>
      </w:r>
      <w:r w:rsidR="002132EF">
        <w:rPr>
          <w:rFonts w:cstheme="majorBidi"/>
        </w:rPr>
        <w:t xml:space="preserve"> </w:t>
      </w:r>
      <w:r w:rsidR="001F3FA7" w:rsidRPr="002378DD">
        <w:rPr>
          <w:rFonts w:cstheme="majorBidi"/>
        </w:rPr>
        <w:t>Nor wou</w:t>
      </w:r>
      <w:r w:rsidR="006328BA" w:rsidRPr="002378DD">
        <w:rPr>
          <w:rFonts w:cstheme="majorBidi"/>
        </w:rPr>
        <w:t xml:space="preserve">ld the rule apply </w:t>
      </w:r>
      <w:r w:rsidR="00BA2DFF" w:rsidRPr="002378DD">
        <w:rPr>
          <w:rFonts w:cstheme="majorBidi"/>
        </w:rPr>
        <w:t xml:space="preserve">to </w:t>
      </w:r>
      <w:r w:rsidR="00CF210A" w:rsidRPr="002378DD">
        <w:rPr>
          <w:rFonts w:cstheme="majorBidi"/>
        </w:rPr>
        <w:t>commissions paid in relation to a student progressing through a set package of courses for which their visa was granted</w:t>
      </w:r>
      <w:r w:rsidR="0046262D" w:rsidRPr="002378DD">
        <w:rPr>
          <w:rFonts w:cstheme="majorBidi"/>
        </w:rPr>
        <w:t xml:space="preserve"> (e.g.</w:t>
      </w:r>
      <w:r w:rsidR="00DE2050">
        <w:rPr>
          <w:rFonts w:cstheme="majorBidi"/>
        </w:rPr>
        <w:t> </w:t>
      </w:r>
      <w:r w:rsidR="0046262D" w:rsidRPr="002378DD">
        <w:rPr>
          <w:rFonts w:cstheme="majorBidi"/>
        </w:rPr>
        <w:t xml:space="preserve">installations paid as the student progresses </w:t>
      </w:r>
      <w:r w:rsidR="00C546FC" w:rsidRPr="002378DD">
        <w:rPr>
          <w:rFonts w:cstheme="majorBidi"/>
        </w:rPr>
        <w:t>from their initial ELICOS course to their subsequent higher education course)</w:t>
      </w:r>
      <w:r w:rsidR="001F3FA7" w:rsidRPr="002378DD">
        <w:rPr>
          <w:rFonts w:cstheme="majorBidi"/>
        </w:rPr>
        <w:t>, as this would also not constitute a transfer</w:t>
      </w:r>
      <w:r w:rsidR="00C546FC" w:rsidRPr="002378DD">
        <w:rPr>
          <w:rFonts w:cstheme="majorBidi"/>
        </w:rPr>
        <w:t>.</w:t>
      </w:r>
      <w:r w:rsidR="00C546FC">
        <w:rPr>
          <w:rFonts w:cstheme="majorBidi"/>
        </w:rPr>
        <w:t xml:space="preserve"> </w:t>
      </w:r>
      <w:r>
        <w:rPr>
          <w:rFonts w:cstheme="majorHAnsi"/>
        </w:rPr>
        <w:t>A costs and benefits framework was established for the proposed change under Option 3. To conduct this analysis, there is a need to understand the difference between genuine versus non-genuine transfers and to understand the potential market response.</w:t>
      </w:r>
    </w:p>
    <w:p w14:paraId="496D6162" w14:textId="175A7367" w:rsidR="00C07143" w:rsidRPr="00C07143" w:rsidRDefault="00C07143" w:rsidP="00C07143">
      <w:pPr>
        <w:pStyle w:val="Heading4"/>
      </w:pPr>
      <w:bookmarkStart w:id="19" w:name="_Toc218778644"/>
      <w:r w:rsidRPr="00C07143">
        <w:t>Genuine versus non-genuine transfers</w:t>
      </w:r>
      <w:bookmarkEnd w:id="19"/>
      <w:r w:rsidRPr="00C07143">
        <w:t>  </w:t>
      </w:r>
    </w:p>
    <w:p w14:paraId="043DC1E0" w14:textId="67946A98" w:rsidR="00C07143" w:rsidRPr="00FE0548" w:rsidRDefault="00C07143" w:rsidP="00C07143">
      <w:pPr>
        <w:spacing w:line="276" w:lineRule="auto"/>
        <w:rPr>
          <w:rFonts w:cstheme="majorHAnsi"/>
        </w:rPr>
      </w:pPr>
      <w:r w:rsidRPr="00FE0548">
        <w:rPr>
          <w:rFonts w:cstheme="majorHAnsi"/>
        </w:rPr>
        <w:t xml:space="preserve">While the total volume of agent-facilitated cross-provider onshore transfers is known and observed in data, identifying </w:t>
      </w:r>
      <w:r w:rsidR="001A2F4E">
        <w:rPr>
          <w:rFonts w:cstheme="majorHAnsi"/>
        </w:rPr>
        <w:t>whether</w:t>
      </w:r>
      <w:r w:rsidRPr="00FE0548">
        <w:rPr>
          <w:rFonts w:cstheme="majorHAnsi"/>
        </w:rPr>
        <w:t xml:space="preserve"> transfers are genuine or non-genuine is challenging, where:  </w:t>
      </w:r>
    </w:p>
    <w:p w14:paraId="50436213" w14:textId="77777777" w:rsidR="00C07143" w:rsidRPr="00FE0548" w:rsidRDefault="00C07143" w:rsidP="00840E88">
      <w:pPr>
        <w:pStyle w:val="ListParagraph"/>
        <w:numPr>
          <w:ilvl w:val="0"/>
          <w:numId w:val="51"/>
        </w:numPr>
        <w:spacing w:after="0" w:line="276" w:lineRule="auto"/>
        <w:rPr>
          <w:rFonts w:cstheme="majorHAnsi"/>
        </w:rPr>
      </w:pPr>
      <w:r w:rsidRPr="00840E88">
        <w:rPr>
          <w:rFonts w:cstheme="majorBidi"/>
          <w:b/>
          <w:bCs/>
        </w:rPr>
        <w:lastRenderedPageBreak/>
        <w:t>‘genuine’ transfers</w:t>
      </w:r>
      <w:r w:rsidRPr="00FE0548">
        <w:rPr>
          <w:rFonts w:cstheme="majorHAnsi"/>
        </w:rPr>
        <w:t xml:space="preserve"> represent students seeking a more appropriate course and/or provider to align with their expectations for an educational experience, or as their situation and study needs change over time, versus  </w:t>
      </w:r>
    </w:p>
    <w:p w14:paraId="4416597B" w14:textId="6DB02F12" w:rsidR="00C07143" w:rsidRPr="00FE0548" w:rsidRDefault="00C07143" w:rsidP="00B64A7D">
      <w:pPr>
        <w:numPr>
          <w:ilvl w:val="0"/>
          <w:numId w:val="7"/>
        </w:numPr>
        <w:spacing w:after="160" w:line="276" w:lineRule="auto"/>
        <w:rPr>
          <w:rFonts w:cstheme="majorHAnsi"/>
        </w:rPr>
      </w:pPr>
      <w:r w:rsidRPr="00FE0548">
        <w:rPr>
          <w:rFonts w:cstheme="majorHAnsi"/>
          <w:b/>
          <w:bCs/>
        </w:rPr>
        <w:t>‘non-genuine’ transfers</w:t>
      </w:r>
      <w:r w:rsidR="00EA69B4">
        <w:rPr>
          <w:rFonts w:cstheme="majorHAnsi"/>
          <w:b/>
          <w:bCs/>
        </w:rPr>
        <w:t xml:space="preserve"> </w:t>
      </w:r>
      <w:r w:rsidR="00EA69B4" w:rsidRPr="001F5F81">
        <w:rPr>
          <w:rFonts w:cstheme="majorHAnsi"/>
        </w:rPr>
        <w:t>are</w:t>
      </w:r>
      <w:r w:rsidRPr="00FE0548">
        <w:rPr>
          <w:rFonts w:cstheme="majorHAnsi"/>
        </w:rPr>
        <w:t xml:space="preserve"> induced by agents seeking the business incentives offered by providers (whether those providers are unscrupulous or otherwise</w:t>
      </w:r>
      <w:r w:rsidR="00703E92" w:rsidRPr="00FE0548">
        <w:rPr>
          <w:rFonts w:cstheme="majorHAnsi"/>
        </w:rPr>
        <w:t>)</w:t>
      </w:r>
      <w:r w:rsidRPr="00FE0548">
        <w:rPr>
          <w:rFonts w:cstheme="majorHAnsi"/>
        </w:rPr>
        <w:t xml:space="preserve"> and represent a change in studies that are not expected to benefit the student or be in their </w:t>
      </w:r>
      <w:r>
        <w:rPr>
          <w:rFonts w:cstheme="majorHAnsi"/>
        </w:rPr>
        <w:t xml:space="preserve">best </w:t>
      </w:r>
      <w:r w:rsidRPr="00FE0548">
        <w:rPr>
          <w:rFonts w:cstheme="majorHAnsi"/>
        </w:rPr>
        <w:t>interest</w:t>
      </w:r>
      <w:r w:rsidR="00E10744" w:rsidRPr="00FE0548">
        <w:rPr>
          <w:rFonts w:cstheme="majorHAnsi"/>
        </w:rPr>
        <w:t xml:space="preserve">. </w:t>
      </w:r>
    </w:p>
    <w:p w14:paraId="287390B6" w14:textId="3405644D" w:rsidR="00C07143" w:rsidRPr="00FE0548" w:rsidRDefault="00C07143" w:rsidP="00C07143">
      <w:pPr>
        <w:spacing w:line="276" w:lineRule="auto"/>
        <w:rPr>
          <w:rFonts w:cstheme="majorHAnsi"/>
        </w:rPr>
      </w:pPr>
      <w:r w:rsidRPr="00FE0548">
        <w:rPr>
          <w:rFonts w:cstheme="majorHAnsi"/>
        </w:rPr>
        <w:t>While a ban on</w:t>
      </w:r>
      <w:r w:rsidR="00ED4716">
        <w:rPr>
          <w:rFonts w:cstheme="majorHAnsi"/>
        </w:rPr>
        <w:t xml:space="preserve"> all onshore transfer</w:t>
      </w:r>
      <w:r w:rsidRPr="00FE0548">
        <w:rPr>
          <w:rFonts w:cstheme="majorHAnsi"/>
        </w:rPr>
        <w:t xml:space="preserve"> commissions </w:t>
      </w:r>
      <w:r w:rsidR="007B74C3">
        <w:rPr>
          <w:rFonts w:cstheme="majorHAnsi"/>
        </w:rPr>
        <w:t>could be considered a</w:t>
      </w:r>
      <w:r w:rsidR="00225590">
        <w:rPr>
          <w:rFonts w:cstheme="majorHAnsi"/>
        </w:rPr>
        <w:t xml:space="preserve"> </w:t>
      </w:r>
      <w:r w:rsidRPr="00FE0548">
        <w:rPr>
          <w:rFonts w:cstheme="majorHAnsi"/>
        </w:rPr>
        <w:t xml:space="preserve">blunt instrument, there are other avenues and supports available for students to undertake </w:t>
      </w:r>
      <w:r w:rsidR="00B82F99">
        <w:rPr>
          <w:rFonts w:cstheme="majorHAnsi"/>
        </w:rPr>
        <w:t xml:space="preserve">genuine </w:t>
      </w:r>
      <w:r w:rsidRPr="00FE0548">
        <w:rPr>
          <w:rFonts w:cstheme="majorHAnsi"/>
        </w:rPr>
        <w:t xml:space="preserve">transfers (including proceeding with their own means). The distinction between genuine and non-genuine transfers is important as it determines </w:t>
      </w:r>
      <w:r w:rsidR="00A64843" w:rsidRPr="00FE0548">
        <w:rPr>
          <w:rFonts w:cstheme="majorHAnsi"/>
        </w:rPr>
        <w:t xml:space="preserve">both </w:t>
      </w:r>
      <w:r w:rsidRPr="00FE0548">
        <w:rPr>
          <w:rFonts w:cstheme="majorHAnsi"/>
        </w:rPr>
        <w:t>the likelihood of a transfer continuing and the types of benefits and costs that may arise, where:  </w:t>
      </w:r>
    </w:p>
    <w:p w14:paraId="74836577" w14:textId="30BA08BC" w:rsidR="00C07143" w:rsidRPr="00FE0548" w:rsidRDefault="00C07143" w:rsidP="00840E88">
      <w:pPr>
        <w:numPr>
          <w:ilvl w:val="0"/>
          <w:numId w:val="8"/>
        </w:numPr>
        <w:spacing w:after="0" w:line="276" w:lineRule="auto"/>
        <w:rPr>
          <w:rFonts w:cstheme="majorHAnsi"/>
        </w:rPr>
      </w:pPr>
      <w:r w:rsidRPr="00FE0548">
        <w:rPr>
          <w:rFonts w:cstheme="majorHAnsi"/>
        </w:rPr>
        <w:t xml:space="preserve">It is expected that genuine transfers are more likely to progress following a ban on commissions, as these students are more likely to be inherently more motivated to pursue the transfer. </w:t>
      </w:r>
      <w:r w:rsidR="00DB2C10">
        <w:rPr>
          <w:rFonts w:cstheme="majorHAnsi"/>
        </w:rPr>
        <w:t>N</w:t>
      </w:r>
      <w:r w:rsidRPr="00FE0548">
        <w:rPr>
          <w:rFonts w:cstheme="majorHAnsi"/>
        </w:rPr>
        <w:t>on-genuine transfers are in-part induced by agents and/or providers through the commissions structure</w:t>
      </w:r>
      <w:r w:rsidR="00E10744" w:rsidRPr="00FE0548">
        <w:rPr>
          <w:rFonts w:cstheme="majorHAnsi"/>
        </w:rPr>
        <w:t xml:space="preserve">. </w:t>
      </w:r>
    </w:p>
    <w:p w14:paraId="6FD86DC7" w14:textId="5CC42CFB" w:rsidR="00C07143" w:rsidRPr="00FE0548" w:rsidRDefault="00C07143" w:rsidP="00B64A7D">
      <w:pPr>
        <w:numPr>
          <w:ilvl w:val="0"/>
          <w:numId w:val="9"/>
        </w:numPr>
        <w:spacing w:after="160" w:line="276" w:lineRule="auto"/>
        <w:rPr>
          <w:rFonts w:cstheme="majorHAnsi"/>
        </w:rPr>
      </w:pPr>
      <w:r w:rsidRPr="00FE0548">
        <w:rPr>
          <w:rFonts w:cstheme="majorHAnsi"/>
        </w:rPr>
        <w:t xml:space="preserve">Where limiting </w:t>
      </w:r>
      <w:r w:rsidR="00350465">
        <w:rPr>
          <w:rFonts w:cstheme="majorHAnsi"/>
        </w:rPr>
        <w:t xml:space="preserve">incentives to support </w:t>
      </w:r>
      <w:r w:rsidRPr="00FE0548">
        <w:rPr>
          <w:rFonts w:cstheme="majorHAnsi"/>
        </w:rPr>
        <w:t xml:space="preserve">genuine transfers is likely to result in costs to stakeholders and the sector, via student retention and satisfaction, limiting </w:t>
      </w:r>
      <w:r w:rsidR="00350465">
        <w:rPr>
          <w:rFonts w:cstheme="majorHAnsi"/>
        </w:rPr>
        <w:t xml:space="preserve">incentives to support </w:t>
      </w:r>
      <w:r w:rsidRPr="00FE0548">
        <w:rPr>
          <w:rFonts w:cstheme="majorHAnsi"/>
        </w:rPr>
        <w:t>non-genuine transfers is less likely to result in costs for genuine agents and providers, and may result in improved quality and outcomes for the sector and students</w:t>
      </w:r>
      <w:r w:rsidR="00E10744" w:rsidRPr="00FE0548">
        <w:rPr>
          <w:rFonts w:cstheme="majorHAnsi"/>
        </w:rPr>
        <w:t xml:space="preserve">. </w:t>
      </w:r>
    </w:p>
    <w:p w14:paraId="5CF86CB1" w14:textId="77777777" w:rsidR="00C07143" w:rsidRDefault="00C07143" w:rsidP="00C07143">
      <w:pPr>
        <w:spacing w:line="276" w:lineRule="auto"/>
        <w:rPr>
          <w:rFonts w:cstheme="majorHAnsi"/>
        </w:rPr>
      </w:pPr>
      <w:r w:rsidRPr="00FE0548">
        <w:rPr>
          <w:rFonts w:cstheme="majorHAnsi"/>
        </w:rPr>
        <w:t xml:space="preserve">Recognising these identification challenges, for simplicity and to inform a conservative modelling approach, </w:t>
      </w:r>
      <w:r w:rsidRPr="00FE0548">
        <w:rPr>
          <w:rFonts w:cstheme="majorHAnsi"/>
          <w:b/>
          <w:bCs/>
        </w:rPr>
        <w:t>this work assumes all transfers are genuine</w:t>
      </w:r>
      <w:r w:rsidRPr="00FE0548">
        <w:rPr>
          <w:rFonts w:cstheme="majorHAnsi"/>
        </w:rPr>
        <w:t>. Where some transfers are non-genuine, it is anticipated that the benefits to the sector will be greater as the quality of the sector improves, and the costs to students and the sector are lower, as fewer genuine transfers are impacted and students are less exposed to exploitative poaching behaviours. </w:t>
      </w:r>
    </w:p>
    <w:p w14:paraId="416EB6D1" w14:textId="77777777" w:rsidR="00C07143" w:rsidRPr="00A07D43" w:rsidRDefault="00C07143" w:rsidP="00C07143">
      <w:pPr>
        <w:pStyle w:val="Heading4"/>
      </w:pPr>
      <w:bookmarkStart w:id="20" w:name="_Toc218778645"/>
      <w:r w:rsidRPr="00A07D43">
        <w:t>Understanding the potential market response</w:t>
      </w:r>
      <w:bookmarkEnd w:id="20"/>
      <w:r w:rsidRPr="00A07D43">
        <w:t>  </w:t>
      </w:r>
    </w:p>
    <w:p w14:paraId="4F6834B6" w14:textId="6BEDF181" w:rsidR="00C07143" w:rsidRPr="00A07D43" w:rsidRDefault="00C07143" w:rsidP="00C07143">
      <w:pPr>
        <w:spacing w:line="276" w:lineRule="auto"/>
        <w:rPr>
          <w:rFonts w:cstheme="majorHAnsi"/>
        </w:rPr>
      </w:pPr>
      <w:r w:rsidRPr="00A07D43">
        <w:rPr>
          <w:rFonts w:cstheme="majorHAnsi"/>
        </w:rPr>
        <w:t>In addition to distinguishing between genuine and non-genuine transfers (and the effects of this on the market dynamics), it is challenging to anticipate how students, agents and providers are likely to respond to this ban, and the extent to which students will continue to pursue transfer activities. This</w:t>
      </w:r>
      <w:r w:rsidR="007B3DA5">
        <w:rPr>
          <w:rFonts w:cstheme="majorHAnsi"/>
        </w:rPr>
        <w:t> </w:t>
      </w:r>
      <w:r w:rsidRPr="00A07D43">
        <w:rPr>
          <w:rFonts w:cstheme="majorHAnsi"/>
        </w:rPr>
        <w:t>is in-part due to very limited data and reporting on the value of agent commissions, and the prevalence and scale of student fees for agent services.  </w:t>
      </w:r>
    </w:p>
    <w:p w14:paraId="6BBAFA37" w14:textId="77777777" w:rsidR="00C07143" w:rsidRPr="00A07D43" w:rsidRDefault="00C07143" w:rsidP="00C07143">
      <w:pPr>
        <w:spacing w:line="276" w:lineRule="auto"/>
        <w:rPr>
          <w:rFonts w:cstheme="majorHAnsi"/>
        </w:rPr>
      </w:pPr>
      <w:r w:rsidRPr="00A07D43">
        <w:rPr>
          <w:rFonts w:cstheme="majorHAnsi"/>
        </w:rPr>
        <w:t>Broadly, there are three groups of student responses expected:  </w:t>
      </w:r>
    </w:p>
    <w:p w14:paraId="7F1DF07C" w14:textId="77777777" w:rsidR="00C07143" w:rsidRPr="00A07D43" w:rsidRDefault="00C07143" w:rsidP="00C07143">
      <w:pPr>
        <w:spacing w:line="276" w:lineRule="auto"/>
        <w:rPr>
          <w:rFonts w:cstheme="majorHAnsi"/>
        </w:rPr>
      </w:pPr>
      <w:r w:rsidRPr="00A07D43">
        <w:rPr>
          <w:rFonts w:cstheme="majorHAnsi"/>
          <w:b/>
          <w:bCs/>
        </w:rPr>
        <w:t>Group 1: Some students will continue to transfer with the support of an agent.</w:t>
      </w:r>
      <w:r w:rsidRPr="00A07D43">
        <w:rPr>
          <w:rFonts w:cstheme="majorHAnsi"/>
        </w:rPr>
        <w:t> </w:t>
      </w:r>
    </w:p>
    <w:p w14:paraId="3A9FC374" w14:textId="7ED0AC5F" w:rsidR="00C07143" w:rsidRPr="00A07D43" w:rsidRDefault="00C07143" w:rsidP="00840E88">
      <w:pPr>
        <w:numPr>
          <w:ilvl w:val="0"/>
          <w:numId w:val="10"/>
        </w:numPr>
        <w:spacing w:after="0" w:line="276" w:lineRule="auto"/>
        <w:rPr>
          <w:rFonts w:cstheme="majorHAnsi"/>
        </w:rPr>
      </w:pPr>
      <w:r w:rsidRPr="00A07D43">
        <w:rPr>
          <w:rFonts w:cstheme="majorHAnsi"/>
        </w:rPr>
        <w:t>Some agents may charge students a fee for services to compensate for costs and offset a lack of provider commissions</w:t>
      </w:r>
      <w:r w:rsidR="00E10744" w:rsidRPr="00A07D43">
        <w:rPr>
          <w:rFonts w:cstheme="majorHAnsi"/>
        </w:rPr>
        <w:t xml:space="preserve">. </w:t>
      </w:r>
    </w:p>
    <w:p w14:paraId="002052FB" w14:textId="2416354B" w:rsidR="00855BA1" w:rsidRPr="00855BA1" w:rsidRDefault="00C07143" w:rsidP="00855BA1">
      <w:pPr>
        <w:numPr>
          <w:ilvl w:val="0"/>
          <w:numId w:val="10"/>
        </w:numPr>
        <w:spacing w:line="276" w:lineRule="auto"/>
        <w:rPr>
          <w:rFonts w:cstheme="majorHAnsi"/>
          <w:b/>
          <w:bCs/>
        </w:rPr>
      </w:pPr>
      <w:r w:rsidRPr="00855BA1">
        <w:rPr>
          <w:rFonts w:cstheme="majorHAnsi"/>
        </w:rPr>
        <w:t>Some agents may continue to provide their cross-provider transfer service, as part of their value proposition to students (and as part of their offshore enrolment offering) and/or to maintain and promote their relationships with providers, and consider the costs as an overhead to business</w:t>
      </w:r>
      <w:r w:rsidR="00E10744" w:rsidRPr="00855BA1">
        <w:rPr>
          <w:rFonts w:cstheme="majorHAnsi"/>
        </w:rPr>
        <w:t>.</w:t>
      </w:r>
    </w:p>
    <w:p w14:paraId="660F9E9E" w14:textId="63B51D8B" w:rsidR="00C07143" w:rsidRPr="00855BA1" w:rsidRDefault="002378DD" w:rsidP="00855BA1">
      <w:pPr>
        <w:spacing w:line="276" w:lineRule="auto"/>
        <w:rPr>
          <w:rFonts w:cstheme="majorHAnsi"/>
          <w:b/>
          <w:bCs/>
        </w:rPr>
      </w:pPr>
      <w:r>
        <w:rPr>
          <w:rFonts w:cstheme="majorHAnsi"/>
          <w:b/>
          <w:bCs/>
        </w:rPr>
        <w:br w:type="column"/>
      </w:r>
      <w:r w:rsidR="00C07143" w:rsidRPr="00855BA1">
        <w:rPr>
          <w:rFonts w:cstheme="majorHAnsi"/>
          <w:b/>
          <w:bCs/>
        </w:rPr>
        <w:lastRenderedPageBreak/>
        <w:t>Group 2: Some students will continue to transfer, but without support of an agent. </w:t>
      </w:r>
    </w:p>
    <w:p w14:paraId="6888E762" w14:textId="2CABB117" w:rsidR="00FA1F11" w:rsidRDefault="00C07143" w:rsidP="00840E88">
      <w:pPr>
        <w:numPr>
          <w:ilvl w:val="0"/>
          <w:numId w:val="12"/>
        </w:numPr>
        <w:spacing w:after="0" w:line="276" w:lineRule="auto"/>
        <w:rPr>
          <w:rFonts w:cstheme="majorHAnsi"/>
        </w:rPr>
      </w:pPr>
      <w:r w:rsidRPr="00A07D43">
        <w:rPr>
          <w:rFonts w:cstheme="majorHAnsi"/>
        </w:rPr>
        <w:t xml:space="preserve">Some of these students </w:t>
      </w:r>
      <w:r w:rsidR="006637A0" w:rsidRPr="00A07D43">
        <w:rPr>
          <w:rFonts w:cstheme="majorHAnsi"/>
        </w:rPr>
        <w:t>m</w:t>
      </w:r>
      <w:r w:rsidR="006637A0">
        <w:rPr>
          <w:rFonts w:cstheme="majorHAnsi"/>
        </w:rPr>
        <w:t>ay progress their own transfer</w:t>
      </w:r>
      <w:r w:rsidR="0045043F">
        <w:rPr>
          <w:rFonts w:cstheme="majorHAnsi"/>
        </w:rPr>
        <w:t xml:space="preserve"> independently</w:t>
      </w:r>
      <w:r w:rsidR="006637A0">
        <w:rPr>
          <w:rFonts w:cstheme="majorHAnsi"/>
        </w:rPr>
        <w:t xml:space="preserve">, </w:t>
      </w:r>
      <w:r w:rsidRPr="00A07D43">
        <w:rPr>
          <w:rFonts w:cstheme="majorHAnsi"/>
        </w:rPr>
        <w:t>increas</w:t>
      </w:r>
      <w:r w:rsidR="006637A0">
        <w:rPr>
          <w:rFonts w:cstheme="majorHAnsi"/>
        </w:rPr>
        <w:t>ing</w:t>
      </w:r>
      <w:r w:rsidRPr="00A07D43">
        <w:rPr>
          <w:rFonts w:cstheme="majorHAnsi"/>
        </w:rPr>
        <w:t xml:space="preserve"> their own administrative burden</w:t>
      </w:r>
      <w:r w:rsidR="00D3685B">
        <w:rPr>
          <w:rFonts w:cstheme="majorHAnsi"/>
        </w:rPr>
        <w:t>.</w:t>
      </w:r>
      <w:r w:rsidRPr="00A07D43">
        <w:rPr>
          <w:rFonts w:cstheme="majorHAnsi"/>
        </w:rPr>
        <w:t xml:space="preserve"> </w:t>
      </w:r>
      <w:r w:rsidR="006637A0">
        <w:rPr>
          <w:rFonts w:cstheme="majorHAnsi"/>
        </w:rPr>
        <w:t xml:space="preserve"> </w:t>
      </w:r>
      <w:r w:rsidRPr="00A07D43">
        <w:rPr>
          <w:rFonts w:cstheme="majorHAnsi"/>
        </w:rPr>
        <w:t xml:space="preserve"> </w:t>
      </w:r>
      <w:r w:rsidR="00FA1F11">
        <w:rPr>
          <w:rFonts w:cstheme="majorHAnsi"/>
        </w:rPr>
        <w:t xml:space="preserve"> </w:t>
      </w:r>
    </w:p>
    <w:p w14:paraId="0044FAE1" w14:textId="0397E339" w:rsidR="00C07143" w:rsidRPr="00A07D43" w:rsidRDefault="00FA1F11" w:rsidP="00840E88">
      <w:pPr>
        <w:numPr>
          <w:ilvl w:val="0"/>
          <w:numId w:val="12"/>
        </w:numPr>
        <w:spacing w:after="0" w:line="276" w:lineRule="auto"/>
        <w:rPr>
          <w:rFonts w:cstheme="majorHAnsi"/>
        </w:rPr>
      </w:pPr>
      <w:r>
        <w:rPr>
          <w:rFonts w:cstheme="majorHAnsi"/>
        </w:rPr>
        <w:t>Some of t</w:t>
      </w:r>
      <w:r w:rsidR="006637A0">
        <w:rPr>
          <w:rFonts w:cstheme="majorHAnsi"/>
        </w:rPr>
        <w:t>hese students may also</w:t>
      </w:r>
      <w:r w:rsidR="00C07143" w:rsidRPr="00A07D43">
        <w:rPr>
          <w:rFonts w:cstheme="majorHAnsi"/>
        </w:rPr>
        <w:t xml:space="preserve"> undertake a transfer to a course or provider that is less closely aligned to their preferences (compared to what could have been achieved with the support of an agent)</w:t>
      </w:r>
      <w:r w:rsidR="003F4B7C">
        <w:rPr>
          <w:rFonts w:cstheme="majorHAnsi"/>
        </w:rPr>
        <w:t>.</w:t>
      </w:r>
      <w:r w:rsidR="00C07143" w:rsidRPr="00A07D43">
        <w:rPr>
          <w:rFonts w:cstheme="majorHAnsi"/>
        </w:rPr>
        <w:t xml:space="preserve"> </w:t>
      </w:r>
      <w:r w:rsidR="003F4B7C">
        <w:rPr>
          <w:rFonts w:cstheme="majorHAnsi"/>
        </w:rPr>
        <w:t>There</w:t>
      </w:r>
      <w:r w:rsidR="00C07143" w:rsidRPr="00A07D43">
        <w:rPr>
          <w:rFonts w:cstheme="majorHAnsi"/>
        </w:rPr>
        <w:t xml:space="preserve"> </w:t>
      </w:r>
      <w:r w:rsidR="00051731">
        <w:rPr>
          <w:rFonts w:cstheme="majorHAnsi"/>
        </w:rPr>
        <w:t>is</w:t>
      </w:r>
      <w:r w:rsidR="00C07143" w:rsidRPr="00A07D43">
        <w:rPr>
          <w:rFonts w:cstheme="majorHAnsi"/>
        </w:rPr>
        <w:t xml:space="preserve"> limited existing research on the performance of agents (and </w:t>
      </w:r>
      <w:r w:rsidR="00DC06C9">
        <w:rPr>
          <w:rFonts w:cstheme="majorHAnsi"/>
        </w:rPr>
        <w:t xml:space="preserve">the </w:t>
      </w:r>
      <w:r w:rsidR="00C07143" w:rsidRPr="00A07D43">
        <w:rPr>
          <w:rFonts w:cstheme="majorHAnsi"/>
        </w:rPr>
        <w:t xml:space="preserve">role of commission incentives) in aligning students with their </w:t>
      </w:r>
      <w:r w:rsidR="004C6541">
        <w:rPr>
          <w:rFonts w:cstheme="majorHAnsi"/>
        </w:rPr>
        <w:t>preferences</w:t>
      </w:r>
      <w:r w:rsidR="00C07143" w:rsidRPr="00A07D43">
        <w:rPr>
          <w:rFonts w:cstheme="majorHAnsi"/>
        </w:rPr>
        <w:t>. </w:t>
      </w:r>
    </w:p>
    <w:p w14:paraId="7159374B" w14:textId="4E31CC34" w:rsidR="00C07143" w:rsidRPr="00A07D43" w:rsidRDefault="00C07143" w:rsidP="00B64A7D">
      <w:pPr>
        <w:numPr>
          <w:ilvl w:val="0"/>
          <w:numId w:val="13"/>
        </w:numPr>
        <w:spacing w:after="160" w:line="276" w:lineRule="auto"/>
        <w:rPr>
          <w:rFonts w:cstheme="majorBidi"/>
        </w:rPr>
      </w:pPr>
      <w:r w:rsidRPr="6E334B4A">
        <w:rPr>
          <w:rFonts w:cstheme="majorBidi"/>
        </w:rPr>
        <w:t xml:space="preserve">Some of these students may </w:t>
      </w:r>
      <w:r w:rsidR="7A66D843" w:rsidRPr="6E334B4A">
        <w:rPr>
          <w:rFonts w:cstheme="majorBidi"/>
        </w:rPr>
        <w:t>also</w:t>
      </w:r>
      <w:r w:rsidRPr="6E334B4A">
        <w:rPr>
          <w:rFonts w:cstheme="majorBidi"/>
        </w:rPr>
        <w:t xml:space="preserve"> </w:t>
      </w:r>
      <w:r w:rsidR="006F1972" w:rsidRPr="6E334B4A">
        <w:rPr>
          <w:rFonts w:cstheme="majorBidi"/>
        </w:rPr>
        <w:t>increase the administrative burden on the</w:t>
      </w:r>
      <w:r w:rsidRPr="6E334B4A">
        <w:rPr>
          <w:rFonts w:cstheme="majorBidi"/>
        </w:rPr>
        <w:t xml:space="preserve"> providers, who may support transferring students (with a diminished role from agents)</w:t>
      </w:r>
      <w:r w:rsidR="00E10744" w:rsidRPr="6E334B4A">
        <w:rPr>
          <w:rFonts w:cstheme="majorBidi"/>
        </w:rPr>
        <w:t xml:space="preserve">. </w:t>
      </w:r>
    </w:p>
    <w:p w14:paraId="06AB22E0" w14:textId="60894224" w:rsidR="00C07143" w:rsidRPr="00A07D43" w:rsidRDefault="00C07143" w:rsidP="00C07143">
      <w:pPr>
        <w:spacing w:line="276" w:lineRule="auto"/>
        <w:rPr>
          <w:rFonts w:cstheme="majorHAnsi"/>
        </w:rPr>
      </w:pPr>
      <w:r w:rsidRPr="00A07D43">
        <w:rPr>
          <w:rFonts w:cstheme="majorHAnsi"/>
          <w:b/>
          <w:bCs/>
        </w:rPr>
        <w:t>Group 3: Some students will no longer transfer</w:t>
      </w:r>
      <w:r w:rsidR="00E10744" w:rsidRPr="00A07D43">
        <w:rPr>
          <w:rFonts w:cstheme="majorHAnsi"/>
        </w:rPr>
        <w:t xml:space="preserve">. </w:t>
      </w:r>
    </w:p>
    <w:p w14:paraId="6E659927" w14:textId="303AC086" w:rsidR="00C07143" w:rsidRPr="00A07D43" w:rsidRDefault="00C07143" w:rsidP="00840E88">
      <w:pPr>
        <w:numPr>
          <w:ilvl w:val="0"/>
          <w:numId w:val="14"/>
        </w:numPr>
        <w:spacing w:after="0" w:line="276" w:lineRule="auto"/>
        <w:rPr>
          <w:rFonts w:cstheme="majorHAnsi"/>
        </w:rPr>
      </w:pPr>
      <w:r w:rsidRPr="00A07D43">
        <w:rPr>
          <w:rFonts w:cstheme="majorHAnsi"/>
        </w:rPr>
        <w:t xml:space="preserve">Some of these students may be dissatisfied with their course and provider, and without agent supports to transfers, will </w:t>
      </w:r>
      <w:r w:rsidR="006853DC">
        <w:rPr>
          <w:rFonts w:cstheme="majorHAnsi"/>
        </w:rPr>
        <w:t>withdraw</w:t>
      </w:r>
      <w:r w:rsidR="00094972">
        <w:rPr>
          <w:rFonts w:cstheme="majorHAnsi"/>
        </w:rPr>
        <w:t xml:space="preserve"> </w:t>
      </w:r>
      <w:r w:rsidRPr="00A07D43">
        <w:rPr>
          <w:rFonts w:cstheme="majorHAnsi"/>
        </w:rPr>
        <w:t xml:space="preserve">from their Australian </w:t>
      </w:r>
      <w:r>
        <w:rPr>
          <w:rFonts w:cstheme="majorHAnsi"/>
        </w:rPr>
        <w:t>international education and training</w:t>
      </w:r>
      <w:r w:rsidRPr="00A07D43">
        <w:rPr>
          <w:rFonts w:cstheme="majorHAnsi"/>
        </w:rPr>
        <w:t xml:space="preserve"> experience</w:t>
      </w:r>
      <w:r w:rsidR="00094972">
        <w:rPr>
          <w:rFonts w:cstheme="majorHAnsi"/>
        </w:rPr>
        <w:t xml:space="preserve"> and return home</w:t>
      </w:r>
      <w:r w:rsidR="00E10744" w:rsidRPr="00A07D43">
        <w:rPr>
          <w:rFonts w:cstheme="majorHAnsi"/>
        </w:rPr>
        <w:t xml:space="preserve">. </w:t>
      </w:r>
    </w:p>
    <w:p w14:paraId="4AB16CB2" w14:textId="030A50F0" w:rsidR="00C07143" w:rsidRPr="000E1D8E" w:rsidRDefault="00C07143" w:rsidP="00B64A7D">
      <w:pPr>
        <w:numPr>
          <w:ilvl w:val="0"/>
          <w:numId w:val="15"/>
        </w:numPr>
        <w:spacing w:after="160" w:line="276" w:lineRule="auto"/>
        <w:rPr>
          <w:rFonts w:cstheme="majorHAnsi"/>
        </w:rPr>
      </w:pPr>
      <w:r w:rsidRPr="00A07D43">
        <w:rPr>
          <w:rFonts w:cstheme="majorHAnsi"/>
        </w:rPr>
        <w:t xml:space="preserve">It is expected that a greater share of non-genuine transfers </w:t>
      </w:r>
      <w:r w:rsidR="00A24773" w:rsidRPr="00A07D43">
        <w:rPr>
          <w:rFonts w:cstheme="majorHAnsi"/>
        </w:rPr>
        <w:t>is</w:t>
      </w:r>
      <w:r w:rsidRPr="00A07D43">
        <w:rPr>
          <w:rFonts w:cstheme="majorHAnsi"/>
        </w:rPr>
        <w:t xml:space="preserve"> likely to be reflected in this group. However, some genuine transfers may also be represented</w:t>
      </w:r>
      <w:r w:rsidR="00E10744" w:rsidRPr="00A07D43">
        <w:rPr>
          <w:rFonts w:cstheme="majorHAnsi"/>
        </w:rPr>
        <w:t xml:space="preserve">. </w:t>
      </w:r>
    </w:p>
    <w:p w14:paraId="13A3C880" w14:textId="77777777" w:rsidR="00C07143" w:rsidRPr="00A07D43" w:rsidRDefault="00C07143" w:rsidP="00C07143">
      <w:pPr>
        <w:spacing w:line="276" w:lineRule="auto"/>
        <w:rPr>
          <w:rFonts w:cstheme="majorHAnsi"/>
        </w:rPr>
      </w:pPr>
      <w:r w:rsidRPr="00A07D43">
        <w:rPr>
          <w:rFonts w:cstheme="majorHAnsi"/>
        </w:rPr>
        <w:t xml:space="preserve">In the absence of data and evidence to inform these dynamics, and without scope to undertake further investigation of the potential responses of students, agents and providers (in particular, from stakeholder consultation) this work relies on an assumption-driven approach for simplicity and transparency, assuming that agent-facilitated cross-provider </w:t>
      </w:r>
      <w:r w:rsidRPr="00A07D43">
        <w:rPr>
          <w:rFonts w:cstheme="majorHAnsi"/>
          <w:b/>
          <w:bCs/>
        </w:rPr>
        <w:t>onshore transfers are equally distributed across the three groups</w:t>
      </w:r>
      <w:r w:rsidRPr="00A07D43">
        <w:rPr>
          <w:rFonts w:cstheme="majorHAnsi"/>
        </w:rPr>
        <w:t xml:space="preserve"> (i.e. a third of transfers are represented in each group). </w:t>
      </w:r>
    </w:p>
    <w:p w14:paraId="0D4F9631" w14:textId="77777777" w:rsidR="00C07143" w:rsidRPr="00D63B4E" w:rsidRDefault="00C07143" w:rsidP="00C07143">
      <w:pPr>
        <w:pStyle w:val="Heading4"/>
      </w:pPr>
      <w:bookmarkStart w:id="21" w:name="_Toc218778646"/>
      <w:r w:rsidRPr="00D63B4E">
        <w:t>The expected benefits and costs</w:t>
      </w:r>
      <w:bookmarkEnd w:id="21"/>
      <w:r w:rsidRPr="00D63B4E">
        <w:t>  </w:t>
      </w:r>
    </w:p>
    <w:p w14:paraId="4141986A" w14:textId="78D1A87D" w:rsidR="00C07143" w:rsidRPr="00D63B4E" w:rsidRDefault="00C07143" w:rsidP="00C07143">
      <w:pPr>
        <w:spacing w:line="276" w:lineRule="auto"/>
        <w:rPr>
          <w:rFonts w:cstheme="majorHAnsi"/>
        </w:rPr>
      </w:pPr>
      <w:r w:rsidRPr="00D63B4E">
        <w:rPr>
          <w:rFonts w:cstheme="majorHAnsi"/>
          <w:b/>
          <w:bCs/>
        </w:rPr>
        <w:t>Providers</w:t>
      </w:r>
      <w:r w:rsidRPr="00D63B4E">
        <w:rPr>
          <w:rFonts w:cstheme="majorHAnsi"/>
        </w:rPr>
        <w:t xml:space="preserve"> benefit from no longer paying a transfer commission but may experience higher costs in providing supports to enable student transfers, and may experience a decline in revenue </w:t>
      </w:r>
      <w:r w:rsidR="009532EC">
        <w:rPr>
          <w:rFonts w:cstheme="majorHAnsi"/>
        </w:rPr>
        <w:t>if</w:t>
      </w:r>
      <w:r w:rsidR="009532EC" w:rsidRPr="00D63B4E">
        <w:rPr>
          <w:rFonts w:cstheme="majorHAnsi"/>
        </w:rPr>
        <w:t xml:space="preserve"> </w:t>
      </w:r>
      <w:r w:rsidRPr="00D63B4E">
        <w:rPr>
          <w:rFonts w:cstheme="majorHAnsi"/>
        </w:rPr>
        <w:t>students choose to exit their studies (where they face difficulties in transferring in the face of dissatisfaction with their current provider)</w:t>
      </w:r>
      <w:r w:rsidR="00E10744" w:rsidRPr="00D63B4E">
        <w:rPr>
          <w:rFonts w:cstheme="majorHAnsi"/>
        </w:rPr>
        <w:t xml:space="preserve">. </w:t>
      </w:r>
    </w:p>
    <w:p w14:paraId="0C80E058" w14:textId="3D8C0D23" w:rsidR="00C07143" w:rsidRPr="00D63B4E" w:rsidRDefault="00C07143" w:rsidP="00C07143">
      <w:pPr>
        <w:spacing w:line="276" w:lineRule="auto"/>
        <w:rPr>
          <w:rFonts w:cstheme="majorHAnsi"/>
        </w:rPr>
      </w:pPr>
      <w:r w:rsidRPr="00D63B4E">
        <w:rPr>
          <w:rFonts w:cstheme="majorHAnsi"/>
          <w:b/>
          <w:bCs/>
        </w:rPr>
        <w:t>Agents</w:t>
      </w:r>
      <w:r w:rsidRPr="00D63B4E">
        <w:rPr>
          <w:rFonts w:cstheme="majorHAnsi"/>
        </w:rPr>
        <w:t xml:space="preserve"> are likely to experience net losses, as they lose an entire revenue stream, noting this may be at least partially offset </w:t>
      </w:r>
      <w:r w:rsidR="002E2121">
        <w:rPr>
          <w:rFonts w:cstheme="majorHAnsi"/>
        </w:rPr>
        <w:t>by</w:t>
      </w:r>
      <w:r w:rsidR="002E2121" w:rsidRPr="00D63B4E">
        <w:rPr>
          <w:rFonts w:cstheme="majorHAnsi"/>
        </w:rPr>
        <w:t xml:space="preserve"> </w:t>
      </w:r>
      <w:r w:rsidRPr="00D63B4E">
        <w:rPr>
          <w:rFonts w:cstheme="majorHAnsi"/>
        </w:rPr>
        <w:t xml:space="preserve">introducing a fee </w:t>
      </w:r>
      <w:r w:rsidR="00DC5A9B">
        <w:rPr>
          <w:rFonts w:cstheme="majorHAnsi"/>
        </w:rPr>
        <w:t xml:space="preserve">for service </w:t>
      </w:r>
      <w:r w:rsidRPr="00D63B4E">
        <w:rPr>
          <w:rFonts w:cstheme="majorHAnsi"/>
        </w:rPr>
        <w:t xml:space="preserve">and/or building these costs into overheads for </w:t>
      </w:r>
      <w:r w:rsidR="000F78E6">
        <w:rPr>
          <w:rFonts w:cstheme="majorHAnsi"/>
        </w:rPr>
        <w:t xml:space="preserve">initial </w:t>
      </w:r>
      <w:r w:rsidRPr="00D63B4E">
        <w:rPr>
          <w:rFonts w:cstheme="majorHAnsi"/>
        </w:rPr>
        <w:t xml:space="preserve">offshore </w:t>
      </w:r>
      <w:r w:rsidR="000F78E6">
        <w:rPr>
          <w:rFonts w:cstheme="majorHAnsi"/>
        </w:rPr>
        <w:t>or onshore</w:t>
      </w:r>
      <w:r w:rsidRPr="00D63B4E">
        <w:rPr>
          <w:rFonts w:cstheme="majorHAnsi"/>
        </w:rPr>
        <w:t xml:space="preserve"> recruitment</w:t>
      </w:r>
      <w:r w:rsidR="00E10744" w:rsidRPr="00D63B4E">
        <w:rPr>
          <w:rFonts w:cstheme="majorHAnsi"/>
        </w:rPr>
        <w:t xml:space="preserve">. </w:t>
      </w:r>
    </w:p>
    <w:p w14:paraId="472B4E89" w14:textId="1A6F9B79" w:rsidR="00C07143" w:rsidRPr="00D63B4E" w:rsidRDefault="00C07143" w:rsidP="00C07143">
      <w:pPr>
        <w:spacing w:line="276" w:lineRule="auto"/>
        <w:rPr>
          <w:rFonts w:cstheme="majorHAnsi"/>
        </w:rPr>
      </w:pPr>
      <w:r w:rsidRPr="00D63B4E">
        <w:rPr>
          <w:rFonts w:cstheme="majorHAnsi"/>
          <w:b/>
          <w:bCs/>
        </w:rPr>
        <w:t>Students</w:t>
      </w:r>
      <w:r w:rsidRPr="00D63B4E">
        <w:rPr>
          <w:rFonts w:cstheme="majorHAnsi"/>
        </w:rPr>
        <w:t xml:space="preserve"> undertaking genuine transfers may incur greater costs in undertaking transfer activities</w:t>
      </w:r>
      <w:r w:rsidR="002E2121">
        <w:rPr>
          <w:rFonts w:cstheme="majorHAnsi"/>
        </w:rPr>
        <w:t>. T</w:t>
      </w:r>
      <w:r w:rsidRPr="00D63B4E">
        <w:rPr>
          <w:rFonts w:cstheme="majorHAnsi"/>
        </w:rPr>
        <w:t xml:space="preserve">his is offset </w:t>
      </w:r>
      <w:r w:rsidR="002E2121">
        <w:rPr>
          <w:rFonts w:cstheme="majorHAnsi"/>
        </w:rPr>
        <w:t>by</w:t>
      </w:r>
      <w:r w:rsidR="002E2121" w:rsidRPr="00D63B4E">
        <w:rPr>
          <w:rFonts w:cstheme="majorHAnsi"/>
        </w:rPr>
        <w:t xml:space="preserve"> </w:t>
      </w:r>
      <w:r w:rsidRPr="00D63B4E">
        <w:rPr>
          <w:rFonts w:cstheme="majorHAnsi"/>
        </w:rPr>
        <w:t xml:space="preserve">greater peace of mind and reduced exposure to exploitative behaviour in using agents and undertaking transfers. Students who </w:t>
      </w:r>
      <w:r w:rsidR="00EB6A3E">
        <w:rPr>
          <w:rFonts w:cstheme="majorHAnsi"/>
        </w:rPr>
        <w:t>could be</w:t>
      </w:r>
      <w:r w:rsidRPr="00D63B4E">
        <w:rPr>
          <w:rFonts w:cstheme="majorHAnsi"/>
        </w:rPr>
        <w:t xml:space="preserve"> induced to undertake a non-genuine transfer will benefit from reduced exposure to this risk and maintaining their preferred educational experience. However, some students may experience negative outcomes from challenges in identifying and transferring to a course more positively aligned with their needs and preferences</w:t>
      </w:r>
      <w:r w:rsidR="00E10744" w:rsidRPr="00D63B4E">
        <w:rPr>
          <w:rFonts w:cstheme="majorHAnsi"/>
        </w:rPr>
        <w:t xml:space="preserve">. </w:t>
      </w:r>
    </w:p>
    <w:p w14:paraId="6370AAF2" w14:textId="16CC26EF" w:rsidR="00C07143" w:rsidRPr="00D63B4E" w:rsidRDefault="006938C3" w:rsidP="00C07143">
      <w:pPr>
        <w:spacing w:line="276" w:lineRule="auto"/>
        <w:rPr>
          <w:rFonts w:cstheme="majorHAnsi"/>
        </w:rPr>
      </w:pPr>
      <w:r>
        <w:rPr>
          <w:rFonts w:cstheme="majorHAnsi"/>
        </w:rPr>
        <w:t>Overall</w:t>
      </w:r>
      <w:r w:rsidR="00C07143" w:rsidRPr="00D63B4E">
        <w:rPr>
          <w:rFonts w:cstheme="majorHAnsi"/>
        </w:rPr>
        <w:t xml:space="preserve">, the sector (and its stakeholders) is expected to benefit from improved integrity and quality of the sector (as per the discussion in </w:t>
      </w:r>
      <w:r w:rsidR="00C07143">
        <w:rPr>
          <w:rFonts w:cstheme="majorHAnsi"/>
        </w:rPr>
        <w:t>the Impact Analysis</w:t>
      </w:r>
      <w:r w:rsidR="00C07143" w:rsidRPr="00D63B4E">
        <w:rPr>
          <w:rFonts w:cstheme="majorHAnsi"/>
        </w:rPr>
        <w:t xml:space="preserve">) and in responding to the significant risks and harms to the sector identified from recent reviews (discussed in </w:t>
      </w:r>
      <w:r w:rsidR="00C07143">
        <w:rPr>
          <w:rFonts w:cstheme="majorHAnsi"/>
        </w:rPr>
        <w:t>the Impact Analysis</w:t>
      </w:r>
      <w:r w:rsidR="00C07143" w:rsidRPr="00D63B4E">
        <w:rPr>
          <w:rFonts w:cstheme="majorHAnsi"/>
        </w:rPr>
        <w:t>). </w:t>
      </w:r>
    </w:p>
    <w:p w14:paraId="745AE332" w14:textId="6DFFE5C0" w:rsidR="00C07143" w:rsidRPr="00D63B4E" w:rsidRDefault="00C07143" w:rsidP="00C07143">
      <w:pPr>
        <w:spacing w:line="276" w:lineRule="auto"/>
        <w:rPr>
          <w:rFonts w:cstheme="majorHAnsi"/>
        </w:rPr>
      </w:pPr>
      <w:r w:rsidRPr="00D63B4E">
        <w:rPr>
          <w:rFonts w:cstheme="majorHAnsi"/>
        </w:rPr>
        <w:lastRenderedPageBreak/>
        <w:t xml:space="preserve">It is acknowledged that some providers and agents operate with a business model that relies predominately on cross-provider onshore transfers. Some of these businesses may experience costs in transitioning to an operating model that relies less on cross-provider onshore transfers, while other businesses may cease operating entirely in response to the ban (and instead experience costs related to closing business operations). Pre-empting the response by businesses is challenging, noting that businesses </w:t>
      </w:r>
      <w:r w:rsidR="00EF248A">
        <w:rPr>
          <w:rFonts w:cstheme="majorHAnsi"/>
        </w:rPr>
        <w:t>represented</w:t>
      </w:r>
      <w:r w:rsidRPr="00D63B4E">
        <w:rPr>
          <w:rFonts w:cstheme="majorHAnsi"/>
        </w:rPr>
        <w:t xml:space="preserve"> in ‘poaching’ behaviours may be less likely to transition their business model, given the non-genuine nature of their operations</w:t>
      </w:r>
      <w:r w:rsidR="00B339E2" w:rsidRPr="00D63B4E">
        <w:rPr>
          <w:rFonts w:cstheme="majorHAnsi"/>
        </w:rPr>
        <w:t xml:space="preserve">. </w:t>
      </w:r>
    </w:p>
    <w:p w14:paraId="5DCAFAD6" w14:textId="2CC49F3C" w:rsidR="00C07143" w:rsidRPr="00D63B4E" w:rsidRDefault="00C07143" w:rsidP="00C07143">
      <w:pPr>
        <w:spacing w:line="276" w:lineRule="auto"/>
        <w:rPr>
          <w:rFonts w:cstheme="majorHAnsi"/>
        </w:rPr>
      </w:pPr>
      <w:r w:rsidRPr="00D63B4E">
        <w:rPr>
          <w:rFonts w:cstheme="majorHAnsi"/>
        </w:rPr>
        <w:t>The key benefits and costs for each stakeholder group are outlined in Table 1, where the ‘bolded’ benefits and costs are further quantified</w:t>
      </w:r>
      <w:r w:rsidR="00E10744" w:rsidRPr="00D63B4E">
        <w:rPr>
          <w:rFonts w:cstheme="majorHAnsi"/>
        </w:rPr>
        <w:t xml:space="preserve">. </w:t>
      </w:r>
    </w:p>
    <w:p w14:paraId="4F05BF61" w14:textId="013D2BD4" w:rsidR="00C07143" w:rsidRPr="005D6C55" w:rsidRDefault="00C07143" w:rsidP="00C07143">
      <w:pPr>
        <w:spacing w:after="0" w:line="240" w:lineRule="auto"/>
        <w:textAlignment w:val="baseline"/>
        <w:rPr>
          <w:rFonts w:ascii="Verdana" w:eastAsia="Times New Roman" w:hAnsi="Verdana" w:cs="Times New Roman"/>
          <w:color w:val="75787B"/>
          <w:sz w:val="17"/>
          <w:szCs w:val="17"/>
          <w:lang w:eastAsia="en-AU"/>
        </w:rPr>
      </w:pPr>
      <w:r>
        <w:rPr>
          <w:rFonts w:ascii="Verdana" w:eastAsia="Times New Roman" w:hAnsi="Verdana" w:cs="Times New Roman"/>
          <w:color w:val="75787B"/>
          <w:sz w:val="17"/>
          <w:szCs w:val="17"/>
          <w:lang w:eastAsia="en-AU"/>
        </w:rPr>
        <w:t>Table 1:</w:t>
      </w:r>
      <w:r w:rsidRPr="005D6C55">
        <w:rPr>
          <w:rFonts w:ascii="Verdana" w:eastAsia="Times New Roman" w:hAnsi="Verdana" w:cs="Times New Roman"/>
          <w:color w:val="75787B"/>
          <w:sz w:val="17"/>
          <w:szCs w:val="17"/>
          <w:lang w:eastAsia="en-AU"/>
        </w:rPr>
        <w:t xml:space="preserve"> Key expected benefits and costs from </w:t>
      </w:r>
      <w:r w:rsidRPr="005D6C55" w:rsidDel="003D21BF">
        <w:rPr>
          <w:rFonts w:ascii="Verdana" w:eastAsia="Times New Roman" w:hAnsi="Verdana" w:cs="Times New Roman"/>
          <w:color w:val="75787B"/>
          <w:sz w:val="17"/>
          <w:szCs w:val="17"/>
          <w:lang w:eastAsia="en-AU"/>
        </w:rPr>
        <w:t>‘</w:t>
      </w:r>
      <w:r w:rsidRPr="005D6C55">
        <w:rPr>
          <w:rFonts w:ascii="Verdana" w:eastAsia="Times New Roman" w:hAnsi="Verdana" w:cs="Times New Roman"/>
          <w:color w:val="75787B"/>
          <w:sz w:val="17"/>
          <w:szCs w:val="17"/>
          <w:lang w:eastAsia="en-AU"/>
        </w:rPr>
        <w:t xml:space="preserve">Prohibition of payment of agent commission for onshore </w:t>
      </w:r>
      <w:r w:rsidR="007C5918" w:rsidRPr="005D6C55">
        <w:rPr>
          <w:rFonts w:ascii="Verdana" w:eastAsia="Times New Roman" w:hAnsi="Verdana" w:cs="Times New Roman"/>
          <w:color w:val="75787B"/>
          <w:sz w:val="17"/>
          <w:szCs w:val="17"/>
          <w:lang w:eastAsia="en-AU"/>
        </w:rPr>
        <w:t>transfers’.</w:t>
      </w:r>
      <w:r w:rsidRPr="005D6C55">
        <w:rPr>
          <w:rFonts w:ascii="Verdana" w:eastAsia="Times New Roman" w:hAnsi="Verdana" w:cs="Times New Roman"/>
          <w:color w:val="75787B"/>
          <w:sz w:val="17"/>
          <w:szCs w:val="17"/>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C07143" w:rsidRPr="005D6C55" w14:paraId="6A5CDC60" w14:textId="77777777">
        <w:trPr>
          <w:trHeight w:val="300"/>
        </w:trPr>
        <w:tc>
          <w:tcPr>
            <w:tcW w:w="4500" w:type="dxa"/>
            <w:tcBorders>
              <w:top w:val="single" w:sz="24" w:space="0" w:color="62B5E5"/>
              <w:left w:val="nil"/>
              <w:bottom w:val="single" w:sz="6" w:space="0" w:color="000000"/>
              <w:right w:val="nil"/>
            </w:tcBorders>
            <w:hideMark/>
          </w:tcPr>
          <w:p w14:paraId="2A8BCBB3" w14:textId="77777777" w:rsidR="00C07143" w:rsidRPr="005D6C55" w:rsidRDefault="00C07143">
            <w:pPr>
              <w:spacing w:after="0" w:line="240" w:lineRule="auto"/>
              <w:ind w:left="45"/>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b/>
                <w:bCs/>
                <w:sz w:val="18"/>
                <w:szCs w:val="18"/>
                <w:lang w:eastAsia="en-AU"/>
              </w:rPr>
              <w:t>Benefits</w:t>
            </w:r>
            <w:r w:rsidRPr="005D6C55">
              <w:rPr>
                <w:rFonts w:ascii="Verdana" w:eastAsia="Times New Roman" w:hAnsi="Verdana" w:cs="Times New Roman"/>
                <w:sz w:val="18"/>
                <w:szCs w:val="18"/>
                <w:lang w:eastAsia="en-AU"/>
              </w:rPr>
              <w:t> </w:t>
            </w:r>
          </w:p>
        </w:tc>
        <w:tc>
          <w:tcPr>
            <w:tcW w:w="4500" w:type="dxa"/>
            <w:tcBorders>
              <w:top w:val="single" w:sz="24" w:space="0" w:color="62B5E5"/>
              <w:left w:val="nil"/>
              <w:bottom w:val="single" w:sz="6" w:space="0" w:color="000000"/>
              <w:right w:val="nil"/>
            </w:tcBorders>
            <w:hideMark/>
          </w:tcPr>
          <w:p w14:paraId="5012553D" w14:textId="77777777" w:rsidR="00C07143" w:rsidRPr="005D6C55" w:rsidRDefault="00C07143">
            <w:pPr>
              <w:spacing w:after="0" w:line="240" w:lineRule="auto"/>
              <w:ind w:left="45"/>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b/>
                <w:bCs/>
                <w:sz w:val="18"/>
                <w:szCs w:val="18"/>
                <w:lang w:eastAsia="en-AU"/>
              </w:rPr>
              <w:t>Costs </w:t>
            </w:r>
            <w:r w:rsidRPr="005D6C55">
              <w:rPr>
                <w:rFonts w:ascii="Verdana" w:eastAsia="Times New Roman" w:hAnsi="Verdana" w:cs="Times New Roman"/>
                <w:sz w:val="18"/>
                <w:szCs w:val="18"/>
                <w:lang w:eastAsia="en-AU"/>
              </w:rPr>
              <w:t> </w:t>
            </w:r>
          </w:p>
        </w:tc>
      </w:tr>
      <w:tr w:rsidR="00C07143" w:rsidRPr="005D6C55" w14:paraId="51C69F81" w14:textId="77777777">
        <w:trPr>
          <w:trHeight w:val="300"/>
        </w:trPr>
        <w:tc>
          <w:tcPr>
            <w:tcW w:w="4500" w:type="dxa"/>
            <w:tcBorders>
              <w:top w:val="single" w:sz="6" w:space="0" w:color="000000"/>
              <w:left w:val="nil"/>
              <w:bottom w:val="single" w:sz="6" w:space="0" w:color="000000"/>
              <w:right w:val="nil"/>
            </w:tcBorders>
            <w:shd w:val="clear" w:color="auto" w:fill="DFF0F9"/>
            <w:hideMark/>
          </w:tcPr>
          <w:p w14:paraId="077F3934" w14:textId="77777777" w:rsidR="00C07143" w:rsidRPr="005D6C55" w:rsidRDefault="00C07143">
            <w:pPr>
              <w:spacing w:after="0" w:line="240" w:lineRule="auto"/>
              <w:ind w:left="45"/>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b/>
                <w:bCs/>
                <w:sz w:val="18"/>
                <w:szCs w:val="18"/>
                <w:lang w:eastAsia="en-AU"/>
              </w:rPr>
              <w:t>To providers </w:t>
            </w:r>
            <w:r w:rsidRPr="005D6C55">
              <w:rPr>
                <w:rFonts w:ascii="Verdana" w:eastAsia="Times New Roman" w:hAnsi="Verdana" w:cs="Times New Roman"/>
                <w:sz w:val="18"/>
                <w:szCs w:val="18"/>
                <w:lang w:eastAsia="en-AU"/>
              </w:rPr>
              <w:t> </w:t>
            </w:r>
          </w:p>
        </w:tc>
        <w:tc>
          <w:tcPr>
            <w:tcW w:w="4500" w:type="dxa"/>
            <w:tcBorders>
              <w:top w:val="single" w:sz="6" w:space="0" w:color="000000"/>
              <w:left w:val="nil"/>
              <w:bottom w:val="single" w:sz="6" w:space="0" w:color="000000"/>
              <w:right w:val="nil"/>
            </w:tcBorders>
            <w:shd w:val="clear" w:color="auto" w:fill="DFF0F9"/>
            <w:hideMark/>
          </w:tcPr>
          <w:p w14:paraId="36C229B4" w14:textId="77777777" w:rsidR="00C07143" w:rsidRPr="005D6C55" w:rsidRDefault="00C07143">
            <w:pPr>
              <w:spacing w:after="0" w:line="240" w:lineRule="auto"/>
              <w:ind w:left="45"/>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sz w:val="18"/>
                <w:szCs w:val="18"/>
                <w:lang w:eastAsia="en-AU"/>
              </w:rPr>
              <w:t> </w:t>
            </w:r>
          </w:p>
        </w:tc>
      </w:tr>
      <w:tr w:rsidR="00C07143" w:rsidRPr="005D6C55" w14:paraId="19FCBC9A" w14:textId="77777777">
        <w:trPr>
          <w:trHeight w:val="300"/>
        </w:trPr>
        <w:tc>
          <w:tcPr>
            <w:tcW w:w="4500" w:type="dxa"/>
            <w:tcBorders>
              <w:top w:val="single" w:sz="6" w:space="0" w:color="000000"/>
              <w:left w:val="nil"/>
              <w:bottom w:val="single" w:sz="6" w:space="0" w:color="000000"/>
              <w:right w:val="nil"/>
            </w:tcBorders>
            <w:hideMark/>
          </w:tcPr>
          <w:p w14:paraId="4BE1EBC8" w14:textId="77777777" w:rsidR="00C07143" w:rsidRPr="005D6C55" w:rsidRDefault="00C07143" w:rsidP="00B64A7D">
            <w:pPr>
              <w:numPr>
                <w:ilvl w:val="0"/>
                <w:numId w:val="16"/>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b/>
                <w:bCs/>
                <w:sz w:val="18"/>
                <w:szCs w:val="18"/>
                <w:lang w:eastAsia="en-AU"/>
              </w:rPr>
              <w:t>Reduced cost of transfers (i.e. no commission payments) </w:t>
            </w:r>
            <w:r w:rsidRPr="005D6C55">
              <w:rPr>
                <w:rFonts w:ascii="Verdana" w:eastAsia="Times New Roman" w:hAnsi="Verdana" w:cs="Times New Roman"/>
                <w:sz w:val="18"/>
                <w:szCs w:val="18"/>
                <w:lang w:eastAsia="en-AU"/>
              </w:rPr>
              <w:t> </w:t>
            </w:r>
          </w:p>
          <w:p w14:paraId="351F4248" w14:textId="77777777" w:rsidR="00C07143" w:rsidRPr="005D6C55" w:rsidRDefault="00C07143" w:rsidP="00B64A7D">
            <w:pPr>
              <w:numPr>
                <w:ilvl w:val="0"/>
                <w:numId w:val="16"/>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sz w:val="18"/>
                <w:szCs w:val="18"/>
                <w:lang w:eastAsia="en-AU"/>
              </w:rPr>
              <w:t>Greater business certainty from more resilient enrolment profiles (i.e. reduced poaching)  </w:t>
            </w:r>
          </w:p>
          <w:p w14:paraId="0B3E89D8" w14:textId="77777777" w:rsidR="00C07143" w:rsidRPr="005D6C55" w:rsidRDefault="00C07143" w:rsidP="00B64A7D">
            <w:pPr>
              <w:numPr>
                <w:ilvl w:val="0"/>
                <w:numId w:val="16"/>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sz w:val="18"/>
                <w:szCs w:val="18"/>
                <w:lang w:eastAsia="en-AU"/>
              </w:rPr>
              <w:t>Greater peace of mind in the student admissions process in engaging transfer students  </w:t>
            </w:r>
          </w:p>
          <w:p w14:paraId="793AD418" w14:textId="77777777" w:rsidR="00C07143" w:rsidRPr="005D6C55" w:rsidRDefault="00C07143" w:rsidP="00B64A7D">
            <w:pPr>
              <w:numPr>
                <w:ilvl w:val="0"/>
                <w:numId w:val="16"/>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sz w:val="18"/>
                <w:szCs w:val="18"/>
                <w:lang w:eastAsia="en-AU"/>
              </w:rPr>
              <w:t>Revenue growth from increased demand as the sector reputation and quality improves   </w:t>
            </w:r>
          </w:p>
        </w:tc>
        <w:tc>
          <w:tcPr>
            <w:tcW w:w="4500" w:type="dxa"/>
            <w:tcBorders>
              <w:top w:val="single" w:sz="6" w:space="0" w:color="000000"/>
              <w:left w:val="nil"/>
              <w:bottom w:val="single" w:sz="6" w:space="0" w:color="000000"/>
              <w:right w:val="nil"/>
            </w:tcBorders>
            <w:hideMark/>
          </w:tcPr>
          <w:p w14:paraId="60E79880" w14:textId="77777777" w:rsidR="00C07143" w:rsidRPr="005D6C55" w:rsidRDefault="00C07143" w:rsidP="00B64A7D">
            <w:pPr>
              <w:numPr>
                <w:ilvl w:val="0"/>
                <w:numId w:val="16"/>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sz w:val="18"/>
                <w:szCs w:val="18"/>
                <w:lang w:eastAsia="en-AU"/>
              </w:rPr>
              <w:t>Potential increase in costs in supporting student transfer services  </w:t>
            </w:r>
          </w:p>
          <w:p w14:paraId="2FD2430A" w14:textId="77777777" w:rsidR="00C07143" w:rsidRPr="005D6C55" w:rsidRDefault="00C07143" w:rsidP="00B64A7D">
            <w:pPr>
              <w:numPr>
                <w:ilvl w:val="0"/>
                <w:numId w:val="16"/>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b/>
                <w:bCs/>
                <w:sz w:val="18"/>
                <w:szCs w:val="18"/>
                <w:lang w:eastAsia="en-AU"/>
              </w:rPr>
              <w:t>Potential costs in changing business operating models </w:t>
            </w:r>
            <w:r w:rsidRPr="005D6C55">
              <w:rPr>
                <w:rFonts w:ascii="Verdana" w:eastAsia="Times New Roman" w:hAnsi="Verdana" w:cs="Times New Roman"/>
                <w:sz w:val="18"/>
                <w:szCs w:val="18"/>
                <w:lang w:eastAsia="en-AU"/>
              </w:rPr>
              <w:t> </w:t>
            </w:r>
          </w:p>
          <w:p w14:paraId="3062969F" w14:textId="77777777" w:rsidR="00C07143" w:rsidRPr="005D6C55" w:rsidRDefault="00C07143" w:rsidP="00B64A7D">
            <w:pPr>
              <w:numPr>
                <w:ilvl w:val="0"/>
                <w:numId w:val="16"/>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b/>
                <w:bCs/>
                <w:sz w:val="18"/>
                <w:szCs w:val="18"/>
                <w:lang w:eastAsia="en-AU"/>
              </w:rPr>
              <w:t xml:space="preserve">Loss of profits from students exiting Australian </w:t>
            </w:r>
            <w:r>
              <w:rPr>
                <w:rFonts w:ascii="Verdana" w:eastAsia="Times New Roman" w:hAnsi="Verdana" w:cs="Times New Roman"/>
                <w:b/>
                <w:bCs/>
                <w:sz w:val="18"/>
                <w:szCs w:val="18"/>
                <w:lang w:eastAsia="en-AU"/>
              </w:rPr>
              <w:t>international education and training</w:t>
            </w:r>
            <w:r w:rsidRPr="005D6C55">
              <w:rPr>
                <w:rFonts w:ascii="Verdana" w:eastAsia="Times New Roman" w:hAnsi="Verdana" w:cs="Times New Roman"/>
                <w:b/>
                <w:bCs/>
                <w:sz w:val="18"/>
                <w:szCs w:val="18"/>
                <w:lang w:eastAsia="en-AU"/>
              </w:rPr>
              <w:t xml:space="preserve"> (as a result of difficulties transferring) </w:t>
            </w:r>
            <w:r w:rsidRPr="005D6C55">
              <w:rPr>
                <w:rFonts w:ascii="Verdana" w:eastAsia="Times New Roman" w:hAnsi="Verdana" w:cs="Times New Roman"/>
                <w:sz w:val="18"/>
                <w:szCs w:val="18"/>
                <w:lang w:eastAsia="en-AU"/>
              </w:rPr>
              <w:t> </w:t>
            </w:r>
          </w:p>
          <w:p w14:paraId="5139303F" w14:textId="77777777" w:rsidR="00C07143" w:rsidRPr="005D6C55" w:rsidRDefault="00C07143">
            <w:pPr>
              <w:spacing w:after="0" w:line="240" w:lineRule="auto"/>
              <w:ind w:left="45"/>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sz w:val="18"/>
                <w:szCs w:val="18"/>
                <w:lang w:eastAsia="en-AU"/>
              </w:rPr>
              <w:t> </w:t>
            </w:r>
          </w:p>
        </w:tc>
      </w:tr>
      <w:tr w:rsidR="00C07143" w:rsidRPr="005D6C55" w14:paraId="3BC0064D" w14:textId="77777777">
        <w:trPr>
          <w:trHeight w:val="300"/>
        </w:trPr>
        <w:tc>
          <w:tcPr>
            <w:tcW w:w="4500" w:type="dxa"/>
            <w:tcBorders>
              <w:top w:val="single" w:sz="6" w:space="0" w:color="000000"/>
              <w:left w:val="nil"/>
              <w:bottom w:val="single" w:sz="6" w:space="0" w:color="000000"/>
              <w:right w:val="nil"/>
            </w:tcBorders>
            <w:shd w:val="clear" w:color="auto" w:fill="DFF0F9"/>
            <w:hideMark/>
          </w:tcPr>
          <w:p w14:paraId="0FDC2003" w14:textId="77777777" w:rsidR="00C07143" w:rsidRPr="005D6C55" w:rsidRDefault="00C07143">
            <w:pPr>
              <w:spacing w:after="0" w:line="240" w:lineRule="auto"/>
              <w:ind w:left="330" w:hanging="330"/>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b/>
                <w:bCs/>
                <w:sz w:val="18"/>
                <w:szCs w:val="18"/>
                <w:lang w:eastAsia="en-AU"/>
              </w:rPr>
              <w:t>To agents </w:t>
            </w:r>
            <w:r w:rsidRPr="005D6C55">
              <w:rPr>
                <w:rFonts w:ascii="Verdana" w:eastAsia="Times New Roman" w:hAnsi="Verdana" w:cs="Times New Roman"/>
                <w:sz w:val="18"/>
                <w:szCs w:val="18"/>
                <w:lang w:eastAsia="en-AU"/>
              </w:rPr>
              <w:t> </w:t>
            </w:r>
          </w:p>
        </w:tc>
        <w:tc>
          <w:tcPr>
            <w:tcW w:w="4500" w:type="dxa"/>
            <w:tcBorders>
              <w:top w:val="single" w:sz="6" w:space="0" w:color="000000"/>
              <w:left w:val="nil"/>
              <w:bottom w:val="single" w:sz="6" w:space="0" w:color="000000"/>
              <w:right w:val="nil"/>
            </w:tcBorders>
            <w:shd w:val="clear" w:color="auto" w:fill="DFF0F9"/>
            <w:hideMark/>
          </w:tcPr>
          <w:p w14:paraId="0AC4D22F" w14:textId="77777777" w:rsidR="00C07143" w:rsidRPr="005D6C55" w:rsidRDefault="00C07143">
            <w:pPr>
              <w:spacing w:after="0" w:line="240" w:lineRule="auto"/>
              <w:ind w:left="45"/>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sz w:val="18"/>
                <w:szCs w:val="18"/>
                <w:lang w:eastAsia="en-AU"/>
              </w:rPr>
              <w:t> </w:t>
            </w:r>
          </w:p>
        </w:tc>
      </w:tr>
      <w:tr w:rsidR="00C07143" w:rsidRPr="005D6C55" w14:paraId="74D2C7BD" w14:textId="77777777">
        <w:trPr>
          <w:trHeight w:val="300"/>
        </w:trPr>
        <w:tc>
          <w:tcPr>
            <w:tcW w:w="4500" w:type="dxa"/>
            <w:tcBorders>
              <w:top w:val="single" w:sz="6" w:space="0" w:color="000000"/>
              <w:left w:val="nil"/>
              <w:bottom w:val="single" w:sz="6" w:space="0" w:color="000000"/>
              <w:right w:val="nil"/>
            </w:tcBorders>
            <w:hideMark/>
          </w:tcPr>
          <w:p w14:paraId="50BE9EC6" w14:textId="77777777" w:rsidR="00C07143" w:rsidRPr="000E355C" w:rsidRDefault="00C07143" w:rsidP="00B64A7D">
            <w:pPr>
              <w:pStyle w:val="ListParagraph"/>
              <w:numPr>
                <w:ilvl w:val="0"/>
                <w:numId w:val="17"/>
              </w:numPr>
              <w:spacing w:after="0" w:line="240" w:lineRule="auto"/>
              <w:textAlignment w:val="baseline"/>
              <w:rPr>
                <w:rFonts w:ascii="Verdana" w:eastAsia="Times New Roman" w:hAnsi="Verdana" w:cs="Times New Roman"/>
                <w:kern w:val="0"/>
                <w:sz w:val="18"/>
                <w:szCs w:val="18"/>
                <w:lang w:eastAsia="en-AU"/>
                <w14:ligatures w14:val="none"/>
              </w:rPr>
            </w:pPr>
            <w:r w:rsidRPr="000E355C">
              <w:rPr>
                <w:rFonts w:ascii="Verdana" w:eastAsia="Times New Roman" w:hAnsi="Verdana" w:cs="Times New Roman"/>
                <w:kern w:val="0"/>
                <w:sz w:val="18"/>
                <w:szCs w:val="18"/>
                <w:lang w:eastAsia="en-AU"/>
                <w14:ligatures w14:val="none"/>
              </w:rPr>
              <w:t>Revenue growth from increased use of and demand for agents, as the reputation and quality of agent services improves  </w:t>
            </w:r>
          </w:p>
        </w:tc>
        <w:tc>
          <w:tcPr>
            <w:tcW w:w="4500" w:type="dxa"/>
            <w:tcBorders>
              <w:top w:val="single" w:sz="6" w:space="0" w:color="000000"/>
              <w:left w:val="nil"/>
              <w:bottom w:val="single" w:sz="6" w:space="0" w:color="000000"/>
              <w:right w:val="nil"/>
            </w:tcBorders>
            <w:hideMark/>
          </w:tcPr>
          <w:p w14:paraId="3BDDF3DD" w14:textId="77777777" w:rsidR="00C07143" w:rsidRPr="005D6C55" w:rsidRDefault="00C07143" w:rsidP="00B64A7D">
            <w:pPr>
              <w:numPr>
                <w:ilvl w:val="0"/>
                <w:numId w:val="17"/>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b/>
                <w:bCs/>
                <w:sz w:val="18"/>
                <w:szCs w:val="18"/>
                <w:lang w:eastAsia="en-AU"/>
              </w:rPr>
              <w:t>Loss of profits from transfer commissions</w:t>
            </w:r>
            <w:r w:rsidRPr="005D6C55">
              <w:rPr>
                <w:rFonts w:ascii="Verdana" w:eastAsia="Times New Roman" w:hAnsi="Verdana" w:cs="Times New Roman"/>
                <w:sz w:val="18"/>
                <w:szCs w:val="18"/>
                <w:lang w:eastAsia="en-AU"/>
              </w:rPr>
              <w:t> </w:t>
            </w:r>
          </w:p>
          <w:p w14:paraId="4CE12845" w14:textId="77777777" w:rsidR="00C07143" w:rsidRPr="005D6C55" w:rsidRDefault="00C07143" w:rsidP="00B64A7D">
            <w:pPr>
              <w:numPr>
                <w:ilvl w:val="0"/>
                <w:numId w:val="17"/>
              </w:numPr>
              <w:spacing w:after="0" w:line="240" w:lineRule="auto"/>
              <w:textAlignment w:val="baseline"/>
              <w:rPr>
                <w:rFonts w:ascii="Verdana" w:eastAsia="Times New Roman" w:hAnsi="Verdana" w:cs="Times New Roman"/>
                <w:sz w:val="18"/>
                <w:szCs w:val="18"/>
                <w:lang w:eastAsia="en-AU"/>
              </w:rPr>
            </w:pPr>
            <w:r w:rsidRPr="005D6C55">
              <w:rPr>
                <w:rFonts w:ascii="Verdana" w:eastAsia="Times New Roman" w:hAnsi="Verdana" w:cs="Times New Roman"/>
                <w:sz w:val="18"/>
                <w:szCs w:val="18"/>
                <w:lang w:eastAsia="en-AU"/>
              </w:rPr>
              <w:t>Risk of closure for businesses focused on cross-provider transfers   </w:t>
            </w:r>
          </w:p>
        </w:tc>
      </w:tr>
      <w:tr w:rsidR="00C07143" w:rsidRPr="005D6C55" w14:paraId="12FE2048" w14:textId="77777777">
        <w:trPr>
          <w:trHeight w:val="300"/>
        </w:trPr>
        <w:tc>
          <w:tcPr>
            <w:tcW w:w="4500" w:type="dxa"/>
            <w:tcBorders>
              <w:top w:val="single" w:sz="6" w:space="0" w:color="000000"/>
              <w:left w:val="nil"/>
              <w:bottom w:val="single" w:sz="6" w:space="0" w:color="000000"/>
              <w:right w:val="nil"/>
            </w:tcBorders>
            <w:shd w:val="clear" w:color="auto" w:fill="DFF0F9"/>
            <w:hideMark/>
          </w:tcPr>
          <w:p w14:paraId="55459458" w14:textId="77777777" w:rsidR="00C07143" w:rsidRPr="005D6C55" w:rsidRDefault="00C07143">
            <w:pPr>
              <w:spacing w:after="0" w:line="240" w:lineRule="auto"/>
              <w:ind w:left="330" w:hanging="330"/>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b/>
                <w:bCs/>
                <w:sz w:val="18"/>
                <w:szCs w:val="18"/>
                <w:lang w:eastAsia="en-AU"/>
              </w:rPr>
              <w:t>To students </w:t>
            </w:r>
            <w:r w:rsidRPr="005D6C55">
              <w:rPr>
                <w:rFonts w:ascii="Verdana" w:eastAsia="Times New Roman" w:hAnsi="Verdana" w:cs="Times New Roman"/>
                <w:sz w:val="18"/>
                <w:szCs w:val="18"/>
                <w:lang w:eastAsia="en-AU"/>
              </w:rPr>
              <w:t> </w:t>
            </w:r>
          </w:p>
        </w:tc>
        <w:tc>
          <w:tcPr>
            <w:tcW w:w="4500" w:type="dxa"/>
            <w:tcBorders>
              <w:top w:val="single" w:sz="6" w:space="0" w:color="000000"/>
              <w:left w:val="nil"/>
              <w:bottom w:val="single" w:sz="6" w:space="0" w:color="000000"/>
              <w:right w:val="nil"/>
            </w:tcBorders>
            <w:shd w:val="clear" w:color="auto" w:fill="DFF0F9"/>
            <w:hideMark/>
          </w:tcPr>
          <w:p w14:paraId="6958E961" w14:textId="77777777" w:rsidR="00C07143" w:rsidRPr="005D6C55" w:rsidRDefault="00C07143">
            <w:pPr>
              <w:spacing w:after="0" w:line="240" w:lineRule="auto"/>
              <w:ind w:left="45"/>
              <w:textAlignment w:val="baseline"/>
              <w:rPr>
                <w:rFonts w:ascii="Times New Roman" w:eastAsia="Times New Roman" w:hAnsi="Times New Roman" w:cs="Times New Roman"/>
                <w:sz w:val="24"/>
                <w:szCs w:val="24"/>
                <w:lang w:eastAsia="en-AU"/>
              </w:rPr>
            </w:pPr>
            <w:r w:rsidRPr="005D6C55">
              <w:rPr>
                <w:rFonts w:ascii="Verdana" w:eastAsia="Times New Roman" w:hAnsi="Verdana" w:cs="Times New Roman"/>
                <w:sz w:val="18"/>
                <w:szCs w:val="18"/>
                <w:lang w:eastAsia="en-AU"/>
              </w:rPr>
              <w:t> </w:t>
            </w:r>
          </w:p>
        </w:tc>
      </w:tr>
      <w:tr w:rsidR="00C07143" w:rsidRPr="005D6C55" w14:paraId="5ACA43D4" w14:textId="77777777">
        <w:trPr>
          <w:trHeight w:val="300"/>
        </w:trPr>
        <w:tc>
          <w:tcPr>
            <w:tcW w:w="4500" w:type="dxa"/>
            <w:tcBorders>
              <w:top w:val="single" w:sz="6" w:space="0" w:color="000000"/>
              <w:left w:val="nil"/>
              <w:bottom w:val="single" w:sz="6" w:space="0" w:color="000000"/>
              <w:right w:val="nil"/>
            </w:tcBorders>
            <w:hideMark/>
          </w:tcPr>
          <w:p w14:paraId="3A292F2A" w14:textId="77777777" w:rsidR="00C07143" w:rsidRPr="000E355C" w:rsidRDefault="00C07143" w:rsidP="00B64A7D">
            <w:pPr>
              <w:pStyle w:val="ListParagraph"/>
              <w:numPr>
                <w:ilvl w:val="0"/>
                <w:numId w:val="18"/>
              </w:numPr>
              <w:spacing w:after="0" w:line="240" w:lineRule="auto"/>
              <w:textAlignment w:val="baseline"/>
              <w:rPr>
                <w:rFonts w:ascii="Verdana" w:eastAsia="Times New Roman" w:hAnsi="Verdana" w:cs="Times New Roman"/>
                <w:kern w:val="0"/>
                <w:sz w:val="18"/>
                <w:szCs w:val="18"/>
                <w:lang w:eastAsia="en-AU"/>
                <w14:ligatures w14:val="none"/>
              </w:rPr>
            </w:pPr>
            <w:r w:rsidRPr="000E355C">
              <w:rPr>
                <w:rFonts w:ascii="Verdana" w:eastAsia="Times New Roman" w:hAnsi="Verdana" w:cs="Times New Roman"/>
                <w:kern w:val="0"/>
                <w:sz w:val="18"/>
                <w:szCs w:val="18"/>
                <w:lang w:eastAsia="en-AU"/>
                <w14:ligatures w14:val="none"/>
              </w:rPr>
              <w:t>Reduced exposure to exploitative behaviours that result in transfers to poorer educational experiences  </w:t>
            </w:r>
          </w:p>
          <w:p w14:paraId="59034343" w14:textId="77777777" w:rsidR="00C07143" w:rsidRPr="006D72A5" w:rsidRDefault="00C07143" w:rsidP="00B64A7D">
            <w:pPr>
              <w:pStyle w:val="ListParagraph"/>
              <w:numPr>
                <w:ilvl w:val="0"/>
                <w:numId w:val="18"/>
              </w:numPr>
              <w:spacing w:after="0" w:line="240" w:lineRule="auto"/>
              <w:textAlignment w:val="baseline"/>
              <w:rPr>
                <w:rFonts w:ascii="Verdana" w:eastAsia="Times New Roman" w:hAnsi="Verdana" w:cs="Times New Roman"/>
                <w:kern w:val="0"/>
                <w:sz w:val="18"/>
                <w:szCs w:val="18"/>
                <w:lang w:eastAsia="en-AU"/>
                <w14:ligatures w14:val="none"/>
              </w:rPr>
            </w:pPr>
            <w:r w:rsidRPr="006D72A5">
              <w:rPr>
                <w:rFonts w:ascii="Verdana" w:eastAsia="Times New Roman" w:hAnsi="Verdana" w:cs="Times New Roman"/>
                <w:kern w:val="0"/>
                <w:sz w:val="18"/>
                <w:szCs w:val="18"/>
                <w:lang w:eastAsia="en-AU"/>
                <w14:ligatures w14:val="none"/>
              </w:rPr>
              <w:t>Peace of mind engaging agents in the transfers process  </w:t>
            </w:r>
          </w:p>
        </w:tc>
        <w:tc>
          <w:tcPr>
            <w:tcW w:w="4500" w:type="dxa"/>
            <w:tcBorders>
              <w:top w:val="single" w:sz="6" w:space="0" w:color="000000"/>
              <w:left w:val="nil"/>
              <w:bottom w:val="single" w:sz="6" w:space="0" w:color="000000"/>
              <w:right w:val="nil"/>
            </w:tcBorders>
            <w:hideMark/>
          </w:tcPr>
          <w:p w14:paraId="6D38357B" w14:textId="77777777" w:rsidR="00C07143" w:rsidRPr="00FB1D8E" w:rsidRDefault="00C07143" w:rsidP="00B64A7D">
            <w:pPr>
              <w:numPr>
                <w:ilvl w:val="0"/>
                <w:numId w:val="17"/>
              </w:numPr>
              <w:spacing w:after="0" w:line="240" w:lineRule="auto"/>
              <w:textAlignment w:val="baseline"/>
              <w:rPr>
                <w:rFonts w:ascii="Verdana" w:eastAsia="Times New Roman" w:hAnsi="Verdana" w:cs="Times New Roman"/>
                <w:sz w:val="18"/>
                <w:szCs w:val="18"/>
                <w:lang w:eastAsia="en-AU"/>
              </w:rPr>
            </w:pPr>
            <w:r w:rsidRPr="00FB1D8E">
              <w:rPr>
                <w:rFonts w:ascii="Verdana" w:eastAsia="Times New Roman" w:hAnsi="Verdana" w:cs="Times New Roman"/>
                <w:sz w:val="18"/>
                <w:szCs w:val="18"/>
                <w:lang w:eastAsia="en-AU"/>
              </w:rPr>
              <w:t>Lost utility in transferring to a better matched course and/or provider  </w:t>
            </w:r>
          </w:p>
          <w:p w14:paraId="2068AF37" w14:textId="77777777" w:rsidR="00C07143" w:rsidRPr="00FB1D8E" w:rsidRDefault="00C07143" w:rsidP="00B64A7D">
            <w:pPr>
              <w:numPr>
                <w:ilvl w:val="0"/>
                <w:numId w:val="17"/>
              </w:numPr>
              <w:spacing w:after="0" w:line="240" w:lineRule="auto"/>
              <w:textAlignment w:val="baseline"/>
              <w:rPr>
                <w:rFonts w:ascii="Verdana" w:eastAsia="Times New Roman" w:hAnsi="Verdana" w:cs="Times New Roman"/>
                <w:sz w:val="18"/>
                <w:szCs w:val="18"/>
                <w:lang w:eastAsia="en-AU"/>
              </w:rPr>
            </w:pPr>
            <w:r w:rsidRPr="00FB1D8E">
              <w:rPr>
                <w:rFonts w:ascii="Verdana" w:eastAsia="Times New Roman" w:hAnsi="Verdana" w:cs="Times New Roman"/>
                <w:sz w:val="18"/>
                <w:szCs w:val="18"/>
                <w:lang w:eastAsia="en-AU"/>
              </w:rPr>
              <w:t>Administrative costs and burdens for proceeding with a transfer without agent support  </w:t>
            </w:r>
          </w:p>
          <w:p w14:paraId="6B168A73" w14:textId="77777777" w:rsidR="00C07143" w:rsidRPr="006D72A5" w:rsidRDefault="00C07143" w:rsidP="00B64A7D">
            <w:pPr>
              <w:numPr>
                <w:ilvl w:val="0"/>
                <w:numId w:val="17"/>
              </w:numPr>
              <w:spacing w:after="0" w:line="240" w:lineRule="auto"/>
              <w:textAlignment w:val="baseline"/>
              <w:rPr>
                <w:rFonts w:ascii="Verdana" w:eastAsia="Times New Roman" w:hAnsi="Verdana" w:cs="Times New Roman"/>
                <w:sz w:val="18"/>
                <w:szCs w:val="18"/>
                <w:lang w:eastAsia="en-AU"/>
              </w:rPr>
            </w:pPr>
            <w:r w:rsidRPr="006D72A5">
              <w:rPr>
                <w:rFonts w:ascii="Verdana" w:eastAsia="Times New Roman" w:hAnsi="Verdana" w:cs="Times New Roman"/>
                <w:b/>
                <w:bCs/>
                <w:sz w:val="18"/>
                <w:szCs w:val="18"/>
                <w:lang w:eastAsia="en-AU"/>
              </w:rPr>
              <w:t>Potential increase in costs in paying a fee for agent transfer services</w:t>
            </w:r>
          </w:p>
        </w:tc>
      </w:tr>
    </w:tbl>
    <w:p w14:paraId="1C990524" w14:textId="77777777" w:rsidR="00C07143" w:rsidRDefault="00C07143" w:rsidP="00C07143">
      <w:pPr>
        <w:spacing w:line="276" w:lineRule="auto"/>
        <w:rPr>
          <w:rFonts w:cstheme="majorHAnsi"/>
        </w:rPr>
      </w:pPr>
    </w:p>
    <w:p w14:paraId="356709D9" w14:textId="77777777" w:rsidR="00C07143" w:rsidRDefault="00C07143" w:rsidP="00C07143">
      <w:pPr>
        <w:spacing w:line="276" w:lineRule="auto"/>
        <w:rPr>
          <w:rFonts w:cstheme="majorHAnsi"/>
        </w:rPr>
      </w:pPr>
      <w:r w:rsidRPr="00544BAB">
        <w:rPr>
          <w:rFonts w:cstheme="majorHAnsi"/>
        </w:rPr>
        <w:t>See Appendix A for the analytical approach to quantifying the costs and benefits.</w:t>
      </w:r>
    </w:p>
    <w:p w14:paraId="4CF1A685" w14:textId="77777777" w:rsidR="00C07143" w:rsidRPr="00BF6C6C" w:rsidRDefault="00C07143" w:rsidP="00C07143">
      <w:pPr>
        <w:pStyle w:val="Heading4"/>
      </w:pPr>
      <w:bookmarkStart w:id="22" w:name="_Toc218778647"/>
      <w:r w:rsidRPr="00BF6C6C">
        <w:t>Results</w:t>
      </w:r>
      <w:bookmarkEnd w:id="22"/>
      <w:r w:rsidRPr="00BF6C6C">
        <w:t>   </w:t>
      </w:r>
    </w:p>
    <w:p w14:paraId="6D8E0A3D" w14:textId="02092107" w:rsidR="00C07143" w:rsidRPr="00BF6C6C" w:rsidRDefault="00C07143" w:rsidP="00C07143">
      <w:pPr>
        <w:spacing w:line="276" w:lineRule="auto"/>
        <w:rPr>
          <w:rFonts w:cstheme="majorHAnsi"/>
        </w:rPr>
      </w:pPr>
      <w:r w:rsidRPr="00BF6C6C">
        <w:rPr>
          <w:rFonts w:cstheme="majorHAnsi"/>
        </w:rPr>
        <w:t xml:space="preserve">Relying on the approach outlined in </w:t>
      </w:r>
      <w:r>
        <w:rPr>
          <w:rFonts w:cstheme="majorHAnsi"/>
        </w:rPr>
        <w:t>Appendix A</w:t>
      </w:r>
      <w:r w:rsidRPr="00BF6C6C">
        <w:rPr>
          <w:rFonts w:cstheme="majorHAnsi"/>
        </w:rPr>
        <w:t>, this modelling estimates a net benefit of $26.</w:t>
      </w:r>
      <w:r w:rsidR="0073689B" w:rsidRPr="00BF6C6C">
        <w:rPr>
          <w:rFonts w:cstheme="majorHAnsi"/>
        </w:rPr>
        <w:t>7</w:t>
      </w:r>
      <w:r w:rsidR="0073689B">
        <w:rPr>
          <w:rFonts w:cstheme="majorHAnsi"/>
        </w:rPr>
        <w:t> </w:t>
      </w:r>
      <w:r w:rsidRPr="00BF6C6C">
        <w:rPr>
          <w:rFonts w:cstheme="majorHAnsi"/>
        </w:rPr>
        <w:t>million from the prohibition of payment of agent commission for onshore transfers (present</w:t>
      </w:r>
      <w:r w:rsidR="0073689B">
        <w:rPr>
          <w:rFonts w:cstheme="majorHAnsi"/>
        </w:rPr>
        <w:t> </w:t>
      </w:r>
      <w:r w:rsidRPr="00BF6C6C">
        <w:rPr>
          <w:rFonts w:cstheme="majorHAnsi"/>
        </w:rPr>
        <w:t>value terms from 2025 to 2034, with a 7% real discount rate). This represents the differential between total quantified benefits of $122.2 million and total quantified costs $95.5</w:t>
      </w:r>
      <w:r w:rsidR="0073689B">
        <w:rPr>
          <w:rFonts w:cstheme="majorHAnsi"/>
        </w:rPr>
        <w:t> </w:t>
      </w:r>
      <w:r w:rsidRPr="00BF6C6C">
        <w:rPr>
          <w:rFonts w:cstheme="majorHAnsi"/>
        </w:rPr>
        <w:t>million</w:t>
      </w:r>
      <w:r>
        <w:rPr>
          <w:rFonts w:cstheme="majorHAnsi"/>
        </w:rPr>
        <w:t xml:space="preserve"> (Table</w:t>
      </w:r>
      <w:r w:rsidR="00D61CD2" w:rsidDel="00D61CD2">
        <w:rPr>
          <w:rFonts w:cstheme="majorHAnsi"/>
        </w:rPr>
        <w:t xml:space="preserve"> </w:t>
      </w:r>
      <w:r>
        <w:rPr>
          <w:rFonts w:cstheme="majorHAnsi"/>
        </w:rPr>
        <w:t>2)</w:t>
      </w:r>
      <w:r w:rsidR="00CD5590" w:rsidRPr="00BF6C6C">
        <w:rPr>
          <w:rFonts w:cstheme="majorHAnsi"/>
        </w:rPr>
        <w:t xml:space="preserve">. </w:t>
      </w:r>
    </w:p>
    <w:p w14:paraId="7D2BC2C3" w14:textId="777AC97E" w:rsidR="00C07143" w:rsidRPr="00BF6C6C" w:rsidRDefault="00C07143" w:rsidP="00C07143">
      <w:pPr>
        <w:spacing w:line="276" w:lineRule="auto"/>
        <w:rPr>
          <w:rFonts w:cstheme="majorHAnsi"/>
        </w:rPr>
      </w:pPr>
      <w:r w:rsidRPr="00BF6C6C">
        <w:rPr>
          <w:rFonts w:cstheme="majorHAnsi"/>
        </w:rPr>
        <w:t>It is noted that there are large economic transfers between providers</w:t>
      </w:r>
      <w:r w:rsidR="001C779C">
        <w:rPr>
          <w:rFonts w:cstheme="majorHAnsi"/>
        </w:rPr>
        <w:t>,</w:t>
      </w:r>
      <w:r w:rsidR="006774B9">
        <w:rPr>
          <w:rFonts w:cstheme="majorHAnsi"/>
        </w:rPr>
        <w:t xml:space="preserve"> related to </w:t>
      </w:r>
      <w:r w:rsidR="001C779C">
        <w:rPr>
          <w:rFonts w:cstheme="majorHAnsi"/>
        </w:rPr>
        <w:t xml:space="preserve">onshore </w:t>
      </w:r>
      <w:r w:rsidR="006774B9">
        <w:rPr>
          <w:rFonts w:cstheme="majorHAnsi"/>
        </w:rPr>
        <w:t xml:space="preserve">student </w:t>
      </w:r>
      <w:r w:rsidRPr="00BF6C6C">
        <w:rPr>
          <w:rFonts w:cstheme="majorHAnsi"/>
        </w:rPr>
        <w:t xml:space="preserve">transfers. This modelling assumes a third of student transfers no longer go ahead, with this expected </w:t>
      </w:r>
      <w:r w:rsidRPr="00BF6C6C">
        <w:rPr>
          <w:rFonts w:cstheme="majorHAnsi"/>
        </w:rPr>
        <w:lastRenderedPageBreak/>
        <w:t>to be worth over $450 million in student fees among providers over 10 years. This transfer is not captured in the net results. </w:t>
      </w:r>
    </w:p>
    <w:p w14:paraId="12DBB5BE" w14:textId="777EFA36" w:rsidR="00C07143" w:rsidRPr="00BF6C6C" w:rsidRDefault="00C07143" w:rsidP="00C07143">
      <w:pPr>
        <w:spacing w:line="276" w:lineRule="auto"/>
        <w:rPr>
          <w:rFonts w:cstheme="majorHAnsi"/>
        </w:rPr>
      </w:pPr>
      <w:r w:rsidRPr="00BF6C6C">
        <w:rPr>
          <w:rFonts w:cstheme="majorHAnsi"/>
        </w:rPr>
        <w:t>The</w:t>
      </w:r>
      <w:r w:rsidR="00CE1607">
        <w:rPr>
          <w:rFonts w:cstheme="majorHAnsi"/>
        </w:rPr>
        <w:t xml:space="preserve"> </w:t>
      </w:r>
      <w:r w:rsidRPr="00BF6C6C">
        <w:rPr>
          <w:rFonts w:cstheme="majorHAnsi"/>
        </w:rPr>
        <w:t xml:space="preserve">regulatory burden introduced by the policy is estimated to include all incremental </w:t>
      </w:r>
      <w:r w:rsidR="00CE1607">
        <w:rPr>
          <w:rFonts w:cstheme="majorHAnsi"/>
        </w:rPr>
        <w:t xml:space="preserve">administrative and substantive compliance </w:t>
      </w:r>
      <w:r w:rsidRPr="00BF6C6C">
        <w:rPr>
          <w:rFonts w:cstheme="majorHAnsi"/>
        </w:rPr>
        <w:t>costs to businesses and individuals but exclude government costs. The</w:t>
      </w:r>
      <w:r w:rsidR="00BF59D3">
        <w:rPr>
          <w:rFonts w:cstheme="majorHAnsi"/>
        </w:rPr>
        <w:t> </w:t>
      </w:r>
      <w:r w:rsidRPr="00BF6C6C">
        <w:rPr>
          <w:rFonts w:cstheme="majorHAnsi"/>
        </w:rPr>
        <w:t>regulatory burden is estimated to be $91.</w:t>
      </w:r>
      <w:r w:rsidR="0013381F">
        <w:rPr>
          <w:rFonts w:cstheme="majorHAnsi"/>
        </w:rPr>
        <w:t>8</w:t>
      </w:r>
      <w:r w:rsidRPr="00BF6C6C">
        <w:rPr>
          <w:rFonts w:cstheme="majorHAnsi"/>
        </w:rPr>
        <w:t xml:space="preserve"> million. </w:t>
      </w:r>
    </w:p>
    <w:p w14:paraId="35A0B07A" w14:textId="05257858" w:rsidR="00E1412C" w:rsidRPr="00BF6C6C" w:rsidRDefault="00E1412C" w:rsidP="00E1412C">
      <w:pPr>
        <w:spacing w:after="0" w:line="240" w:lineRule="auto"/>
        <w:textAlignment w:val="baseline"/>
        <w:rPr>
          <w:rFonts w:ascii="Verdana" w:eastAsia="Times New Roman" w:hAnsi="Verdana" w:cs="Segoe UI"/>
          <w:color w:val="75787B"/>
          <w:sz w:val="17"/>
          <w:szCs w:val="17"/>
          <w:lang w:eastAsia="en-AU"/>
        </w:rPr>
      </w:pPr>
      <w:r>
        <w:rPr>
          <w:rFonts w:ascii="Verdana" w:eastAsia="Times New Roman" w:hAnsi="Verdana" w:cs="Segoe UI"/>
          <w:color w:val="75787B"/>
          <w:sz w:val="17"/>
          <w:szCs w:val="17"/>
          <w:lang w:eastAsia="en-AU"/>
        </w:rPr>
        <w:t>Table 2</w:t>
      </w:r>
      <w:r w:rsidRPr="00BF6C6C">
        <w:rPr>
          <w:rFonts w:ascii="Verdana" w:eastAsia="Times New Roman" w:hAnsi="Verdana" w:cs="Segoe UI"/>
          <w:color w:val="75787B"/>
          <w:sz w:val="17"/>
          <w:szCs w:val="17"/>
          <w:lang w:eastAsia="en-AU"/>
        </w:rPr>
        <w:t xml:space="preserve">: </w:t>
      </w:r>
      <w:r w:rsidR="009719A5">
        <w:rPr>
          <w:rFonts w:ascii="Verdana" w:eastAsia="Times New Roman" w:hAnsi="Verdana" w:cs="Segoe UI"/>
          <w:color w:val="75787B"/>
          <w:sz w:val="17"/>
          <w:szCs w:val="17"/>
          <w:lang w:eastAsia="en-AU"/>
        </w:rPr>
        <w:t>Annual r</w:t>
      </w:r>
      <w:r w:rsidR="006413F8">
        <w:rPr>
          <w:rFonts w:ascii="Verdana" w:eastAsia="Times New Roman" w:hAnsi="Verdana" w:cs="Segoe UI"/>
          <w:color w:val="75787B"/>
          <w:sz w:val="17"/>
          <w:szCs w:val="17"/>
          <w:lang w:eastAsia="en-AU"/>
        </w:rPr>
        <w:t>egulatory burden estimate (RBE) table</w:t>
      </w:r>
      <w:r w:rsidR="00D242B8">
        <w:rPr>
          <w:rFonts w:ascii="Verdana" w:eastAsia="Times New Roman" w:hAnsi="Verdana" w:cs="Segoe UI"/>
          <w:color w:val="75787B"/>
          <w:sz w:val="17"/>
          <w:szCs w:val="17"/>
          <w:lang w:eastAsia="en-AU"/>
        </w:rPr>
        <w:t xml:space="preserve"> for Option 3</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275"/>
        <w:gridCol w:w="2268"/>
        <w:gridCol w:w="1843"/>
        <w:gridCol w:w="1938"/>
      </w:tblGrid>
      <w:tr w:rsidR="008D52E6" w:rsidRPr="00BF6C6C" w14:paraId="7EC776DC" w14:textId="199A96F8" w:rsidTr="002A7AB9">
        <w:trPr>
          <w:trHeight w:val="300"/>
        </w:trPr>
        <w:tc>
          <w:tcPr>
            <w:tcW w:w="5245" w:type="dxa"/>
            <w:gridSpan w:val="3"/>
            <w:tcBorders>
              <w:top w:val="single" w:sz="24" w:space="0" w:color="62B5E5"/>
              <w:left w:val="nil"/>
              <w:bottom w:val="single" w:sz="6" w:space="0" w:color="000000"/>
              <w:right w:val="nil"/>
            </w:tcBorders>
          </w:tcPr>
          <w:p w14:paraId="5D6ECD51" w14:textId="161E6101" w:rsidR="008D52E6" w:rsidRPr="00BF6C6C" w:rsidRDefault="00270EB4" w:rsidP="00E27ED3">
            <w:pPr>
              <w:spacing w:after="0" w:line="240" w:lineRule="auto"/>
              <w:ind w:left="45"/>
              <w:textAlignment w:val="baseline"/>
              <w:rPr>
                <w:rFonts w:ascii="Verdana" w:eastAsia="Times New Roman" w:hAnsi="Verdana" w:cs="Times New Roman"/>
                <w:b/>
                <w:bCs/>
                <w:sz w:val="16"/>
                <w:szCs w:val="16"/>
                <w:lang w:eastAsia="en-AU"/>
              </w:rPr>
            </w:pPr>
            <w:r w:rsidRPr="00E27ED3">
              <w:rPr>
                <w:rFonts w:ascii="Verdana" w:eastAsia="Times New Roman" w:hAnsi="Verdana" w:cs="Times New Roman"/>
                <w:sz w:val="16"/>
                <w:szCs w:val="16"/>
                <w:lang w:eastAsia="en-AU"/>
              </w:rPr>
              <w:t>Average annual regulatory cost (from business as usual)</w:t>
            </w:r>
          </w:p>
        </w:tc>
        <w:tc>
          <w:tcPr>
            <w:tcW w:w="1843" w:type="dxa"/>
            <w:tcBorders>
              <w:top w:val="single" w:sz="24" w:space="0" w:color="62B5E5"/>
              <w:left w:val="nil"/>
              <w:bottom w:val="single" w:sz="6" w:space="0" w:color="000000"/>
              <w:right w:val="nil"/>
            </w:tcBorders>
          </w:tcPr>
          <w:p w14:paraId="39A9ADA7" w14:textId="77777777" w:rsidR="00F36C98" w:rsidRPr="00F36C98" w:rsidRDefault="00F36C98" w:rsidP="00270EB4">
            <w:pPr>
              <w:spacing w:after="0" w:line="240" w:lineRule="auto"/>
              <w:ind w:left="45"/>
              <w:textAlignment w:val="baseline"/>
              <w:rPr>
                <w:rFonts w:ascii="Verdana" w:eastAsia="Times New Roman" w:hAnsi="Verdana" w:cs="Times New Roman"/>
                <w:sz w:val="16"/>
                <w:szCs w:val="16"/>
                <w:lang w:eastAsia="en-AU"/>
              </w:rPr>
            </w:pPr>
          </w:p>
        </w:tc>
        <w:tc>
          <w:tcPr>
            <w:tcW w:w="1938" w:type="dxa"/>
            <w:tcBorders>
              <w:top w:val="single" w:sz="24" w:space="0" w:color="62B5E5"/>
              <w:left w:val="nil"/>
              <w:bottom w:val="single" w:sz="6" w:space="0" w:color="000000"/>
              <w:right w:val="nil"/>
            </w:tcBorders>
          </w:tcPr>
          <w:p w14:paraId="45C43376" w14:textId="77777777" w:rsidR="00966B72" w:rsidRPr="00F36C98" w:rsidRDefault="00966B72" w:rsidP="00270EB4">
            <w:pPr>
              <w:spacing w:after="0" w:line="240" w:lineRule="auto"/>
              <w:ind w:left="45"/>
              <w:textAlignment w:val="baseline"/>
              <w:rPr>
                <w:rFonts w:ascii="Verdana" w:eastAsia="Times New Roman" w:hAnsi="Verdana" w:cs="Times New Roman"/>
                <w:sz w:val="16"/>
                <w:szCs w:val="16"/>
                <w:lang w:eastAsia="en-AU"/>
              </w:rPr>
            </w:pPr>
          </w:p>
        </w:tc>
      </w:tr>
      <w:tr w:rsidR="00B5356A" w:rsidRPr="00BF6C6C" w14:paraId="7B4D6E67" w14:textId="77777777" w:rsidTr="002A7AB9">
        <w:trPr>
          <w:trHeight w:val="300"/>
        </w:trPr>
        <w:tc>
          <w:tcPr>
            <w:tcW w:w="1702" w:type="dxa"/>
            <w:tcBorders>
              <w:top w:val="single" w:sz="24" w:space="0" w:color="62B5E5"/>
              <w:left w:val="nil"/>
              <w:bottom w:val="single" w:sz="6" w:space="0" w:color="000000"/>
              <w:right w:val="nil"/>
            </w:tcBorders>
            <w:hideMark/>
          </w:tcPr>
          <w:p w14:paraId="7C84B0DF" w14:textId="451B3B47" w:rsidR="006413F8" w:rsidRPr="00E27ED3" w:rsidRDefault="006413F8">
            <w:pPr>
              <w:spacing w:after="0" w:line="240" w:lineRule="auto"/>
              <w:ind w:left="45"/>
              <w:textAlignment w:val="baseline"/>
              <w:rPr>
                <w:rFonts w:ascii="Verdana" w:eastAsia="Times New Roman" w:hAnsi="Verdana" w:cs="Times New Roman"/>
                <w:sz w:val="16"/>
                <w:szCs w:val="16"/>
                <w:lang w:eastAsia="en-AU"/>
              </w:rPr>
            </w:pPr>
          </w:p>
        </w:tc>
        <w:tc>
          <w:tcPr>
            <w:tcW w:w="1275" w:type="dxa"/>
            <w:tcBorders>
              <w:top w:val="single" w:sz="24" w:space="0" w:color="62B5E5"/>
              <w:left w:val="nil"/>
              <w:bottom w:val="single" w:sz="6" w:space="0" w:color="000000"/>
              <w:right w:val="nil"/>
            </w:tcBorders>
            <w:hideMark/>
          </w:tcPr>
          <w:p w14:paraId="09826735" w14:textId="34950C64" w:rsidR="006413F8" w:rsidRPr="00E27ED3" w:rsidRDefault="00270EB4" w:rsidP="002A7AB9">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b/>
                <w:bCs/>
                <w:sz w:val="16"/>
                <w:szCs w:val="16"/>
                <w:lang w:eastAsia="en-AU"/>
              </w:rPr>
              <w:t>Business</w:t>
            </w:r>
            <w:r w:rsidR="006413F8" w:rsidRPr="00270EB4">
              <w:rPr>
                <w:rFonts w:ascii="Verdana" w:eastAsia="Times New Roman" w:hAnsi="Verdana" w:cs="Times New Roman"/>
                <w:b/>
                <w:bCs/>
                <w:sz w:val="16"/>
                <w:szCs w:val="16"/>
                <w:lang w:eastAsia="en-AU"/>
              </w:rPr>
              <w:t> </w:t>
            </w:r>
            <w:r w:rsidR="006413F8" w:rsidRPr="00270EB4">
              <w:rPr>
                <w:rFonts w:ascii="Verdana" w:eastAsia="Times New Roman" w:hAnsi="Verdana" w:cs="Times New Roman"/>
                <w:sz w:val="16"/>
                <w:szCs w:val="16"/>
                <w:lang w:eastAsia="en-AU"/>
              </w:rPr>
              <w:t> </w:t>
            </w:r>
          </w:p>
        </w:tc>
        <w:tc>
          <w:tcPr>
            <w:tcW w:w="2268" w:type="dxa"/>
            <w:tcBorders>
              <w:top w:val="single" w:sz="24" w:space="0" w:color="62B5E5"/>
              <w:left w:val="nil"/>
              <w:bottom w:val="single" w:sz="6" w:space="0" w:color="000000"/>
              <w:right w:val="nil"/>
            </w:tcBorders>
            <w:hideMark/>
          </w:tcPr>
          <w:p w14:paraId="6ABE0A08" w14:textId="4C4B7B7F" w:rsidR="006413F8" w:rsidRPr="00E27ED3" w:rsidRDefault="00B57AD9" w:rsidP="002A7AB9">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b/>
                <w:bCs/>
                <w:sz w:val="16"/>
                <w:szCs w:val="16"/>
                <w:lang w:eastAsia="en-AU"/>
              </w:rPr>
              <w:t xml:space="preserve">Community </w:t>
            </w:r>
            <w:r w:rsidR="00F36C98">
              <w:rPr>
                <w:rFonts w:ascii="Verdana" w:eastAsia="Times New Roman" w:hAnsi="Verdana" w:cs="Times New Roman"/>
                <w:b/>
                <w:bCs/>
                <w:sz w:val="16"/>
                <w:szCs w:val="16"/>
                <w:lang w:eastAsia="en-AU"/>
              </w:rPr>
              <w:t>organisations</w:t>
            </w:r>
            <w:r w:rsidR="006413F8" w:rsidRPr="00270EB4">
              <w:rPr>
                <w:rFonts w:ascii="Verdana" w:eastAsia="Times New Roman" w:hAnsi="Verdana" w:cs="Times New Roman"/>
                <w:sz w:val="16"/>
                <w:szCs w:val="16"/>
                <w:lang w:eastAsia="en-AU"/>
              </w:rPr>
              <w:t> </w:t>
            </w:r>
          </w:p>
        </w:tc>
        <w:tc>
          <w:tcPr>
            <w:tcW w:w="1843" w:type="dxa"/>
            <w:tcBorders>
              <w:top w:val="single" w:sz="24" w:space="0" w:color="62B5E5"/>
              <w:left w:val="nil"/>
              <w:bottom w:val="single" w:sz="6" w:space="0" w:color="000000"/>
              <w:right w:val="nil"/>
            </w:tcBorders>
          </w:tcPr>
          <w:p w14:paraId="30F25543" w14:textId="6930C57B" w:rsidR="00F36C98" w:rsidRDefault="00966B72" w:rsidP="00AE1EC4">
            <w:pPr>
              <w:spacing w:after="0" w:line="240" w:lineRule="auto"/>
              <w:ind w:left="45"/>
              <w:jc w:val="right"/>
              <w:textAlignment w:val="baseline"/>
              <w:rPr>
                <w:rFonts w:ascii="Verdana" w:eastAsia="Times New Roman" w:hAnsi="Verdana" w:cs="Times New Roman"/>
                <w:b/>
                <w:bCs/>
                <w:sz w:val="16"/>
                <w:szCs w:val="16"/>
                <w:lang w:eastAsia="en-AU"/>
              </w:rPr>
            </w:pPr>
            <w:r>
              <w:rPr>
                <w:rFonts w:ascii="Verdana" w:eastAsia="Times New Roman" w:hAnsi="Verdana" w:cs="Times New Roman"/>
                <w:b/>
                <w:bCs/>
                <w:sz w:val="16"/>
                <w:szCs w:val="16"/>
                <w:lang w:eastAsia="en-AU"/>
              </w:rPr>
              <w:t>Individuals</w:t>
            </w:r>
          </w:p>
        </w:tc>
        <w:tc>
          <w:tcPr>
            <w:tcW w:w="1938" w:type="dxa"/>
            <w:tcBorders>
              <w:top w:val="single" w:sz="24" w:space="0" w:color="62B5E5"/>
              <w:left w:val="nil"/>
              <w:bottom w:val="single" w:sz="6" w:space="0" w:color="000000"/>
              <w:right w:val="nil"/>
            </w:tcBorders>
          </w:tcPr>
          <w:p w14:paraId="24C8D9D8" w14:textId="1F7FB0D5" w:rsidR="00966B72" w:rsidRDefault="00D242B8" w:rsidP="00AE1EC4">
            <w:pPr>
              <w:spacing w:after="0" w:line="240" w:lineRule="auto"/>
              <w:ind w:left="45"/>
              <w:jc w:val="right"/>
              <w:textAlignment w:val="baseline"/>
              <w:rPr>
                <w:rFonts w:ascii="Verdana" w:eastAsia="Times New Roman" w:hAnsi="Verdana" w:cs="Times New Roman"/>
                <w:b/>
                <w:bCs/>
                <w:sz w:val="16"/>
                <w:szCs w:val="16"/>
                <w:lang w:eastAsia="en-AU"/>
              </w:rPr>
            </w:pPr>
            <w:r>
              <w:rPr>
                <w:rFonts w:ascii="Verdana" w:eastAsia="Times New Roman" w:hAnsi="Verdana" w:cs="Times New Roman"/>
                <w:b/>
                <w:bCs/>
                <w:sz w:val="16"/>
                <w:szCs w:val="16"/>
                <w:lang w:eastAsia="en-AU"/>
              </w:rPr>
              <w:t>Total change in costs</w:t>
            </w:r>
          </w:p>
        </w:tc>
      </w:tr>
      <w:tr w:rsidR="00B5356A" w:rsidRPr="00BF6C6C" w14:paraId="67A3FCF7" w14:textId="77777777" w:rsidTr="002A7AB9">
        <w:trPr>
          <w:trHeight w:val="300"/>
        </w:trPr>
        <w:tc>
          <w:tcPr>
            <w:tcW w:w="1702" w:type="dxa"/>
            <w:tcBorders>
              <w:top w:val="single" w:sz="6" w:space="0" w:color="000000"/>
              <w:left w:val="nil"/>
              <w:bottom w:val="single" w:sz="6" w:space="0" w:color="000000"/>
              <w:right w:val="nil"/>
            </w:tcBorders>
            <w:shd w:val="clear" w:color="auto" w:fill="DFF0F9"/>
          </w:tcPr>
          <w:p w14:paraId="476BC2BB" w14:textId="77777777" w:rsidR="007B0306" w:rsidRDefault="00792400" w:rsidP="006413F8">
            <w:pPr>
              <w:spacing w:after="0" w:line="240" w:lineRule="auto"/>
              <w:ind w:left="45"/>
              <w:textAlignment w:val="baseline"/>
              <w:rPr>
                <w:rFonts w:ascii="Verdana" w:eastAsia="Times New Roman" w:hAnsi="Verdana" w:cs="Times New Roman"/>
                <w:sz w:val="16"/>
                <w:szCs w:val="16"/>
                <w:lang w:eastAsia="en-AU"/>
              </w:rPr>
            </w:pPr>
            <w:r w:rsidRPr="002D657F">
              <w:rPr>
                <w:rFonts w:ascii="Verdana" w:eastAsia="Times New Roman" w:hAnsi="Verdana" w:cs="Times New Roman"/>
                <w:sz w:val="16"/>
                <w:szCs w:val="16"/>
                <w:lang w:eastAsia="en-AU"/>
              </w:rPr>
              <w:t xml:space="preserve">Change in costs </w:t>
            </w:r>
          </w:p>
          <w:p w14:paraId="6112CB4E" w14:textId="33726A7B" w:rsidR="00792400" w:rsidRDefault="00792400" w:rsidP="006413F8">
            <w:pPr>
              <w:spacing w:after="0" w:line="240" w:lineRule="auto"/>
              <w:ind w:left="45"/>
              <w:textAlignment w:val="baseline"/>
              <w:rPr>
                <w:rFonts w:ascii="Verdana" w:eastAsia="Times New Roman" w:hAnsi="Verdana" w:cs="Times New Roman"/>
                <w:sz w:val="16"/>
                <w:szCs w:val="16"/>
                <w:lang w:eastAsia="en-AU"/>
              </w:rPr>
            </w:pPr>
            <w:r w:rsidRPr="002D657F">
              <w:rPr>
                <w:rFonts w:ascii="Verdana" w:eastAsia="Times New Roman" w:hAnsi="Verdana" w:cs="Times New Roman"/>
                <w:sz w:val="16"/>
                <w:szCs w:val="16"/>
                <w:lang w:eastAsia="en-AU"/>
              </w:rPr>
              <w:t>($ million)</w:t>
            </w:r>
          </w:p>
        </w:tc>
        <w:tc>
          <w:tcPr>
            <w:tcW w:w="1275" w:type="dxa"/>
            <w:tcBorders>
              <w:top w:val="single" w:sz="6" w:space="0" w:color="000000"/>
              <w:left w:val="nil"/>
              <w:bottom w:val="single" w:sz="6" w:space="0" w:color="000000"/>
              <w:right w:val="nil"/>
            </w:tcBorders>
            <w:shd w:val="clear" w:color="auto" w:fill="DFF0F9"/>
          </w:tcPr>
          <w:p w14:paraId="290E6A4C" w14:textId="17E3EFF4" w:rsidR="00792400" w:rsidRPr="00270EB4" w:rsidRDefault="00224DCC" w:rsidP="00AE1EC4">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sz w:val="16"/>
                <w:szCs w:val="16"/>
                <w:lang w:eastAsia="en-AU"/>
              </w:rPr>
              <w:t>6</w:t>
            </w:r>
            <w:r w:rsidR="00960E04">
              <w:rPr>
                <w:rFonts w:ascii="Verdana" w:eastAsia="Times New Roman" w:hAnsi="Verdana" w:cs="Times New Roman"/>
                <w:sz w:val="16"/>
                <w:szCs w:val="16"/>
                <w:lang w:eastAsia="en-AU"/>
              </w:rPr>
              <w:t>.5</w:t>
            </w:r>
            <w:r w:rsidR="002458A3">
              <w:rPr>
                <w:rFonts w:ascii="Verdana" w:eastAsia="Times New Roman" w:hAnsi="Verdana" w:cs="Times New Roman"/>
                <w:sz w:val="16"/>
                <w:szCs w:val="16"/>
                <w:lang w:eastAsia="en-AU"/>
              </w:rPr>
              <w:t>4</w:t>
            </w:r>
          </w:p>
        </w:tc>
        <w:tc>
          <w:tcPr>
            <w:tcW w:w="2268" w:type="dxa"/>
            <w:tcBorders>
              <w:top w:val="single" w:sz="6" w:space="0" w:color="000000"/>
              <w:left w:val="nil"/>
              <w:bottom w:val="single" w:sz="6" w:space="0" w:color="000000"/>
              <w:right w:val="nil"/>
            </w:tcBorders>
            <w:shd w:val="clear" w:color="auto" w:fill="DFF0F9"/>
          </w:tcPr>
          <w:p w14:paraId="29109BDC" w14:textId="2F3BEBA1" w:rsidR="00792400" w:rsidRDefault="00DB457A" w:rsidP="00AE1EC4">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sz w:val="16"/>
                <w:szCs w:val="16"/>
                <w:lang w:eastAsia="en-AU"/>
              </w:rPr>
              <w:t>0</w:t>
            </w:r>
          </w:p>
        </w:tc>
        <w:tc>
          <w:tcPr>
            <w:tcW w:w="1843" w:type="dxa"/>
            <w:tcBorders>
              <w:top w:val="single" w:sz="6" w:space="0" w:color="000000"/>
              <w:left w:val="nil"/>
              <w:bottom w:val="single" w:sz="6" w:space="0" w:color="000000"/>
              <w:right w:val="nil"/>
            </w:tcBorders>
            <w:shd w:val="clear" w:color="auto" w:fill="DFF0F9"/>
          </w:tcPr>
          <w:p w14:paraId="7D380DE0" w14:textId="7A5EB385" w:rsidR="00792400" w:rsidRDefault="00CA436E" w:rsidP="00AE1EC4">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sz w:val="16"/>
                <w:szCs w:val="16"/>
                <w:lang w:eastAsia="en-AU"/>
              </w:rPr>
              <w:t>2</w:t>
            </w:r>
            <w:r w:rsidR="00960E04">
              <w:rPr>
                <w:rFonts w:ascii="Verdana" w:eastAsia="Times New Roman" w:hAnsi="Verdana" w:cs="Times New Roman"/>
                <w:sz w:val="16"/>
                <w:szCs w:val="16"/>
                <w:lang w:eastAsia="en-AU"/>
              </w:rPr>
              <w:t>.</w:t>
            </w:r>
            <w:r w:rsidR="002458A3">
              <w:rPr>
                <w:rFonts w:ascii="Verdana" w:eastAsia="Times New Roman" w:hAnsi="Verdana" w:cs="Times New Roman"/>
                <w:sz w:val="16"/>
                <w:szCs w:val="16"/>
                <w:lang w:eastAsia="en-AU"/>
              </w:rPr>
              <w:t>6</w:t>
            </w:r>
            <w:r>
              <w:rPr>
                <w:rFonts w:ascii="Verdana" w:eastAsia="Times New Roman" w:hAnsi="Verdana" w:cs="Times New Roman"/>
                <w:sz w:val="16"/>
                <w:szCs w:val="16"/>
                <w:lang w:eastAsia="en-AU"/>
              </w:rPr>
              <w:t>4</w:t>
            </w:r>
          </w:p>
        </w:tc>
        <w:tc>
          <w:tcPr>
            <w:tcW w:w="1938" w:type="dxa"/>
            <w:tcBorders>
              <w:top w:val="single" w:sz="6" w:space="0" w:color="000000"/>
              <w:left w:val="nil"/>
              <w:bottom w:val="single" w:sz="6" w:space="0" w:color="000000"/>
              <w:right w:val="nil"/>
            </w:tcBorders>
            <w:shd w:val="clear" w:color="auto" w:fill="DFF0F9"/>
          </w:tcPr>
          <w:p w14:paraId="6A794B19" w14:textId="6E330C8E" w:rsidR="00792400" w:rsidRDefault="00BE68CC" w:rsidP="00AE1EC4">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sz w:val="16"/>
                <w:szCs w:val="16"/>
                <w:lang w:eastAsia="en-AU"/>
              </w:rPr>
              <w:t>9</w:t>
            </w:r>
            <w:r w:rsidR="000967BD">
              <w:rPr>
                <w:rFonts w:ascii="Verdana" w:eastAsia="Times New Roman" w:hAnsi="Verdana" w:cs="Times New Roman"/>
                <w:sz w:val="16"/>
                <w:szCs w:val="16"/>
                <w:lang w:eastAsia="en-AU"/>
              </w:rPr>
              <w:t>.18</w:t>
            </w:r>
          </w:p>
        </w:tc>
      </w:tr>
      <w:tr w:rsidR="009D6D68" w:rsidRPr="00BF6C6C" w14:paraId="7B49A744" w14:textId="39B24EB6" w:rsidTr="002A7AB9">
        <w:trPr>
          <w:trHeight w:val="300"/>
        </w:trPr>
        <w:tc>
          <w:tcPr>
            <w:tcW w:w="1702" w:type="dxa"/>
            <w:tcBorders>
              <w:top w:val="single" w:sz="6" w:space="0" w:color="000000"/>
              <w:left w:val="nil"/>
              <w:bottom w:val="single" w:sz="6" w:space="0" w:color="000000"/>
              <w:right w:val="nil"/>
            </w:tcBorders>
            <w:shd w:val="clear" w:color="auto" w:fill="DFF0F9"/>
            <w:hideMark/>
          </w:tcPr>
          <w:p w14:paraId="709BFC3C" w14:textId="65599560" w:rsidR="006413F8" w:rsidRPr="00E27ED3" w:rsidRDefault="00270EB4" w:rsidP="006413F8">
            <w:pPr>
              <w:spacing w:after="0" w:line="240" w:lineRule="auto"/>
              <w:ind w:left="45"/>
              <w:textAlignment w:val="baseline"/>
              <w:rPr>
                <w:rFonts w:ascii="Verdana" w:eastAsia="Times New Roman" w:hAnsi="Verdana" w:cs="Times New Roman"/>
                <w:sz w:val="16"/>
                <w:szCs w:val="16"/>
                <w:lang w:eastAsia="en-AU"/>
              </w:rPr>
            </w:pPr>
            <w:r>
              <w:rPr>
                <w:rFonts w:ascii="Verdana" w:eastAsia="Times New Roman" w:hAnsi="Verdana" w:cs="Times New Roman"/>
                <w:sz w:val="16"/>
                <w:szCs w:val="16"/>
                <w:lang w:eastAsia="en-AU"/>
              </w:rPr>
              <w:t>Total, by sector</w:t>
            </w:r>
          </w:p>
        </w:tc>
        <w:tc>
          <w:tcPr>
            <w:tcW w:w="1275" w:type="dxa"/>
            <w:tcBorders>
              <w:top w:val="single" w:sz="6" w:space="0" w:color="000000"/>
              <w:left w:val="nil"/>
              <w:bottom w:val="single" w:sz="6" w:space="0" w:color="000000"/>
              <w:right w:val="nil"/>
            </w:tcBorders>
            <w:shd w:val="clear" w:color="auto" w:fill="DFF0F9"/>
            <w:hideMark/>
          </w:tcPr>
          <w:p w14:paraId="2B2875C5" w14:textId="74FB64D5" w:rsidR="006413F8" w:rsidRPr="00E27ED3" w:rsidRDefault="00960E04" w:rsidP="002A7AB9">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sz w:val="16"/>
                <w:szCs w:val="16"/>
                <w:lang w:eastAsia="en-AU"/>
              </w:rPr>
              <w:t>6.54</w:t>
            </w:r>
          </w:p>
        </w:tc>
        <w:tc>
          <w:tcPr>
            <w:tcW w:w="2268" w:type="dxa"/>
            <w:tcBorders>
              <w:top w:val="single" w:sz="6" w:space="0" w:color="000000"/>
              <w:left w:val="nil"/>
              <w:bottom w:val="single" w:sz="6" w:space="0" w:color="000000"/>
              <w:right w:val="nil"/>
            </w:tcBorders>
            <w:shd w:val="clear" w:color="auto" w:fill="DFF0F9"/>
            <w:hideMark/>
          </w:tcPr>
          <w:p w14:paraId="4A3AD6AA" w14:textId="5E60DE04" w:rsidR="006413F8" w:rsidRPr="00E27ED3" w:rsidRDefault="00B57AD9" w:rsidP="002A7AB9">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sz w:val="16"/>
                <w:szCs w:val="16"/>
                <w:lang w:eastAsia="en-AU"/>
              </w:rPr>
              <w:t>0</w:t>
            </w:r>
          </w:p>
        </w:tc>
        <w:tc>
          <w:tcPr>
            <w:tcW w:w="1843" w:type="dxa"/>
            <w:tcBorders>
              <w:top w:val="single" w:sz="6" w:space="0" w:color="000000"/>
              <w:left w:val="nil"/>
              <w:bottom w:val="single" w:sz="6" w:space="0" w:color="000000"/>
              <w:right w:val="nil"/>
            </w:tcBorders>
            <w:shd w:val="clear" w:color="auto" w:fill="DFF0F9"/>
          </w:tcPr>
          <w:p w14:paraId="6C873C80" w14:textId="33DC4142" w:rsidR="00F36C98" w:rsidRDefault="00B31B60" w:rsidP="00AE1EC4">
            <w:pPr>
              <w:spacing w:after="0" w:line="240" w:lineRule="auto"/>
              <w:ind w:left="45"/>
              <w:jc w:val="right"/>
              <w:textAlignment w:val="baseline"/>
              <w:rPr>
                <w:rFonts w:ascii="Verdana" w:eastAsia="Times New Roman" w:hAnsi="Verdana" w:cs="Times New Roman"/>
                <w:sz w:val="16"/>
                <w:szCs w:val="16"/>
                <w:lang w:eastAsia="en-AU"/>
              </w:rPr>
            </w:pPr>
            <w:r>
              <w:rPr>
                <w:rFonts w:ascii="Verdana" w:eastAsia="Times New Roman" w:hAnsi="Verdana" w:cs="Times New Roman"/>
                <w:sz w:val="16"/>
                <w:szCs w:val="16"/>
                <w:lang w:eastAsia="en-AU"/>
              </w:rPr>
              <w:t>2</w:t>
            </w:r>
            <w:r w:rsidR="00960E04">
              <w:rPr>
                <w:rFonts w:ascii="Verdana" w:eastAsia="Times New Roman" w:hAnsi="Verdana" w:cs="Times New Roman"/>
                <w:sz w:val="16"/>
                <w:szCs w:val="16"/>
                <w:lang w:eastAsia="en-AU"/>
              </w:rPr>
              <w:t>.</w:t>
            </w:r>
            <w:r w:rsidR="002458A3">
              <w:rPr>
                <w:rFonts w:ascii="Verdana" w:eastAsia="Times New Roman" w:hAnsi="Verdana" w:cs="Times New Roman"/>
                <w:sz w:val="16"/>
                <w:szCs w:val="16"/>
                <w:lang w:eastAsia="en-AU"/>
              </w:rPr>
              <w:t>6</w:t>
            </w:r>
            <w:r>
              <w:rPr>
                <w:rFonts w:ascii="Verdana" w:eastAsia="Times New Roman" w:hAnsi="Verdana" w:cs="Times New Roman"/>
                <w:sz w:val="16"/>
                <w:szCs w:val="16"/>
                <w:lang w:eastAsia="en-AU"/>
              </w:rPr>
              <w:t>4</w:t>
            </w:r>
          </w:p>
        </w:tc>
        <w:tc>
          <w:tcPr>
            <w:tcW w:w="1938" w:type="dxa"/>
            <w:tcBorders>
              <w:top w:val="single" w:sz="6" w:space="0" w:color="000000"/>
              <w:left w:val="nil"/>
              <w:bottom w:val="single" w:sz="6" w:space="0" w:color="000000"/>
              <w:right w:val="nil"/>
            </w:tcBorders>
            <w:shd w:val="clear" w:color="auto" w:fill="DFF0F9"/>
          </w:tcPr>
          <w:p w14:paraId="21E0FD55" w14:textId="66E30E46" w:rsidR="00966B72" w:rsidRPr="00E27ED3" w:rsidRDefault="00B31B60" w:rsidP="00AE1EC4">
            <w:pPr>
              <w:spacing w:after="0" w:line="240" w:lineRule="auto"/>
              <w:ind w:left="45"/>
              <w:jc w:val="right"/>
              <w:textAlignment w:val="baseline"/>
              <w:rPr>
                <w:rFonts w:ascii="Verdana" w:eastAsia="Times New Roman" w:hAnsi="Verdana" w:cs="Times New Roman"/>
                <w:b/>
                <w:sz w:val="16"/>
                <w:szCs w:val="16"/>
                <w:lang w:eastAsia="en-AU"/>
              </w:rPr>
            </w:pPr>
            <w:r w:rsidRPr="00E27ED3">
              <w:rPr>
                <w:rFonts w:ascii="Verdana" w:eastAsia="Times New Roman" w:hAnsi="Verdana" w:cs="Times New Roman"/>
                <w:b/>
                <w:bCs/>
                <w:sz w:val="16"/>
                <w:szCs w:val="16"/>
                <w:lang w:eastAsia="en-AU"/>
              </w:rPr>
              <w:t>9</w:t>
            </w:r>
            <w:r w:rsidR="000967BD">
              <w:rPr>
                <w:rFonts w:ascii="Verdana" w:eastAsia="Times New Roman" w:hAnsi="Verdana" w:cs="Times New Roman"/>
                <w:b/>
                <w:bCs/>
                <w:sz w:val="16"/>
                <w:szCs w:val="16"/>
                <w:lang w:eastAsia="en-AU"/>
              </w:rPr>
              <w:t>.18</w:t>
            </w:r>
          </w:p>
        </w:tc>
      </w:tr>
    </w:tbl>
    <w:p w14:paraId="0EC977EE" w14:textId="77777777" w:rsidR="00E1412C" w:rsidRPr="00BF6C6C" w:rsidRDefault="00E1412C" w:rsidP="00C07143">
      <w:pPr>
        <w:spacing w:line="276" w:lineRule="auto"/>
        <w:rPr>
          <w:rFonts w:cstheme="majorHAnsi"/>
        </w:rPr>
      </w:pPr>
    </w:p>
    <w:p w14:paraId="11D7FA17" w14:textId="0D5737DD" w:rsidR="00C07143" w:rsidRPr="00BF6C6C" w:rsidRDefault="00C07143" w:rsidP="00C07143">
      <w:pPr>
        <w:spacing w:line="276" w:lineRule="auto"/>
        <w:rPr>
          <w:rFonts w:cstheme="majorHAnsi"/>
        </w:rPr>
      </w:pPr>
      <w:r>
        <w:rPr>
          <w:rFonts w:cstheme="majorHAnsi"/>
        </w:rPr>
        <w:t>T</w:t>
      </w:r>
      <w:r w:rsidRPr="00BF6C6C">
        <w:rPr>
          <w:rFonts w:cstheme="majorHAnsi"/>
        </w:rPr>
        <w:t>hese estimates should be considered conservative as only some benefits have been quantifiable, and that some of the unquantified benefits could be larger and material. In this instance, these broader unquantified benefits would be expected to further increase the quantum of net benefits</w:t>
      </w:r>
      <w:r w:rsidR="00CD5590" w:rsidRPr="00BF6C6C">
        <w:rPr>
          <w:rFonts w:cstheme="majorHAnsi"/>
        </w:rPr>
        <w:t xml:space="preserve">. </w:t>
      </w:r>
    </w:p>
    <w:p w14:paraId="25A20372" w14:textId="2FBBD190" w:rsidR="00C07143" w:rsidRPr="00BF6C6C" w:rsidRDefault="00C07143" w:rsidP="00C07143">
      <w:pPr>
        <w:spacing w:line="276" w:lineRule="auto"/>
        <w:rPr>
          <w:rFonts w:cstheme="majorHAnsi"/>
        </w:rPr>
      </w:pPr>
      <w:r w:rsidRPr="00BF6C6C">
        <w:rPr>
          <w:rFonts w:cstheme="majorHAnsi"/>
        </w:rPr>
        <w:t>Further, as discussed, where transfers are non-genuine, the net benefits would again be expected to be larger</w:t>
      </w:r>
      <w:r w:rsidR="00CD5590" w:rsidRPr="00BF6C6C">
        <w:rPr>
          <w:rFonts w:cstheme="majorHAnsi"/>
        </w:rPr>
        <w:t xml:space="preserve">. </w:t>
      </w:r>
    </w:p>
    <w:p w14:paraId="536B0401" w14:textId="37F326E4" w:rsidR="00C07143" w:rsidRPr="00BF6C6C" w:rsidRDefault="00C07143" w:rsidP="00C07143">
      <w:pPr>
        <w:spacing w:after="0" w:line="240" w:lineRule="auto"/>
        <w:textAlignment w:val="baseline"/>
        <w:rPr>
          <w:rFonts w:ascii="Verdana" w:eastAsia="Times New Roman" w:hAnsi="Verdana" w:cs="Segoe UI"/>
          <w:color w:val="75787B"/>
          <w:sz w:val="17"/>
          <w:szCs w:val="17"/>
          <w:lang w:eastAsia="en-AU"/>
        </w:rPr>
      </w:pPr>
      <w:r>
        <w:rPr>
          <w:rFonts w:ascii="Verdana" w:eastAsia="Times New Roman" w:hAnsi="Verdana" w:cs="Segoe UI"/>
          <w:color w:val="75787B"/>
          <w:sz w:val="17"/>
          <w:szCs w:val="17"/>
          <w:lang w:eastAsia="en-AU"/>
        </w:rPr>
        <w:t xml:space="preserve">Table </w:t>
      </w:r>
      <w:r w:rsidR="00E1412C">
        <w:rPr>
          <w:rFonts w:ascii="Verdana" w:eastAsia="Times New Roman" w:hAnsi="Verdana" w:cs="Segoe UI"/>
          <w:color w:val="75787B"/>
          <w:sz w:val="17"/>
          <w:szCs w:val="17"/>
          <w:lang w:eastAsia="en-AU"/>
        </w:rPr>
        <w:t>3</w:t>
      </w:r>
      <w:r w:rsidRPr="00BF6C6C">
        <w:rPr>
          <w:rFonts w:ascii="Verdana" w:eastAsia="Times New Roman" w:hAnsi="Verdana" w:cs="Segoe UI"/>
          <w:color w:val="75787B"/>
          <w:sz w:val="17"/>
          <w:szCs w:val="17"/>
          <w:lang w:eastAsia="en-AU"/>
        </w:rPr>
        <w:t xml:space="preserve">: Total costs and benefits for ‘Prohibition of payment of agent commission for onshore transfers’, by stakeholder, $ million present value over 10 </w:t>
      </w:r>
      <w:r w:rsidR="007C5918" w:rsidRPr="00BF6C6C">
        <w:rPr>
          <w:rFonts w:ascii="Verdana" w:eastAsia="Times New Roman" w:hAnsi="Verdana" w:cs="Segoe UI"/>
          <w:color w:val="75787B"/>
          <w:sz w:val="17"/>
          <w:szCs w:val="17"/>
          <w:lang w:eastAsia="en-AU"/>
        </w:rPr>
        <w:t>years.</w:t>
      </w:r>
      <w:r w:rsidRPr="00BF6C6C">
        <w:rPr>
          <w:rFonts w:ascii="Verdana" w:eastAsia="Times New Roman" w:hAnsi="Verdana" w:cs="Segoe UI"/>
          <w:color w:val="75787B"/>
          <w:sz w:val="17"/>
          <w:szCs w:val="17"/>
          <w:lang w:eastAsia="en-AU"/>
        </w:rPr>
        <w:t xml:space="preserve">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3915"/>
      </w:tblGrid>
      <w:tr w:rsidR="00C07143" w:rsidRPr="00BF6C6C" w14:paraId="64C8BCC9" w14:textId="77777777" w:rsidTr="00E47394">
        <w:trPr>
          <w:trHeight w:val="300"/>
        </w:trPr>
        <w:tc>
          <w:tcPr>
            <w:tcW w:w="5100" w:type="dxa"/>
            <w:tcBorders>
              <w:top w:val="single" w:sz="24" w:space="0" w:color="62B5E5"/>
              <w:left w:val="nil"/>
              <w:bottom w:val="single" w:sz="6" w:space="0" w:color="000000"/>
              <w:right w:val="nil"/>
            </w:tcBorders>
            <w:shd w:val="clear" w:color="auto" w:fill="DFF0F9"/>
            <w:vAlign w:val="center"/>
            <w:hideMark/>
          </w:tcPr>
          <w:p w14:paraId="4B85812A"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color w:val="000000"/>
                <w:sz w:val="18"/>
                <w:szCs w:val="18"/>
                <w:lang w:eastAsia="en-AU"/>
              </w:rPr>
              <w:t>Costs </w:t>
            </w:r>
            <w:r w:rsidRPr="00BF6C6C">
              <w:rPr>
                <w:rFonts w:ascii="Verdana" w:eastAsia="Times New Roman" w:hAnsi="Verdana" w:cs="Times New Roman"/>
                <w:color w:val="000000"/>
                <w:sz w:val="18"/>
                <w:szCs w:val="18"/>
                <w:lang w:eastAsia="en-AU"/>
              </w:rPr>
              <w:t> </w:t>
            </w:r>
          </w:p>
        </w:tc>
        <w:tc>
          <w:tcPr>
            <w:tcW w:w="3915" w:type="dxa"/>
            <w:tcBorders>
              <w:top w:val="single" w:sz="24" w:space="0" w:color="62B5E5"/>
              <w:left w:val="nil"/>
              <w:bottom w:val="single" w:sz="6" w:space="0" w:color="000000"/>
              <w:right w:val="nil"/>
            </w:tcBorders>
            <w:shd w:val="clear" w:color="auto" w:fill="DFF0F9"/>
            <w:vAlign w:val="center"/>
            <w:hideMark/>
          </w:tcPr>
          <w:p w14:paraId="5BB90A30" w14:textId="4142765D" w:rsidR="00C07143" w:rsidRPr="00BF6C6C" w:rsidRDefault="00C77D91">
            <w:pPr>
              <w:spacing w:after="0" w:line="240" w:lineRule="auto"/>
              <w:ind w:left="45"/>
              <w:jc w:val="right"/>
              <w:textAlignment w:val="baseline"/>
              <w:rPr>
                <w:rFonts w:ascii="Times New Roman" w:eastAsia="Times New Roman" w:hAnsi="Times New Roman" w:cs="Times New Roman"/>
                <w:sz w:val="24"/>
                <w:szCs w:val="24"/>
                <w:lang w:eastAsia="en-AU"/>
              </w:rPr>
            </w:pPr>
            <w:r>
              <w:rPr>
                <w:rFonts w:ascii="Verdana" w:eastAsia="Times New Roman" w:hAnsi="Verdana" w:cs="Times New Roman"/>
                <w:b/>
                <w:bCs/>
                <w:color w:val="000000"/>
                <w:sz w:val="18"/>
                <w:szCs w:val="18"/>
                <w:lang w:eastAsia="en-AU"/>
              </w:rPr>
              <w:t>91.8</w:t>
            </w:r>
            <w:r w:rsidR="00C07143" w:rsidRPr="00BF6C6C">
              <w:rPr>
                <w:rFonts w:ascii="Verdana" w:eastAsia="Times New Roman" w:hAnsi="Verdana" w:cs="Times New Roman"/>
                <w:color w:val="000000"/>
                <w:sz w:val="18"/>
                <w:szCs w:val="18"/>
                <w:lang w:eastAsia="en-AU"/>
              </w:rPr>
              <w:t> </w:t>
            </w:r>
          </w:p>
        </w:tc>
      </w:tr>
      <w:tr w:rsidR="00C07143" w:rsidRPr="00BF6C6C" w14:paraId="65B1EFF5" w14:textId="77777777" w:rsidTr="00E47394">
        <w:trPr>
          <w:trHeight w:val="300"/>
        </w:trPr>
        <w:tc>
          <w:tcPr>
            <w:tcW w:w="5100" w:type="dxa"/>
            <w:tcBorders>
              <w:top w:val="single" w:sz="6" w:space="0" w:color="000000"/>
              <w:left w:val="nil"/>
              <w:bottom w:val="single" w:sz="6" w:space="0" w:color="000000"/>
              <w:right w:val="nil"/>
            </w:tcBorders>
            <w:vAlign w:val="center"/>
            <w:hideMark/>
          </w:tcPr>
          <w:p w14:paraId="03FF53B3" w14:textId="77777777" w:rsidR="00C07143" w:rsidRPr="00BF6C6C" w:rsidRDefault="00C07143">
            <w:pPr>
              <w:spacing w:after="0" w:line="240" w:lineRule="auto"/>
              <w:ind w:left="55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To providers  </w:t>
            </w:r>
          </w:p>
        </w:tc>
        <w:tc>
          <w:tcPr>
            <w:tcW w:w="3915" w:type="dxa"/>
            <w:tcBorders>
              <w:top w:val="single" w:sz="6" w:space="0" w:color="000000"/>
              <w:left w:val="nil"/>
              <w:bottom w:val="single" w:sz="6" w:space="0" w:color="000000"/>
              <w:right w:val="nil"/>
            </w:tcBorders>
            <w:vAlign w:val="center"/>
            <w:hideMark/>
          </w:tcPr>
          <w:p w14:paraId="753AA3FC"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46.9 </w:t>
            </w:r>
          </w:p>
        </w:tc>
      </w:tr>
      <w:tr w:rsidR="00C07143" w:rsidRPr="00BF6C6C" w14:paraId="1E266E32" w14:textId="77777777" w:rsidTr="00E47394">
        <w:trPr>
          <w:trHeight w:val="300"/>
        </w:trPr>
        <w:tc>
          <w:tcPr>
            <w:tcW w:w="5100" w:type="dxa"/>
            <w:tcBorders>
              <w:top w:val="single" w:sz="6" w:space="0" w:color="000000"/>
              <w:left w:val="nil"/>
              <w:bottom w:val="single" w:sz="6" w:space="0" w:color="000000"/>
              <w:right w:val="nil"/>
            </w:tcBorders>
            <w:vAlign w:val="center"/>
            <w:hideMark/>
          </w:tcPr>
          <w:p w14:paraId="764F7C1E" w14:textId="77777777" w:rsidR="00C07143" w:rsidRPr="00BF6C6C" w:rsidRDefault="00C07143">
            <w:pPr>
              <w:spacing w:after="0" w:line="240" w:lineRule="auto"/>
              <w:ind w:left="55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To agents  </w:t>
            </w:r>
          </w:p>
        </w:tc>
        <w:tc>
          <w:tcPr>
            <w:tcW w:w="3915" w:type="dxa"/>
            <w:tcBorders>
              <w:top w:val="single" w:sz="6" w:space="0" w:color="000000"/>
              <w:left w:val="nil"/>
              <w:bottom w:val="single" w:sz="6" w:space="0" w:color="000000"/>
              <w:right w:val="nil"/>
            </w:tcBorders>
            <w:vAlign w:val="center"/>
            <w:hideMark/>
          </w:tcPr>
          <w:p w14:paraId="62597D3D"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18.5 </w:t>
            </w:r>
          </w:p>
        </w:tc>
      </w:tr>
      <w:tr w:rsidR="00C07143" w:rsidRPr="00BF6C6C" w14:paraId="0F035212" w14:textId="77777777" w:rsidTr="00E47394">
        <w:trPr>
          <w:trHeight w:val="300"/>
        </w:trPr>
        <w:tc>
          <w:tcPr>
            <w:tcW w:w="5100" w:type="dxa"/>
            <w:tcBorders>
              <w:top w:val="single" w:sz="6" w:space="0" w:color="000000"/>
              <w:left w:val="nil"/>
              <w:bottom w:val="single" w:sz="6" w:space="0" w:color="000000"/>
              <w:right w:val="nil"/>
            </w:tcBorders>
            <w:vAlign w:val="center"/>
            <w:hideMark/>
          </w:tcPr>
          <w:p w14:paraId="435E3042" w14:textId="77777777" w:rsidR="00C07143" w:rsidRPr="00BF6C6C" w:rsidRDefault="00C07143">
            <w:pPr>
              <w:spacing w:after="0" w:line="240" w:lineRule="auto"/>
              <w:ind w:left="55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To international students  </w:t>
            </w:r>
          </w:p>
        </w:tc>
        <w:tc>
          <w:tcPr>
            <w:tcW w:w="3915" w:type="dxa"/>
            <w:tcBorders>
              <w:top w:val="single" w:sz="6" w:space="0" w:color="000000"/>
              <w:left w:val="nil"/>
              <w:bottom w:val="single" w:sz="6" w:space="0" w:color="000000"/>
              <w:right w:val="nil"/>
            </w:tcBorders>
            <w:vAlign w:val="center"/>
            <w:hideMark/>
          </w:tcPr>
          <w:p w14:paraId="0F6E2161"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26.4 </w:t>
            </w:r>
          </w:p>
        </w:tc>
      </w:tr>
      <w:tr w:rsidR="00C07143" w:rsidRPr="00BF6C6C" w14:paraId="53734D50" w14:textId="77777777" w:rsidTr="00E47394">
        <w:trPr>
          <w:trHeight w:val="300"/>
        </w:trPr>
        <w:tc>
          <w:tcPr>
            <w:tcW w:w="5100" w:type="dxa"/>
            <w:tcBorders>
              <w:top w:val="single" w:sz="6" w:space="0" w:color="000000"/>
              <w:left w:val="nil"/>
              <w:bottom w:val="single" w:sz="6" w:space="0" w:color="000000"/>
              <w:right w:val="nil"/>
            </w:tcBorders>
            <w:shd w:val="clear" w:color="auto" w:fill="DFF0F9"/>
            <w:vAlign w:val="center"/>
            <w:hideMark/>
          </w:tcPr>
          <w:p w14:paraId="52C07906"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color w:val="000000"/>
                <w:sz w:val="18"/>
                <w:szCs w:val="18"/>
                <w:lang w:eastAsia="en-AU"/>
              </w:rPr>
              <w:t>Benefits (quantifiable) </w:t>
            </w:r>
            <w:r w:rsidRPr="00BF6C6C">
              <w:rPr>
                <w:rFonts w:ascii="Verdana" w:eastAsia="Times New Roman" w:hAnsi="Verdana" w:cs="Times New Roman"/>
                <w:color w:val="000000"/>
                <w:sz w:val="18"/>
                <w:szCs w:val="18"/>
                <w:lang w:eastAsia="en-AU"/>
              </w:rPr>
              <w:t> </w:t>
            </w:r>
          </w:p>
        </w:tc>
        <w:tc>
          <w:tcPr>
            <w:tcW w:w="3915" w:type="dxa"/>
            <w:tcBorders>
              <w:top w:val="single" w:sz="6" w:space="0" w:color="000000"/>
              <w:left w:val="nil"/>
              <w:bottom w:val="single" w:sz="6" w:space="0" w:color="000000"/>
              <w:right w:val="nil"/>
            </w:tcBorders>
            <w:shd w:val="clear" w:color="auto" w:fill="DFF0F9"/>
            <w:vAlign w:val="center"/>
            <w:hideMark/>
          </w:tcPr>
          <w:p w14:paraId="3CEFB804"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color w:val="000000"/>
                <w:sz w:val="18"/>
                <w:szCs w:val="18"/>
                <w:lang w:eastAsia="en-AU"/>
              </w:rPr>
              <w:t>122.2</w:t>
            </w:r>
            <w:r w:rsidRPr="00BF6C6C">
              <w:rPr>
                <w:rFonts w:ascii="Verdana" w:eastAsia="Times New Roman" w:hAnsi="Verdana" w:cs="Times New Roman"/>
                <w:color w:val="000000"/>
                <w:sz w:val="18"/>
                <w:szCs w:val="18"/>
                <w:lang w:eastAsia="en-AU"/>
              </w:rPr>
              <w:t> </w:t>
            </w:r>
          </w:p>
        </w:tc>
      </w:tr>
      <w:tr w:rsidR="00C07143" w:rsidRPr="00BF6C6C" w14:paraId="761DC189" w14:textId="77777777" w:rsidTr="00E47394">
        <w:trPr>
          <w:trHeight w:val="300"/>
        </w:trPr>
        <w:tc>
          <w:tcPr>
            <w:tcW w:w="5100" w:type="dxa"/>
            <w:tcBorders>
              <w:top w:val="single" w:sz="6" w:space="0" w:color="000000"/>
              <w:left w:val="nil"/>
              <w:bottom w:val="single" w:sz="6" w:space="0" w:color="000000"/>
              <w:right w:val="nil"/>
            </w:tcBorders>
            <w:vAlign w:val="center"/>
            <w:hideMark/>
          </w:tcPr>
          <w:p w14:paraId="0969EA6E" w14:textId="77777777" w:rsidR="00C07143" w:rsidRPr="00BF6C6C" w:rsidRDefault="00C07143">
            <w:pPr>
              <w:spacing w:after="0" w:line="240" w:lineRule="auto"/>
              <w:ind w:left="55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To providers  </w:t>
            </w:r>
          </w:p>
        </w:tc>
        <w:tc>
          <w:tcPr>
            <w:tcW w:w="3915" w:type="dxa"/>
            <w:tcBorders>
              <w:top w:val="single" w:sz="6" w:space="0" w:color="000000"/>
              <w:left w:val="nil"/>
              <w:bottom w:val="single" w:sz="6" w:space="0" w:color="000000"/>
              <w:right w:val="nil"/>
            </w:tcBorders>
            <w:vAlign w:val="center"/>
            <w:hideMark/>
          </w:tcPr>
          <w:p w14:paraId="3F5334CF"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122.2 </w:t>
            </w:r>
          </w:p>
        </w:tc>
      </w:tr>
      <w:tr w:rsidR="00C07143" w:rsidRPr="00BF6C6C" w14:paraId="5C6F568E" w14:textId="77777777" w:rsidTr="00E47394">
        <w:trPr>
          <w:trHeight w:val="300"/>
        </w:trPr>
        <w:tc>
          <w:tcPr>
            <w:tcW w:w="5100" w:type="dxa"/>
            <w:tcBorders>
              <w:top w:val="single" w:sz="6" w:space="0" w:color="000000"/>
              <w:left w:val="nil"/>
              <w:bottom w:val="single" w:sz="6" w:space="0" w:color="000000"/>
              <w:right w:val="nil"/>
            </w:tcBorders>
            <w:vAlign w:val="center"/>
            <w:hideMark/>
          </w:tcPr>
          <w:p w14:paraId="6E96AAE3" w14:textId="77777777" w:rsidR="00C07143" w:rsidRPr="00BF6C6C" w:rsidRDefault="00C07143">
            <w:pPr>
              <w:spacing w:after="0" w:line="240" w:lineRule="auto"/>
              <w:ind w:left="55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To agents  </w:t>
            </w:r>
          </w:p>
        </w:tc>
        <w:tc>
          <w:tcPr>
            <w:tcW w:w="3915" w:type="dxa"/>
            <w:tcBorders>
              <w:top w:val="single" w:sz="6" w:space="0" w:color="000000"/>
              <w:left w:val="nil"/>
              <w:bottom w:val="single" w:sz="6" w:space="0" w:color="000000"/>
              <w:right w:val="nil"/>
            </w:tcBorders>
            <w:vAlign w:val="center"/>
            <w:hideMark/>
          </w:tcPr>
          <w:p w14:paraId="2526CC10"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  </w:t>
            </w:r>
          </w:p>
        </w:tc>
      </w:tr>
      <w:tr w:rsidR="00C07143" w:rsidRPr="00BF6C6C" w14:paraId="22543013" w14:textId="77777777" w:rsidTr="00E47394">
        <w:trPr>
          <w:trHeight w:val="300"/>
        </w:trPr>
        <w:tc>
          <w:tcPr>
            <w:tcW w:w="5100" w:type="dxa"/>
            <w:tcBorders>
              <w:top w:val="single" w:sz="6" w:space="0" w:color="000000"/>
              <w:left w:val="nil"/>
              <w:bottom w:val="single" w:sz="6" w:space="0" w:color="000000"/>
              <w:right w:val="nil"/>
            </w:tcBorders>
            <w:vAlign w:val="center"/>
            <w:hideMark/>
          </w:tcPr>
          <w:p w14:paraId="36587023" w14:textId="77777777" w:rsidR="00C07143" w:rsidRPr="00BF6C6C" w:rsidRDefault="00C07143">
            <w:pPr>
              <w:spacing w:after="0" w:line="240" w:lineRule="auto"/>
              <w:ind w:left="55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To international students  </w:t>
            </w:r>
          </w:p>
        </w:tc>
        <w:tc>
          <w:tcPr>
            <w:tcW w:w="3915" w:type="dxa"/>
            <w:tcBorders>
              <w:top w:val="single" w:sz="6" w:space="0" w:color="000000"/>
              <w:left w:val="nil"/>
              <w:bottom w:val="single" w:sz="6" w:space="0" w:color="000000"/>
              <w:right w:val="nil"/>
            </w:tcBorders>
            <w:vAlign w:val="center"/>
            <w:hideMark/>
          </w:tcPr>
          <w:p w14:paraId="79D2AD6D"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color w:val="000000"/>
                <w:sz w:val="18"/>
                <w:szCs w:val="18"/>
                <w:lang w:eastAsia="en-AU"/>
              </w:rPr>
              <w:t>-  </w:t>
            </w:r>
          </w:p>
        </w:tc>
      </w:tr>
      <w:tr w:rsidR="00C07143" w:rsidRPr="00BF6C6C" w14:paraId="44F3ECF7" w14:textId="77777777" w:rsidTr="00E47394">
        <w:trPr>
          <w:trHeight w:val="300"/>
        </w:trPr>
        <w:tc>
          <w:tcPr>
            <w:tcW w:w="5100" w:type="dxa"/>
            <w:tcBorders>
              <w:top w:val="single" w:sz="6" w:space="0" w:color="000000"/>
              <w:left w:val="nil"/>
              <w:bottom w:val="single" w:sz="6" w:space="0" w:color="000000"/>
              <w:right w:val="nil"/>
            </w:tcBorders>
            <w:shd w:val="clear" w:color="auto" w:fill="DFF0F9"/>
            <w:vAlign w:val="center"/>
            <w:hideMark/>
          </w:tcPr>
          <w:p w14:paraId="6EB14C55" w14:textId="3A384B88"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color w:val="000000"/>
                <w:sz w:val="18"/>
                <w:szCs w:val="18"/>
                <w:lang w:eastAsia="en-AU"/>
              </w:rPr>
              <w:t xml:space="preserve">Net </w:t>
            </w:r>
            <w:r w:rsidR="00240452" w:rsidRPr="00BF6C6C">
              <w:rPr>
                <w:rFonts w:ascii="Verdana" w:eastAsia="Times New Roman" w:hAnsi="Verdana" w:cs="Times New Roman"/>
                <w:b/>
                <w:bCs/>
                <w:color w:val="000000"/>
                <w:sz w:val="18"/>
                <w:szCs w:val="18"/>
                <w:lang w:eastAsia="en-AU"/>
              </w:rPr>
              <w:t>benefit</w:t>
            </w:r>
            <w:r w:rsidR="00240452">
              <w:rPr>
                <w:rFonts w:ascii="Verdana" w:eastAsia="Times New Roman" w:hAnsi="Verdana" w:cs="Times New Roman"/>
                <w:b/>
                <w:bCs/>
                <w:color w:val="000000"/>
                <w:sz w:val="18"/>
                <w:szCs w:val="18"/>
                <w:lang w:eastAsia="en-AU"/>
              </w:rPr>
              <w:t xml:space="preserve"> over 10 years</w:t>
            </w:r>
          </w:p>
        </w:tc>
        <w:tc>
          <w:tcPr>
            <w:tcW w:w="3915" w:type="dxa"/>
            <w:tcBorders>
              <w:top w:val="single" w:sz="6" w:space="0" w:color="000000"/>
              <w:left w:val="nil"/>
              <w:bottom w:val="single" w:sz="6" w:space="0" w:color="000000"/>
              <w:right w:val="nil"/>
            </w:tcBorders>
            <w:shd w:val="clear" w:color="auto" w:fill="DFF0F9"/>
            <w:vAlign w:val="center"/>
            <w:hideMark/>
          </w:tcPr>
          <w:p w14:paraId="22CA4634" w14:textId="1CB66C76" w:rsidR="00C07143" w:rsidRPr="00BF6C6C" w:rsidRDefault="00CC0812">
            <w:pPr>
              <w:spacing w:after="0" w:line="240" w:lineRule="auto"/>
              <w:ind w:left="45"/>
              <w:jc w:val="right"/>
              <w:textAlignment w:val="baseline"/>
              <w:rPr>
                <w:rFonts w:ascii="Times New Roman" w:eastAsia="Times New Roman" w:hAnsi="Times New Roman" w:cs="Times New Roman"/>
                <w:sz w:val="24"/>
                <w:szCs w:val="24"/>
                <w:lang w:eastAsia="en-AU"/>
              </w:rPr>
            </w:pPr>
            <w:r>
              <w:rPr>
                <w:rFonts w:ascii="Verdana" w:eastAsia="Times New Roman" w:hAnsi="Verdana" w:cs="Times New Roman"/>
                <w:b/>
                <w:bCs/>
                <w:color w:val="000000"/>
                <w:sz w:val="18"/>
                <w:szCs w:val="18"/>
                <w:lang w:eastAsia="en-AU"/>
              </w:rPr>
              <w:t>30.4</w:t>
            </w:r>
            <w:r w:rsidR="00C07143" w:rsidRPr="00BF6C6C">
              <w:rPr>
                <w:rFonts w:ascii="Verdana" w:eastAsia="Times New Roman" w:hAnsi="Verdana" w:cs="Times New Roman"/>
                <w:color w:val="000000"/>
                <w:sz w:val="18"/>
                <w:szCs w:val="18"/>
                <w:lang w:eastAsia="en-AU"/>
              </w:rPr>
              <w:t> </w:t>
            </w:r>
          </w:p>
        </w:tc>
      </w:tr>
    </w:tbl>
    <w:p w14:paraId="5CD6A2C9" w14:textId="77777777" w:rsidR="00C07143" w:rsidRPr="00BF6C6C" w:rsidRDefault="00C07143" w:rsidP="00C07143">
      <w:pPr>
        <w:spacing w:after="0" w:line="240" w:lineRule="auto"/>
        <w:textAlignment w:val="baseline"/>
        <w:rPr>
          <w:rFonts w:ascii="Segoe UI" w:eastAsia="Times New Roman" w:hAnsi="Segoe UI" w:cs="Segoe UI"/>
          <w:color w:val="75787B"/>
          <w:sz w:val="18"/>
          <w:szCs w:val="18"/>
          <w:lang w:eastAsia="en-AU"/>
        </w:rPr>
      </w:pPr>
    </w:p>
    <w:p w14:paraId="312FD7CE" w14:textId="717F57EA" w:rsidR="00C07143" w:rsidRPr="00BF6C6C" w:rsidRDefault="00C07143" w:rsidP="00C07143">
      <w:pPr>
        <w:spacing w:line="276" w:lineRule="auto"/>
        <w:rPr>
          <w:rFonts w:cstheme="majorHAnsi"/>
        </w:rPr>
      </w:pPr>
      <w:r w:rsidRPr="00BF6C6C">
        <w:rPr>
          <w:rFonts w:cstheme="majorHAnsi"/>
        </w:rPr>
        <w:t xml:space="preserve">Given the uncertainty to how students may respond to this reform, further sensitivity analysis of the share of students exiting Australian </w:t>
      </w:r>
      <w:r>
        <w:rPr>
          <w:rFonts w:cstheme="majorHAnsi"/>
        </w:rPr>
        <w:t>international education and training</w:t>
      </w:r>
      <w:r w:rsidRPr="00BF6C6C">
        <w:rPr>
          <w:rFonts w:cstheme="majorHAnsi"/>
        </w:rPr>
        <w:t xml:space="preserve"> is undertaken (Table </w:t>
      </w:r>
      <w:r>
        <w:rPr>
          <w:rFonts w:cstheme="majorHAnsi"/>
        </w:rPr>
        <w:t>3</w:t>
      </w:r>
      <w:r w:rsidRPr="00BF6C6C">
        <w:rPr>
          <w:rFonts w:cstheme="majorHAnsi"/>
        </w:rPr>
        <w:t>). These results show that the net benefit result is reasonably sensitive to this assumption</w:t>
      </w:r>
      <w:r w:rsidR="00CD5590" w:rsidRPr="00BF6C6C">
        <w:rPr>
          <w:rFonts w:cstheme="majorHAnsi"/>
        </w:rPr>
        <w:t xml:space="preserve">. </w:t>
      </w:r>
    </w:p>
    <w:p w14:paraId="1376CB10" w14:textId="7A460D9A" w:rsidR="00C07143" w:rsidRPr="00BF6C6C" w:rsidRDefault="00C07143" w:rsidP="00C07143">
      <w:pPr>
        <w:spacing w:line="276" w:lineRule="auto"/>
        <w:rPr>
          <w:rFonts w:cstheme="majorBidi"/>
        </w:rPr>
      </w:pPr>
      <w:r w:rsidRPr="2A9C6C86">
        <w:rPr>
          <w:rFonts w:cstheme="majorBidi"/>
        </w:rPr>
        <w:t>The key parameter of interest is the share of students who no longer transfer and then exit Australian international education and training. A doubling of this parameter to 20% (from 10%) of students exiting Australian international education and training results in a net benefit that is closer to zero, albeit still positive (scenario 1). Where all students who no longer transfer now exit their studies (scenario 2), this results in significantly higher costs and a large negative net benefit</w:t>
      </w:r>
      <w:r w:rsidR="00280E03">
        <w:rPr>
          <w:rFonts w:cstheme="majorBidi"/>
        </w:rPr>
        <w:t xml:space="preserve">. </w:t>
      </w:r>
      <w:r w:rsidR="00734553">
        <w:rPr>
          <w:rFonts w:cstheme="majorBidi"/>
        </w:rPr>
        <w:t>This</w:t>
      </w:r>
      <w:r w:rsidR="001B1DB1">
        <w:rPr>
          <w:rFonts w:cstheme="majorBidi"/>
        </w:rPr>
        <w:t> </w:t>
      </w:r>
      <w:r w:rsidR="00734553">
        <w:rPr>
          <w:rFonts w:cstheme="majorBidi"/>
        </w:rPr>
        <w:t>represents an extreme</w:t>
      </w:r>
      <w:r w:rsidR="00A5284F">
        <w:rPr>
          <w:rFonts w:cstheme="majorBidi"/>
        </w:rPr>
        <w:t xml:space="preserve"> and</w:t>
      </w:r>
      <w:r w:rsidR="00734553">
        <w:rPr>
          <w:rFonts w:cstheme="majorBidi"/>
        </w:rPr>
        <w:t xml:space="preserve"> unlikely</w:t>
      </w:r>
      <w:r w:rsidR="7FAC8A4C" w:rsidRPr="3C7A8DD1">
        <w:rPr>
          <w:rFonts w:cstheme="majorBidi"/>
        </w:rPr>
        <w:t xml:space="preserve"> worst</w:t>
      </w:r>
      <w:r w:rsidR="7FAC8A4C" w:rsidRPr="7BC3A989">
        <w:rPr>
          <w:rFonts w:cstheme="majorBidi"/>
        </w:rPr>
        <w:t>-</w:t>
      </w:r>
      <w:r w:rsidR="7FAC8A4C" w:rsidRPr="3C7A8DD1">
        <w:rPr>
          <w:rFonts w:cstheme="majorBidi"/>
        </w:rPr>
        <w:t>case scenario</w:t>
      </w:r>
      <w:r w:rsidR="007260FD">
        <w:rPr>
          <w:rFonts w:cstheme="majorBidi"/>
        </w:rPr>
        <w:t xml:space="preserve"> and</w:t>
      </w:r>
      <w:r w:rsidR="7FAC8A4C" w:rsidRPr="541B91A7">
        <w:rPr>
          <w:rFonts w:cstheme="majorBidi"/>
        </w:rPr>
        <w:t xml:space="preserve"> was included </w:t>
      </w:r>
      <w:r w:rsidR="65693CA7" w:rsidRPr="263E95F7">
        <w:rPr>
          <w:rFonts w:cstheme="majorBidi"/>
        </w:rPr>
        <w:t>in the sensitivity analysis</w:t>
      </w:r>
      <w:r w:rsidR="7FAC8A4C" w:rsidRPr="488F7FE2">
        <w:rPr>
          <w:rFonts w:cstheme="majorBidi"/>
        </w:rPr>
        <w:t xml:space="preserve"> </w:t>
      </w:r>
      <w:r w:rsidR="00C125FF">
        <w:rPr>
          <w:rFonts w:cstheme="majorBidi"/>
        </w:rPr>
        <w:t>to provide the most</w:t>
      </w:r>
      <w:r w:rsidR="1FA87C2E" w:rsidRPr="18163467">
        <w:rPr>
          <w:rFonts w:cstheme="majorBidi"/>
        </w:rPr>
        <w:t xml:space="preserve"> conservative estimate of </w:t>
      </w:r>
      <w:r w:rsidR="00147A06">
        <w:rPr>
          <w:rFonts w:cstheme="majorBidi"/>
        </w:rPr>
        <w:t>the net benefits</w:t>
      </w:r>
      <w:r w:rsidR="00C125FF">
        <w:rPr>
          <w:rFonts w:cstheme="majorBidi"/>
        </w:rPr>
        <w:t>, in order</w:t>
      </w:r>
      <w:r w:rsidR="1FA87C2E" w:rsidRPr="18163467">
        <w:rPr>
          <w:rFonts w:cstheme="majorBidi"/>
        </w:rPr>
        <w:t xml:space="preserve"> to</w:t>
      </w:r>
      <w:r w:rsidR="2E4A605B" w:rsidRPr="18163467">
        <w:rPr>
          <w:rFonts w:cstheme="majorBidi"/>
        </w:rPr>
        <w:t xml:space="preserve"> inform evaluation of the best option.</w:t>
      </w:r>
    </w:p>
    <w:p w14:paraId="4F58D464" w14:textId="6E1A93F1" w:rsidR="00C07143" w:rsidRPr="00BF6C6C" w:rsidRDefault="00C07143" w:rsidP="00C07143">
      <w:pPr>
        <w:spacing w:line="276" w:lineRule="auto"/>
        <w:rPr>
          <w:rFonts w:cstheme="majorHAnsi"/>
        </w:rPr>
      </w:pPr>
      <w:r w:rsidRPr="00BF6C6C">
        <w:rPr>
          <w:rFonts w:cstheme="majorHAnsi"/>
        </w:rPr>
        <w:lastRenderedPageBreak/>
        <w:t>This sensitivity modelling highlights the importance of the market dynamics to informing the net result. This prompts further examination and monitoring of the potential market impacts of this proposed reform, given that the response of students, providers and agents are largely unknown</w:t>
      </w:r>
      <w:r w:rsidR="00CD5590" w:rsidRPr="00BF6C6C">
        <w:rPr>
          <w:rFonts w:cstheme="majorHAnsi"/>
        </w:rPr>
        <w:t xml:space="preserve">. </w:t>
      </w:r>
    </w:p>
    <w:p w14:paraId="686CB69B" w14:textId="77777777" w:rsidR="003E640A" w:rsidRPr="00BF6C6C" w:rsidRDefault="003E640A" w:rsidP="00C07143">
      <w:pPr>
        <w:spacing w:line="276" w:lineRule="auto"/>
        <w:rPr>
          <w:rFonts w:cstheme="majorHAnsi"/>
        </w:rPr>
      </w:pPr>
    </w:p>
    <w:p w14:paraId="252D7EAA" w14:textId="3487B0E9" w:rsidR="00C07143" w:rsidRPr="00BF6C6C" w:rsidRDefault="00C07143" w:rsidP="00C07143">
      <w:pPr>
        <w:spacing w:after="0" w:line="240" w:lineRule="auto"/>
        <w:textAlignment w:val="baseline"/>
        <w:rPr>
          <w:rFonts w:ascii="Verdana" w:eastAsia="Times New Roman" w:hAnsi="Verdana" w:cs="Segoe UI"/>
          <w:color w:val="75787B"/>
          <w:sz w:val="17"/>
          <w:szCs w:val="17"/>
          <w:lang w:eastAsia="en-AU"/>
        </w:rPr>
      </w:pPr>
      <w:r>
        <w:rPr>
          <w:rFonts w:ascii="Verdana" w:eastAsia="Times New Roman" w:hAnsi="Verdana" w:cs="Segoe UI"/>
          <w:color w:val="75787B"/>
          <w:sz w:val="17"/>
          <w:szCs w:val="17"/>
          <w:lang w:eastAsia="en-AU"/>
        </w:rPr>
        <w:t xml:space="preserve">Table </w:t>
      </w:r>
      <w:r w:rsidR="00A1719C">
        <w:rPr>
          <w:rFonts w:ascii="Verdana" w:eastAsia="Times New Roman" w:hAnsi="Verdana" w:cs="Segoe UI"/>
          <w:color w:val="75787B"/>
          <w:sz w:val="17"/>
          <w:szCs w:val="17"/>
          <w:lang w:eastAsia="en-AU"/>
        </w:rPr>
        <w:t>4</w:t>
      </w:r>
      <w:r w:rsidR="00D61CD2">
        <w:rPr>
          <w:rFonts w:ascii="Verdana" w:eastAsia="Times New Roman" w:hAnsi="Verdana" w:cs="Segoe UI"/>
          <w:color w:val="75787B"/>
          <w:sz w:val="17"/>
          <w:szCs w:val="17"/>
          <w:lang w:eastAsia="en-AU"/>
        </w:rPr>
        <w:t>:</w:t>
      </w:r>
      <w:r>
        <w:rPr>
          <w:rFonts w:ascii="Verdana" w:eastAsia="Times New Roman" w:hAnsi="Verdana" w:cs="Segoe UI"/>
          <w:color w:val="75787B"/>
          <w:sz w:val="17"/>
          <w:szCs w:val="17"/>
          <w:lang w:eastAsia="en-AU"/>
        </w:rPr>
        <w:t xml:space="preserve"> </w:t>
      </w:r>
      <w:r w:rsidRPr="00BF6C6C">
        <w:rPr>
          <w:rFonts w:ascii="Verdana" w:eastAsia="Times New Roman" w:hAnsi="Verdana" w:cs="Segoe UI"/>
          <w:color w:val="75787B"/>
          <w:sz w:val="17"/>
          <w:szCs w:val="17"/>
          <w:lang w:eastAsia="en-AU"/>
        </w:rPr>
        <w:t xml:space="preserve">Sensitivity analysis for ‘Prohibition of payment of agent commission for onshore transfers’, $ million present value over 10 </w:t>
      </w:r>
      <w:r w:rsidR="007C5918" w:rsidRPr="00BF6C6C">
        <w:rPr>
          <w:rFonts w:ascii="Verdana" w:eastAsia="Times New Roman" w:hAnsi="Verdana" w:cs="Segoe UI"/>
          <w:color w:val="75787B"/>
          <w:sz w:val="17"/>
          <w:szCs w:val="17"/>
          <w:lang w:eastAsia="en-AU"/>
        </w:rPr>
        <w:t>years.</w:t>
      </w:r>
      <w:r w:rsidRPr="00BF6C6C">
        <w:rPr>
          <w:rFonts w:ascii="Verdana" w:eastAsia="Times New Roman" w:hAnsi="Verdana" w:cs="Segoe UI"/>
          <w:color w:val="75787B"/>
          <w:sz w:val="17"/>
          <w:szCs w:val="17"/>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2"/>
        <w:gridCol w:w="1504"/>
        <w:gridCol w:w="1380"/>
      </w:tblGrid>
      <w:tr w:rsidR="00C07143" w:rsidRPr="00BF6C6C" w14:paraId="71773F96" w14:textId="77777777">
        <w:trPr>
          <w:trHeight w:val="300"/>
        </w:trPr>
        <w:tc>
          <w:tcPr>
            <w:tcW w:w="6375" w:type="dxa"/>
            <w:tcBorders>
              <w:top w:val="single" w:sz="24" w:space="0" w:color="62B5E5"/>
              <w:left w:val="nil"/>
              <w:bottom w:val="single" w:sz="6" w:space="0" w:color="000000"/>
              <w:right w:val="nil"/>
            </w:tcBorders>
            <w:hideMark/>
          </w:tcPr>
          <w:p w14:paraId="5D60FA80"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sz w:val="16"/>
                <w:szCs w:val="16"/>
                <w:lang w:eastAsia="en-AU"/>
              </w:rPr>
              <w:t>Scenario</w:t>
            </w:r>
            <w:r w:rsidRPr="00BF6C6C">
              <w:rPr>
                <w:rFonts w:ascii="Verdana" w:eastAsia="Times New Roman" w:hAnsi="Verdana" w:cs="Times New Roman"/>
                <w:sz w:val="16"/>
                <w:szCs w:val="16"/>
                <w:lang w:eastAsia="en-AU"/>
              </w:rPr>
              <w:t> </w:t>
            </w:r>
          </w:p>
        </w:tc>
        <w:tc>
          <w:tcPr>
            <w:tcW w:w="1545" w:type="dxa"/>
            <w:tcBorders>
              <w:top w:val="single" w:sz="24" w:space="0" w:color="62B5E5"/>
              <w:left w:val="nil"/>
              <w:bottom w:val="single" w:sz="6" w:space="0" w:color="000000"/>
              <w:right w:val="nil"/>
            </w:tcBorders>
            <w:hideMark/>
          </w:tcPr>
          <w:p w14:paraId="6C76E9EC"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sz w:val="16"/>
                <w:szCs w:val="16"/>
                <w:lang w:eastAsia="en-AU"/>
              </w:rPr>
              <w:t>Total costs </w:t>
            </w:r>
            <w:r w:rsidRPr="00BF6C6C">
              <w:rPr>
                <w:rFonts w:ascii="Verdana" w:eastAsia="Times New Roman" w:hAnsi="Verdana" w:cs="Times New Roman"/>
                <w:sz w:val="16"/>
                <w:szCs w:val="16"/>
                <w:lang w:eastAsia="en-AU"/>
              </w:rPr>
              <w:t> </w:t>
            </w:r>
          </w:p>
        </w:tc>
        <w:tc>
          <w:tcPr>
            <w:tcW w:w="1410" w:type="dxa"/>
            <w:tcBorders>
              <w:top w:val="single" w:sz="24" w:space="0" w:color="62B5E5"/>
              <w:left w:val="nil"/>
              <w:bottom w:val="single" w:sz="6" w:space="0" w:color="000000"/>
              <w:right w:val="nil"/>
            </w:tcBorders>
            <w:hideMark/>
          </w:tcPr>
          <w:p w14:paraId="28F8F261" w14:textId="77777777" w:rsidR="00C07143" w:rsidRPr="00BF6C6C" w:rsidRDefault="00C07143">
            <w:pPr>
              <w:spacing w:after="0" w:line="240" w:lineRule="auto"/>
              <w:ind w:left="45"/>
              <w:jc w:val="right"/>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sz w:val="16"/>
                <w:szCs w:val="16"/>
                <w:lang w:eastAsia="en-AU"/>
              </w:rPr>
              <w:t>Net benefit</w:t>
            </w:r>
            <w:r w:rsidRPr="00BF6C6C">
              <w:rPr>
                <w:rFonts w:ascii="Verdana" w:eastAsia="Times New Roman" w:hAnsi="Verdana" w:cs="Times New Roman"/>
                <w:sz w:val="16"/>
                <w:szCs w:val="16"/>
                <w:lang w:eastAsia="en-AU"/>
              </w:rPr>
              <w:t> </w:t>
            </w:r>
          </w:p>
        </w:tc>
      </w:tr>
      <w:tr w:rsidR="00C07143" w:rsidRPr="00BF6C6C" w14:paraId="0149B2B5" w14:textId="77777777">
        <w:trPr>
          <w:trHeight w:val="300"/>
        </w:trPr>
        <w:tc>
          <w:tcPr>
            <w:tcW w:w="6375" w:type="dxa"/>
            <w:tcBorders>
              <w:top w:val="single" w:sz="6" w:space="0" w:color="000000"/>
              <w:left w:val="nil"/>
              <w:bottom w:val="single" w:sz="6" w:space="0" w:color="000000"/>
              <w:right w:val="nil"/>
            </w:tcBorders>
            <w:shd w:val="clear" w:color="auto" w:fill="DFF0F9"/>
            <w:hideMark/>
          </w:tcPr>
          <w:p w14:paraId="06CF6138"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sz w:val="16"/>
                <w:szCs w:val="16"/>
                <w:lang w:eastAsia="en-AU"/>
              </w:rPr>
              <w:t>Central scenario: </w:t>
            </w:r>
            <w:r w:rsidRPr="00BF6C6C">
              <w:rPr>
                <w:rFonts w:ascii="Verdana" w:eastAsia="Times New Roman" w:hAnsi="Verdana" w:cs="Times New Roman"/>
                <w:sz w:val="16"/>
                <w:szCs w:val="16"/>
                <w:lang w:eastAsia="en-AU"/>
              </w:rPr>
              <w:t> </w:t>
            </w:r>
          </w:p>
          <w:p w14:paraId="5CD16168" w14:textId="03BC7CFC"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sz w:val="16"/>
                <w:szCs w:val="16"/>
                <w:lang w:eastAsia="en-AU"/>
              </w:rPr>
              <w:t>8% of students undertake a cross-provider transfer with an agent</w:t>
            </w:r>
            <w:r w:rsidR="00CD5590" w:rsidRPr="00BF6C6C">
              <w:rPr>
                <w:rFonts w:ascii="Verdana" w:eastAsia="Times New Roman" w:hAnsi="Verdana" w:cs="Times New Roman"/>
                <w:sz w:val="16"/>
                <w:szCs w:val="16"/>
                <w:lang w:eastAsia="en-AU"/>
              </w:rPr>
              <w:t xml:space="preserve">. </w:t>
            </w:r>
          </w:p>
          <w:p w14:paraId="6792B83B" w14:textId="16EF13D3"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sz w:val="16"/>
                <w:szCs w:val="16"/>
                <w:lang w:eastAsia="en-AU"/>
              </w:rPr>
              <w:t>33% of these students who previously transferred no longer transfer</w:t>
            </w:r>
            <w:r w:rsidR="00CD5590" w:rsidRPr="00BF6C6C">
              <w:rPr>
                <w:rFonts w:ascii="Verdana" w:eastAsia="Times New Roman" w:hAnsi="Verdana" w:cs="Times New Roman"/>
                <w:sz w:val="16"/>
                <w:szCs w:val="16"/>
                <w:lang w:eastAsia="en-AU"/>
              </w:rPr>
              <w:t xml:space="preserve">. </w:t>
            </w:r>
          </w:p>
          <w:p w14:paraId="02B2AD64"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sz w:val="16"/>
                <w:szCs w:val="16"/>
                <w:lang w:eastAsia="en-AU"/>
              </w:rPr>
              <w:t xml:space="preserve">10% of students no longer transferring exit Australian </w:t>
            </w:r>
            <w:r>
              <w:rPr>
                <w:rFonts w:ascii="Verdana" w:eastAsia="Times New Roman" w:hAnsi="Verdana" w:cs="Times New Roman"/>
                <w:sz w:val="16"/>
                <w:szCs w:val="16"/>
                <w:lang w:eastAsia="en-AU"/>
              </w:rPr>
              <w:t>international education and training</w:t>
            </w:r>
            <w:r w:rsidRPr="00BF6C6C">
              <w:rPr>
                <w:rFonts w:ascii="Verdana" w:eastAsia="Times New Roman" w:hAnsi="Verdana" w:cs="Times New Roman"/>
                <w:sz w:val="16"/>
                <w:szCs w:val="16"/>
                <w:lang w:eastAsia="en-AU"/>
              </w:rPr>
              <w:t xml:space="preserve">  </w:t>
            </w:r>
            <w:r w:rsidRPr="00BF6C6C">
              <w:rPr>
                <w:rFonts w:ascii="Verdana" w:eastAsia="Times New Roman" w:hAnsi="Verdana" w:cs="Times New Roman"/>
                <w:sz w:val="16"/>
                <w:szCs w:val="16"/>
                <w:lang w:eastAsia="en-AU"/>
              </w:rPr>
              <w:br/>
              <w:t>(0.3% of total students) </w:t>
            </w:r>
          </w:p>
        </w:tc>
        <w:tc>
          <w:tcPr>
            <w:tcW w:w="1545" w:type="dxa"/>
            <w:tcBorders>
              <w:top w:val="single" w:sz="6" w:space="0" w:color="000000"/>
              <w:left w:val="nil"/>
              <w:bottom w:val="single" w:sz="6" w:space="0" w:color="000000"/>
              <w:right w:val="nil"/>
            </w:tcBorders>
            <w:shd w:val="clear" w:color="auto" w:fill="DFF0F9"/>
            <w:hideMark/>
          </w:tcPr>
          <w:p w14:paraId="1BB295C5" w14:textId="549AA7AB" w:rsidR="00C07143" w:rsidRPr="00BF6C6C" w:rsidRDefault="00490651">
            <w:pPr>
              <w:spacing w:after="0" w:line="240" w:lineRule="auto"/>
              <w:ind w:left="45"/>
              <w:jc w:val="right"/>
              <w:textAlignment w:val="baseline"/>
              <w:rPr>
                <w:rFonts w:ascii="Times New Roman" w:eastAsia="Times New Roman" w:hAnsi="Times New Roman" w:cs="Times New Roman"/>
                <w:sz w:val="24"/>
                <w:szCs w:val="24"/>
                <w:lang w:eastAsia="en-AU"/>
              </w:rPr>
            </w:pPr>
            <w:r>
              <w:rPr>
                <w:rFonts w:ascii="Verdana" w:eastAsia="Times New Roman" w:hAnsi="Verdana" w:cs="Times New Roman"/>
                <w:sz w:val="16"/>
                <w:szCs w:val="16"/>
                <w:lang w:eastAsia="en-AU"/>
              </w:rPr>
              <w:t>91.8</w:t>
            </w:r>
            <w:r w:rsidR="00C07143" w:rsidRPr="00BF6C6C">
              <w:rPr>
                <w:rFonts w:ascii="Verdana" w:eastAsia="Times New Roman" w:hAnsi="Verdana" w:cs="Times New Roman"/>
                <w:sz w:val="16"/>
                <w:szCs w:val="16"/>
                <w:lang w:eastAsia="en-AU"/>
              </w:rPr>
              <w:t> </w:t>
            </w:r>
          </w:p>
        </w:tc>
        <w:tc>
          <w:tcPr>
            <w:tcW w:w="1410" w:type="dxa"/>
            <w:tcBorders>
              <w:top w:val="single" w:sz="6" w:space="0" w:color="000000"/>
              <w:left w:val="nil"/>
              <w:bottom w:val="single" w:sz="6" w:space="0" w:color="000000"/>
              <w:right w:val="nil"/>
            </w:tcBorders>
            <w:shd w:val="clear" w:color="auto" w:fill="DFF0F9"/>
            <w:hideMark/>
          </w:tcPr>
          <w:p w14:paraId="2D286223" w14:textId="4C1F40D5" w:rsidR="00C07143" w:rsidRPr="00BF6C6C" w:rsidRDefault="00CC0812">
            <w:pPr>
              <w:spacing w:after="0" w:line="240" w:lineRule="auto"/>
              <w:ind w:left="45"/>
              <w:jc w:val="right"/>
              <w:textAlignment w:val="baseline"/>
              <w:rPr>
                <w:rFonts w:ascii="Times New Roman" w:eastAsia="Times New Roman" w:hAnsi="Times New Roman" w:cs="Times New Roman"/>
                <w:sz w:val="24"/>
                <w:szCs w:val="24"/>
                <w:lang w:eastAsia="en-AU"/>
              </w:rPr>
            </w:pPr>
            <w:r>
              <w:rPr>
                <w:rFonts w:ascii="Verdana" w:eastAsia="Times New Roman" w:hAnsi="Verdana" w:cs="Times New Roman"/>
                <w:sz w:val="16"/>
                <w:szCs w:val="16"/>
                <w:lang w:eastAsia="en-AU"/>
              </w:rPr>
              <w:t>30.4</w:t>
            </w:r>
            <w:r w:rsidR="00C07143" w:rsidRPr="00BF6C6C">
              <w:rPr>
                <w:rFonts w:ascii="Verdana" w:eastAsia="Times New Roman" w:hAnsi="Verdana" w:cs="Times New Roman"/>
                <w:sz w:val="16"/>
                <w:szCs w:val="16"/>
                <w:lang w:eastAsia="en-AU"/>
              </w:rPr>
              <w:t> </w:t>
            </w:r>
          </w:p>
        </w:tc>
      </w:tr>
      <w:tr w:rsidR="00C07143" w:rsidRPr="00BF6C6C" w14:paraId="415A9DF0" w14:textId="77777777">
        <w:trPr>
          <w:trHeight w:val="300"/>
        </w:trPr>
        <w:tc>
          <w:tcPr>
            <w:tcW w:w="6375" w:type="dxa"/>
            <w:tcBorders>
              <w:top w:val="single" w:sz="6" w:space="0" w:color="000000"/>
              <w:left w:val="nil"/>
              <w:bottom w:val="single" w:sz="6" w:space="0" w:color="000000"/>
              <w:right w:val="nil"/>
            </w:tcBorders>
            <w:hideMark/>
          </w:tcPr>
          <w:p w14:paraId="03598301"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sz w:val="16"/>
                <w:szCs w:val="16"/>
                <w:lang w:eastAsia="en-AU"/>
              </w:rPr>
              <w:t>Higher cost scenario 1: </w:t>
            </w:r>
            <w:r w:rsidRPr="00BF6C6C">
              <w:rPr>
                <w:rFonts w:ascii="Verdana" w:eastAsia="Times New Roman" w:hAnsi="Verdana" w:cs="Times New Roman"/>
                <w:sz w:val="16"/>
                <w:szCs w:val="16"/>
                <w:lang w:eastAsia="en-AU"/>
              </w:rPr>
              <w:t> </w:t>
            </w:r>
          </w:p>
          <w:p w14:paraId="1C036827"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sz w:val="16"/>
                <w:szCs w:val="16"/>
                <w:lang w:eastAsia="en-AU"/>
              </w:rPr>
              <w:t xml:space="preserve">As above, but 20% of students no longer transferring exit Australian </w:t>
            </w:r>
            <w:r>
              <w:rPr>
                <w:rFonts w:ascii="Verdana" w:eastAsia="Times New Roman" w:hAnsi="Verdana" w:cs="Times New Roman"/>
                <w:sz w:val="16"/>
                <w:szCs w:val="16"/>
                <w:lang w:eastAsia="en-AU"/>
              </w:rPr>
              <w:t>international education and training</w:t>
            </w:r>
            <w:r w:rsidRPr="00BF6C6C">
              <w:rPr>
                <w:rFonts w:ascii="Verdana" w:eastAsia="Times New Roman" w:hAnsi="Verdana" w:cs="Times New Roman"/>
                <w:sz w:val="16"/>
                <w:szCs w:val="16"/>
                <w:lang w:eastAsia="en-AU"/>
              </w:rPr>
              <w:t xml:space="preserve"> (0.6% of total students) </w:t>
            </w:r>
          </w:p>
        </w:tc>
        <w:tc>
          <w:tcPr>
            <w:tcW w:w="1545" w:type="dxa"/>
            <w:tcBorders>
              <w:top w:val="single" w:sz="6" w:space="0" w:color="000000"/>
              <w:left w:val="nil"/>
              <w:bottom w:val="single" w:sz="6" w:space="0" w:color="000000"/>
              <w:right w:val="nil"/>
            </w:tcBorders>
            <w:hideMark/>
          </w:tcPr>
          <w:p w14:paraId="49BF5447" w14:textId="660712EE" w:rsidR="00C07143" w:rsidRPr="00BF6C6C" w:rsidRDefault="005D49C0">
            <w:pPr>
              <w:spacing w:after="0" w:line="240" w:lineRule="auto"/>
              <w:ind w:left="45"/>
              <w:jc w:val="right"/>
              <w:textAlignment w:val="baseline"/>
              <w:rPr>
                <w:rFonts w:ascii="Times New Roman" w:eastAsia="Times New Roman" w:hAnsi="Times New Roman" w:cs="Times New Roman"/>
                <w:sz w:val="24"/>
                <w:szCs w:val="24"/>
                <w:lang w:eastAsia="en-AU"/>
              </w:rPr>
            </w:pPr>
            <w:r>
              <w:rPr>
                <w:rFonts w:ascii="Verdana" w:eastAsia="Times New Roman" w:hAnsi="Verdana" w:cs="Times New Roman"/>
                <w:sz w:val="16"/>
                <w:szCs w:val="16"/>
                <w:lang w:eastAsia="en-AU"/>
              </w:rPr>
              <w:t>114.4</w:t>
            </w:r>
            <w:r w:rsidR="00C07143" w:rsidRPr="00BF6C6C">
              <w:rPr>
                <w:rFonts w:ascii="Verdana" w:eastAsia="Times New Roman" w:hAnsi="Verdana" w:cs="Times New Roman"/>
                <w:sz w:val="16"/>
                <w:szCs w:val="16"/>
                <w:lang w:eastAsia="en-AU"/>
              </w:rPr>
              <w:t> </w:t>
            </w:r>
          </w:p>
        </w:tc>
        <w:tc>
          <w:tcPr>
            <w:tcW w:w="1410" w:type="dxa"/>
            <w:tcBorders>
              <w:top w:val="single" w:sz="6" w:space="0" w:color="000000"/>
              <w:left w:val="nil"/>
              <w:bottom w:val="single" w:sz="6" w:space="0" w:color="000000"/>
              <w:right w:val="nil"/>
            </w:tcBorders>
            <w:hideMark/>
          </w:tcPr>
          <w:p w14:paraId="4C10F382" w14:textId="386E0F5A" w:rsidR="00C07143" w:rsidRPr="00BF6C6C" w:rsidRDefault="00BA45D9">
            <w:pPr>
              <w:spacing w:after="0" w:line="240" w:lineRule="auto"/>
              <w:ind w:left="45"/>
              <w:jc w:val="right"/>
              <w:textAlignment w:val="baseline"/>
              <w:rPr>
                <w:rFonts w:ascii="Times New Roman" w:eastAsia="Times New Roman" w:hAnsi="Times New Roman" w:cs="Times New Roman"/>
                <w:sz w:val="24"/>
                <w:szCs w:val="24"/>
                <w:lang w:eastAsia="en-AU"/>
              </w:rPr>
            </w:pPr>
            <w:r>
              <w:rPr>
                <w:rFonts w:ascii="Verdana" w:eastAsia="Times New Roman" w:hAnsi="Verdana" w:cs="Times New Roman"/>
                <w:sz w:val="16"/>
                <w:szCs w:val="16"/>
                <w:lang w:eastAsia="en-AU"/>
              </w:rPr>
              <w:t>7.8</w:t>
            </w:r>
            <w:r w:rsidR="00C07143" w:rsidRPr="00BF6C6C">
              <w:rPr>
                <w:rFonts w:ascii="Verdana" w:eastAsia="Times New Roman" w:hAnsi="Verdana" w:cs="Times New Roman"/>
                <w:sz w:val="16"/>
                <w:szCs w:val="16"/>
                <w:lang w:eastAsia="en-AU"/>
              </w:rPr>
              <w:t> </w:t>
            </w:r>
          </w:p>
        </w:tc>
      </w:tr>
      <w:tr w:rsidR="00C07143" w:rsidRPr="00BF6C6C" w14:paraId="5F657567" w14:textId="77777777">
        <w:trPr>
          <w:trHeight w:val="300"/>
        </w:trPr>
        <w:tc>
          <w:tcPr>
            <w:tcW w:w="6375" w:type="dxa"/>
            <w:tcBorders>
              <w:top w:val="single" w:sz="6" w:space="0" w:color="000000"/>
              <w:left w:val="nil"/>
              <w:bottom w:val="single" w:sz="6" w:space="0" w:color="000000"/>
              <w:right w:val="nil"/>
            </w:tcBorders>
            <w:hideMark/>
          </w:tcPr>
          <w:p w14:paraId="4C69E69D"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b/>
                <w:bCs/>
                <w:sz w:val="16"/>
                <w:szCs w:val="16"/>
                <w:lang w:eastAsia="en-AU"/>
              </w:rPr>
              <w:t>Higher cost scenario 2</w:t>
            </w:r>
            <w:r w:rsidRPr="00BF6C6C">
              <w:rPr>
                <w:rFonts w:ascii="Verdana" w:eastAsia="Times New Roman" w:hAnsi="Verdana" w:cs="Times New Roman"/>
                <w:sz w:val="16"/>
                <w:szCs w:val="16"/>
                <w:lang w:eastAsia="en-AU"/>
              </w:rPr>
              <w:t>:  </w:t>
            </w:r>
          </w:p>
          <w:p w14:paraId="15C0FA7E" w14:textId="77777777" w:rsidR="00C07143" w:rsidRPr="00BF6C6C" w:rsidRDefault="00C07143">
            <w:pPr>
              <w:spacing w:after="0" w:line="240" w:lineRule="auto"/>
              <w:ind w:left="45"/>
              <w:textAlignment w:val="baseline"/>
              <w:rPr>
                <w:rFonts w:ascii="Times New Roman" w:eastAsia="Times New Roman" w:hAnsi="Times New Roman" w:cs="Times New Roman"/>
                <w:sz w:val="24"/>
                <w:szCs w:val="24"/>
                <w:lang w:eastAsia="en-AU"/>
              </w:rPr>
            </w:pPr>
            <w:r w:rsidRPr="00BF6C6C">
              <w:rPr>
                <w:rFonts w:ascii="Verdana" w:eastAsia="Times New Roman" w:hAnsi="Verdana" w:cs="Times New Roman"/>
                <w:sz w:val="16"/>
                <w:szCs w:val="16"/>
                <w:lang w:eastAsia="en-AU"/>
              </w:rPr>
              <w:t xml:space="preserve">As above, but 100% of students no longer transferring exit Australian </w:t>
            </w:r>
            <w:r>
              <w:rPr>
                <w:rFonts w:ascii="Verdana" w:eastAsia="Times New Roman" w:hAnsi="Verdana" w:cs="Times New Roman"/>
                <w:sz w:val="16"/>
                <w:szCs w:val="16"/>
                <w:lang w:eastAsia="en-AU"/>
              </w:rPr>
              <w:t>international education and training</w:t>
            </w:r>
            <w:r w:rsidRPr="00BF6C6C">
              <w:rPr>
                <w:rFonts w:ascii="Verdana" w:eastAsia="Times New Roman" w:hAnsi="Verdana" w:cs="Times New Roman"/>
                <w:sz w:val="16"/>
                <w:szCs w:val="16"/>
                <w:lang w:eastAsia="en-AU"/>
              </w:rPr>
              <w:t xml:space="preserve"> (2.6% of total students) </w:t>
            </w:r>
          </w:p>
        </w:tc>
        <w:tc>
          <w:tcPr>
            <w:tcW w:w="1545" w:type="dxa"/>
            <w:tcBorders>
              <w:top w:val="single" w:sz="6" w:space="0" w:color="000000"/>
              <w:left w:val="nil"/>
              <w:bottom w:val="single" w:sz="6" w:space="0" w:color="000000"/>
              <w:right w:val="nil"/>
            </w:tcBorders>
            <w:hideMark/>
          </w:tcPr>
          <w:p w14:paraId="27566501" w14:textId="714FAFD5" w:rsidR="00C07143" w:rsidRPr="00BF6C6C" w:rsidRDefault="009B71A9">
            <w:pPr>
              <w:spacing w:after="0" w:line="240" w:lineRule="auto"/>
              <w:ind w:left="45"/>
              <w:jc w:val="right"/>
              <w:textAlignment w:val="baseline"/>
              <w:rPr>
                <w:rFonts w:ascii="Times New Roman" w:eastAsia="Times New Roman" w:hAnsi="Times New Roman" w:cs="Times New Roman"/>
                <w:sz w:val="24"/>
                <w:szCs w:val="24"/>
                <w:lang w:eastAsia="en-AU"/>
              </w:rPr>
            </w:pPr>
            <w:r>
              <w:rPr>
                <w:rFonts w:ascii="Verdana" w:eastAsia="Times New Roman" w:hAnsi="Verdana" w:cs="Times New Roman"/>
                <w:sz w:val="16"/>
                <w:szCs w:val="16"/>
                <w:lang w:eastAsia="en-AU"/>
              </w:rPr>
              <w:t>2</w:t>
            </w:r>
            <w:r w:rsidR="00A84B77">
              <w:rPr>
                <w:rFonts w:ascii="Verdana" w:eastAsia="Times New Roman" w:hAnsi="Verdana" w:cs="Times New Roman"/>
                <w:sz w:val="16"/>
                <w:szCs w:val="16"/>
                <w:lang w:eastAsia="en-AU"/>
              </w:rPr>
              <w:t>94</w:t>
            </w:r>
            <w:r w:rsidR="00261F80">
              <w:rPr>
                <w:rFonts w:ascii="Verdana" w:eastAsia="Times New Roman" w:hAnsi="Verdana" w:cs="Times New Roman"/>
                <w:sz w:val="16"/>
                <w:szCs w:val="16"/>
                <w:lang w:eastAsia="en-AU"/>
              </w:rPr>
              <w:t>.8</w:t>
            </w:r>
          </w:p>
        </w:tc>
        <w:tc>
          <w:tcPr>
            <w:tcW w:w="1410" w:type="dxa"/>
            <w:tcBorders>
              <w:top w:val="single" w:sz="6" w:space="0" w:color="000000"/>
              <w:left w:val="nil"/>
              <w:bottom w:val="single" w:sz="6" w:space="0" w:color="000000"/>
              <w:right w:val="nil"/>
            </w:tcBorders>
            <w:hideMark/>
          </w:tcPr>
          <w:p w14:paraId="386D97CD" w14:textId="19196ACE" w:rsidR="00C07143" w:rsidRPr="00BF6C6C" w:rsidRDefault="002936A4">
            <w:pPr>
              <w:spacing w:after="0" w:line="240" w:lineRule="auto"/>
              <w:ind w:left="45"/>
              <w:jc w:val="right"/>
              <w:textAlignment w:val="baseline"/>
              <w:rPr>
                <w:rFonts w:ascii="Times New Roman" w:eastAsia="Times New Roman" w:hAnsi="Times New Roman" w:cs="Times New Roman"/>
                <w:sz w:val="24"/>
                <w:szCs w:val="24"/>
                <w:lang w:eastAsia="en-AU"/>
              </w:rPr>
            </w:pPr>
            <w:r>
              <w:rPr>
                <w:rFonts w:ascii="Verdana" w:eastAsia="Times New Roman" w:hAnsi="Verdana" w:cs="Times New Roman"/>
                <w:sz w:val="16"/>
                <w:szCs w:val="16"/>
                <w:lang w:eastAsia="en-AU"/>
              </w:rPr>
              <w:t>-172.6</w:t>
            </w:r>
            <w:r w:rsidR="00C07143" w:rsidRPr="00BF6C6C">
              <w:rPr>
                <w:rFonts w:ascii="Verdana" w:eastAsia="Times New Roman" w:hAnsi="Verdana" w:cs="Times New Roman"/>
                <w:sz w:val="16"/>
                <w:szCs w:val="16"/>
                <w:lang w:eastAsia="en-AU"/>
              </w:rPr>
              <w:t> </w:t>
            </w:r>
          </w:p>
        </w:tc>
      </w:tr>
    </w:tbl>
    <w:p w14:paraId="0B5B6938" w14:textId="765B9C09" w:rsidR="00E24062" w:rsidRPr="00A21883" w:rsidRDefault="00E24062" w:rsidP="00A21883">
      <w:pPr>
        <w:pStyle w:val="Heading2"/>
        <w:numPr>
          <w:ilvl w:val="0"/>
          <w:numId w:val="0"/>
        </w:numPr>
      </w:pPr>
      <w:r>
        <w:br w:type="page"/>
      </w:r>
    </w:p>
    <w:p w14:paraId="42901CE1" w14:textId="1338F6A9" w:rsidR="00C07143" w:rsidRDefault="00C07143" w:rsidP="00C07143">
      <w:pPr>
        <w:pStyle w:val="Heading2"/>
      </w:pPr>
      <w:bookmarkStart w:id="23" w:name="_Toc218778649"/>
      <w:r>
        <w:lastRenderedPageBreak/>
        <w:t>Consultation</w:t>
      </w:r>
      <w:bookmarkEnd w:id="23"/>
      <w:r>
        <w:t xml:space="preserve"> </w:t>
      </w:r>
    </w:p>
    <w:p w14:paraId="2DB0B410" w14:textId="77777777" w:rsidR="00C07143" w:rsidRPr="00E10E47" w:rsidRDefault="00C07143" w:rsidP="00FC5E88">
      <w:pPr>
        <w:pStyle w:val="Heading3"/>
        <w:rPr>
          <w:rStyle w:val="normaltextrun"/>
        </w:rPr>
      </w:pPr>
      <w:bookmarkStart w:id="24" w:name="_Toc218778650"/>
      <w:r w:rsidRPr="5211E326">
        <w:t>Consultation Undertaken</w:t>
      </w:r>
      <w:bookmarkEnd w:id="24"/>
      <w:r w:rsidRPr="5211E326">
        <w:t xml:space="preserve"> </w:t>
      </w:r>
    </w:p>
    <w:p w14:paraId="6EF898DC" w14:textId="6FA2A87C" w:rsidR="00C07143" w:rsidRDefault="00C07143" w:rsidP="00C07143">
      <w:pPr>
        <w:spacing w:after="120" w:line="276" w:lineRule="auto"/>
        <w:textAlignment w:val="baseline"/>
        <w:rPr>
          <w:rStyle w:val="normaltextrun"/>
        </w:rPr>
      </w:pPr>
      <w:r w:rsidRPr="5211E326">
        <w:rPr>
          <w:rStyle w:val="normaltextrun"/>
        </w:rPr>
        <w:t>There has been longstanding and continu</w:t>
      </w:r>
      <w:r w:rsidR="006A54C8">
        <w:rPr>
          <w:rStyle w:val="normaltextrun"/>
        </w:rPr>
        <w:t>ous</w:t>
      </w:r>
      <w:r w:rsidRPr="5211E326">
        <w:rPr>
          <w:rStyle w:val="normaltextrun"/>
        </w:rPr>
        <w:t xml:space="preserve"> consultation with stakeholders on the current ESOS Framework, amendments to </w:t>
      </w:r>
      <w:r w:rsidRPr="006A54C8">
        <w:rPr>
          <w:rStyle w:val="normaltextrun"/>
        </w:rPr>
        <w:t xml:space="preserve">the </w:t>
      </w:r>
      <w:r w:rsidR="006A54C8" w:rsidRPr="006A54C8">
        <w:rPr>
          <w:rStyle w:val="normaltextrun"/>
        </w:rPr>
        <w:t>ESOS Act</w:t>
      </w:r>
      <w:r w:rsidRPr="006A54C8">
        <w:rPr>
          <w:rStyle w:val="normaltextrun"/>
        </w:rPr>
        <w:t>, and</w:t>
      </w:r>
      <w:r w:rsidRPr="5211E326">
        <w:rPr>
          <w:rStyle w:val="normaltextrun"/>
        </w:rPr>
        <w:t xml:space="preserve"> the proposed National Code change. </w:t>
      </w:r>
    </w:p>
    <w:p w14:paraId="520D21F6" w14:textId="773BCA22" w:rsidR="00C07143" w:rsidRDefault="00100E37" w:rsidP="00C07143">
      <w:pPr>
        <w:spacing w:after="120" w:line="276" w:lineRule="auto"/>
        <w:textAlignment w:val="baseline"/>
        <w:rPr>
          <w:rStyle w:val="normaltextrun"/>
        </w:rPr>
      </w:pPr>
      <w:r>
        <w:rPr>
          <w:rStyle w:val="normaltextrun"/>
        </w:rPr>
        <w:t>S</w:t>
      </w:r>
      <w:r w:rsidR="00C07143" w:rsidRPr="52C27C33">
        <w:rPr>
          <w:rStyle w:val="normaltextrun"/>
        </w:rPr>
        <w:t xml:space="preserve">takeholders from the sector and from government </w:t>
      </w:r>
      <w:r>
        <w:rPr>
          <w:rStyle w:val="normaltextrun"/>
        </w:rPr>
        <w:t xml:space="preserve">are consulted regularly </w:t>
      </w:r>
      <w:r w:rsidR="00C018D3">
        <w:rPr>
          <w:rStyle w:val="normaltextrun"/>
        </w:rPr>
        <w:t>on</w:t>
      </w:r>
      <w:r w:rsidR="00C07143" w:rsidRPr="52C27C33">
        <w:rPr>
          <w:rStyle w:val="normaltextrun"/>
        </w:rPr>
        <w:t xml:space="preserve"> integrity issues in the international education sector, </w:t>
      </w:r>
      <w:r w:rsidR="00720A73">
        <w:rPr>
          <w:rStyle w:val="normaltextrun"/>
        </w:rPr>
        <w:t>for example,</w:t>
      </w:r>
      <w:r w:rsidR="00C07143" w:rsidRPr="52C27C33">
        <w:rPr>
          <w:rStyle w:val="normaltextrun"/>
        </w:rPr>
        <w:t xml:space="preserve"> </w:t>
      </w:r>
      <w:r w:rsidR="00C07143">
        <w:rPr>
          <w:rStyle w:val="normaltextrun"/>
        </w:rPr>
        <w:t xml:space="preserve">at </w:t>
      </w:r>
      <w:r w:rsidR="00C07143" w:rsidRPr="52C27C33">
        <w:rPr>
          <w:rStyle w:val="normaltextrun"/>
        </w:rPr>
        <w:t>the quarterly International Education Stakeholder Forum</w:t>
      </w:r>
      <w:r w:rsidR="00C07143">
        <w:rPr>
          <w:rStyle w:val="normaltextrun"/>
        </w:rPr>
        <w:t xml:space="preserve"> and the Commonwealth, State, and Territory Education Forum</w:t>
      </w:r>
      <w:r w:rsidR="00C07143" w:rsidRPr="52C27C33">
        <w:rPr>
          <w:rStyle w:val="normaltextrun"/>
        </w:rPr>
        <w:t>.</w:t>
      </w:r>
      <w:r w:rsidR="00C07143">
        <w:rPr>
          <w:rStyle w:val="normaltextrun"/>
        </w:rPr>
        <w:t xml:space="preserve"> In-depth submissions from international education sector representatives, peak bodies, experts, and the public have also been received in recent years during the Nixon Review, </w:t>
      </w:r>
      <w:r w:rsidR="00C07143" w:rsidRPr="00C52BAB">
        <w:rPr>
          <w:rFonts w:cstheme="majorBidi"/>
        </w:rPr>
        <w:t>the JSCFADT Inquiry</w:t>
      </w:r>
      <w:r w:rsidR="00C07143">
        <w:rPr>
          <w:rFonts w:cstheme="majorBidi"/>
        </w:rPr>
        <w:t>, and the Migration Review.</w:t>
      </w:r>
      <w:r w:rsidR="00D27DD7">
        <w:rPr>
          <w:rFonts w:cstheme="majorBidi"/>
        </w:rPr>
        <w:t xml:space="preserve"> </w:t>
      </w:r>
      <w:r w:rsidR="00C07143">
        <w:rPr>
          <w:rStyle w:val="normaltextrun"/>
        </w:rPr>
        <w:t>Dedicated integrity consultation sessions were held with international education sector leaders, providers, and senior departmental executives at conferences such as the 2023 Universities Australia Conference and the 2023 Australian International Education Conference. Sessions were also held with a global forum of education agents in November 2023.</w:t>
      </w:r>
    </w:p>
    <w:p w14:paraId="5CDCC5E3" w14:textId="1A747758" w:rsidR="00C07143" w:rsidRDefault="00C07143" w:rsidP="00C07143">
      <w:pPr>
        <w:spacing w:after="120" w:line="276" w:lineRule="auto"/>
        <w:textAlignment w:val="baseline"/>
        <w:rPr>
          <w:rStyle w:val="normaltextrun"/>
        </w:rPr>
      </w:pPr>
      <w:r>
        <w:rPr>
          <w:rStyle w:val="normaltextrun"/>
        </w:rPr>
        <w:t>Additional formal consultation was undertaken with stakeholders as part of the development of the Australian Universities Accord and the draft International Education and Skills Strategic Framework</w:t>
      </w:r>
      <w:r w:rsidR="00D77F90">
        <w:rPr>
          <w:rStyle w:val="normaltextrun"/>
        </w:rPr>
        <w:t xml:space="preserve"> (</w:t>
      </w:r>
      <w:r w:rsidR="00A132E4">
        <w:rPr>
          <w:rStyle w:val="normaltextrun"/>
        </w:rPr>
        <w:t xml:space="preserve">draft </w:t>
      </w:r>
      <w:r w:rsidR="00D77F90">
        <w:rPr>
          <w:rStyle w:val="normaltextrun"/>
        </w:rPr>
        <w:t>Strategic Framework)</w:t>
      </w:r>
      <w:r>
        <w:rPr>
          <w:rStyle w:val="normaltextrun"/>
        </w:rPr>
        <w:t>.</w:t>
      </w:r>
    </w:p>
    <w:p w14:paraId="1CA08868" w14:textId="31507533" w:rsidR="00C07143" w:rsidRDefault="00C07143" w:rsidP="00C07143">
      <w:pPr>
        <w:spacing w:after="120" w:line="276" w:lineRule="auto"/>
        <w:textAlignment w:val="baseline"/>
        <w:rPr>
          <w:rStyle w:val="normaltextrun"/>
        </w:rPr>
      </w:pPr>
      <w:r w:rsidRPr="52C27C33">
        <w:rPr>
          <w:rStyle w:val="normaltextrun"/>
        </w:rPr>
        <w:t>A series of dedicated Stakeholder Integrity Meetings were held between 5 October 2023 and 21</w:t>
      </w:r>
      <w:r w:rsidR="00022426">
        <w:rPr>
          <w:rStyle w:val="normaltextrun"/>
        </w:rPr>
        <w:t> </w:t>
      </w:r>
      <w:r w:rsidRPr="52C27C33">
        <w:rPr>
          <w:rStyle w:val="normaltextrun"/>
        </w:rPr>
        <w:t xml:space="preserve">February 2024 to consult on potential regulatory approaches to the issues raised during these reviews, inquiries, </w:t>
      </w:r>
      <w:r>
        <w:rPr>
          <w:rStyle w:val="normaltextrun"/>
        </w:rPr>
        <w:t>and other</w:t>
      </w:r>
      <w:r w:rsidRPr="52C27C33">
        <w:rPr>
          <w:rStyle w:val="normaltextrun"/>
        </w:rPr>
        <w:t xml:space="preserve"> consultation. These meetings were attended by representatives from peak bodies, providers, and state and territory government agencies</w:t>
      </w:r>
      <w:r>
        <w:rPr>
          <w:rStyle w:val="normaltextrun"/>
        </w:rPr>
        <w:t>, as follows:</w:t>
      </w:r>
    </w:p>
    <w:p w14:paraId="559DC9AF" w14:textId="77777777" w:rsidR="00C07143" w:rsidRDefault="00C07143" w:rsidP="00B64A7D">
      <w:pPr>
        <w:pStyle w:val="ListParagraph"/>
        <w:numPr>
          <w:ilvl w:val="0"/>
          <w:numId w:val="49"/>
        </w:numPr>
        <w:spacing w:after="120" w:line="276" w:lineRule="auto"/>
        <w:textAlignment w:val="baseline"/>
      </w:pPr>
      <w:r w:rsidRPr="004519DD">
        <w:t xml:space="preserve">Peak bodies </w:t>
      </w:r>
    </w:p>
    <w:p w14:paraId="214F187E" w14:textId="76ACF5C6" w:rsidR="00C07143" w:rsidRDefault="00C07143" w:rsidP="00B64A7D">
      <w:pPr>
        <w:pStyle w:val="ListParagraph"/>
        <w:numPr>
          <w:ilvl w:val="1"/>
          <w:numId w:val="49"/>
        </w:numPr>
        <w:spacing w:after="120" w:line="276" w:lineRule="auto"/>
        <w:textAlignment w:val="baseline"/>
      </w:pPr>
      <w:r w:rsidRPr="004519DD">
        <w:t xml:space="preserve">Australian Government Schools International </w:t>
      </w:r>
    </w:p>
    <w:p w14:paraId="726B4C0C" w14:textId="645D9B5F" w:rsidR="00C07143" w:rsidRDefault="00C07143" w:rsidP="00B64A7D">
      <w:pPr>
        <w:pStyle w:val="ListParagraph"/>
        <w:numPr>
          <w:ilvl w:val="1"/>
          <w:numId w:val="49"/>
        </w:numPr>
        <w:spacing w:after="120" w:line="276" w:lineRule="auto"/>
        <w:textAlignment w:val="baseline"/>
      </w:pPr>
      <w:r w:rsidRPr="004519DD">
        <w:t xml:space="preserve">Australian Technology Network </w:t>
      </w:r>
    </w:p>
    <w:p w14:paraId="195163FE" w14:textId="761E81D2" w:rsidR="00C07143" w:rsidRDefault="00C07143" w:rsidP="00B64A7D">
      <w:pPr>
        <w:pStyle w:val="ListParagraph"/>
        <w:numPr>
          <w:ilvl w:val="1"/>
          <w:numId w:val="49"/>
        </w:numPr>
        <w:spacing w:after="120" w:line="276" w:lineRule="auto"/>
        <w:textAlignment w:val="baseline"/>
      </w:pPr>
      <w:r w:rsidRPr="004519DD">
        <w:t xml:space="preserve">Council for International Students Australia </w:t>
      </w:r>
    </w:p>
    <w:p w14:paraId="6275D605" w14:textId="77777777" w:rsidR="00C07143" w:rsidRDefault="00C07143" w:rsidP="00B64A7D">
      <w:pPr>
        <w:pStyle w:val="ListParagraph"/>
        <w:numPr>
          <w:ilvl w:val="1"/>
          <w:numId w:val="49"/>
        </w:numPr>
        <w:spacing w:after="120" w:line="276" w:lineRule="auto"/>
        <w:textAlignment w:val="baseline"/>
      </w:pPr>
      <w:r w:rsidRPr="004519DD">
        <w:t xml:space="preserve">English Australia </w:t>
      </w:r>
    </w:p>
    <w:p w14:paraId="5DA07A59" w14:textId="0B674E3A" w:rsidR="00C07143" w:rsidRDefault="00C07143" w:rsidP="00B64A7D">
      <w:pPr>
        <w:pStyle w:val="ListParagraph"/>
        <w:numPr>
          <w:ilvl w:val="1"/>
          <w:numId w:val="49"/>
        </w:numPr>
        <w:spacing w:after="120" w:line="276" w:lineRule="auto"/>
        <w:textAlignment w:val="baseline"/>
      </w:pPr>
      <w:r w:rsidRPr="004519DD">
        <w:t xml:space="preserve">Group of Eight </w:t>
      </w:r>
    </w:p>
    <w:p w14:paraId="70827DD3" w14:textId="1530C125" w:rsidR="00C07143" w:rsidRDefault="00C07143" w:rsidP="00B64A7D">
      <w:pPr>
        <w:pStyle w:val="ListParagraph"/>
        <w:numPr>
          <w:ilvl w:val="1"/>
          <w:numId w:val="49"/>
        </w:numPr>
        <w:spacing w:after="120" w:line="276" w:lineRule="auto"/>
        <w:textAlignment w:val="baseline"/>
      </w:pPr>
      <w:r w:rsidRPr="004519DD">
        <w:t xml:space="preserve">International Education Association of Australia </w:t>
      </w:r>
    </w:p>
    <w:p w14:paraId="5921EB28" w14:textId="0A6E5327" w:rsidR="00C07143" w:rsidRDefault="00C07143" w:rsidP="00B64A7D">
      <w:pPr>
        <w:pStyle w:val="ListParagraph"/>
        <w:numPr>
          <w:ilvl w:val="1"/>
          <w:numId w:val="49"/>
        </w:numPr>
        <w:spacing w:after="120" w:line="276" w:lineRule="auto"/>
        <w:textAlignment w:val="baseline"/>
      </w:pPr>
      <w:r w:rsidRPr="004519DD">
        <w:t xml:space="preserve">Independent Higher Education Australia </w:t>
      </w:r>
    </w:p>
    <w:p w14:paraId="05473FC4" w14:textId="4578C72D" w:rsidR="00C07143" w:rsidRDefault="00C07143" w:rsidP="00B64A7D">
      <w:pPr>
        <w:pStyle w:val="ListParagraph"/>
        <w:numPr>
          <w:ilvl w:val="1"/>
          <w:numId w:val="49"/>
        </w:numPr>
        <w:spacing w:after="120" w:line="276" w:lineRule="auto"/>
        <w:textAlignment w:val="baseline"/>
      </w:pPr>
      <w:r w:rsidRPr="004519DD">
        <w:t xml:space="preserve">Innovative Research Universities </w:t>
      </w:r>
    </w:p>
    <w:p w14:paraId="1965FAB4" w14:textId="457DD22E" w:rsidR="00C07143" w:rsidRDefault="00C07143" w:rsidP="00B64A7D">
      <w:pPr>
        <w:pStyle w:val="ListParagraph"/>
        <w:numPr>
          <w:ilvl w:val="1"/>
          <w:numId w:val="49"/>
        </w:numPr>
        <w:spacing w:after="120" w:line="276" w:lineRule="auto"/>
        <w:textAlignment w:val="baseline"/>
      </w:pPr>
      <w:r w:rsidRPr="004519DD">
        <w:t xml:space="preserve">Independent Schools Australia </w:t>
      </w:r>
    </w:p>
    <w:p w14:paraId="784F7D37" w14:textId="06F4F778" w:rsidR="00C07143" w:rsidRDefault="00C07143" w:rsidP="00B64A7D">
      <w:pPr>
        <w:pStyle w:val="ListParagraph"/>
        <w:numPr>
          <w:ilvl w:val="1"/>
          <w:numId w:val="49"/>
        </w:numPr>
        <w:spacing w:after="120" w:line="276" w:lineRule="auto"/>
        <w:textAlignment w:val="baseline"/>
      </w:pPr>
      <w:r w:rsidRPr="004519DD">
        <w:t xml:space="preserve">International Student Education Agents Association </w:t>
      </w:r>
    </w:p>
    <w:p w14:paraId="1C839F2B" w14:textId="7EC67861" w:rsidR="00C07143" w:rsidRDefault="00C07143" w:rsidP="00B64A7D">
      <w:pPr>
        <w:pStyle w:val="ListParagraph"/>
        <w:numPr>
          <w:ilvl w:val="1"/>
          <w:numId w:val="49"/>
        </w:numPr>
        <w:spacing w:after="120" w:line="276" w:lineRule="auto"/>
        <w:textAlignment w:val="baseline"/>
      </w:pPr>
      <w:r w:rsidRPr="004519DD">
        <w:t xml:space="preserve">Independent Tertiary Education Council Australia </w:t>
      </w:r>
    </w:p>
    <w:p w14:paraId="007DF597" w14:textId="1F050D83" w:rsidR="00C07143" w:rsidRDefault="00C07143" w:rsidP="00B64A7D">
      <w:pPr>
        <w:pStyle w:val="ListParagraph"/>
        <w:numPr>
          <w:ilvl w:val="1"/>
          <w:numId w:val="49"/>
        </w:numPr>
        <w:spacing w:after="120" w:line="276" w:lineRule="auto"/>
        <w:textAlignment w:val="baseline"/>
      </w:pPr>
      <w:r w:rsidRPr="004519DD">
        <w:t xml:space="preserve">Regional Universities Network </w:t>
      </w:r>
    </w:p>
    <w:p w14:paraId="7B434179" w14:textId="1FE42033" w:rsidR="00C07143" w:rsidRDefault="00C07143" w:rsidP="00B64A7D">
      <w:pPr>
        <w:pStyle w:val="ListParagraph"/>
        <w:numPr>
          <w:ilvl w:val="1"/>
          <w:numId w:val="49"/>
        </w:numPr>
        <w:spacing w:after="120" w:line="276" w:lineRule="auto"/>
        <w:textAlignment w:val="baseline"/>
      </w:pPr>
      <w:r w:rsidRPr="004519DD">
        <w:t xml:space="preserve">TAFE Directors Australia </w:t>
      </w:r>
    </w:p>
    <w:p w14:paraId="5E33B1D2" w14:textId="77777777" w:rsidR="00C07143" w:rsidRDefault="00C07143" w:rsidP="00B64A7D">
      <w:pPr>
        <w:pStyle w:val="ListParagraph"/>
        <w:numPr>
          <w:ilvl w:val="1"/>
          <w:numId w:val="49"/>
        </w:numPr>
        <w:spacing w:after="120" w:line="276" w:lineRule="auto"/>
        <w:textAlignment w:val="baseline"/>
      </w:pPr>
      <w:r w:rsidRPr="004519DD">
        <w:t xml:space="preserve">Student Accommodation Council </w:t>
      </w:r>
    </w:p>
    <w:p w14:paraId="0039BC34" w14:textId="22C59B01" w:rsidR="00C07143" w:rsidRDefault="00C3765D" w:rsidP="00B64A7D">
      <w:pPr>
        <w:pStyle w:val="ListParagraph"/>
        <w:numPr>
          <w:ilvl w:val="0"/>
          <w:numId w:val="49"/>
        </w:numPr>
        <w:spacing w:after="120" w:line="276" w:lineRule="auto"/>
        <w:textAlignment w:val="baseline"/>
      </w:pPr>
      <w:r>
        <w:t xml:space="preserve">Members of the Council </w:t>
      </w:r>
      <w:r w:rsidR="00886C0E">
        <w:t>for</w:t>
      </w:r>
      <w:r>
        <w:t xml:space="preserve"> In</w:t>
      </w:r>
      <w:r w:rsidR="00667906">
        <w:t>ternational Education</w:t>
      </w:r>
      <w:r w:rsidR="009C17CC">
        <w:t xml:space="preserve"> (in addition to the above peak bodies)</w:t>
      </w:r>
    </w:p>
    <w:p w14:paraId="41F5D47B" w14:textId="77777777" w:rsidR="00C07143" w:rsidRDefault="00C07143" w:rsidP="00B64A7D">
      <w:pPr>
        <w:pStyle w:val="ListParagraph"/>
        <w:numPr>
          <w:ilvl w:val="1"/>
          <w:numId w:val="49"/>
        </w:numPr>
        <w:spacing w:after="120" w:line="276" w:lineRule="auto"/>
        <w:textAlignment w:val="baseline"/>
      </w:pPr>
      <w:r w:rsidRPr="004519DD">
        <w:t xml:space="preserve">Academia International Institute </w:t>
      </w:r>
    </w:p>
    <w:p w14:paraId="0EE5585E" w14:textId="77777777" w:rsidR="00C07143" w:rsidRDefault="00C07143" w:rsidP="00B64A7D">
      <w:pPr>
        <w:pStyle w:val="ListParagraph"/>
        <w:numPr>
          <w:ilvl w:val="1"/>
          <w:numId w:val="49"/>
        </w:numPr>
        <w:spacing w:after="120" w:line="276" w:lineRule="auto"/>
        <w:textAlignment w:val="baseline"/>
      </w:pPr>
      <w:r w:rsidRPr="004519DD">
        <w:t xml:space="preserve">Haileybury </w:t>
      </w:r>
    </w:p>
    <w:p w14:paraId="0F7BBC4F" w14:textId="77777777" w:rsidR="00C07143" w:rsidRDefault="00C07143" w:rsidP="00B64A7D">
      <w:pPr>
        <w:pStyle w:val="ListParagraph"/>
        <w:numPr>
          <w:ilvl w:val="1"/>
          <w:numId w:val="49"/>
        </w:numPr>
        <w:spacing w:after="120" w:line="276" w:lineRule="auto"/>
        <w:textAlignment w:val="baseline"/>
      </w:pPr>
      <w:r w:rsidRPr="004519DD">
        <w:t xml:space="preserve">The University of Melbourne </w:t>
      </w:r>
    </w:p>
    <w:p w14:paraId="18F3D1FB" w14:textId="77777777" w:rsidR="00C07143" w:rsidRDefault="00C07143" w:rsidP="00B64A7D">
      <w:pPr>
        <w:pStyle w:val="ListParagraph"/>
        <w:numPr>
          <w:ilvl w:val="1"/>
          <w:numId w:val="49"/>
        </w:numPr>
        <w:spacing w:after="120" w:line="276" w:lineRule="auto"/>
        <w:textAlignment w:val="baseline"/>
      </w:pPr>
      <w:r w:rsidRPr="004519DD">
        <w:t xml:space="preserve">Western Sydney University </w:t>
      </w:r>
    </w:p>
    <w:p w14:paraId="5CCB5543" w14:textId="77777777" w:rsidR="00C07143" w:rsidRDefault="00C07143" w:rsidP="005660DD">
      <w:pPr>
        <w:pStyle w:val="ListParagraph"/>
        <w:keepNext/>
        <w:numPr>
          <w:ilvl w:val="0"/>
          <w:numId w:val="49"/>
        </w:numPr>
        <w:spacing w:after="120" w:line="276" w:lineRule="auto"/>
        <w:ind w:left="714" w:hanging="357"/>
        <w:textAlignment w:val="baseline"/>
      </w:pPr>
      <w:r w:rsidRPr="004519DD">
        <w:lastRenderedPageBreak/>
        <w:t xml:space="preserve">State and territory government agencies </w:t>
      </w:r>
    </w:p>
    <w:p w14:paraId="7F92C553" w14:textId="04580C06" w:rsidR="00C07143" w:rsidRDefault="00C07143" w:rsidP="00B64A7D">
      <w:pPr>
        <w:pStyle w:val="ListParagraph"/>
        <w:numPr>
          <w:ilvl w:val="1"/>
          <w:numId w:val="49"/>
        </w:numPr>
        <w:spacing w:after="120" w:line="276" w:lineRule="auto"/>
        <w:textAlignment w:val="baseline"/>
      </w:pPr>
      <w:r w:rsidRPr="004519DD">
        <w:t>A</w:t>
      </w:r>
      <w:r w:rsidR="00FE216F">
        <w:t xml:space="preserve">ustralian </w:t>
      </w:r>
      <w:r w:rsidRPr="004519DD">
        <w:t>C</w:t>
      </w:r>
      <w:r w:rsidR="00FE216F">
        <w:t xml:space="preserve">apital </w:t>
      </w:r>
      <w:r w:rsidRPr="004519DD">
        <w:t>T</w:t>
      </w:r>
      <w:r w:rsidR="00FE216F">
        <w:t>erritory</w:t>
      </w:r>
      <w:r w:rsidRPr="004519DD">
        <w:t xml:space="preserve"> Education Directorate </w:t>
      </w:r>
    </w:p>
    <w:p w14:paraId="3CA90720" w14:textId="77777777" w:rsidR="00C07143" w:rsidRDefault="00C07143" w:rsidP="00B64A7D">
      <w:pPr>
        <w:pStyle w:val="ListParagraph"/>
        <w:numPr>
          <w:ilvl w:val="1"/>
          <w:numId w:val="49"/>
        </w:numPr>
        <w:spacing w:after="120" w:line="276" w:lineRule="auto"/>
        <w:textAlignment w:val="baseline"/>
      </w:pPr>
      <w:r w:rsidRPr="004519DD">
        <w:t xml:space="preserve">Department of Education and Training Victoria </w:t>
      </w:r>
    </w:p>
    <w:p w14:paraId="3B8327C6" w14:textId="77777777" w:rsidR="00C07143" w:rsidRDefault="00C07143" w:rsidP="00B64A7D">
      <w:pPr>
        <w:pStyle w:val="ListParagraph"/>
        <w:numPr>
          <w:ilvl w:val="1"/>
          <w:numId w:val="49"/>
        </w:numPr>
        <w:spacing w:after="120" w:line="276" w:lineRule="auto"/>
        <w:textAlignment w:val="baseline"/>
      </w:pPr>
      <w:r w:rsidRPr="004519DD">
        <w:t>Department of Education International (Education Queensland International)</w:t>
      </w:r>
    </w:p>
    <w:p w14:paraId="3199A5E8" w14:textId="77777777" w:rsidR="00C07143" w:rsidRDefault="00C07143" w:rsidP="00B64A7D">
      <w:pPr>
        <w:pStyle w:val="ListParagraph"/>
        <w:numPr>
          <w:ilvl w:val="1"/>
          <w:numId w:val="49"/>
        </w:numPr>
        <w:spacing w:after="120" w:line="276" w:lineRule="auto"/>
        <w:textAlignment w:val="baseline"/>
      </w:pPr>
      <w:r w:rsidRPr="004519DD">
        <w:t>Department of Jobs, Tourism, Science and Innovation (Western Australia)</w:t>
      </w:r>
    </w:p>
    <w:p w14:paraId="6E7E79FD" w14:textId="77777777" w:rsidR="00C07143" w:rsidRDefault="00C07143" w:rsidP="00B64A7D">
      <w:pPr>
        <w:pStyle w:val="ListParagraph"/>
        <w:numPr>
          <w:ilvl w:val="1"/>
          <w:numId w:val="49"/>
        </w:numPr>
        <w:spacing w:after="120" w:line="276" w:lineRule="auto"/>
        <w:textAlignment w:val="baseline"/>
      </w:pPr>
      <w:r w:rsidRPr="004519DD">
        <w:t xml:space="preserve">Department of State Growth (Tasmania) </w:t>
      </w:r>
    </w:p>
    <w:p w14:paraId="051ACE68" w14:textId="77777777" w:rsidR="00C07143" w:rsidRDefault="00C07143" w:rsidP="00B64A7D">
      <w:pPr>
        <w:pStyle w:val="ListParagraph"/>
        <w:numPr>
          <w:ilvl w:val="1"/>
          <w:numId w:val="49"/>
        </w:numPr>
        <w:spacing w:after="120" w:line="276" w:lineRule="auto"/>
        <w:textAlignment w:val="baseline"/>
      </w:pPr>
      <w:r w:rsidRPr="004519DD">
        <w:t xml:space="preserve">Department for Trade and Investment (South Australia) </w:t>
      </w:r>
    </w:p>
    <w:p w14:paraId="706D2A0B" w14:textId="77777777" w:rsidR="00C07143" w:rsidRDefault="00C07143" w:rsidP="00B64A7D">
      <w:pPr>
        <w:pStyle w:val="ListParagraph"/>
        <w:numPr>
          <w:ilvl w:val="1"/>
          <w:numId w:val="49"/>
        </w:numPr>
        <w:spacing w:after="120" w:line="276" w:lineRule="auto"/>
        <w:textAlignment w:val="baseline"/>
      </w:pPr>
      <w:r w:rsidRPr="004519DD">
        <w:t xml:space="preserve">International Education and Study Melbourne/Global Victoria </w:t>
      </w:r>
    </w:p>
    <w:p w14:paraId="26F2E607" w14:textId="77777777" w:rsidR="00C07143" w:rsidRDefault="00C07143" w:rsidP="00B64A7D">
      <w:pPr>
        <w:pStyle w:val="ListParagraph"/>
        <w:numPr>
          <w:ilvl w:val="1"/>
          <w:numId w:val="49"/>
        </w:numPr>
        <w:spacing w:after="120" w:line="276" w:lineRule="auto"/>
        <w:textAlignment w:val="baseline"/>
      </w:pPr>
      <w:r w:rsidRPr="004519DD">
        <w:t xml:space="preserve">New South Wales, Department of Education, International </w:t>
      </w:r>
    </w:p>
    <w:p w14:paraId="4F6F6219" w14:textId="77777777" w:rsidR="00C07143" w:rsidRDefault="00C07143" w:rsidP="00B64A7D">
      <w:pPr>
        <w:pStyle w:val="ListParagraph"/>
        <w:numPr>
          <w:ilvl w:val="1"/>
          <w:numId w:val="49"/>
        </w:numPr>
        <w:spacing w:after="120" w:line="276" w:lineRule="auto"/>
        <w:textAlignment w:val="baseline"/>
      </w:pPr>
      <w:r w:rsidRPr="004519DD">
        <w:t xml:space="preserve">TAFE Queensland </w:t>
      </w:r>
    </w:p>
    <w:p w14:paraId="7F1344D3" w14:textId="77777777" w:rsidR="00C07143" w:rsidRDefault="00C07143" w:rsidP="00B64A7D">
      <w:pPr>
        <w:pStyle w:val="ListParagraph"/>
        <w:numPr>
          <w:ilvl w:val="1"/>
          <w:numId w:val="49"/>
        </w:numPr>
        <w:spacing w:after="120" w:line="276" w:lineRule="auto"/>
        <w:textAlignment w:val="baseline"/>
      </w:pPr>
      <w:r w:rsidRPr="004519DD">
        <w:t xml:space="preserve">Study Adelaide </w:t>
      </w:r>
    </w:p>
    <w:p w14:paraId="21445A80" w14:textId="77777777" w:rsidR="00C07143" w:rsidRDefault="00C07143" w:rsidP="00B64A7D">
      <w:pPr>
        <w:pStyle w:val="ListParagraph"/>
        <w:numPr>
          <w:ilvl w:val="1"/>
          <w:numId w:val="49"/>
        </w:numPr>
        <w:spacing w:after="120" w:line="276" w:lineRule="auto"/>
        <w:textAlignment w:val="baseline"/>
      </w:pPr>
      <w:r w:rsidRPr="004519DD">
        <w:t xml:space="preserve">Study Canberra </w:t>
      </w:r>
    </w:p>
    <w:p w14:paraId="5650A01D" w14:textId="77777777" w:rsidR="00C07143" w:rsidRDefault="00C07143" w:rsidP="00B64A7D">
      <w:pPr>
        <w:pStyle w:val="ListParagraph"/>
        <w:numPr>
          <w:ilvl w:val="1"/>
          <w:numId w:val="49"/>
        </w:numPr>
        <w:spacing w:after="120" w:line="276" w:lineRule="auto"/>
        <w:textAlignment w:val="baseline"/>
      </w:pPr>
      <w:r w:rsidRPr="004519DD">
        <w:t xml:space="preserve">Study NSW </w:t>
      </w:r>
    </w:p>
    <w:p w14:paraId="6E1B5A8A" w14:textId="77777777" w:rsidR="00C07143" w:rsidRDefault="00C07143" w:rsidP="00B64A7D">
      <w:pPr>
        <w:pStyle w:val="ListParagraph"/>
        <w:numPr>
          <w:ilvl w:val="1"/>
          <w:numId w:val="49"/>
        </w:numPr>
        <w:spacing w:after="120" w:line="276" w:lineRule="auto"/>
        <w:textAlignment w:val="baseline"/>
      </w:pPr>
      <w:r w:rsidRPr="004519DD">
        <w:t xml:space="preserve">Study NT/Department of Industry, Tourism and Trade </w:t>
      </w:r>
    </w:p>
    <w:p w14:paraId="2A6D5074" w14:textId="77777777" w:rsidR="00C07143" w:rsidRDefault="00C07143" w:rsidP="00B64A7D">
      <w:pPr>
        <w:pStyle w:val="ListParagraph"/>
        <w:numPr>
          <w:ilvl w:val="1"/>
          <w:numId w:val="49"/>
        </w:numPr>
        <w:spacing w:after="120" w:line="276" w:lineRule="auto"/>
        <w:textAlignment w:val="baseline"/>
      </w:pPr>
      <w:r w:rsidRPr="004519DD">
        <w:t xml:space="preserve">Study Queensland </w:t>
      </w:r>
    </w:p>
    <w:p w14:paraId="3EB43068" w14:textId="77777777" w:rsidR="00C07143" w:rsidRDefault="00C07143" w:rsidP="00B64A7D">
      <w:pPr>
        <w:pStyle w:val="ListParagraph"/>
        <w:numPr>
          <w:ilvl w:val="1"/>
          <w:numId w:val="49"/>
        </w:numPr>
        <w:spacing w:after="120" w:line="276" w:lineRule="auto"/>
        <w:textAlignment w:val="baseline"/>
      </w:pPr>
      <w:r w:rsidRPr="004519DD">
        <w:t xml:space="preserve">Study Perth </w:t>
      </w:r>
    </w:p>
    <w:p w14:paraId="21B1DD73" w14:textId="77777777" w:rsidR="00C07143" w:rsidRDefault="00C07143" w:rsidP="00B64A7D">
      <w:pPr>
        <w:pStyle w:val="ListParagraph"/>
        <w:numPr>
          <w:ilvl w:val="1"/>
          <w:numId w:val="49"/>
        </w:numPr>
        <w:spacing w:after="120" w:line="276" w:lineRule="auto"/>
        <w:textAlignment w:val="baseline"/>
        <w:rPr>
          <w:rStyle w:val="normaltextrun"/>
        </w:rPr>
      </w:pPr>
      <w:r w:rsidRPr="004519DD">
        <w:t>Study Tasmani</w:t>
      </w:r>
      <w:r>
        <w:t>a.</w:t>
      </w:r>
    </w:p>
    <w:p w14:paraId="3F894C2F" w14:textId="0D69FF5F" w:rsidR="00C07143" w:rsidRDefault="00C07143" w:rsidP="00C07143">
      <w:pPr>
        <w:spacing w:after="120" w:line="276" w:lineRule="auto"/>
        <w:rPr>
          <w:rStyle w:val="normaltextrun"/>
        </w:rPr>
      </w:pPr>
      <w:r w:rsidRPr="52C27C33">
        <w:rPr>
          <w:rStyle w:val="normaltextrun"/>
        </w:rPr>
        <w:t xml:space="preserve">International education sector stakeholders were further consulted on proposed integrity measures following the release of the </w:t>
      </w:r>
      <w:r>
        <w:rPr>
          <w:rStyle w:val="normaltextrun"/>
        </w:rPr>
        <w:t>d</w:t>
      </w:r>
      <w:r w:rsidRPr="52C27C33">
        <w:rPr>
          <w:rStyle w:val="normaltextrun"/>
        </w:rPr>
        <w:t xml:space="preserve">raft Strategic Framework. </w:t>
      </w:r>
      <w:r w:rsidR="0035311E">
        <w:rPr>
          <w:rStyle w:val="normaltextrun"/>
        </w:rPr>
        <w:t>Stakeholder m</w:t>
      </w:r>
      <w:r w:rsidRPr="52C27C33">
        <w:rPr>
          <w:rStyle w:val="normaltextrun"/>
        </w:rPr>
        <w:t>eetings were held between 16</w:t>
      </w:r>
      <w:r w:rsidR="00257848">
        <w:rPr>
          <w:rStyle w:val="normaltextrun"/>
        </w:rPr>
        <w:t> </w:t>
      </w:r>
      <w:r w:rsidRPr="52C27C33">
        <w:rPr>
          <w:rStyle w:val="normaltextrun"/>
        </w:rPr>
        <w:t>May 2024 and 3 September 2024</w:t>
      </w:r>
      <w:r w:rsidR="00CD5590" w:rsidRPr="52C27C33">
        <w:rPr>
          <w:rStyle w:val="normaltextrun"/>
        </w:rPr>
        <w:t xml:space="preserve">. </w:t>
      </w:r>
    </w:p>
    <w:p w14:paraId="113C84E3" w14:textId="77777777" w:rsidR="00C07143" w:rsidRDefault="00C07143" w:rsidP="00C07143">
      <w:pPr>
        <w:spacing w:after="120" w:line="276" w:lineRule="auto"/>
        <w:textAlignment w:val="baseline"/>
        <w:rPr>
          <w:rStyle w:val="normaltextrun"/>
        </w:rPr>
      </w:pPr>
      <w:r w:rsidRPr="52C27C33">
        <w:rPr>
          <w:rStyle w:val="normaltextrun"/>
        </w:rPr>
        <w:t xml:space="preserve">Details of the proposed regulatory change (option 3, outlined above) were also discussed in two Legislative Working Group meetings with stakeholders across government (14 December 2023 and 19 January 2024). </w:t>
      </w:r>
    </w:p>
    <w:p w14:paraId="5C97CABA" w14:textId="2F6392B5" w:rsidR="00A64E78" w:rsidRDefault="00C07143" w:rsidP="00C07143">
      <w:pPr>
        <w:spacing w:after="120" w:line="276" w:lineRule="auto"/>
        <w:textAlignment w:val="baseline"/>
        <w:rPr>
          <w:rStyle w:val="normaltextrun"/>
        </w:rPr>
      </w:pPr>
      <w:r>
        <w:rPr>
          <w:rStyle w:val="normaltextrun"/>
        </w:rPr>
        <w:t xml:space="preserve">Finally, the department received extensive feedback from the sector regarding proposed reforms in the ESOS Bill. The </w:t>
      </w:r>
      <w:r w:rsidR="004D2E0D">
        <w:rPr>
          <w:rStyle w:val="normaltextrun"/>
        </w:rPr>
        <w:t xml:space="preserve">2022 </w:t>
      </w:r>
      <w:r>
        <w:rPr>
          <w:rStyle w:val="normaltextrun"/>
        </w:rPr>
        <w:t>ESOS Review and the 2023 ESOS</w:t>
      </w:r>
      <w:r w:rsidR="00B73DEC">
        <w:rPr>
          <w:rStyle w:val="normaltextrun"/>
        </w:rPr>
        <w:t> </w:t>
      </w:r>
      <w:r>
        <w:rPr>
          <w:rStyle w:val="normaltextrun"/>
        </w:rPr>
        <w:t xml:space="preserve">Reform </w:t>
      </w:r>
      <w:r w:rsidR="00D67A98">
        <w:rPr>
          <w:rStyle w:val="normaltextrun"/>
        </w:rPr>
        <w:t>process</w:t>
      </w:r>
      <w:r>
        <w:rPr>
          <w:rStyle w:val="normaltextrun"/>
        </w:rPr>
        <w:t xml:space="preserve"> explored reforms in-depth for stakeholders, including issues related to the transparency of agent commission data and non-genuine onshore student transfers. </w:t>
      </w:r>
    </w:p>
    <w:p w14:paraId="59C2BBD3" w14:textId="470E83FC" w:rsidR="00C07143" w:rsidRDefault="2CDE33C5" w:rsidP="00C07143">
      <w:pPr>
        <w:spacing w:after="120" w:line="276" w:lineRule="auto"/>
        <w:textAlignment w:val="baseline"/>
        <w:rPr>
          <w:rStyle w:val="normaltextrun"/>
        </w:rPr>
      </w:pPr>
      <w:r w:rsidRPr="7A5630F0">
        <w:rPr>
          <w:rStyle w:val="normaltextrun"/>
        </w:rPr>
        <w:t xml:space="preserve">As part of the </w:t>
      </w:r>
      <w:r w:rsidR="00A64E78" w:rsidRPr="7A5630F0">
        <w:rPr>
          <w:rStyle w:val="normaltextrun"/>
        </w:rPr>
        <w:t>ESOS Bill</w:t>
      </w:r>
      <w:r w:rsidR="1E43559F" w:rsidRPr="7A5630F0">
        <w:rPr>
          <w:rStyle w:val="normaltextrun"/>
        </w:rPr>
        <w:t xml:space="preserve"> Inquiry</w:t>
      </w:r>
      <w:r w:rsidR="00C07143" w:rsidRPr="7A5630F0">
        <w:rPr>
          <w:rStyle w:val="normaltextrun"/>
        </w:rPr>
        <w:t xml:space="preserve">, </w:t>
      </w:r>
      <w:r w:rsidR="000219F0" w:rsidRPr="7A5630F0">
        <w:rPr>
          <w:rStyle w:val="normaltextrun"/>
        </w:rPr>
        <w:t xml:space="preserve">many entities </w:t>
      </w:r>
      <w:r w:rsidR="00C07143" w:rsidRPr="7A5630F0">
        <w:rPr>
          <w:rStyle w:val="normaltextrun"/>
        </w:rPr>
        <w:t xml:space="preserve">from across the sector </w:t>
      </w:r>
      <w:r w:rsidR="00A64E78" w:rsidRPr="7A5630F0">
        <w:rPr>
          <w:rStyle w:val="normaltextrun"/>
        </w:rPr>
        <w:t>made submissions</w:t>
      </w:r>
      <w:r w:rsidR="000219F0" w:rsidRPr="7A5630F0">
        <w:rPr>
          <w:rStyle w:val="normaltextrun"/>
        </w:rPr>
        <w:t xml:space="preserve"> and </w:t>
      </w:r>
      <w:r w:rsidR="00C07143" w:rsidRPr="7A5630F0">
        <w:rPr>
          <w:rStyle w:val="normaltextrun"/>
        </w:rPr>
        <w:t xml:space="preserve">appeared at four public hearings to provide evidence (from August to October 2024). </w:t>
      </w:r>
      <w:r w:rsidR="00E67294" w:rsidRPr="7A5630F0">
        <w:rPr>
          <w:rStyle w:val="normaltextrun"/>
        </w:rPr>
        <w:t>Many of t</w:t>
      </w:r>
      <w:r w:rsidR="000219F0" w:rsidRPr="7A5630F0">
        <w:rPr>
          <w:rStyle w:val="normaltextrun"/>
        </w:rPr>
        <w:t xml:space="preserve">hese submissions and appearances </w:t>
      </w:r>
      <w:r w:rsidR="00E67294" w:rsidRPr="7A5630F0">
        <w:rPr>
          <w:rStyle w:val="normaltextrun"/>
        </w:rPr>
        <w:t>provided feedback on the proposed ban</w:t>
      </w:r>
      <w:r w:rsidR="004A204A" w:rsidRPr="7A5630F0">
        <w:rPr>
          <w:rStyle w:val="normaltextrun"/>
        </w:rPr>
        <w:t xml:space="preserve">. Similarly, </w:t>
      </w:r>
      <w:r w:rsidR="00FA0178" w:rsidRPr="7A5630F0">
        <w:rPr>
          <w:rStyle w:val="normaltextrun"/>
        </w:rPr>
        <w:t xml:space="preserve">the same Senate Committee undertook an inquiry into the </w:t>
      </w:r>
      <w:r w:rsidR="007E4335">
        <w:rPr>
          <w:rStyle w:val="normaltextrun"/>
        </w:rPr>
        <w:t xml:space="preserve">ELA </w:t>
      </w:r>
      <w:r w:rsidR="00FE1C95">
        <w:rPr>
          <w:rStyle w:val="normaltextrun"/>
        </w:rPr>
        <w:t>Bill</w:t>
      </w:r>
      <w:r w:rsidR="00292880">
        <w:rPr>
          <w:rStyle w:val="normaltextrun"/>
        </w:rPr>
        <w:t>. S</w:t>
      </w:r>
      <w:r w:rsidR="009473BC" w:rsidRPr="7A5630F0">
        <w:rPr>
          <w:rStyle w:val="normaltextrun"/>
        </w:rPr>
        <w:t xml:space="preserve">everal </w:t>
      </w:r>
      <w:r w:rsidR="00E83ECF" w:rsidRPr="7A5630F0">
        <w:rPr>
          <w:rStyle w:val="normaltextrun"/>
        </w:rPr>
        <w:t>submissions to th</w:t>
      </w:r>
      <w:r w:rsidR="009473BC" w:rsidRPr="7A5630F0">
        <w:rPr>
          <w:rStyle w:val="normaltextrun"/>
        </w:rPr>
        <w:t>is</w:t>
      </w:r>
      <w:r w:rsidR="00E83ECF" w:rsidRPr="7A5630F0">
        <w:rPr>
          <w:rStyle w:val="normaltextrun"/>
        </w:rPr>
        <w:t xml:space="preserve"> inquiry also referenced </w:t>
      </w:r>
      <w:r w:rsidR="009473BC" w:rsidRPr="7A5630F0">
        <w:rPr>
          <w:rStyle w:val="normaltextrun"/>
        </w:rPr>
        <w:t>the ban.</w:t>
      </w:r>
    </w:p>
    <w:p w14:paraId="13150648" w14:textId="78BB55DC" w:rsidR="00A0257F" w:rsidRDefault="00A0257F" w:rsidP="00C07143">
      <w:pPr>
        <w:spacing w:after="120" w:line="276" w:lineRule="auto"/>
        <w:textAlignment w:val="baseline"/>
        <w:rPr>
          <w:rStyle w:val="normaltextrun"/>
        </w:rPr>
      </w:pPr>
      <w:r>
        <w:rPr>
          <w:rStyle w:val="normaltextrun"/>
        </w:rPr>
        <w:t>The implementation of</w:t>
      </w:r>
      <w:r w:rsidR="00490DF2">
        <w:rPr>
          <w:rStyle w:val="normaltextrun"/>
        </w:rPr>
        <w:t xml:space="preserve"> a possible ban on onshore transfer commissions was discussed further in a dedicated </w:t>
      </w:r>
      <w:r w:rsidR="006C474C">
        <w:rPr>
          <w:rStyle w:val="normaltextrun"/>
        </w:rPr>
        <w:t xml:space="preserve">working group </w:t>
      </w:r>
      <w:r w:rsidR="00A64E78">
        <w:rPr>
          <w:rStyle w:val="normaltextrun"/>
        </w:rPr>
        <w:t xml:space="preserve">in November 2025 </w:t>
      </w:r>
      <w:r w:rsidR="006C474C">
        <w:rPr>
          <w:rStyle w:val="normaltextrun"/>
        </w:rPr>
        <w:t xml:space="preserve">that included </w:t>
      </w:r>
      <w:r w:rsidR="005959E2">
        <w:rPr>
          <w:rStyle w:val="normaltextrun"/>
        </w:rPr>
        <w:t xml:space="preserve">experienced practitioners as </w:t>
      </w:r>
      <w:r w:rsidR="006C474C">
        <w:rPr>
          <w:rStyle w:val="normaltextrun"/>
        </w:rPr>
        <w:t xml:space="preserve">representatives from </w:t>
      </w:r>
      <w:r w:rsidR="00DB7BDD">
        <w:rPr>
          <w:rStyle w:val="normaltextrun"/>
        </w:rPr>
        <w:t>the</w:t>
      </w:r>
      <w:r w:rsidR="006C474C">
        <w:rPr>
          <w:rStyle w:val="normaltextrun"/>
        </w:rPr>
        <w:t xml:space="preserve"> sector.</w:t>
      </w:r>
    </w:p>
    <w:p w14:paraId="1EAC72CF" w14:textId="77777777" w:rsidR="00C07143" w:rsidRDefault="00C07143" w:rsidP="00FC5E88">
      <w:pPr>
        <w:pStyle w:val="Heading3"/>
      </w:pPr>
      <w:bookmarkStart w:id="25" w:name="_Toc218778651"/>
      <w:r w:rsidRPr="52C27C33">
        <w:t>Feedback Received</w:t>
      </w:r>
      <w:bookmarkEnd w:id="25"/>
    </w:p>
    <w:p w14:paraId="58BD2AEA" w14:textId="7F159606" w:rsidR="00C07143" w:rsidRDefault="00C07143" w:rsidP="00C07143">
      <w:pPr>
        <w:spacing w:line="276" w:lineRule="auto"/>
        <w:rPr>
          <w:rStyle w:val="normaltextrun"/>
        </w:rPr>
      </w:pPr>
      <w:r w:rsidRPr="52C27C33">
        <w:rPr>
          <w:rFonts w:cstheme="majorBidi"/>
        </w:rPr>
        <w:t xml:space="preserve">Issues with quality and integrity in the sector </w:t>
      </w:r>
      <w:r w:rsidR="006F1C24">
        <w:rPr>
          <w:rFonts w:cstheme="majorBidi"/>
        </w:rPr>
        <w:t>have been</w:t>
      </w:r>
      <w:r w:rsidR="006F1C24" w:rsidRPr="52C27C33">
        <w:rPr>
          <w:rFonts w:cstheme="majorBidi"/>
        </w:rPr>
        <w:t xml:space="preserve"> </w:t>
      </w:r>
      <w:r w:rsidRPr="52C27C33">
        <w:rPr>
          <w:rFonts w:cstheme="majorBidi"/>
        </w:rPr>
        <w:t xml:space="preserve">raised </w:t>
      </w:r>
      <w:r>
        <w:rPr>
          <w:rFonts w:cstheme="majorBidi"/>
        </w:rPr>
        <w:t>during several</w:t>
      </w:r>
      <w:r w:rsidRPr="52C27C33">
        <w:rPr>
          <w:rFonts w:cstheme="majorBidi"/>
        </w:rPr>
        <w:t xml:space="preserve"> reviews and inquiries, and through regular stakeholder consultation. </w:t>
      </w:r>
    </w:p>
    <w:p w14:paraId="2DC01CED" w14:textId="77777777" w:rsidR="006F1C24" w:rsidRDefault="00C07143" w:rsidP="00C07143">
      <w:pPr>
        <w:spacing w:line="276" w:lineRule="auto"/>
        <w:rPr>
          <w:rStyle w:val="normaltextrun"/>
        </w:rPr>
      </w:pPr>
      <w:r w:rsidRPr="52C27C33">
        <w:rPr>
          <w:rFonts w:cstheme="majorBidi"/>
        </w:rPr>
        <w:lastRenderedPageBreak/>
        <w:t xml:space="preserve">During more targeted engagement, </w:t>
      </w:r>
      <w:r w:rsidRPr="52C27C33">
        <w:rPr>
          <w:rStyle w:val="normaltextrun"/>
        </w:rPr>
        <w:t xml:space="preserve">a non-regulatory approach to these integrity issues has not generally been supported by stakeholders, who emphasise that bad actors would have no incentive to change their behaviour. </w:t>
      </w:r>
    </w:p>
    <w:p w14:paraId="6C244A4B" w14:textId="3905C76B" w:rsidR="00C07143" w:rsidRDefault="00C07143" w:rsidP="00C07143">
      <w:pPr>
        <w:spacing w:line="276" w:lineRule="auto"/>
        <w:rPr>
          <w:rStyle w:val="normaltextrun"/>
        </w:rPr>
      </w:pPr>
      <w:r w:rsidRPr="52C27C33">
        <w:rPr>
          <w:rStyle w:val="normaltextrun"/>
        </w:rPr>
        <w:t xml:space="preserve">Stakeholders were broadly supportive of regulatory alternatives to address integrity issues and poaching, while some raised concern over the technical detail of an onshore transfer commission ban and the possibility for unintended consequences. For example, </w:t>
      </w:r>
      <w:r>
        <w:rPr>
          <w:rStyle w:val="normaltextrun"/>
        </w:rPr>
        <w:t xml:space="preserve">some </w:t>
      </w:r>
      <w:r w:rsidRPr="52C27C33">
        <w:rPr>
          <w:rStyle w:val="normaltextrun"/>
        </w:rPr>
        <w:t xml:space="preserve">stakeholders raised potential difficulties with enforcing the commission ban given the low visibility of commission data. Others suggested that </w:t>
      </w:r>
      <w:r>
        <w:rPr>
          <w:rStyle w:val="normaltextrun"/>
        </w:rPr>
        <w:t>a shift towards students paying fees directly</w:t>
      </w:r>
      <w:r w:rsidRPr="52C27C33">
        <w:rPr>
          <w:rStyle w:val="normaltextrun"/>
        </w:rPr>
        <w:t xml:space="preserve"> to education agents </w:t>
      </w:r>
      <w:r>
        <w:rPr>
          <w:rStyle w:val="normaltextrun"/>
        </w:rPr>
        <w:t>when transferring c</w:t>
      </w:r>
      <w:r w:rsidRPr="52C27C33">
        <w:rPr>
          <w:rStyle w:val="normaltextrun"/>
        </w:rPr>
        <w:t>ould make them more vulnerable to exploitation by unscrupulous actors, as they may then fall outside of the protective ESOS Framework.</w:t>
      </w:r>
    </w:p>
    <w:p w14:paraId="4742FFAE" w14:textId="77777777" w:rsidR="00C07143" w:rsidRDefault="00C07143" w:rsidP="00C07143">
      <w:pPr>
        <w:spacing w:line="276" w:lineRule="auto"/>
        <w:rPr>
          <w:rStyle w:val="normaltextrun"/>
        </w:rPr>
      </w:pPr>
      <w:r w:rsidRPr="52C27C33">
        <w:rPr>
          <w:rStyle w:val="normaltextrun"/>
        </w:rPr>
        <w:t xml:space="preserve">During consultation on the </w:t>
      </w:r>
      <w:r>
        <w:rPr>
          <w:rStyle w:val="normaltextrun"/>
        </w:rPr>
        <w:t>d</w:t>
      </w:r>
      <w:r w:rsidRPr="52C27C33">
        <w:rPr>
          <w:rStyle w:val="normaltextrun"/>
        </w:rPr>
        <w:t>raft Strategic Framework, stakeholders raised concern over how an onshore commission ban would impact the transfer of school students to VET or Higher Education providers and sought clarification on how new definitions of ‘education agent’ and ‘education agent commission’ would be applied.</w:t>
      </w:r>
    </w:p>
    <w:p w14:paraId="7057875B" w14:textId="3CB81CD9" w:rsidR="00C07143" w:rsidRPr="000F3269" w:rsidRDefault="00C07143" w:rsidP="00C07143">
      <w:pPr>
        <w:spacing w:after="120" w:line="276" w:lineRule="auto"/>
        <w:rPr>
          <w:rFonts w:cstheme="majorBidi"/>
        </w:rPr>
      </w:pPr>
      <w:r w:rsidRPr="52C27C33">
        <w:rPr>
          <w:rStyle w:val="normaltextrun"/>
        </w:rPr>
        <w:t xml:space="preserve">During Legislative Working Group meetings, concerns regarding the practicality of enforcement, the level of scrutiny required by regulators, and the potential for loopholes were raised and discussed. The new definition of ‘education agent commission’ </w:t>
      </w:r>
      <w:r w:rsidR="00AF2B51">
        <w:rPr>
          <w:rStyle w:val="normaltextrun"/>
        </w:rPr>
        <w:t>included in the ESOS Bill</w:t>
      </w:r>
      <w:r w:rsidR="0058321E">
        <w:rPr>
          <w:rStyle w:val="normaltextrun"/>
        </w:rPr>
        <w:t xml:space="preserve"> (and introduced again in the ELA </w:t>
      </w:r>
      <w:r w:rsidR="00E67728">
        <w:rPr>
          <w:rStyle w:val="normaltextrun"/>
        </w:rPr>
        <w:t>Act</w:t>
      </w:r>
      <w:r w:rsidR="0058321E">
        <w:rPr>
          <w:rStyle w:val="normaltextrun"/>
        </w:rPr>
        <w:t>)</w:t>
      </w:r>
      <w:r w:rsidR="00AF2B51">
        <w:rPr>
          <w:rStyle w:val="normaltextrun"/>
        </w:rPr>
        <w:t xml:space="preserve"> </w:t>
      </w:r>
      <w:r w:rsidRPr="52C27C33">
        <w:rPr>
          <w:rStyle w:val="normaltextrun"/>
        </w:rPr>
        <w:t xml:space="preserve">to enable this ban was also discussed, and feedback was taken on board by the department. </w:t>
      </w:r>
    </w:p>
    <w:p w14:paraId="185C9624" w14:textId="304C02A3" w:rsidR="00D54AB3" w:rsidRDefault="00C07143" w:rsidP="00C07143">
      <w:pPr>
        <w:spacing w:after="160" w:line="276" w:lineRule="auto"/>
        <w:rPr>
          <w:rStyle w:val="normaltextrun"/>
        </w:rPr>
      </w:pPr>
      <w:r>
        <w:rPr>
          <w:rStyle w:val="normaltextrun"/>
        </w:rPr>
        <w:t>Witnesses</w:t>
      </w:r>
      <w:r w:rsidRPr="52C27C33">
        <w:rPr>
          <w:rStyle w:val="normaltextrun"/>
        </w:rPr>
        <w:t xml:space="preserve"> </w:t>
      </w:r>
      <w:r>
        <w:rPr>
          <w:rStyle w:val="normaltextrun"/>
        </w:rPr>
        <w:t xml:space="preserve">at the </w:t>
      </w:r>
      <w:r w:rsidR="009473BC" w:rsidRPr="7A5630F0">
        <w:rPr>
          <w:rStyle w:val="normaltextrun"/>
        </w:rPr>
        <w:t xml:space="preserve">ESOS Bill </w:t>
      </w:r>
      <w:r w:rsidR="000D7D49">
        <w:rPr>
          <w:rStyle w:val="normaltextrun"/>
        </w:rPr>
        <w:t>I</w:t>
      </w:r>
      <w:r>
        <w:rPr>
          <w:rStyle w:val="normaltextrun"/>
        </w:rPr>
        <w:t xml:space="preserve">nquiry hearings </w:t>
      </w:r>
      <w:r w:rsidRPr="52C27C33">
        <w:rPr>
          <w:rStyle w:val="normaltextrun"/>
        </w:rPr>
        <w:t xml:space="preserve">generally </w:t>
      </w:r>
      <w:r>
        <w:rPr>
          <w:rStyle w:val="normaltextrun"/>
        </w:rPr>
        <w:t>voiced</w:t>
      </w:r>
      <w:r w:rsidRPr="52C27C33">
        <w:rPr>
          <w:rStyle w:val="normaltextrun"/>
        </w:rPr>
        <w:t xml:space="preserve"> support for</w:t>
      </w:r>
      <w:r>
        <w:rPr>
          <w:rStyle w:val="normaltextrun"/>
        </w:rPr>
        <w:t xml:space="preserve"> the</w:t>
      </w:r>
      <w:r w:rsidRPr="52C27C33">
        <w:rPr>
          <w:rStyle w:val="normaltextrun"/>
        </w:rPr>
        <w:t xml:space="preserve"> integrity measures in the Bill. </w:t>
      </w:r>
      <w:r>
        <w:rPr>
          <w:rStyle w:val="normaltextrun"/>
        </w:rPr>
        <w:t>For example, o</w:t>
      </w:r>
      <w:r w:rsidRPr="52C27C33">
        <w:rPr>
          <w:rStyle w:val="normaltextrun"/>
        </w:rPr>
        <w:t>ne private provider representative (Imperial Engineering Education) expressed support for measures to increase the transparency of education agent commission data, calling current commission arrangements ‘damaging’ to the sector.</w:t>
      </w:r>
      <w:r w:rsidR="000D7D49">
        <w:rPr>
          <w:rStyle w:val="FootnoteReference"/>
        </w:rPr>
        <w:footnoteReference w:id="9"/>
      </w:r>
      <w:r>
        <w:rPr>
          <w:rStyle w:val="normaltextrun"/>
        </w:rPr>
        <w:t xml:space="preserve"> </w:t>
      </w:r>
    </w:p>
    <w:p w14:paraId="68F0A365" w14:textId="0512215E" w:rsidR="00C07143" w:rsidRDefault="00C07143" w:rsidP="00C07143">
      <w:pPr>
        <w:spacing w:after="160" w:line="276" w:lineRule="auto"/>
        <w:rPr>
          <w:rStyle w:val="normaltextrun"/>
        </w:rPr>
      </w:pPr>
      <w:r>
        <w:rPr>
          <w:rStyle w:val="normaltextrun"/>
        </w:rPr>
        <w:t xml:space="preserve">Several </w:t>
      </w:r>
      <w:r w:rsidRPr="52C27C33">
        <w:rPr>
          <w:rStyle w:val="normaltextrun"/>
        </w:rPr>
        <w:t>submissions to the inquiry suggested that genuine reasons for onshore student transfers should be recognised and respected, in the context of the proposed onshore transfer commission ban.</w:t>
      </w:r>
      <w:r w:rsidR="000D7D49">
        <w:rPr>
          <w:rStyle w:val="FootnoteReference"/>
        </w:rPr>
        <w:footnoteReference w:id="10"/>
      </w:r>
      <w:r>
        <w:rPr>
          <w:rStyle w:val="normaltextrun"/>
        </w:rPr>
        <w:t xml:space="preserve"> As outlined in the </w:t>
      </w:r>
      <w:r w:rsidR="009473BC" w:rsidRPr="7A5630F0">
        <w:rPr>
          <w:rStyle w:val="normaltextrun"/>
        </w:rPr>
        <w:t>ESOS Bill</w:t>
      </w:r>
      <w:r w:rsidR="008E4D96">
        <w:rPr>
          <w:rStyle w:val="normaltextrun"/>
        </w:rPr>
        <w:t xml:space="preserve"> Inquiry</w:t>
      </w:r>
      <w:r>
        <w:rPr>
          <w:rStyle w:val="normaltextrun"/>
        </w:rPr>
        <w:t xml:space="preserve"> final report, the University of Adelaide and University of South Australia suggested that such a ban may result in agents penalising the student to facilitate transfers.</w:t>
      </w:r>
      <w:r w:rsidR="000D7D49">
        <w:rPr>
          <w:rStyle w:val="FootnoteReference"/>
        </w:rPr>
        <w:footnoteReference w:id="11"/>
      </w:r>
      <w:r>
        <w:rPr>
          <w:rStyle w:val="normaltextrun"/>
        </w:rPr>
        <w:t xml:space="preserve"> A representative from the International Student Education Agents Association also suggested that while the proposed change seeks to uphold integrity, a blanket ban may harm student welfare by reducing their access to support services.</w:t>
      </w:r>
    </w:p>
    <w:p w14:paraId="7380D7EF" w14:textId="520DD276" w:rsidR="00724F8B" w:rsidRDefault="00F80DB7" w:rsidP="7A5630F0">
      <w:pPr>
        <w:spacing w:after="160" w:line="276" w:lineRule="auto"/>
        <w:rPr>
          <w:rStyle w:val="normaltextrun"/>
        </w:rPr>
      </w:pPr>
      <w:r>
        <w:rPr>
          <w:rStyle w:val="normaltextrun"/>
        </w:rPr>
        <w:t>Some</w:t>
      </w:r>
      <w:r w:rsidR="52218ABE" w:rsidRPr="7A5630F0">
        <w:rPr>
          <w:rStyle w:val="normaltextrun"/>
        </w:rPr>
        <w:t xml:space="preserve"> </w:t>
      </w:r>
      <w:r w:rsidR="43B954A4" w:rsidRPr="7A5630F0">
        <w:rPr>
          <w:rStyle w:val="normaltextrun"/>
        </w:rPr>
        <w:t xml:space="preserve">submissions to the ELA </w:t>
      </w:r>
      <w:r w:rsidR="00D50AF2">
        <w:rPr>
          <w:rStyle w:val="normaltextrun"/>
        </w:rPr>
        <w:t>Bill</w:t>
      </w:r>
      <w:r w:rsidR="43B954A4" w:rsidRPr="7A5630F0">
        <w:rPr>
          <w:rStyle w:val="normaltextrun"/>
        </w:rPr>
        <w:t xml:space="preserve"> Inquiry</w:t>
      </w:r>
      <w:r>
        <w:rPr>
          <w:rStyle w:val="normaltextrun"/>
        </w:rPr>
        <w:t xml:space="preserve"> </w:t>
      </w:r>
      <w:r w:rsidR="132F54FD" w:rsidRPr="7A5630F0">
        <w:rPr>
          <w:rStyle w:val="normaltextrun"/>
        </w:rPr>
        <w:t xml:space="preserve">were supportive of the ban, particularly if it did not apply to genuine student movement to further study, with some arguing that the ban would address financially motivated agent behaviour that disregards student needs and system integrity. Other submissions </w:t>
      </w:r>
      <w:r w:rsidR="009834B1">
        <w:rPr>
          <w:rStyle w:val="normaltextrun"/>
        </w:rPr>
        <w:t>advised</w:t>
      </w:r>
      <w:r w:rsidR="132F54FD" w:rsidRPr="7A5630F0">
        <w:rPr>
          <w:rStyle w:val="normaltextrun"/>
        </w:rPr>
        <w:t xml:space="preserve"> </w:t>
      </w:r>
      <w:r w:rsidR="0B869640" w:rsidRPr="7A5630F0">
        <w:rPr>
          <w:rStyle w:val="normaltextrun"/>
        </w:rPr>
        <w:t xml:space="preserve">the new definitions of ‘education agent’ and ‘education agent commission’ </w:t>
      </w:r>
      <w:r w:rsidR="0B869640" w:rsidRPr="7A5630F0">
        <w:rPr>
          <w:rStyle w:val="normaltextrun"/>
        </w:rPr>
        <w:lastRenderedPageBreak/>
        <w:t xml:space="preserve">introduced in the ELA </w:t>
      </w:r>
      <w:r w:rsidR="00E67728">
        <w:rPr>
          <w:rStyle w:val="normaltextrun"/>
        </w:rPr>
        <w:t xml:space="preserve">Act </w:t>
      </w:r>
      <w:r w:rsidR="00E2671B">
        <w:rPr>
          <w:rStyle w:val="normaltextrun"/>
        </w:rPr>
        <w:t>may</w:t>
      </w:r>
      <w:r w:rsidR="0B869640" w:rsidRPr="7A5630F0">
        <w:rPr>
          <w:rStyle w:val="normaltextrun"/>
        </w:rPr>
        <w:t xml:space="preserve"> have consequences for the implementation of an onshore transfer commission ban</w:t>
      </w:r>
      <w:r w:rsidR="00BD2FED">
        <w:rPr>
          <w:rStyle w:val="normaltextrun"/>
        </w:rPr>
        <w:t xml:space="preserve"> </w:t>
      </w:r>
      <w:r>
        <w:rPr>
          <w:rStyle w:val="normaltextrun"/>
        </w:rPr>
        <w:t xml:space="preserve">that </w:t>
      </w:r>
      <w:r w:rsidR="00BD2FED">
        <w:rPr>
          <w:rStyle w:val="normaltextrun"/>
        </w:rPr>
        <w:t>the department should take into account</w:t>
      </w:r>
      <w:r w:rsidR="0B869640" w:rsidRPr="7A5630F0">
        <w:rPr>
          <w:rStyle w:val="normaltextrun"/>
        </w:rPr>
        <w:t xml:space="preserve">. </w:t>
      </w:r>
    </w:p>
    <w:p w14:paraId="7B8A9490" w14:textId="10FEC6CB" w:rsidR="00AB3591" w:rsidRPr="00544BAB" w:rsidRDefault="00AB3591" w:rsidP="7A5630F0">
      <w:pPr>
        <w:spacing w:after="160" w:line="276" w:lineRule="auto"/>
        <w:rPr>
          <w:rStyle w:val="normaltextrun"/>
        </w:rPr>
      </w:pPr>
      <w:r w:rsidRPr="7A5630F0">
        <w:rPr>
          <w:rStyle w:val="normaltextrun"/>
        </w:rPr>
        <w:t xml:space="preserve">In </w:t>
      </w:r>
      <w:r w:rsidR="00ED39A5" w:rsidRPr="7A5630F0">
        <w:rPr>
          <w:rStyle w:val="normaltextrun"/>
        </w:rPr>
        <w:t xml:space="preserve">dedicated </w:t>
      </w:r>
      <w:r w:rsidRPr="7A5630F0">
        <w:rPr>
          <w:rStyle w:val="normaltextrun"/>
        </w:rPr>
        <w:t>working group meetings</w:t>
      </w:r>
      <w:r w:rsidR="00ED39A5" w:rsidRPr="7A5630F0">
        <w:rPr>
          <w:rStyle w:val="normaltextrun"/>
        </w:rPr>
        <w:t xml:space="preserve"> held </w:t>
      </w:r>
      <w:r w:rsidR="0017291B" w:rsidRPr="7A5630F0">
        <w:rPr>
          <w:rStyle w:val="normaltextrun"/>
        </w:rPr>
        <w:t>in November 2025</w:t>
      </w:r>
      <w:r w:rsidRPr="7A5630F0">
        <w:rPr>
          <w:rStyle w:val="normaltextrun"/>
        </w:rPr>
        <w:t xml:space="preserve">, sector stakeholders </w:t>
      </w:r>
      <w:r w:rsidR="36FE10E6" w:rsidRPr="7A5630F0">
        <w:rPr>
          <w:rStyle w:val="normaltextrun"/>
        </w:rPr>
        <w:t xml:space="preserve">also </w:t>
      </w:r>
      <w:r w:rsidRPr="7A5630F0">
        <w:rPr>
          <w:rStyle w:val="normaltextrun"/>
        </w:rPr>
        <w:t>raised concerns regarding the possibility of unintended consequences</w:t>
      </w:r>
      <w:r w:rsidR="00ED39A5" w:rsidRPr="7A5630F0">
        <w:rPr>
          <w:rStyle w:val="normaltextrun"/>
        </w:rPr>
        <w:t xml:space="preserve"> of the ban related to the new ‘education agent’ definition introduced in the ELA </w:t>
      </w:r>
      <w:r w:rsidR="00E67728">
        <w:rPr>
          <w:rStyle w:val="normaltextrun"/>
        </w:rPr>
        <w:t>Act</w:t>
      </w:r>
      <w:r w:rsidR="00ED39A5" w:rsidRPr="7A5630F0">
        <w:rPr>
          <w:rStyle w:val="normaltextrun"/>
        </w:rPr>
        <w:t xml:space="preserve">. </w:t>
      </w:r>
      <w:r w:rsidR="130264E5" w:rsidRPr="7A5630F0">
        <w:rPr>
          <w:rStyle w:val="normaltextrun"/>
        </w:rPr>
        <w:t>T</w:t>
      </w:r>
      <w:r w:rsidR="0017291B" w:rsidRPr="7A5630F0">
        <w:rPr>
          <w:rStyle w:val="normaltextrun"/>
        </w:rPr>
        <w:t xml:space="preserve">his feedback </w:t>
      </w:r>
      <w:r w:rsidR="000F39BD">
        <w:rPr>
          <w:rStyle w:val="normaltextrun"/>
        </w:rPr>
        <w:t>will be</w:t>
      </w:r>
      <w:r w:rsidR="0017291B" w:rsidRPr="7A5630F0">
        <w:rPr>
          <w:rStyle w:val="normaltextrun"/>
        </w:rPr>
        <w:t xml:space="preserve"> considered in drafting </w:t>
      </w:r>
      <w:r w:rsidR="000F39BD">
        <w:rPr>
          <w:rStyle w:val="normaltextrun"/>
        </w:rPr>
        <w:t>ass</w:t>
      </w:r>
      <w:r w:rsidR="001B5D69">
        <w:rPr>
          <w:rStyle w:val="normaltextrun"/>
        </w:rPr>
        <w:t xml:space="preserve">ociated changes to </w:t>
      </w:r>
      <w:r w:rsidR="0017291B" w:rsidRPr="7A5630F0">
        <w:rPr>
          <w:rStyle w:val="normaltextrun"/>
        </w:rPr>
        <w:t>the National Code</w:t>
      </w:r>
      <w:r w:rsidR="0015249D" w:rsidRPr="7A5630F0">
        <w:rPr>
          <w:rStyle w:val="normaltextrun"/>
        </w:rPr>
        <w:t>.</w:t>
      </w:r>
      <w:r w:rsidR="3F163661" w:rsidRPr="7A5630F0">
        <w:rPr>
          <w:rStyle w:val="normaltextrun"/>
        </w:rPr>
        <w:t xml:space="preserve"> Other stakeholders were broadly supportive of the measures.</w:t>
      </w:r>
    </w:p>
    <w:p w14:paraId="3BB12D2E" w14:textId="77777777" w:rsidR="00E24062" w:rsidRDefault="00E24062">
      <w:pPr>
        <w:spacing w:after="160"/>
        <w:rPr>
          <w:rFonts w:asciiTheme="majorHAnsi" w:eastAsiaTheme="majorEastAsia" w:hAnsiTheme="majorHAnsi" w:cstheme="majorBidi"/>
          <w:b/>
          <w:color w:val="55437E" w:themeColor="accent2"/>
          <w:sz w:val="44"/>
          <w:szCs w:val="26"/>
        </w:rPr>
      </w:pPr>
      <w:r>
        <w:br w:type="page"/>
      </w:r>
    </w:p>
    <w:p w14:paraId="72B944E9" w14:textId="02601924" w:rsidR="00C07143" w:rsidRPr="006A2FBB" w:rsidRDefault="00C07143" w:rsidP="00C07143">
      <w:pPr>
        <w:pStyle w:val="Heading2"/>
      </w:pPr>
      <w:bookmarkStart w:id="26" w:name="_Toc218778652"/>
      <w:r>
        <w:lastRenderedPageBreak/>
        <w:t>Best option</w:t>
      </w:r>
      <w:bookmarkEnd w:id="26"/>
      <w:r>
        <w:t xml:space="preserve">  </w:t>
      </w:r>
    </w:p>
    <w:p w14:paraId="48959C13" w14:textId="77777777" w:rsidR="00C07143" w:rsidRDefault="00C07143" w:rsidP="00C07143">
      <w:pPr>
        <w:pStyle w:val="paragraph"/>
        <w:spacing w:after="120" w:line="276" w:lineRule="auto"/>
        <w:textAlignment w:val="baseline"/>
        <w:rPr>
          <w:rStyle w:val="normaltextrun"/>
          <w:rFonts w:asciiTheme="minorHAnsi" w:hAnsiTheme="minorHAnsi" w:cstheme="minorBidi"/>
          <w:sz w:val="22"/>
          <w:szCs w:val="22"/>
        </w:rPr>
      </w:pPr>
      <w:r w:rsidRPr="00544BAB">
        <w:rPr>
          <w:rStyle w:val="normaltextrun"/>
          <w:rFonts w:asciiTheme="minorHAnsi" w:hAnsiTheme="minorHAnsi" w:cstheme="minorBidi"/>
          <w:sz w:val="22"/>
          <w:szCs w:val="22"/>
        </w:rPr>
        <w:t xml:space="preserve">The options were evaluated based on which would have the greatest net benefit to the international education sector, and which also best met the government’s objectives. </w:t>
      </w:r>
    </w:p>
    <w:p w14:paraId="2001E03D" w14:textId="60F4AE82" w:rsidR="00173536" w:rsidRPr="00FC5E88" w:rsidRDefault="00FC5E88" w:rsidP="00FC5E88">
      <w:pPr>
        <w:pStyle w:val="Heading3"/>
        <w:rPr>
          <w:rStyle w:val="normaltextrun"/>
        </w:rPr>
      </w:pPr>
      <w:bookmarkStart w:id="27" w:name="_Toc218778653"/>
      <w:r w:rsidRPr="00FC5E88">
        <w:t>Option 1</w:t>
      </w:r>
      <w:r w:rsidR="00284855">
        <w:t xml:space="preserve">: Status </w:t>
      </w:r>
      <w:r w:rsidR="00744510">
        <w:t>quo</w:t>
      </w:r>
      <w:bookmarkEnd w:id="27"/>
    </w:p>
    <w:p w14:paraId="2E916171" w14:textId="77777777" w:rsidR="00C07143" w:rsidRDefault="00C07143" w:rsidP="00C07143">
      <w:pPr>
        <w:pStyle w:val="paragraph"/>
        <w:tabs>
          <w:tab w:val="left" w:pos="5459"/>
        </w:tabs>
        <w:spacing w:after="120" w:line="276" w:lineRule="auto"/>
        <w:textAlignment w:val="baseline"/>
        <w:rPr>
          <w:rStyle w:val="normaltextrun"/>
          <w:rFonts w:asciiTheme="minorHAnsi" w:hAnsiTheme="minorHAnsi"/>
          <w:sz w:val="22"/>
          <w:szCs w:val="22"/>
        </w:rPr>
      </w:pPr>
      <w:r w:rsidRPr="00544BAB">
        <w:rPr>
          <w:rStyle w:val="normaltextrun"/>
          <w:rFonts w:asciiTheme="minorHAnsi" w:hAnsiTheme="minorHAnsi"/>
          <w:sz w:val="22"/>
          <w:szCs w:val="22"/>
        </w:rPr>
        <w:t xml:space="preserve">Option 1, maintaining the status quo, was considered an inadequate approach, given the serious integrity concerns raised in recent reviews and inquiries. Without change, non-genuine onshore transfers and poaching of students </w:t>
      </w:r>
      <w:r w:rsidRPr="00367123">
        <w:rPr>
          <w:rStyle w:val="normaltextrun"/>
          <w:rFonts w:asciiTheme="minorHAnsi" w:hAnsiTheme="minorHAnsi" w:cstheme="minorBidi"/>
          <w:sz w:val="22"/>
          <w:szCs w:val="22"/>
        </w:rPr>
        <w:t>c</w:t>
      </w:r>
      <w:r w:rsidRPr="00544BAB">
        <w:rPr>
          <w:rStyle w:val="normaltextrun"/>
          <w:rFonts w:asciiTheme="minorHAnsi" w:hAnsiTheme="minorHAnsi"/>
          <w:sz w:val="22"/>
          <w:szCs w:val="22"/>
        </w:rPr>
        <w:t xml:space="preserve">ould be expected to continue or </w:t>
      </w:r>
      <w:r w:rsidRPr="00367123">
        <w:rPr>
          <w:rStyle w:val="normaltextrun"/>
          <w:rFonts w:asciiTheme="minorHAnsi" w:hAnsiTheme="minorHAnsi" w:cstheme="minorBidi"/>
          <w:sz w:val="22"/>
          <w:szCs w:val="22"/>
        </w:rPr>
        <w:t xml:space="preserve">even </w:t>
      </w:r>
      <w:r w:rsidRPr="007F01B4">
        <w:rPr>
          <w:rStyle w:val="normaltextrun"/>
          <w:rFonts w:asciiTheme="minorHAnsi" w:hAnsiTheme="minorHAnsi"/>
          <w:sz w:val="22"/>
          <w:szCs w:val="22"/>
        </w:rPr>
        <w:t>worsen over time.</w:t>
      </w:r>
    </w:p>
    <w:p w14:paraId="7FD753E1" w14:textId="53E19FBD" w:rsidR="00FC5E88" w:rsidRPr="00FC5E88" w:rsidRDefault="00FC5E88" w:rsidP="00FC5E88">
      <w:pPr>
        <w:pStyle w:val="Heading3"/>
      </w:pPr>
      <w:bookmarkStart w:id="28" w:name="_Toc218778654"/>
      <w:r>
        <w:t>Option 2</w:t>
      </w:r>
      <w:r w:rsidR="00744510">
        <w:t>: Non-regulatory option</w:t>
      </w:r>
      <w:bookmarkEnd w:id="28"/>
    </w:p>
    <w:p w14:paraId="2AB4394D" w14:textId="5F966CC4" w:rsidR="00B274D0" w:rsidRDefault="00C07143" w:rsidP="00AF2B51">
      <w:pPr>
        <w:pStyle w:val="paragraph"/>
        <w:spacing w:line="276" w:lineRule="auto"/>
        <w:textAlignment w:val="baseline"/>
        <w:rPr>
          <w:rStyle w:val="normaltextrun"/>
          <w:rFonts w:asciiTheme="minorHAnsi" w:eastAsiaTheme="majorEastAsia" w:hAnsiTheme="minorHAnsi" w:cstheme="minorBidi"/>
          <w:b/>
          <w:color w:val="008599" w:themeColor="accent1"/>
          <w:sz w:val="22"/>
          <w:szCs w:val="22"/>
          <w:lang w:eastAsia="en-US"/>
        </w:rPr>
      </w:pPr>
      <w:r w:rsidRPr="00544BAB">
        <w:rPr>
          <w:rStyle w:val="normaltextrun"/>
          <w:rFonts w:asciiTheme="minorHAnsi" w:hAnsiTheme="minorHAnsi"/>
          <w:sz w:val="22"/>
          <w:szCs w:val="22"/>
        </w:rPr>
        <w:t xml:space="preserve">Option 2, a non-regulatory educative approach, was </w:t>
      </w:r>
      <w:r w:rsidR="00B274D0">
        <w:rPr>
          <w:rStyle w:val="normaltextrun"/>
          <w:rFonts w:asciiTheme="minorHAnsi" w:hAnsiTheme="minorHAnsi"/>
          <w:sz w:val="22"/>
          <w:szCs w:val="22"/>
        </w:rPr>
        <w:t xml:space="preserve">also </w:t>
      </w:r>
      <w:r w:rsidRPr="00544BAB">
        <w:rPr>
          <w:rStyle w:val="normaltextrun"/>
          <w:rFonts w:asciiTheme="minorHAnsi" w:hAnsiTheme="minorHAnsi"/>
          <w:sz w:val="22"/>
          <w:szCs w:val="22"/>
        </w:rPr>
        <w:t xml:space="preserve">considered inadequate, as unscrupulous education agents would continue to have an incentive to poach students and encourage non-genuine onshore transfers. While providers could </w:t>
      </w:r>
      <w:r w:rsidRPr="00367123">
        <w:rPr>
          <w:rStyle w:val="normaltextrun"/>
          <w:rFonts w:asciiTheme="minorHAnsi" w:hAnsiTheme="minorHAnsi" w:cstheme="minorBidi"/>
          <w:sz w:val="22"/>
          <w:szCs w:val="22"/>
        </w:rPr>
        <w:t xml:space="preserve">develop a </w:t>
      </w:r>
      <w:r w:rsidRPr="00544BAB">
        <w:rPr>
          <w:rStyle w:val="normaltextrun"/>
          <w:rFonts w:asciiTheme="minorHAnsi" w:hAnsiTheme="minorHAnsi"/>
          <w:sz w:val="22"/>
          <w:szCs w:val="22"/>
        </w:rPr>
        <w:t>greater understanding of agent risk factors</w:t>
      </w:r>
      <w:r w:rsidRPr="00367123">
        <w:rPr>
          <w:rStyle w:val="normaltextrun"/>
          <w:rFonts w:asciiTheme="minorHAnsi" w:hAnsiTheme="minorHAnsi" w:cstheme="minorBidi"/>
          <w:sz w:val="22"/>
          <w:szCs w:val="22"/>
        </w:rPr>
        <w:t xml:space="preserve"> through an educative approach</w:t>
      </w:r>
      <w:r w:rsidRPr="00544BAB">
        <w:rPr>
          <w:rStyle w:val="normaltextrun"/>
          <w:rFonts w:asciiTheme="minorHAnsi" w:hAnsiTheme="minorHAnsi"/>
          <w:sz w:val="22"/>
          <w:szCs w:val="22"/>
        </w:rPr>
        <w:t>, this is not likely to change the behaviour of bad actors</w:t>
      </w:r>
      <w:r w:rsidR="00BA54FD">
        <w:rPr>
          <w:rStyle w:val="normaltextrun"/>
          <w:rFonts w:asciiTheme="minorHAnsi" w:hAnsiTheme="minorHAnsi"/>
          <w:sz w:val="22"/>
          <w:szCs w:val="22"/>
        </w:rPr>
        <w:t>,</w:t>
      </w:r>
      <w:r w:rsidRPr="00367123">
        <w:rPr>
          <w:rStyle w:val="normaltextrun"/>
          <w:rFonts w:asciiTheme="minorHAnsi" w:hAnsiTheme="minorHAnsi" w:cstheme="minorBidi"/>
          <w:sz w:val="22"/>
          <w:szCs w:val="22"/>
        </w:rPr>
        <w:t xml:space="preserve"> as</w:t>
      </w:r>
      <w:r w:rsidR="00A64859">
        <w:rPr>
          <w:rStyle w:val="normaltextrun"/>
          <w:rFonts w:asciiTheme="minorHAnsi" w:hAnsiTheme="minorHAnsi" w:cstheme="minorBidi"/>
          <w:sz w:val="22"/>
          <w:szCs w:val="22"/>
        </w:rPr>
        <w:t> </w:t>
      </w:r>
      <w:r w:rsidR="004A739F">
        <w:rPr>
          <w:rStyle w:val="normaltextrun"/>
          <w:rFonts w:asciiTheme="minorHAnsi" w:hAnsiTheme="minorHAnsi" w:cstheme="minorBidi"/>
          <w:sz w:val="22"/>
          <w:szCs w:val="22"/>
        </w:rPr>
        <w:t xml:space="preserve">was </w:t>
      </w:r>
      <w:r w:rsidRPr="00367123">
        <w:rPr>
          <w:rStyle w:val="normaltextrun"/>
          <w:rFonts w:asciiTheme="minorHAnsi" w:hAnsiTheme="minorHAnsi" w:cstheme="minorBidi"/>
          <w:sz w:val="22"/>
          <w:szCs w:val="22"/>
        </w:rPr>
        <w:t>raised by stakeholders during consultation.</w:t>
      </w:r>
    </w:p>
    <w:p w14:paraId="39AD5B98" w14:textId="3FA5D764" w:rsidR="00FC5E88" w:rsidRPr="00FC5E88" w:rsidRDefault="00FC5E88" w:rsidP="00FC5E88">
      <w:pPr>
        <w:pStyle w:val="Heading3"/>
        <w:rPr>
          <w:rStyle w:val="normaltextrun"/>
        </w:rPr>
      </w:pPr>
      <w:bookmarkStart w:id="29" w:name="_Toc218778655"/>
      <w:r w:rsidRPr="00FC5E88">
        <w:rPr>
          <w:rStyle w:val="normaltextrun"/>
        </w:rPr>
        <w:t>Option 3</w:t>
      </w:r>
      <w:r w:rsidR="00744510">
        <w:rPr>
          <w:rStyle w:val="normaltextrun"/>
        </w:rPr>
        <w:t>: Regulatory option</w:t>
      </w:r>
      <w:bookmarkEnd w:id="29"/>
    </w:p>
    <w:p w14:paraId="1A53EC0B" w14:textId="7F230E04" w:rsidR="00C07143" w:rsidRDefault="00C07143" w:rsidP="00C07143">
      <w:pPr>
        <w:pStyle w:val="paragraph"/>
        <w:spacing w:after="120" w:line="276" w:lineRule="auto"/>
        <w:textAlignment w:val="baseline"/>
        <w:rPr>
          <w:rStyle w:val="normaltextrun"/>
          <w:rFonts w:asciiTheme="minorHAnsi" w:hAnsiTheme="minorHAnsi" w:cstheme="minorBidi"/>
          <w:sz w:val="22"/>
          <w:szCs w:val="22"/>
        </w:rPr>
      </w:pPr>
      <w:r w:rsidRPr="00544BAB">
        <w:rPr>
          <w:rStyle w:val="normaltextrun"/>
          <w:rFonts w:asciiTheme="minorHAnsi" w:hAnsiTheme="minorHAnsi" w:cstheme="minorBidi"/>
          <w:sz w:val="22"/>
          <w:szCs w:val="22"/>
        </w:rPr>
        <w:t xml:space="preserve">Option 3, a ban on commissions for onshore transfers, was judged to be the best option. </w:t>
      </w:r>
      <w:r w:rsidR="009911E2" w:rsidRPr="00544BAB">
        <w:rPr>
          <w:rStyle w:val="normaltextrun"/>
          <w:rFonts w:asciiTheme="minorHAnsi" w:hAnsiTheme="minorHAnsi" w:cstheme="minorBidi"/>
          <w:sz w:val="22"/>
          <w:szCs w:val="22"/>
        </w:rPr>
        <w:t>This</w:t>
      </w:r>
      <w:r w:rsidR="009911E2">
        <w:rPr>
          <w:rStyle w:val="normaltextrun"/>
          <w:rFonts w:asciiTheme="minorHAnsi" w:hAnsiTheme="minorHAnsi" w:cstheme="minorBidi"/>
          <w:sz w:val="22"/>
          <w:szCs w:val="22"/>
        </w:rPr>
        <w:t> </w:t>
      </w:r>
      <w:r w:rsidRPr="00544BAB">
        <w:rPr>
          <w:rStyle w:val="normaltextrun"/>
          <w:rFonts w:asciiTheme="minorHAnsi" w:hAnsiTheme="minorHAnsi" w:cstheme="minorBidi"/>
          <w:sz w:val="22"/>
          <w:szCs w:val="22"/>
        </w:rPr>
        <w:t>National Code change w</w:t>
      </w:r>
      <w:r w:rsidRPr="00367123">
        <w:rPr>
          <w:rStyle w:val="normaltextrun"/>
          <w:rFonts w:asciiTheme="minorHAnsi" w:hAnsiTheme="minorHAnsi" w:cstheme="minorBidi"/>
          <w:sz w:val="22"/>
          <w:szCs w:val="22"/>
        </w:rPr>
        <w:t>ould</w:t>
      </w:r>
      <w:r w:rsidRPr="00544BAB">
        <w:rPr>
          <w:rStyle w:val="normaltextrun"/>
          <w:rFonts w:asciiTheme="minorHAnsi" w:hAnsiTheme="minorHAnsi" w:cstheme="minorBidi"/>
          <w:sz w:val="22"/>
          <w:szCs w:val="22"/>
        </w:rPr>
        <w:t xml:space="preserve"> act as a barrier to poaching by unscrupulous education agents and reaffirm agents' role as an advisor for students</w:t>
      </w:r>
      <w:r w:rsidR="007D28FB">
        <w:rPr>
          <w:rStyle w:val="normaltextrun"/>
          <w:rFonts w:asciiTheme="minorHAnsi" w:hAnsiTheme="minorHAnsi" w:cstheme="minorBidi"/>
          <w:sz w:val="22"/>
          <w:szCs w:val="22"/>
        </w:rPr>
        <w:t xml:space="preserve"> who act in the students</w:t>
      </w:r>
      <w:r w:rsidR="00EC5601">
        <w:rPr>
          <w:rStyle w:val="normaltextrun"/>
          <w:rFonts w:asciiTheme="minorHAnsi" w:hAnsiTheme="minorHAnsi" w:cstheme="minorBidi"/>
          <w:sz w:val="22"/>
          <w:szCs w:val="22"/>
        </w:rPr>
        <w:t>’</w:t>
      </w:r>
      <w:r w:rsidR="007D28FB">
        <w:rPr>
          <w:rStyle w:val="normaltextrun"/>
          <w:rFonts w:asciiTheme="minorHAnsi" w:hAnsiTheme="minorHAnsi" w:cstheme="minorBidi"/>
          <w:sz w:val="22"/>
          <w:szCs w:val="22"/>
        </w:rPr>
        <w:t xml:space="preserve"> best interests</w:t>
      </w:r>
      <w:r w:rsidRPr="00544BAB">
        <w:rPr>
          <w:rStyle w:val="normaltextrun"/>
          <w:rFonts w:asciiTheme="minorHAnsi" w:hAnsiTheme="minorHAnsi" w:cstheme="minorBidi"/>
          <w:sz w:val="22"/>
          <w:szCs w:val="22"/>
        </w:rPr>
        <w:t xml:space="preserve">, particularly those offshore. </w:t>
      </w:r>
      <w:r w:rsidR="00C916B7">
        <w:rPr>
          <w:rStyle w:val="normaltextrun"/>
          <w:rFonts w:asciiTheme="minorHAnsi" w:hAnsiTheme="minorHAnsi" w:cstheme="minorBidi"/>
          <w:sz w:val="22"/>
          <w:szCs w:val="22"/>
        </w:rPr>
        <w:t>As cov</w:t>
      </w:r>
      <w:r w:rsidR="00EA29DE">
        <w:rPr>
          <w:rStyle w:val="normaltextrun"/>
          <w:rFonts w:asciiTheme="minorHAnsi" w:hAnsiTheme="minorHAnsi" w:cstheme="minorBidi"/>
          <w:sz w:val="22"/>
          <w:szCs w:val="22"/>
        </w:rPr>
        <w:t>ered in the Impact Analysis</w:t>
      </w:r>
      <w:r w:rsidRPr="00544BAB">
        <w:rPr>
          <w:rStyle w:val="normaltextrun"/>
          <w:rFonts w:asciiTheme="minorHAnsi" w:hAnsiTheme="minorHAnsi" w:cstheme="minorBidi"/>
          <w:sz w:val="22"/>
          <w:szCs w:val="22"/>
        </w:rPr>
        <w:t>, this change w</w:t>
      </w:r>
      <w:r w:rsidRPr="00367123">
        <w:rPr>
          <w:rStyle w:val="normaltextrun"/>
          <w:rFonts w:asciiTheme="minorHAnsi" w:hAnsiTheme="minorHAnsi" w:cstheme="minorBidi"/>
          <w:sz w:val="22"/>
          <w:szCs w:val="22"/>
        </w:rPr>
        <w:t>ould</w:t>
      </w:r>
      <w:r w:rsidRPr="00544BAB">
        <w:rPr>
          <w:rStyle w:val="normaltextrun"/>
          <w:rFonts w:asciiTheme="minorHAnsi" w:hAnsiTheme="minorHAnsi" w:cstheme="minorBidi"/>
          <w:sz w:val="22"/>
          <w:szCs w:val="22"/>
        </w:rPr>
        <w:t xml:space="preserve"> help to disincentivise non-genuine transfers without relying on </w:t>
      </w:r>
      <w:r w:rsidR="00E460F8">
        <w:rPr>
          <w:rStyle w:val="normaltextrun"/>
          <w:rFonts w:asciiTheme="minorHAnsi" w:hAnsiTheme="minorHAnsi" w:cstheme="minorBidi"/>
          <w:sz w:val="22"/>
          <w:szCs w:val="22"/>
        </w:rPr>
        <w:t xml:space="preserve">best practice </w:t>
      </w:r>
      <w:r w:rsidRPr="00544BAB">
        <w:rPr>
          <w:rStyle w:val="normaltextrun"/>
          <w:rFonts w:asciiTheme="minorHAnsi" w:hAnsiTheme="minorHAnsi" w:cstheme="minorBidi"/>
          <w:sz w:val="22"/>
          <w:szCs w:val="22"/>
        </w:rPr>
        <w:t xml:space="preserve">self-regulation, which bad actors are likely to simply </w:t>
      </w:r>
      <w:r w:rsidR="00E460F8">
        <w:rPr>
          <w:rStyle w:val="normaltextrun"/>
          <w:rFonts w:asciiTheme="minorHAnsi" w:hAnsiTheme="minorHAnsi" w:cstheme="minorBidi"/>
          <w:sz w:val="22"/>
          <w:szCs w:val="22"/>
        </w:rPr>
        <w:t>not ‘opt in</w:t>
      </w:r>
      <w:r w:rsidR="0027650B">
        <w:rPr>
          <w:rStyle w:val="normaltextrun"/>
          <w:rFonts w:asciiTheme="minorHAnsi" w:hAnsiTheme="minorHAnsi" w:cstheme="minorBidi"/>
          <w:sz w:val="22"/>
          <w:szCs w:val="22"/>
        </w:rPr>
        <w:t>’ to.</w:t>
      </w:r>
      <w:r w:rsidR="00F84403">
        <w:rPr>
          <w:rStyle w:val="normaltextrun"/>
          <w:rFonts w:asciiTheme="minorHAnsi" w:hAnsiTheme="minorHAnsi" w:cstheme="minorBidi"/>
          <w:sz w:val="22"/>
          <w:szCs w:val="22"/>
        </w:rPr>
        <w:t xml:space="preserve"> As outlined in the cost-benefit analysis above,</w:t>
      </w:r>
      <w:r w:rsidR="00CC0812">
        <w:rPr>
          <w:rStyle w:val="normaltextrun"/>
          <w:rFonts w:asciiTheme="minorHAnsi" w:hAnsiTheme="minorHAnsi" w:cstheme="minorBidi"/>
          <w:sz w:val="22"/>
          <w:szCs w:val="22"/>
        </w:rPr>
        <w:t xml:space="preserve"> in the central scenario (i.e., where 10% of transferring students choose to exit the international education </w:t>
      </w:r>
      <w:r w:rsidR="00554169">
        <w:rPr>
          <w:rStyle w:val="normaltextrun"/>
          <w:rFonts w:asciiTheme="minorHAnsi" w:hAnsiTheme="minorHAnsi" w:cstheme="minorBidi"/>
          <w:sz w:val="22"/>
          <w:szCs w:val="22"/>
        </w:rPr>
        <w:t>and training</w:t>
      </w:r>
      <w:r w:rsidR="00CC0812">
        <w:rPr>
          <w:rStyle w:val="normaltextrun"/>
          <w:rFonts w:asciiTheme="minorHAnsi" w:hAnsiTheme="minorHAnsi" w:cstheme="minorBidi"/>
          <w:sz w:val="22"/>
          <w:szCs w:val="22"/>
        </w:rPr>
        <w:t>)</w:t>
      </w:r>
      <w:r w:rsidR="0089684F">
        <w:rPr>
          <w:rStyle w:val="normaltextrun"/>
          <w:rFonts w:asciiTheme="minorHAnsi" w:hAnsiTheme="minorHAnsi" w:cstheme="minorBidi"/>
          <w:sz w:val="22"/>
          <w:szCs w:val="22"/>
        </w:rPr>
        <w:t xml:space="preserve">, there is an associated net benefit of $30.4 million </w:t>
      </w:r>
      <w:r w:rsidR="00211BCD">
        <w:rPr>
          <w:rStyle w:val="normaltextrun"/>
          <w:rFonts w:asciiTheme="minorHAnsi" w:hAnsiTheme="minorHAnsi" w:cstheme="minorBidi"/>
          <w:sz w:val="22"/>
          <w:szCs w:val="22"/>
        </w:rPr>
        <w:t xml:space="preserve">over 10 years </w:t>
      </w:r>
      <w:r w:rsidR="00063FAF">
        <w:rPr>
          <w:rStyle w:val="normaltextrun"/>
          <w:rFonts w:asciiTheme="minorHAnsi" w:hAnsiTheme="minorHAnsi" w:cstheme="minorBidi"/>
          <w:sz w:val="22"/>
          <w:szCs w:val="22"/>
        </w:rPr>
        <w:t>across</w:t>
      </w:r>
      <w:r w:rsidR="0089684F">
        <w:rPr>
          <w:rStyle w:val="normaltextrun"/>
          <w:rFonts w:asciiTheme="minorHAnsi" w:hAnsiTheme="minorHAnsi" w:cstheme="minorBidi"/>
          <w:sz w:val="22"/>
          <w:szCs w:val="22"/>
        </w:rPr>
        <w:t xml:space="preserve"> students</w:t>
      </w:r>
      <w:r w:rsidR="00063FAF">
        <w:rPr>
          <w:rStyle w:val="normaltextrun"/>
          <w:rFonts w:asciiTheme="minorHAnsi" w:hAnsiTheme="minorHAnsi" w:cstheme="minorBidi"/>
          <w:sz w:val="22"/>
          <w:szCs w:val="22"/>
        </w:rPr>
        <w:t>, providers, and education agents.</w:t>
      </w:r>
      <w:r w:rsidR="00A51CB9">
        <w:rPr>
          <w:rStyle w:val="normaltextrun"/>
          <w:rFonts w:asciiTheme="minorHAnsi" w:hAnsiTheme="minorHAnsi" w:cstheme="minorBidi"/>
          <w:sz w:val="22"/>
          <w:szCs w:val="22"/>
        </w:rPr>
        <w:t xml:space="preserve"> Difficult to quantify benefits, e.g., </w:t>
      </w:r>
      <w:r w:rsidR="00667B4A">
        <w:rPr>
          <w:rStyle w:val="normaltextrun"/>
          <w:rFonts w:asciiTheme="minorHAnsi" w:hAnsiTheme="minorHAnsi" w:cstheme="minorBidi"/>
          <w:sz w:val="22"/>
          <w:szCs w:val="22"/>
        </w:rPr>
        <w:t xml:space="preserve">student ‘peace of mind’ when engaging with education agents, </w:t>
      </w:r>
      <w:r w:rsidR="00B37F7E">
        <w:rPr>
          <w:rStyle w:val="normaltextrun"/>
          <w:rFonts w:asciiTheme="minorHAnsi" w:hAnsiTheme="minorHAnsi" w:cstheme="minorBidi"/>
          <w:sz w:val="22"/>
          <w:szCs w:val="22"/>
        </w:rPr>
        <w:t>are also considered in this evaluation of Option 3 as the best option.</w:t>
      </w:r>
    </w:p>
    <w:p w14:paraId="42A2A747" w14:textId="66DC0BA4" w:rsidR="009E4D26" w:rsidRDefault="00C07143" w:rsidP="00AF2B51">
      <w:pPr>
        <w:pStyle w:val="paragraph"/>
        <w:spacing w:line="276" w:lineRule="auto"/>
        <w:textAlignment w:val="baseline"/>
        <w:rPr>
          <w:rStyle w:val="normaltextrun"/>
          <w:rFonts w:asciiTheme="minorHAnsi" w:hAnsiTheme="minorHAnsi" w:cstheme="minorBidi"/>
          <w:sz w:val="22"/>
          <w:szCs w:val="22"/>
        </w:rPr>
      </w:pPr>
      <w:r w:rsidRPr="00544BAB">
        <w:rPr>
          <w:rStyle w:val="normaltextrun"/>
          <w:rFonts w:asciiTheme="minorHAnsi" w:hAnsiTheme="minorHAnsi"/>
          <w:sz w:val="22"/>
          <w:szCs w:val="22"/>
        </w:rPr>
        <w:t xml:space="preserve">During consultation, some stakeholders raised concerns regarding the practicality of the onshore transfer commission ban, due to the historically low visibility of commission data. </w:t>
      </w:r>
      <w:r w:rsidR="0064294C">
        <w:rPr>
          <w:rStyle w:val="normaltextrun"/>
          <w:rFonts w:asciiTheme="minorHAnsi" w:hAnsiTheme="minorHAnsi"/>
          <w:sz w:val="22"/>
          <w:szCs w:val="22"/>
        </w:rPr>
        <w:t>T</w:t>
      </w:r>
      <w:r w:rsidRPr="00544BAB">
        <w:rPr>
          <w:rStyle w:val="normaltextrun"/>
          <w:rFonts w:asciiTheme="minorHAnsi" w:hAnsiTheme="minorHAnsi"/>
          <w:sz w:val="22"/>
          <w:szCs w:val="22"/>
        </w:rPr>
        <w:t xml:space="preserve">he </w:t>
      </w:r>
      <w:r w:rsidR="00805C31">
        <w:rPr>
          <w:rStyle w:val="normaltextrun"/>
          <w:rFonts w:asciiTheme="minorHAnsi" w:hAnsiTheme="minorHAnsi"/>
          <w:sz w:val="22"/>
          <w:szCs w:val="22"/>
        </w:rPr>
        <w:t>ELA</w:t>
      </w:r>
      <w:r w:rsidR="00805C31" w:rsidRPr="245FB2DD">
        <w:rPr>
          <w:rStyle w:val="normaltextrun"/>
          <w:rFonts w:asciiTheme="minorHAnsi" w:hAnsiTheme="minorHAnsi"/>
          <w:sz w:val="22"/>
          <w:szCs w:val="22"/>
        </w:rPr>
        <w:t xml:space="preserve"> </w:t>
      </w:r>
      <w:r w:rsidR="00E67728">
        <w:rPr>
          <w:rStyle w:val="normaltextrun"/>
          <w:rFonts w:asciiTheme="minorHAnsi" w:hAnsiTheme="minorHAnsi" w:cstheme="minorBidi"/>
          <w:sz w:val="22"/>
          <w:szCs w:val="22"/>
        </w:rPr>
        <w:t>Act</w:t>
      </w:r>
      <w:r w:rsidR="009E4D26">
        <w:rPr>
          <w:rStyle w:val="normaltextrun"/>
          <w:rFonts w:asciiTheme="minorHAnsi" w:hAnsiTheme="minorHAnsi" w:cstheme="minorBidi"/>
          <w:sz w:val="22"/>
          <w:szCs w:val="22"/>
        </w:rPr>
        <w:t xml:space="preserve"> addresses this issue by </w:t>
      </w:r>
      <w:r w:rsidRPr="00367123">
        <w:rPr>
          <w:rStyle w:val="normaltextrun"/>
          <w:rFonts w:asciiTheme="minorHAnsi" w:hAnsiTheme="minorHAnsi" w:cstheme="minorBidi"/>
          <w:sz w:val="22"/>
          <w:szCs w:val="22"/>
        </w:rPr>
        <w:t>includ</w:t>
      </w:r>
      <w:r w:rsidR="009E4D26">
        <w:rPr>
          <w:rStyle w:val="normaltextrun"/>
          <w:rFonts w:asciiTheme="minorHAnsi" w:hAnsiTheme="minorHAnsi" w:cstheme="minorBidi"/>
          <w:sz w:val="22"/>
          <w:szCs w:val="22"/>
        </w:rPr>
        <w:t>ing</w:t>
      </w:r>
      <w:r w:rsidRPr="00367123">
        <w:rPr>
          <w:rStyle w:val="normaltextrun"/>
          <w:rFonts w:asciiTheme="minorHAnsi" w:hAnsiTheme="minorHAnsi" w:cstheme="minorBidi"/>
          <w:sz w:val="22"/>
          <w:szCs w:val="22"/>
        </w:rPr>
        <w:t xml:space="preserve"> </w:t>
      </w:r>
      <w:r w:rsidRPr="00544BAB">
        <w:rPr>
          <w:rStyle w:val="normaltextrun"/>
          <w:rFonts w:asciiTheme="minorHAnsi" w:hAnsiTheme="minorHAnsi"/>
          <w:sz w:val="22"/>
          <w:szCs w:val="22"/>
        </w:rPr>
        <w:t xml:space="preserve">a provision </w:t>
      </w:r>
      <w:r w:rsidR="0064294C">
        <w:rPr>
          <w:rStyle w:val="normaltextrun"/>
          <w:rFonts w:asciiTheme="minorHAnsi" w:hAnsiTheme="minorHAnsi"/>
          <w:sz w:val="22"/>
          <w:szCs w:val="22"/>
        </w:rPr>
        <w:t xml:space="preserve">authorising collection and sharing </w:t>
      </w:r>
      <w:r w:rsidRPr="00544BAB">
        <w:rPr>
          <w:rStyle w:val="normaltextrun"/>
          <w:rFonts w:asciiTheme="minorHAnsi" w:hAnsiTheme="minorHAnsi"/>
          <w:sz w:val="22"/>
          <w:szCs w:val="22"/>
        </w:rPr>
        <w:t xml:space="preserve">of education agent commission data. This will </w:t>
      </w:r>
      <w:r>
        <w:rPr>
          <w:rStyle w:val="normaltextrun"/>
          <w:rFonts w:asciiTheme="minorHAnsi" w:hAnsiTheme="minorHAnsi"/>
          <w:sz w:val="22"/>
          <w:szCs w:val="22"/>
        </w:rPr>
        <w:t>enable ESOS agencies</w:t>
      </w:r>
      <w:r w:rsidRPr="00544BAB">
        <w:rPr>
          <w:rStyle w:val="normaltextrun"/>
          <w:rFonts w:asciiTheme="minorHAnsi" w:hAnsiTheme="minorHAnsi"/>
          <w:sz w:val="22"/>
          <w:szCs w:val="22"/>
        </w:rPr>
        <w:t xml:space="preserve"> to monitor </w:t>
      </w:r>
      <w:r w:rsidRPr="00367123">
        <w:rPr>
          <w:rStyle w:val="normaltextrun"/>
          <w:rFonts w:asciiTheme="minorHAnsi" w:hAnsiTheme="minorHAnsi" w:cstheme="minorBidi"/>
          <w:sz w:val="22"/>
          <w:szCs w:val="22"/>
        </w:rPr>
        <w:t xml:space="preserve">agent </w:t>
      </w:r>
      <w:r w:rsidRPr="00544BAB">
        <w:rPr>
          <w:rStyle w:val="normaltextrun"/>
          <w:rFonts w:asciiTheme="minorHAnsi" w:hAnsiTheme="minorHAnsi"/>
          <w:sz w:val="22"/>
          <w:szCs w:val="22"/>
        </w:rPr>
        <w:t xml:space="preserve">commissions and ensure provider compliance with the ban. </w:t>
      </w:r>
      <w:r w:rsidRPr="00367123">
        <w:rPr>
          <w:rStyle w:val="normaltextrun"/>
          <w:rFonts w:asciiTheme="minorHAnsi" w:hAnsiTheme="minorHAnsi" w:cstheme="minorBidi"/>
          <w:sz w:val="22"/>
          <w:szCs w:val="22"/>
        </w:rPr>
        <w:t xml:space="preserve">In response to stakeholder feedback, including concern around this data being commercial-in-confidence, providers would only be required to report the total amount of commissions paid to each agent and the number of students recruited by each over a set time period, with data access restricted to </w:t>
      </w:r>
      <w:r w:rsidR="00FC0481">
        <w:rPr>
          <w:rStyle w:val="normaltextrun"/>
          <w:rFonts w:asciiTheme="minorHAnsi" w:hAnsiTheme="minorHAnsi" w:cstheme="minorBidi"/>
          <w:sz w:val="22"/>
          <w:szCs w:val="22"/>
        </w:rPr>
        <w:t xml:space="preserve">the department, </w:t>
      </w:r>
      <w:r w:rsidRPr="00367123">
        <w:rPr>
          <w:rStyle w:val="normaltextrun"/>
          <w:rFonts w:asciiTheme="minorHAnsi" w:hAnsiTheme="minorHAnsi" w:cstheme="minorBidi"/>
          <w:sz w:val="22"/>
          <w:szCs w:val="22"/>
        </w:rPr>
        <w:t>ESOS agencies and providers.</w:t>
      </w:r>
    </w:p>
    <w:p w14:paraId="20931A1F" w14:textId="34381732" w:rsidR="00C07143" w:rsidRPr="00544BAB" w:rsidRDefault="00C07143" w:rsidP="00AF2B51">
      <w:pPr>
        <w:pStyle w:val="paragraph"/>
        <w:spacing w:line="276" w:lineRule="auto"/>
        <w:textAlignment w:val="baseline"/>
        <w:rPr>
          <w:rStyle w:val="normaltextrun"/>
          <w:rFonts w:asciiTheme="minorHAnsi" w:hAnsiTheme="minorHAnsi" w:cstheme="minorBidi"/>
          <w:sz w:val="22"/>
          <w:szCs w:val="22"/>
        </w:rPr>
      </w:pPr>
      <w:r w:rsidRPr="00544BAB">
        <w:rPr>
          <w:rStyle w:val="normaltextrun"/>
          <w:rFonts w:asciiTheme="minorHAnsi" w:hAnsiTheme="minorHAnsi" w:cstheme="minorBidi"/>
          <w:sz w:val="22"/>
          <w:szCs w:val="22"/>
        </w:rPr>
        <w:t xml:space="preserve">Stakeholder feedback was </w:t>
      </w:r>
      <w:r w:rsidRPr="4D19E8AB">
        <w:rPr>
          <w:rStyle w:val="normaltextrun"/>
          <w:rFonts w:asciiTheme="minorHAnsi" w:hAnsiTheme="minorHAnsi" w:cstheme="minorBidi"/>
          <w:sz w:val="22"/>
          <w:szCs w:val="22"/>
        </w:rPr>
        <w:t>also taken on-board</w:t>
      </w:r>
      <w:r w:rsidRPr="00544BAB">
        <w:rPr>
          <w:rStyle w:val="normaltextrun"/>
          <w:rFonts w:asciiTheme="minorHAnsi" w:hAnsiTheme="minorHAnsi" w:cstheme="minorBidi"/>
          <w:sz w:val="22"/>
          <w:szCs w:val="22"/>
        </w:rPr>
        <w:t xml:space="preserve"> </w:t>
      </w:r>
      <w:r w:rsidRPr="4D19E8AB">
        <w:rPr>
          <w:rStyle w:val="normaltextrun"/>
          <w:rFonts w:asciiTheme="minorHAnsi" w:hAnsiTheme="minorHAnsi" w:cstheme="minorBidi"/>
          <w:sz w:val="22"/>
          <w:szCs w:val="22"/>
        </w:rPr>
        <w:t xml:space="preserve">by the department </w:t>
      </w:r>
      <w:r w:rsidRPr="00544BAB">
        <w:rPr>
          <w:rStyle w:val="normaltextrun"/>
          <w:rFonts w:asciiTheme="minorHAnsi" w:hAnsiTheme="minorHAnsi" w:cstheme="minorBidi"/>
          <w:sz w:val="22"/>
          <w:szCs w:val="22"/>
        </w:rPr>
        <w:t xml:space="preserve">in the development of the new definitions of ‘education agent’ and ‘education agent commission’ introduced as part of the </w:t>
      </w:r>
      <w:r w:rsidR="00DF3E00">
        <w:rPr>
          <w:rStyle w:val="normaltextrun"/>
          <w:rFonts w:asciiTheme="minorHAnsi" w:hAnsiTheme="minorHAnsi" w:cstheme="minorBidi"/>
          <w:sz w:val="22"/>
          <w:szCs w:val="22"/>
        </w:rPr>
        <w:t>ELA</w:t>
      </w:r>
      <w:r w:rsidRPr="00544BAB">
        <w:rPr>
          <w:rStyle w:val="normaltextrun"/>
          <w:rFonts w:asciiTheme="minorHAnsi" w:hAnsiTheme="minorHAnsi" w:cstheme="minorBidi"/>
          <w:sz w:val="22"/>
          <w:szCs w:val="22"/>
        </w:rPr>
        <w:t xml:space="preserve"> </w:t>
      </w:r>
      <w:r w:rsidR="00E67728">
        <w:rPr>
          <w:rStyle w:val="normaltextrun"/>
          <w:rFonts w:asciiTheme="minorHAnsi" w:hAnsiTheme="minorHAnsi" w:cstheme="minorBidi"/>
          <w:sz w:val="22"/>
          <w:szCs w:val="22"/>
        </w:rPr>
        <w:t>Act</w:t>
      </w:r>
      <w:r w:rsidRPr="00544BAB">
        <w:rPr>
          <w:rStyle w:val="normaltextrun"/>
          <w:rFonts w:asciiTheme="minorHAnsi" w:hAnsiTheme="minorHAnsi" w:cstheme="minorBidi"/>
          <w:sz w:val="22"/>
          <w:szCs w:val="22"/>
        </w:rPr>
        <w:t xml:space="preserve">. </w:t>
      </w:r>
      <w:r w:rsidRPr="00544BAB">
        <w:rPr>
          <w:rStyle w:val="normaltextrun"/>
          <w:rFonts w:asciiTheme="minorHAnsi" w:hAnsiTheme="minorHAnsi" w:cstheme="minorBidi"/>
          <w:sz w:val="22"/>
          <w:szCs w:val="22"/>
        </w:rPr>
        <w:lastRenderedPageBreak/>
        <w:t xml:space="preserve">While some stakeholders </w:t>
      </w:r>
      <w:r>
        <w:rPr>
          <w:rStyle w:val="normaltextrun"/>
          <w:rFonts w:asciiTheme="minorHAnsi" w:hAnsiTheme="minorHAnsi" w:cstheme="minorBidi"/>
          <w:sz w:val="22"/>
          <w:szCs w:val="22"/>
        </w:rPr>
        <w:t>believe</w:t>
      </w:r>
      <w:r w:rsidRPr="00544BAB">
        <w:rPr>
          <w:rStyle w:val="normaltextrun"/>
          <w:rFonts w:asciiTheme="minorHAnsi" w:hAnsiTheme="minorHAnsi" w:cstheme="minorBidi"/>
          <w:sz w:val="22"/>
          <w:szCs w:val="22"/>
        </w:rPr>
        <w:t xml:space="preserve"> the</w:t>
      </w:r>
      <w:r w:rsidRPr="4D19E8AB">
        <w:rPr>
          <w:rStyle w:val="normaltextrun"/>
          <w:rFonts w:asciiTheme="minorHAnsi" w:hAnsiTheme="minorHAnsi" w:cstheme="minorBidi"/>
          <w:sz w:val="22"/>
          <w:szCs w:val="22"/>
        </w:rPr>
        <w:t xml:space="preserve"> definitions </w:t>
      </w:r>
      <w:r>
        <w:rPr>
          <w:rStyle w:val="normaltextrun"/>
          <w:rFonts w:asciiTheme="minorHAnsi" w:hAnsiTheme="minorHAnsi" w:cstheme="minorBidi"/>
          <w:sz w:val="22"/>
          <w:szCs w:val="22"/>
        </w:rPr>
        <w:t>are</w:t>
      </w:r>
      <w:r w:rsidRPr="00544BAB">
        <w:rPr>
          <w:rStyle w:val="normaltextrun"/>
          <w:rFonts w:asciiTheme="minorHAnsi" w:hAnsiTheme="minorHAnsi" w:cstheme="minorBidi"/>
          <w:sz w:val="22"/>
          <w:szCs w:val="22"/>
        </w:rPr>
        <w:t xml:space="preserve"> too broad, </w:t>
      </w:r>
      <w:r w:rsidRPr="4D19E8AB">
        <w:rPr>
          <w:rStyle w:val="normaltextrun"/>
          <w:rFonts w:asciiTheme="minorHAnsi" w:hAnsiTheme="minorHAnsi" w:cstheme="minorBidi"/>
          <w:sz w:val="22"/>
          <w:szCs w:val="22"/>
        </w:rPr>
        <w:t>this new wording</w:t>
      </w:r>
      <w:r w:rsidR="007D03DA">
        <w:rPr>
          <w:rStyle w:val="normaltextrun"/>
          <w:rFonts w:asciiTheme="minorHAnsi" w:hAnsiTheme="minorHAnsi" w:cstheme="minorBidi"/>
          <w:sz w:val="22"/>
          <w:szCs w:val="22"/>
        </w:rPr>
        <w:t>,</w:t>
      </w:r>
      <w:r w:rsidRPr="00544BAB">
        <w:rPr>
          <w:rStyle w:val="normaltextrun"/>
          <w:rFonts w:asciiTheme="minorHAnsi" w:hAnsiTheme="minorHAnsi" w:cstheme="minorBidi"/>
          <w:sz w:val="22"/>
          <w:szCs w:val="22"/>
        </w:rPr>
        <w:t xml:space="preserve"> </w:t>
      </w:r>
      <w:r w:rsidR="00134682">
        <w:rPr>
          <w:rStyle w:val="normaltextrun"/>
          <w:rFonts w:asciiTheme="minorHAnsi" w:hAnsiTheme="minorHAnsi" w:cstheme="minorBidi"/>
          <w:sz w:val="22"/>
          <w:szCs w:val="22"/>
        </w:rPr>
        <w:t>with i</w:t>
      </w:r>
      <w:r w:rsidR="00026D3E">
        <w:rPr>
          <w:rStyle w:val="normaltextrun"/>
          <w:rFonts w:asciiTheme="minorHAnsi" w:hAnsiTheme="minorHAnsi" w:cstheme="minorBidi"/>
          <w:sz w:val="22"/>
          <w:szCs w:val="22"/>
        </w:rPr>
        <w:t>ts focus on education agent activity</w:t>
      </w:r>
      <w:r w:rsidR="007D03DA">
        <w:rPr>
          <w:rStyle w:val="normaltextrun"/>
          <w:rFonts w:asciiTheme="minorHAnsi" w:hAnsiTheme="minorHAnsi" w:cstheme="minorBidi"/>
          <w:sz w:val="22"/>
          <w:szCs w:val="22"/>
        </w:rPr>
        <w:t>,</w:t>
      </w:r>
      <w:r w:rsidR="00026D3E">
        <w:rPr>
          <w:rStyle w:val="normaltextrun"/>
          <w:rFonts w:asciiTheme="minorHAnsi" w:hAnsiTheme="minorHAnsi" w:cstheme="minorBidi"/>
          <w:sz w:val="22"/>
          <w:szCs w:val="22"/>
        </w:rPr>
        <w:t xml:space="preserve"> </w:t>
      </w:r>
      <w:r w:rsidRPr="00544BAB">
        <w:rPr>
          <w:rStyle w:val="normaltextrun"/>
          <w:rFonts w:asciiTheme="minorHAnsi" w:hAnsiTheme="minorHAnsi" w:cstheme="minorBidi"/>
          <w:sz w:val="22"/>
          <w:szCs w:val="22"/>
        </w:rPr>
        <w:t>will enable the ban</w:t>
      </w:r>
      <w:r w:rsidRPr="4D19E8AB">
        <w:rPr>
          <w:rStyle w:val="normaltextrun"/>
          <w:rFonts w:asciiTheme="minorHAnsi" w:hAnsiTheme="minorHAnsi" w:cstheme="minorBidi"/>
          <w:sz w:val="22"/>
          <w:szCs w:val="22"/>
        </w:rPr>
        <w:t xml:space="preserve"> of</w:t>
      </w:r>
      <w:r w:rsidRPr="00544BAB">
        <w:rPr>
          <w:rStyle w:val="normaltextrun"/>
          <w:rFonts w:asciiTheme="minorHAnsi" w:hAnsiTheme="minorHAnsi" w:cstheme="minorBidi"/>
          <w:sz w:val="22"/>
          <w:szCs w:val="22"/>
        </w:rPr>
        <w:t xml:space="preserve"> onshore transfer commissions</w:t>
      </w:r>
      <w:r w:rsidRPr="4D19E8AB">
        <w:rPr>
          <w:rStyle w:val="normaltextrun"/>
          <w:rFonts w:asciiTheme="minorHAnsi" w:hAnsiTheme="minorHAnsi" w:cstheme="minorBidi"/>
          <w:sz w:val="22"/>
          <w:szCs w:val="22"/>
        </w:rPr>
        <w:t xml:space="preserve">. These definitions are designed to capture </w:t>
      </w:r>
      <w:r w:rsidR="00F71AF0">
        <w:rPr>
          <w:rStyle w:val="normaltextrun"/>
          <w:rFonts w:asciiTheme="minorHAnsi" w:hAnsiTheme="minorHAnsi" w:cstheme="minorBidi"/>
          <w:sz w:val="22"/>
          <w:szCs w:val="22"/>
        </w:rPr>
        <w:t xml:space="preserve">a wide </w:t>
      </w:r>
      <w:r w:rsidRPr="4D19E8AB">
        <w:rPr>
          <w:rStyle w:val="normaltextrun"/>
          <w:rFonts w:asciiTheme="minorHAnsi" w:hAnsiTheme="minorHAnsi" w:cstheme="minorBidi"/>
          <w:sz w:val="22"/>
          <w:szCs w:val="22"/>
        </w:rPr>
        <w:t xml:space="preserve">range of relevant </w:t>
      </w:r>
      <w:r w:rsidR="00026D3E">
        <w:rPr>
          <w:rStyle w:val="normaltextrun"/>
          <w:rFonts w:asciiTheme="minorHAnsi" w:hAnsiTheme="minorHAnsi" w:cstheme="minorBidi"/>
          <w:sz w:val="22"/>
          <w:szCs w:val="22"/>
        </w:rPr>
        <w:t xml:space="preserve">education agent activity and </w:t>
      </w:r>
      <w:r w:rsidRPr="4D19E8AB">
        <w:rPr>
          <w:rStyle w:val="normaltextrun"/>
          <w:rFonts w:asciiTheme="minorHAnsi" w:hAnsiTheme="minorHAnsi" w:cstheme="minorBidi"/>
          <w:sz w:val="22"/>
          <w:szCs w:val="22"/>
        </w:rPr>
        <w:t xml:space="preserve">commission </w:t>
      </w:r>
      <w:r>
        <w:rPr>
          <w:rStyle w:val="normaltextrun"/>
          <w:rFonts w:asciiTheme="minorHAnsi" w:hAnsiTheme="minorHAnsi" w:cstheme="minorBidi"/>
          <w:sz w:val="22"/>
          <w:szCs w:val="22"/>
        </w:rPr>
        <w:t>types</w:t>
      </w:r>
      <w:r w:rsidRPr="4D19E8AB">
        <w:rPr>
          <w:rStyle w:val="normaltextrun"/>
          <w:rFonts w:asciiTheme="minorHAnsi" w:hAnsiTheme="minorHAnsi" w:cstheme="minorBidi"/>
          <w:sz w:val="22"/>
          <w:szCs w:val="22"/>
        </w:rPr>
        <w:t>, including ones that may be</w:t>
      </w:r>
      <w:r w:rsidR="00DB2F20">
        <w:rPr>
          <w:rStyle w:val="normaltextrun"/>
          <w:rFonts w:asciiTheme="minorHAnsi" w:hAnsiTheme="minorHAnsi" w:cstheme="minorBidi"/>
          <w:sz w:val="22"/>
          <w:szCs w:val="22"/>
        </w:rPr>
        <w:t xml:space="preserve"> non-monetary or</w:t>
      </w:r>
      <w:r w:rsidRPr="4D19E8AB">
        <w:rPr>
          <w:rStyle w:val="normaltextrun"/>
          <w:rFonts w:asciiTheme="minorHAnsi" w:hAnsiTheme="minorHAnsi" w:cstheme="minorBidi"/>
          <w:sz w:val="22"/>
          <w:szCs w:val="22"/>
        </w:rPr>
        <w:t xml:space="preserve"> ‘hidden’, such as bonuses</w:t>
      </w:r>
      <w:r w:rsidR="00F71AF0">
        <w:rPr>
          <w:rStyle w:val="normaltextrun"/>
          <w:rFonts w:asciiTheme="minorHAnsi" w:hAnsiTheme="minorHAnsi" w:cstheme="minorBidi"/>
          <w:sz w:val="22"/>
          <w:szCs w:val="22"/>
        </w:rPr>
        <w:t xml:space="preserve">. These </w:t>
      </w:r>
      <w:r w:rsidR="000335DA">
        <w:rPr>
          <w:rStyle w:val="normaltextrun"/>
          <w:rFonts w:asciiTheme="minorHAnsi" w:hAnsiTheme="minorHAnsi" w:cstheme="minorBidi"/>
          <w:sz w:val="22"/>
          <w:szCs w:val="22"/>
        </w:rPr>
        <w:t>‘hidden’ commissions were</w:t>
      </w:r>
      <w:r w:rsidRPr="4D19E8AB">
        <w:rPr>
          <w:rStyle w:val="normaltextrun"/>
          <w:rFonts w:asciiTheme="minorHAnsi" w:hAnsiTheme="minorHAnsi" w:cstheme="minorBidi"/>
          <w:sz w:val="22"/>
          <w:szCs w:val="22"/>
        </w:rPr>
        <w:t xml:space="preserve"> raised in feedback from stakeholders. Th</w:t>
      </w:r>
      <w:r w:rsidR="00F243BC">
        <w:rPr>
          <w:rStyle w:val="normaltextrun"/>
          <w:rFonts w:asciiTheme="minorHAnsi" w:hAnsiTheme="minorHAnsi" w:cstheme="minorBidi"/>
          <w:sz w:val="22"/>
          <w:szCs w:val="22"/>
        </w:rPr>
        <w:t xml:space="preserve">ese definitions </w:t>
      </w:r>
      <w:r w:rsidRPr="4D19E8AB">
        <w:rPr>
          <w:rStyle w:val="normaltextrun"/>
          <w:rFonts w:asciiTheme="minorHAnsi" w:hAnsiTheme="minorHAnsi" w:cstheme="minorBidi"/>
          <w:sz w:val="22"/>
          <w:szCs w:val="22"/>
        </w:rPr>
        <w:t>also align with recommendations from the JSCFADT</w:t>
      </w:r>
      <w:r w:rsidR="005F59F7">
        <w:rPr>
          <w:rStyle w:val="normaltextrun"/>
          <w:rFonts w:asciiTheme="minorHAnsi" w:hAnsiTheme="minorHAnsi" w:cstheme="minorBidi"/>
          <w:sz w:val="22"/>
          <w:szCs w:val="22"/>
        </w:rPr>
        <w:t xml:space="preserve"> Inquiry</w:t>
      </w:r>
      <w:r w:rsidR="000335DA">
        <w:rPr>
          <w:rStyle w:val="normaltextrun"/>
          <w:rFonts w:asciiTheme="minorHAnsi" w:hAnsiTheme="minorHAnsi" w:cstheme="minorBidi"/>
          <w:sz w:val="22"/>
          <w:szCs w:val="22"/>
        </w:rPr>
        <w:t xml:space="preserve"> </w:t>
      </w:r>
      <w:r w:rsidRPr="4D19E8AB">
        <w:rPr>
          <w:rStyle w:val="normaltextrun"/>
          <w:rFonts w:asciiTheme="minorHAnsi" w:hAnsiTheme="minorHAnsi" w:cstheme="minorBidi"/>
          <w:sz w:val="22"/>
          <w:szCs w:val="22"/>
        </w:rPr>
        <w:t>into international education, which suggested that an onshore transfer commission ban must be carefully crafted to avoid loopholes and</w:t>
      </w:r>
      <w:r>
        <w:rPr>
          <w:rStyle w:val="normaltextrun"/>
          <w:rFonts w:asciiTheme="minorHAnsi" w:hAnsiTheme="minorHAnsi" w:cstheme="minorBidi"/>
          <w:sz w:val="22"/>
          <w:szCs w:val="22"/>
        </w:rPr>
        <w:t xml:space="preserve"> workarounds</w:t>
      </w:r>
      <w:r w:rsidRPr="4D19E8AB">
        <w:rPr>
          <w:rStyle w:val="normaltextrun"/>
          <w:rFonts w:asciiTheme="minorHAnsi" w:hAnsiTheme="minorHAnsi" w:cstheme="minorBidi"/>
          <w:sz w:val="22"/>
          <w:szCs w:val="22"/>
        </w:rPr>
        <w:t>.</w:t>
      </w:r>
      <w:r w:rsidR="00DB2F20">
        <w:rPr>
          <w:rStyle w:val="FootnoteReference"/>
          <w:rFonts w:asciiTheme="minorHAnsi" w:hAnsiTheme="minorHAnsi" w:cstheme="minorBidi"/>
          <w:sz w:val="22"/>
          <w:szCs w:val="22"/>
        </w:rPr>
        <w:footnoteReference w:id="12"/>
      </w:r>
    </w:p>
    <w:p w14:paraId="4B6B8B4A" w14:textId="507A32C0" w:rsidR="00AC61AA" w:rsidRDefault="00C07143" w:rsidP="007F6F03">
      <w:pPr>
        <w:pStyle w:val="paragraph"/>
        <w:spacing w:line="276" w:lineRule="auto"/>
        <w:textAlignment w:val="baseline"/>
        <w:rPr>
          <w:rStyle w:val="normaltextrun"/>
          <w:rFonts w:asciiTheme="minorHAnsi" w:eastAsiaTheme="minorHAnsi" w:hAnsiTheme="minorHAnsi" w:cstheme="minorBidi"/>
          <w:sz w:val="22"/>
          <w:szCs w:val="22"/>
          <w:lang w:eastAsia="en-US"/>
        </w:rPr>
      </w:pPr>
      <w:r w:rsidRPr="00544BAB">
        <w:rPr>
          <w:rStyle w:val="normaltextrun"/>
          <w:rFonts w:asciiTheme="minorHAnsi" w:hAnsiTheme="minorHAnsi" w:cstheme="minorBidi"/>
          <w:sz w:val="22"/>
          <w:szCs w:val="22"/>
        </w:rPr>
        <w:t>There are some risks associated with Option 3</w:t>
      </w:r>
      <w:r>
        <w:rPr>
          <w:rStyle w:val="normaltextrun"/>
          <w:rFonts w:asciiTheme="minorHAnsi" w:hAnsiTheme="minorHAnsi" w:cstheme="minorBidi"/>
          <w:sz w:val="22"/>
          <w:szCs w:val="22"/>
        </w:rPr>
        <w:t xml:space="preserve">. </w:t>
      </w:r>
      <w:r w:rsidR="00E84183">
        <w:rPr>
          <w:rStyle w:val="normaltextrun"/>
          <w:rFonts w:asciiTheme="minorHAnsi" w:hAnsiTheme="minorHAnsi" w:cstheme="minorBidi"/>
          <w:sz w:val="22"/>
          <w:szCs w:val="22"/>
        </w:rPr>
        <w:t xml:space="preserve">There </w:t>
      </w:r>
      <w:r w:rsidR="00875E94">
        <w:rPr>
          <w:rStyle w:val="normaltextrun"/>
          <w:rFonts w:asciiTheme="minorHAnsi" w:hAnsiTheme="minorHAnsi" w:cstheme="minorBidi"/>
          <w:sz w:val="22"/>
          <w:szCs w:val="22"/>
        </w:rPr>
        <w:t xml:space="preserve">is a possible risk to student welfare if </w:t>
      </w:r>
      <w:r w:rsidR="008D731E">
        <w:rPr>
          <w:rStyle w:val="normaltextrun"/>
          <w:rFonts w:asciiTheme="minorHAnsi" w:hAnsiTheme="minorHAnsi" w:cstheme="minorBidi"/>
          <w:sz w:val="22"/>
          <w:szCs w:val="22"/>
        </w:rPr>
        <w:t>the commission ban results in reduced access to support services for students</w:t>
      </w:r>
      <w:r w:rsidR="003B05EC">
        <w:rPr>
          <w:rStyle w:val="normaltextrun"/>
          <w:rFonts w:asciiTheme="minorHAnsi" w:hAnsiTheme="minorHAnsi" w:cstheme="minorBidi"/>
          <w:sz w:val="22"/>
          <w:szCs w:val="22"/>
        </w:rPr>
        <w:t>,</w:t>
      </w:r>
      <w:r w:rsidR="00C71F86">
        <w:rPr>
          <w:rStyle w:val="normaltextrun"/>
          <w:rFonts w:asciiTheme="minorHAnsi" w:hAnsiTheme="minorHAnsi" w:cstheme="minorBidi"/>
          <w:sz w:val="22"/>
          <w:szCs w:val="22"/>
        </w:rPr>
        <w:t xml:space="preserve"> as </w:t>
      </w:r>
      <w:r w:rsidR="00D5561E">
        <w:rPr>
          <w:rStyle w:val="normaltextrun"/>
          <w:rFonts w:asciiTheme="minorHAnsi" w:hAnsiTheme="minorHAnsi" w:cstheme="minorBidi"/>
          <w:sz w:val="22"/>
          <w:szCs w:val="22"/>
        </w:rPr>
        <w:t xml:space="preserve">has been </w:t>
      </w:r>
      <w:r w:rsidR="00C71F86">
        <w:rPr>
          <w:rStyle w:val="normaltextrun"/>
          <w:rFonts w:asciiTheme="minorHAnsi" w:hAnsiTheme="minorHAnsi" w:cstheme="minorBidi"/>
          <w:sz w:val="22"/>
          <w:szCs w:val="22"/>
        </w:rPr>
        <w:t>raised by some stakeholders</w:t>
      </w:r>
      <w:r w:rsidR="008D731E">
        <w:rPr>
          <w:rStyle w:val="normaltextrun"/>
          <w:rFonts w:asciiTheme="minorHAnsi" w:hAnsiTheme="minorHAnsi" w:cstheme="minorBidi"/>
          <w:sz w:val="22"/>
          <w:szCs w:val="22"/>
        </w:rPr>
        <w:t xml:space="preserve">. </w:t>
      </w:r>
      <w:r w:rsidR="007409A2">
        <w:rPr>
          <w:rStyle w:val="normaltextrun"/>
          <w:rFonts w:asciiTheme="minorHAnsi" w:hAnsiTheme="minorHAnsi" w:cstheme="minorBidi"/>
          <w:sz w:val="22"/>
          <w:szCs w:val="22"/>
        </w:rPr>
        <w:t xml:space="preserve">However, this </w:t>
      </w:r>
      <w:r w:rsidR="000049BF">
        <w:rPr>
          <w:rStyle w:val="normaltextrun"/>
          <w:rFonts w:asciiTheme="minorHAnsi" w:hAnsiTheme="minorHAnsi" w:cstheme="minorBidi"/>
          <w:sz w:val="22"/>
          <w:szCs w:val="22"/>
        </w:rPr>
        <w:t xml:space="preserve">risk </w:t>
      </w:r>
      <w:r w:rsidR="007409A2">
        <w:rPr>
          <w:rStyle w:val="normaltextrun"/>
          <w:rFonts w:asciiTheme="minorHAnsi" w:hAnsiTheme="minorHAnsi" w:cstheme="minorBidi"/>
          <w:sz w:val="22"/>
          <w:szCs w:val="22"/>
        </w:rPr>
        <w:t xml:space="preserve">is likely to be low </w:t>
      </w:r>
      <w:r w:rsidR="006907BB">
        <w:rPr>
          <w:rStyle w:val="normaltextrun"/>
          <w:rFonts w:asciiTheme="minorHAnsi" w:hAnsiTheme="minorHAnsi" w:cstheme="minorBidi"/>
          <w:sz w:val="22"/>
          <w:szCs w:val="22"/>
        </w:rPr>
        <w:t xml:space="preserve">as </w:t>
      </w:r>
      <w:r w:rsidR="007409A2">
        <w:rPr>
          <w:rStyle w:val="normaltextrun"/>
          <w:rFonts w:asciiTheme="minorHAnsi" w:hAnsiTheme="minorHAnsi" w:cstheme="minorBidi"/>
          <w:sz w:val="22"/>
          <w:szCs w:val="22"/>
        </w:rPr>
        <w:t xml:space="preserve">providers </w:t>
      </w:r>
      <w:r w:rsidR="007B6C55">
        <w:rPr>
          <w:rStyle w:val="normaltextrun"/>
          <w:rFonts w:asciiTheme="minorHAnsi" w:hAnsiTheme="minorHAnsi" w:cstheme="minorBidi"/>
          <w:sz w:val="22"/>
          <w:szCs w:val="22"/>
        </w:rPr>
        <w:t xml:space="preserve">will still be </w:t>
      </w:r>
      <w:r w:rsidR="001A706A">
        <w:rPr>
          <w:rStyle w:val="normaltextrun"/>
          <w:rFonts w:asciiTheme="minorHAnsi" w:hAnsiTheme="minorHAnsi" w:cstheme="minorBidi"/>
          <w:sz w:val="22"/>
          <w:szCs w:val="22"/>
        </w:rPr>
        <w:t xml:space="preserve">required to </w:t>
      </w:r>
      <w:r w:rsidR="00274281">
        <w:rPr>
          <w:rStyle w:val="normaltextrun"/>
          <w:rFonts w:asciiTheme="minorHAnsi" w:hAnsiTheme="minorHAnsi" w:cstheme="minorBidi"/>
          <w:sz w:val="22"/>
          <w:szCs w:val="22"/>
        </w:rPr>
        <w:t>provide support to overseas students under Standard 6 of the National Code</w:t>
      </w:r>
      <w:r w:rsidR="003B05EC">
        <w:rPr>
          <w:rStyle w:val="normaltextrun"/>
          <w:rFonts w:asciiTheme="minorHAnsi" w:hAnsiTheme="minorHAnsi" w:cstheme="minorBidi"/>
          <w:sz w:val="22"/>
          <w:szCs w:val="22"/>
        </w:rPr>
        <w:t>,</w:t>
      </w:r>
      <w:r w:rsidR="00D5561E">
        <w:rPr>
          <w:rStyle w:val="normaltextrun"/>
          <w:rFonts w:asciiTheme="minorHAnsi" w:hAnsiTheme="minorHAnsi" w:cstheme="minorBidi"/>
          <w:sz w:val="22"/>
          <w:szCs w:val="22"/>
        </w:rPr>
        <w:t xml:space="preserve"> and the department will provide advice </w:t>
      </w:r>
      <w:r w:rsidR="00316DF2">
        <w:rPr>
          <w:rStyle w:val="normaltextrun"/>
          <w:rFonts w:asciiTheme="minorHAnsi" w:hAnsiTheme="minorHAnsi" w:cstheme="minorBidi"/>
          <w:sz w:val="22"/>
          <w:szCs w:val="22"/>
        </w:rPr>
        <w:t xml:space="preserve">on their website </w:t>
      </w:r>
      <w:r w:rsidR="00D5561E">
        <w:rPr>
          <w:rStyle w:val="normaltextrun"/>
          <w:rFonts w:asciiTheme="minorHAnsi" w:hAnsiTheme="minorHAnsi" w:cstheme="minorBidi"/>
          <w:sz w:val="22"/>
          <w:szCs w:val="22"/>
        </w:rPr>
        <w:t>to students regarding the ban</w:t>
      </w:r>
      <w:r w:rsidR="00316DF2">
        <w:rPr>
          <w:rStyle w:val="normaltextrun"/>
          <w:rFonts w:asciiTheme="minorHAnsi" w:hAnsiTheme="minorHAnsi" w:cstheme="minorBidi"/>
          <w:sz w:val="22"/>
          <w:szCs w:val="22"/>
        </w:rPr>
        <w:t xml:space="preserve"> and their options when looking to transfer to a new provider</w:t>
      </w:r>
      <w:r w:rsidR="00D2003C">
        <w:rPr>
          <w:rStyle w:val="normaltextrun"/>
          <w:rFonts w:asciiTheme="minorHAnsi" w:hAnsiTheme="minorHAnsi" w:cstheme="minorBidi"/>
          <w:sz w:val="22"/>
          <w:szCs w:val="22"/>
        </w:rPr>
        <w:t>.</w:t>
      </w:r>
    </w:p>
    <w:p w14:paraId="465DCC9C" w14:textId="0D6CBD34" w:rsidR="00C07143" w:rsidRDefault="00C07143" w:rsidP="00C07143">
      <w:pPr>
        <w:pStyle w:val="paragraph"/>
        <w:spacing w:after="120" w:line="276" w:lineRule="auto"/>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G</w:t>
      </w:r>
      <w:r w:rsidRPr="00544BAB">
        <w:rPr>
          <w:rStyle w:val="normaltextrun"/>
          <w:rFonts w:asciiTheme="minorHAnsi" w:hAnsiTheme="minorHAnsi" w:cstheme="minorBidi"/>
          <w:sz w:val="22"/>
          <w:szCs w:val="22"/>
        </w:rPr>
        <w:t>iven t</w:t>
      </w:r>
      <w:r>
        <w:rPr>
          <w:rStyle w:val="normaltextrun"/>
          <w:rFonts w:asciiTheme="minorHAnsi" w:hAnsiTheme="minorHAnsi" w:cstheme="minorBidi"/>
          <w:sz w:val="22"/>
          <w:szCs w:val="22"/>
        </w:rPr>
        <w:t xml:space="preserve">he associated net benefits, the </w:t>
      </w:r>
      <w:r w:rsidRPr="00544BAB">
        <w:rPr>
          <w:rStyle w:val="normaltextrun"/>
          <w:rFonts w:asciiTheme="minorHAnsi" w:hAnsiTheme="minorHAnsi" w:cstheme="minorBidi"/>
          <w:sz w:val="22"/>
          <w:szCs w:val="22"/>
        </w:rPr>
        <w:t xml:space="preserve">seriousness of current integrity concerns, and </w:t>
      </w:r>
      <w:r>
        <w:rPr>
          <w:rStyle w:val="normaltextrun"/>
          <w:rFonts w:asciiTheme="minorHAnsi" w:hAnsiTheme="minorHAnsi" w:cstheme="minorBidi"/>
          <w:sz w:val="22"/>
          <w:szCs w:val="22"/>
        </w:rPr>
        <w:t xml:space="preserve">the </w:t>
      </w:r>
      <w:r w:rsidRPr="00544BAB">
        <w:rPr>
          <w:rStyle w:val="normaltextrun"/>
          <w:rFonts w:asciiTheme="minorHAnsi" w:hAnsiTheme="minorHAnsi" w:cstheme="minorBidi"/>
          <w:sz w:val="22"/>
          <w:szCs w:val="22"/>
        </w:rPr>
        <w:t xml:space="preserve">likely ineffectiveness of alternative options, the benefits of </w:t>
      </w:r>
      <w:r>
        <w:rPr>
          <w:rStyle w:val="normaltextrun"/>
          <w:rFonts w:asciiTheme="minorHAnsi" w:hAnsiTheme="minorHAnsi" w:cstheme="minorBidi"/>
          <w:sz w:val="22"/>
          <w:szCs w:val="22"/>
        </w:rPr>
        <w:t>Option 3</w:t>
      </w:r>
      <w:r w:rsidRPr="00544BAB">
        <w:rPr>
          <w:rStyle w:val="normaltextrun"/>
          <w:rFonts w:asciiTheme="minorHAnsi" w:hAnsiTheme="minorHAnsi" w:cstheme="minorBidi"/>
          <w:sz w:val="22"/>
          <w:szCs w:val="22"/>
        </w:rPr>
        <w:t xml:space="preserve"> outweigh the </w:t>
      </w:r>
      <w:r>
        <w:rPr>
          <w:rStyle w:val="normaltextrun"/>
          <w:rFonts w:asciiTheme="minorHAnsi" w:hAnsiTheme="minorHAnsi" w:cstheme="minorBidi"/>
          <w:sz w:val="22"/>
          <w:szCs w:val="22"/>
        </w:rPr>
        <w:t xml:space="preserve">possible </w:t>
      </w:r>
      <w:r w:rsidRPr="00544BAB">
        <w:rPr>
          <w:rStyle w:val="normaltextrun"/>
          <w:rFonts w:asciiTheme="minorHAnsi" w:hAnsiTheme="minorHAnsi" w:cstheme="minorBidi"/>
          <w:sz w:val="22"/>
          <w:szCs w:val="22"/>
        </w:rPr>
        <w:t>risks.</w:t>
      </w:r>
    </w:p>
    <w:p w14:paraId="489BFFDE" w14:textId="200D73E2" w:rsidR="008E6446" w:rsidRDefault="00FF32EA" w:rsidP="008E6446">
      <w:pPr>
        <w:pStyle w:val="Heading3"/>
        <w:rPr>
          <w:rStyle w:val="normaltextrun"/>
          <w:rFonts w:cstheme="majorHAnsi"/>
          <w:szCs w:val="32"/>
        </w:rPr>
      </w:pPr>
      <w:bookmarkStart w:id="30" w:name="_Toc218778656"/>
      <w:r w:rsidRPr="00E27ED3">
        <w:rPr>
          <w:rStyle w:val="normaltextrun"/>
          <w:rFonts w:cstheme="majorHAnsi"/>
          <w:szCs w:val="32"/>
        </w:rPr>
        <w:t>Implementation</w:t>
      </w:r>
      <w:bookmarkEnd w:id="30"/>
    </w:p>
    <w:p w14:paraId="5EB3A568" w14:textId="3D1FF0FC" w:rsidR="009649DE" w:rsidRPr="00E27ED3" w:rsidRDefault="004C5D3A" w:rsidP="00E27ED3">
      <w:r>
        <w:t xml:space="preserve">The implementation of </w:t>
      </w:r>
      <w:r w:rsidR="00CD06A7">
        <w:t>Option 3</w:t>
      </w:r>
      <w:r>
        <w:t xml:space="preserve"> </w:t>
      </w:r>
      <w:r w:rsidR="00630262">
        <w:t>is</w:t>
      </w:r>
      <w:r>
        <w:t xml:space="preserve"> intended to coincide with the </w:t>
      </w:r>
      <w:r w:rsidR="00B53E18">
        <w:t xml:space="preserve">implementation of </w:t>
      </w:r>
      <w:r>
        <w:t xml:space="preserve">changes in the </w:t>
      </w:r>
      <w:r w:rsidR="000461A6">
        <w:t xml:space="preserve">ELA </w:t>
      </w:r>
      <w:r w:rsidR="00E67728">
        <w:t>Act</w:t>
      </w:r>
      <w:r>
        <w:t>, so th</w:t>
      </w:r>
      <w:r w:rsidR="00044401">
        <w:t xml:space="preserve">at </w:t>
      </w:r>
      <w:r>
        <w:t>there w</w:t>
      </w:r>
      <w:r w:rsidR="00CD06A7">
        <w:t>ould</w:t>
      </w:r>
      <w:r>
        <w:t xml:space="preserve"> not be multiple tranches of change over time. </w:t>
      </w:r>
      <w:r w:rsidR="007C13F1">
        <w:t xml:space="preserve">The amending instrument would be tabled following </w:t>
      </w:r>
      <w:r w:rsidR="008E7E18">
        <w:t>passage</w:t>
      </w:r>
      <w:r w:rsidR="007C13F1">
        <w:t xml:space="preserve"> of the </w:t>
      </w:r>
      <w:r w:rsidR="00AD14D0">
        <w:t>ELA</w:t>
      </w:r>
      <w:r w:rsidR="007C13F1">
        <w:t xml:space="preserve"> </w:t>
      </w:r>
      <w:r w:rsidR="00E67728">
        <w:t>Act</w:t>
      </w:r>
      <w:r w:rsidR="007E5E20">
        <w:t>.</w:t>
      </w:r>
      <w:r w:rsidR="00B7255C">
        <w:t xml:space="preserve"> </w:t>
      </w:r>
      <w:r w:rsidR="008E3A56">
        <w:t xml:space="preserve">There will be transitional arrangements included </w:t>
      </w:r>
      <w:r w:rsidR="0043158A" w:rsidRPr="0043158A">
        <w:t>to account for existing contracts underway with agents</w:t>
      </w:r>
      <w:r w:rsidR="000D69B2">
        <w:t>. This means that the ban will not apply to students that are accepted for enrolment at their new provider by a certain date</w:t>
      </w:r>
      <w:r w:rsidR="00726D3D">
        <w:t>, ensuring that any remaining commission payment</w:t>
      </w:r>
      <w:r w:rsidR="000E6DA2">
        <w:t xml:space="preserve"> instalments</w:t>
      </w:r>
      <w:r w:rsidR="00726D3D">
        <w:t xml:space="preserve"> relevant to that enrolment can </w:t>
      </w:r>
      <w:r w:rsidR="00840A5A">
        <w:t xml:space="preserve">still </w:t>
      </w:r>
      <w:r w:rsidR="00726D3D">
        <w:t>be paid.</w:t>
      </w:r>
      <w:r w:rsidR="008E3A56">
        <w:t xml:space="preserve"> </w:t>
      </w:r>
      <w:r w:rsidR="00B7255C">
        <w:t xml:space="preserve"> </w:t>
      </w:r>
      <w:r w:rsidR="004D3A48">
        <w:t>The</w:t>
      </w:r>
      <w:r w:rsidR="003169C7">
        <w:t xml:space="preserve"> department will </w:t>
      </w:r>
      <w:r w:rsidR="004D3A48">
        <w:t>also</w:t>
      </w:r>
      <w:r w:rsidR="003169C7">
        <w:t xml:space="preserve"> develop educational materials for </w:t>
      </w:r>
      <w:r w:rsidR="00903407">
        <w:t>distribution immediately following pass</w:t>
      </w:r>
      <w:r w:rsidR="00CD06A7">
        <w:t>age</w:t>
      </w:r>
      <w:r w:rsidR="00903407">
        <w:t xml:space="preserve"> of the instrument. </w:t>
      </w:r>
      <w:r w:rsidR="004D13DB">
        <w:t xml:space="preserve">These materials will be distributed to providers, ensuring that they </w:t>
      </w:r>
      <w:r w:rsidR="00962928">
        <w:t>fully understand the change and their new responsibilities in complying with the commission ban.</w:t>
      </w:r>
      <w:r w:rsidR="00F700FF">
        <w:t xml:space="preserve"> </w:t>
      </w:r>
      <w:r w:rsidR="005931EC">
        <w:t>The</w:t>
      </w:r>
      <w:r w:rsidR="00353064">
        <w:t> </w:t>
      </w:r>
      <w:r w:rsidR="005931EC">
        <w:t xml:space="preserve">department will also offer further </w:t>
      </w:r>
      <w:r w:rsidR="00E24062">
        <w:t xml:space="preserve">provider </w:t>
      </w:r>
      <w:r w:rsidR="005931EC">
        <w:t>information sessions for providers</w:t>
      </w:r>
      <w:r w:rsidR="001B5C53">
        <w:t>.</w:t>
      </w:r>
    </w:p>
    <w:p w14:paraId="5694E517" w14:textId="0EE4A80D" w:rsidR="00335E6D" w:rsidRPr="00EA55D8" w:rsidRDefault="00335E6D" w:rsidP="00EA55D8">
      <w:pPr>
        <w:pStyle w:val="Heading3"/>
        <w:rPr>
          <w:rStyle w:val="normaltextrun"/>
          <w:rFonts w:cstheme="majorHAnsi"/>
          <w:szCs w:val="32"/>
        </w:rPr>
      </w:pPr>
      <w:bookmarkStart w:id="31" w:name="_Toc218778657"/>
      <w:r w:rsidRPr="00335E6D">
        <w:rPr>
          <w:rStyle w:val="normaltextrun"/>
        </w:rPr>
        <w:t>Evaluation</w:t>
      </w:r>
      <w:bookmarkEnd w:id="31"/>
    </w:p>
    <w:p w14:paraId="177F631A" w14:textId="77777777" w:rsidR="00C07143" w:rsidRPr="00544BAB" w:rsidRDefault="00C07143" w:rsidP="00C07143">
      <w:pPr>
        <w:pStyle w:val="paragraph"/>
        <w:spacing w:after="120" w:line="276" w:lineRule="auto"/>
        <w:textAlignment w:val="baseline"/>
        <w:rPr>
          <w:rStyle w:val="normaltextrun"/>
          <w:rFonts w:asciiTheme="minorHAnsi" w:hAnsiTheme="minorHAnsi" w:cstheme="minorBidi"/>
          <w:sz w:val="22"/>
          <w:szCs w:val="22"/>
        </w:rPr>
      </w:pPr>
      <w:r w:rsidRPr="00544BAB">
        <w:rPr>
          <w:rStyle w:val="normaltextrun"/>
          <w:rFonts w:asciiTheme="minorHAnsi" w:hAnsiTheme="minorHAnsi" w:cstheme="minorBidi"/>
          <w:sz w:val="22"/>
          <w:szCs w:val="22"/>
        </w:rPr>
        <w:t>The department will monitor and evaluate the implementation of this measure to gauge its effectiveness. Feedback will be gathered from stakeholders via regular, ongoing consultation, and business-as-usual monitoring of the public-facing ESOS Policy inbox. Performance metrics to be monitored include:</w:t>
      </w:r>
    </w:p>
    <w:p w14:paraId="0D099B8A" w14:textId="172F3E15" w:rsidR="00C07143" w:rsidRDefault="00354AB0" w:rsidP="00B64A7D">
      <w:pPr>
        <w:pStyle w:val="paragraph"/>
        <w:numPr>
          <w:ilvl w:val="0"/>
          <w:numId w:val="48"/>
        </w:numPr>
        <w:spacing w:after="120" w:line="276" w:lineRule="auto"/>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r</w:t>
      </w:r>
      <w:r w:rsidR="00C07143" w:rsidRPr="00544BAB">
        <w:rPr>
          <w:rStyle w:val="normaltextrun"/>
          <w:rFonts w:asciiTheme="minorHAnsi" w:hAnsiTheme="minorHAnsi" w:cstheme="minorBidi"/>
          <w:sz w:val="22"/>
          <w:szCs w:val="22"/>
        </w:rPr>
        <w:t>educed onshore transfer rates, indicating that the commission prohibition is effective</w:t>
      </w:r>
    </w:p>
    <w:p w14:paraId="44A0AE5C" w14:textId="2233D17B" w:rsidR="00C07143" w:rsidRDefault="00354AB0" w:rsidP="00B64A7D">
      <w:pPr>
        <w:pStyle w:val="paragraph"/>
        <w:numPr>
          <w:ilvl w:val="0"/>
          <w:numId w:val="48"/>
        </w:numPr>
        <w:spacing w:after="120" w:line="276" w:lineRule="auto"/>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s</w:t>
      </w:r>
      <w:r w:rsidR="00C07143">
        <w:rPr>
          <w:rStyle w:val="normaltextrun"/>
          <w:rFonts w:asciiTheme="minorHAnsi" w:hAnsiTheme="minorHAnsi" w:cstheme="minorBidi"/>
          <w:sz w:val="22"/>
          <w:szCs w:val="22"/>
        </w:rPr>
        <w:t>table or improved</w:t>
      </w:r>
      <w:r w:rsidR="00C07143" w:rsidRPr="00B96271">
        <w:rPr>
          <w:rStyle w:val="normaltextrun"/>
          <w:rFonts w:asciiTheme="minorHAnsi" w:hAnsiTheme="minorHAnsi" w:cstheme="minorBidi"/>
          <w:sz w:val="22"/>
          <w:szCs w:val="22"/>
        </w:rPr>
        <w:t xml:space="preserve"> student completion rates, indicating </w:t>
      </w:r>
      <w:r w:rsidR="00C07143">
        <w:rPr>
          <w:rStyle w:val="normaltextrun"/>
          <w:rFonts w:asciiTheme="minorHAnsi" w:hAnsiTheme="minorHAnsi" w:cstheme="minorBidi"/>
          <w:sz w:val="22"/>
          <w:szCs w:val="22"/>
        </w:rPr>
        <w:t>that student</w:t>
      </w:r>
      <w:r w:rsidR="00C767A7">
        <w:rPr>
          <w:rStyle w:val="normaltextrun"/>
          <w:rFonts w:asciiTheme="minorHAnsi" w:hAnsiTheme="minorHAnsi" w:cstheme="minorBidi"/>
          <w:sz w:val="22"/>
          <w:szCs w:val="22"/>
        </w:rPr>
        <w:t>s are complet</w:t>
      </w:r>
      <w:r w:rsidR="00314F55">
        <w:rPr>
          <w:rStyle w:val="normaltextrun"/>
          <w:rFonts w:asciiTheme="minorHAnsi" w:hAnsiTheme="minorHAnsi" w:cstheme="minorBidi"/>
          <w:sz w:val="22"/>
          <w:szCs w:val="22"/>
        </w:rPr>
        <w:t>ing</w:t>
      </w:r>
      <w:r w:rsidR="00C767A7">
        <w:rPr>
          <w:rStyle w:val="normaltextrun"/>
          <w:rFonts w:asciiTheme="minorHAnsi" w:hAnsiTheme="minorHAnsi" w:cstheme="minorBidi"/>
          <w:sz w:val="22"/>
          <w:szCs w:val="22"/>
        </w:rPr>
        <w:t xml:space="preserve"> courses which are suited to them</w:t>
      </w:r>
      <w:r w:rsidR="00314F55">
        <w:rPr>
          <w:rStyle w:val="normaltextrun"/>
          <w:rFonts w:asciiTheme="minorHAnsi" w:hAnsiTheme="minorHAnsi" w:cstheme="minorBidi"/>
          <w:sz w:val="22"/>
          <w:szCs w:val="22"/>
        </w:rPr>
        <w:t>, rather than dropping out</w:t>
      </w:r>
      <w:r w:rsidR="00C07143">
        <w:rPr>
          <w:rStyle w:val="normaltextrun"/>
          <w:rFonts w:asciiTheme="minorHAnsi" w:hAnsiTheme="minorHAnsi" w:cstheme="minorBidi"/>
          <w:sz w:val="22"/>
          <w:szCs w:val="22"/>
        </w:rPr>
        <w:t xml:space="preserve"> </w:t>
      </w:r>
    </w:p>
    <w:p w14:paraId="40D3696B" w14:textId="38F82364" w:rsidR="004A0A39" w:rsidRPr="00544BAB" w:rsidRDefault="00354AB0" w:rsidP="00B64A7D">
      <w:pPr>
        <w:pStyle w:val="paragraph"/>
        <w:numPr>
          <w:ilvl w:val="0"/>
          <w:numId w:val="48"/>
        </w:numPr>
        <w:spacing w:after="120" w:line="276" w:lineRule="auto"/>
        <w:textAlignment w:val="baseline"/>
        <w:rPr>
          <w:rStyle w:val="normaltextrun"/>
          <w:rFonts w:asciiTheme="minorHAnsi" w:hAnsiTheme="minorHAnsi" w:cstheme="minorBidi"/>
          <w:sz w:val="22"/>
          <w:szCs w:val="22"/>
        </w:rPr>
      </w:pPr>
      <w:r>
        <w:rPr>
          <w:rStyle w:val="normaltextrun"/>
          <w:rFonts w:asciiTheme="minorHAnsi" w:hAnsiTheme="minorHAnsi" w:cstheme="minorBidi"/>
          <w:sz w:val="22"/>
          <w:szCs w:val="22"/>
        </w:rPr>
        <w:t>p</w:t>
      </w:r>
      <w:r w:rsidR="004A0A39">
        <w:rPr>
          <w:rStyle w:val="normaltextrun"/>
          <w:rFonts w:asciiTheme="minorHAnsi" w:hAnsiTheme="minorHAnsi" w:cstheme="minorBidi"/>
          <w:sz w:val="22"/>
          <w:szCs w:val="22"/>
        </w:rPr>
        <w:t>ositive stakeholder feedback indicating the change is having the desired effect.</w:t>
      </w:r>
    </w:p>
    <w:p w14:paraId="41C03057" w14:textId="77777777" w:rsidR="00DF0E30" w:rsidRDefault="00DF0E30" w:rsidP="00C07143">
      <w:pPr>
        <w:pStyle w:val="paragraph"/>
        <w:spacing w:after="120" w:line="276" w:lineRule="auto"/>
        <w:rPr>
          <w:rStyle w:val="normaltextrun"/>
          <w:rFonts w:asciiTheme="minorHAnsi" w:hAnsiTheme="minorHAnsi" w:cstheme="minorBidi"/>
          <w:sz w:val="22"/>
          <w:szCs w:val="22"/>
        </w:rPr>
        <w:sectPr w:rsidR="00DF0E30" w:rsidSect="00DF0E30">
          <w:footerReference w:type="default" r:id="rId23"/>
          <w:pgSz w:w="11906" w:h="16838"/>
          <w:pgMar w:top="1440" w:right="1440" w:bottom="1440" w:left="1440" w:header="709" w:footer="709" w:gutter="0"/>
          <w:cols w:space="708"/>
          <w:docGrid w:linePitch="360"/>
        </w:sectPr>
      </w:pPr>
    </w:p>
    <w:p w14:paraId="093A04FE" w14:textId="63208D00" w:rsidR="00C07143" w:rsidRPr="00D949D2" w:rsidRDefault="00C07143" w:rsidP="00C07143">
      <w:pPr>
        <w:pStyle w:val="Heading2"/>
        <w:numPr>
          <w:ilvl w:val="0"/>
          <w:numId w:val="0"/>
        </w:numPr>
        <w:ind w:left="426" w:hanging="426"/>
      </w:pPr>
      <w:bookmarkStart w:id="32" w:name="_Toc218778658"/>
      <w:r w:rsidRPr="00D949D2">
        <w:lastRenderedPageBreak/>
        <w:t>Appendix A</w:t>
      </w:r>
      <w:r w:rsidR="00BC0463">
        <w:t>: Approach to cost-benefit analysis</w:t>
      </w:r>
      <w:bookmarkEnd w:id="32"/>
    </w:p>
    <w:p w14:paraId="11DE2E3D" w14:textId="301A67DA" w:rsidR="00C07143" w:rsidRPr="00B41904" w:rsidRDefault="00C07143" w:rsidP="00C07143">
      <w:pPr>
        <w:pStyle w:val="paragraph"/>
        <w:spacing w:after="120" w:line="276" w:lineRule="auto"/>
        <w:rPr>
          <w:rFonts w:asciiTheme="minorHAnsi" w:hAnsiTheme="minorHAnsi" w:cstheme="minorBidi"/>
          <w:sz w:val="22"/>
          <w:szCs w:val="22"/>
        </w:rPr>
      </w:pPr>
      <w:r w:rsidRPr="00B41904">
        <w:rPr>
          <w:rFonts w:asciiTheme="minorHAnsi" w:hAnsiTheme="minorHAnsi" w:cstheme="minorBidi"/>
          <w:sz w:val="22"/>
          <w:szCs w:val="22"/>
        </w:rPr>
        <w:t>This section outlines the analytical approach to quantifying the costs and benefits described earlier. This approach is an extension of the core modelling activities described in Appendix D of the Impact Analysis</w:t>
      </w:r>
      <w:r w:rsidR="00A01C8E" w:rsidRPr="00B41904">
        <w:rPr>
          <w:rFonts w:asciiTheme="minorHAnsi" w:hAnsiTheme="minorHAnsi" w:cstheme="minorBidi"/>
          <w:sz w:val="22"/>
          <w:szCs w:val="22"/>
        </w:rPr>
        <w:t xml:space="preserve">. </w:t>
      </w:r>
      <w:r w:rsidRPr="00B41904">
        <w:rPr>
          <w:rFonts w:asciiTheme="minorHAnsi" w:hAnsiTheme="minorHAnsi" w:cstheme="minorBidi"/>
          <w:sz w:val="22"/>
          <w:szCs w:val="22"/>
        </w:rPr>
        <w:t>The key additional modelling assumptions are presented in Table 4.  </w:t>
      </w:r>
    </w:p>
    <w:p w14:paraId="13A082D9" w14:textId="7CE42461" w:rsidR="00C07143" w:rsidRPr="00B41904" w:rsidRDefault="00C07143" w:rsidP="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The approach to quantifying a key benefit to providers (reduced cost of transfers) is outlined in Table 5, noting that the remaining benefits are not further quantified, such that the benefit estimate is likely to be a considerable underestimate. The approach to quantifying five costs is outlined in Table 6, noting two costs are not further quantified</w:t>
      </w:r>
      <w:r w:rsidR="00A01C8E" w:rsidRPr="00B41904">
        <w:rPr>
          <w:rFonts w:asciiTheme="minorHAnsi" w:hAnsiTheme="minorHAnsi" w:cstheme="minorHAnsi"/>
          <w:sz w:val="22"/>
          <w:szCs w:val="22"/>
        </w:rPr>
        <w:t xml:space="preserve">. </w:t>
      </w:r>
    </w:p>
    <w:p w14:paraId="0FC88A83" w14:textId="16F3D106" w:rsidR="00C07143" w:rsidRPr="00D0072E" w:rsidRDefault="00C07143" w:rsidP="00D0072E">
      <w:pPr>
        <w:pStyle w:val="paragraph"/>
        <w:spacing w:after="0" w:afterAutospacing="0" w:line="276" w:lineRule="auto"/>
        <w:rPr>
          <w:rFonts w:asciiTheme="minorHAnsi" w:hAnsiTheme="minorHAnsi" w:cstheme="minorHAnsi"/>
          <w:b/>
          <w:bCs/>
          <w:sz w:val="22"/>
          <w:szCs w:val="22"/>
        </w:rPr>
      </w:pPr>
      <w:r w:rsidRPr="00D0072E">
        <w:rPr>
          <w:rFonts w:asciiTheme="minorHAnsi" w:hAnsiTheme="minorHAnsi" w:cstheme="minorHAnsi"/>
          <w:b/>
          <w:bCs/>
          <w:sz w:val="22"/>
          <w:szCs w:val="22"/>
        </w:rPr>
        <w:t xml:space="preserve">Table </w:t>
      </w:r>
      <w:r w:rsidR="00A1719C">
        <w:rPr>
          <w:rFonts w:asciiTheme="minorHAnsi" w:hAnsiTheme="minorHAnsi" w:cstheme="minorHAnsi"/>
          <w:b/>
          <w:bCs/>
          <w:sz w:val="22"/>
          <w:szCs w:val="22"/>
        </w:rPr>
        <w:t>5</w:t>
      </w:r>
      <w:r w:rsidRPr="00D0072E">
        <w:rPr>
          <w:rFonts w:asciiTheme="minorHAnsi" w:hAnsiTheme="minorHAnsi" w:cstheme="minorHAnsi"/>
          <w:b/>
          <w:bCs/>
          <w:sz w:val="22"/>
          <w:szCs w:val="22"/>
        </w:rPr>
        <w:t>: Key modelling assumptions for ‘Prohibition of payment of agent commission for onshore transfers’ </w:t>
      </w:r>
    </w:p>
    <w:tbl>
      <w:tblPr>
        <w:tblW w:w="141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1642"/>
      </w:tblGrid>
      <w:tr w:rsidR="00C07143" w:rsidRPr="00B41904" w14:paraId="52CB60A3" w14:textId="77777777" w:rsidTr="00CE3E5C">
        <w:trPr>
          <w:trHeight w:val="300"/>
          <w:tblHeader/>
        </w:trPr>
        <w:tc>
          <w:tcPr>
            <w:tcW w:w="2535" w:type="dxa"/>
            <w:tcBorders>
              <w:top w:val="single" w:sz="24" w:space="0" w:color="62B5E5"/>
              <w:left w:val="nil"/>
              <w:bottom w:val="single" w:sz="6" w:space="0" w:color="000000"/>
              <w:right w:val="nil"/>
            </w:tcBorders>
            <w:hideMark/>
          </w:tcPr>
          <w:p w14:paraId="1B76889A"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Assumption </w:t>
            </w:r>
            <w:r w:rsidRPr="00B41904">
              <w:rPr>
                <w:rFonts w:asciiTheme="minorHAnsi" w:hAnsiTheme="minorHAnsi" w:cstheme="minorHAnsi"/>
                <w:sz w:val="22"/>
                <w:szCs w:val="22"/>
              </w:rPr>
              <w:t> </w:t>
            </w:r>
          </w:p>
        </w:tc>
        <w:tc>
          <w:tcPr>
            <w:tcW w:w="11642" w:type="dxa"/>
            <w:tcBorders>
              <w:top w:val="single" w:sz="24" w:space="0" w:color="62B5E5"/>
              <w:left w:val="nil"/>
              <w:bottom w:val="single" w:sz="6" w:space="0" w:color="000000"/>
              <w:right w:val="nil"/>
            </w:tcBorders>
            <w:hideMark/>
          </w:tcPr>
          <w:p w14:paraId="2D633A96" w14:textId="77777777" w:rsidR="00C07143" w:rsidRPr="00B41904" w:rsidRDefault="00C07143" w:rsidP="00CE3E5C">
            <w:pPr>
              <w:pStyle w:val="paragraph"/>
              <w:spacing w:line="276" w:lineRule="auto"/>
              <w:rPr>
                <w:rFonts w:asciiTheme="minorHAnsi" w:hAnsiTheme="minorHAnsi" w:cstheme="minorHAnsi"/>
                <w:sz w:val="22"/>
                <w:szCs w:val="22"/>
              </w:rPr>
            </w:pPr>
            <w:r w:rsidRPr="00B41904">
              <w:rPr>
                <w:rFonts w:asciiTheme="minorHAnsi" w:hAnsiTheme="minorHAnsi" w:cstheme="minorHAnsi"/>
                <w:b/>
                <w:bCs/>
                <w:sz w:val="22"/>
                <w:szCs w:val="22"/>
              </w:rPr>
              <w:t>Notes </w:t>
            </w:r>
            <w:r w:rsidRPr="00B41904">
              <w:rPr>
                <w:rFonts w:asciiTheme="minorHAnsi" w:hAnsiTheme="minorHAnsi" w:cstheme="minorHAnsi"/>
                <w:sz w:val="22"/>
                <w:szCs w:val="22"/>
              </w:rPr>
              <w:t> </w:t>
            </w:r>
          </w:p>
        </w:tc>
      </w:tr>
      <w:tr w:rsidR="00C07143" w:rsidRPr="00B41904" w14:paraId="357FD3DA" w14:textId="77777777" w:rsidTr="00CE3E5C">
        <w:trPr>
          <w:trHeight w:val="300"/>
        </w:trPr>
        <w:tc>
          <w:tcPr>
            <w:tcW w:w="2535" w:type="dxa"/>
            <w:tcBorders>
              <w:top w:val="single" w:sz="6" w:space="0" w:color="000000"/>
              <w:left w:val="nil"/>
              <w:bottom w:val="single" w:sz="6" w:space="0" w:color="000000"/>
              <w:right w:val="nil"/>
            </w:tcBorders>
            <w:shd w:val="clear" w:color="auto" w:fill="DFF0F9"/>
            <w:hideMark/>
          </w:tcPr>
          <w:p w14:paraId="5F472661"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To providers</w:t>
            </w:r>
            <w:r w:rsidRPr="00B41904">
              <w:rPr>
                <w:rFonts w:asciiTheme="minorHAnsi" w:hAnsiTheme="minorHAnsi" w:cstheme="minorHAnsi"/>
                <w:sz w:val="22"/>
                <w:szCs w:val="22"/>
              </w:rPr>
              <w:t> </w:t>
            </w:r>
          </w:p>
        </w:tc>
        <w:tc>
          <w:tcPr>
            <w:tcW w:w="11642" w:type="dxa"/>
            <w:tcBorders>
              <w:top w:val="single" w:sz="6" w:space="0" w:color="000000"/>
              <w:left w:val="nil"/>
              <w:bottom w:val="single" w:sz="6" w:space="0" w:color="000000"/>
              <w:right w:val="nil"/>
            </w:tcBorders>
            <w:shd w:val="clear" w:color="auto" w:fill="DFF0F9"/>
            <w:hideMark/>
          </w:tcPr>
          <w:p w14:paraId="479836EC"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 </w:t>
            </w:r>
          </w:p>
        </w:tc>
      </w:tr>
      <w:tr w:rsidR="00C07143" w:rsidRPr="00B41904" w14:paraId="466C863C" w14:textId="77777777" w:rsidTr="00CE3E5C">
        <w:trPr>
          <w:trHeight w:val="300"/>
        </w:trPr>
        <w:tc>
          <w:tcPr>
            <w:tcW w:w="2535" w:type="dxa"/>
            <w:tcBorders>
              <w:top w:val="single" w:sz="6" w:space="0" w:color="000000"/>
              <w:left w:val="nil"/>
              <w:bottom w:val="single" w:sz="6" w:space="0" w:color="000000"/>
              <w:right w:val="nil"/>
            </w:tcBorders>
            <w:hideMark/>
          </w:tcPr>
          <w:p w14:paraId="03EF1D0D" w14:textId="77777777" w:rsidR="00C07143" w:rsidRPr="00B41904" w:rsidRDefault="00C07143" w:rsidP="00CE3E5C">
            <w:pPr>
              <w:pStyle w:val="paragraph"/>
              <w:spacing w:after="0" w:afterAutospacing="0" w:line="276" w:lineRule="auto"/>
              <w:rPr>
                <w:rFonts w:asciiTheme="minorHAnsi" w:hAnsiTheme="minorHAnsi" w:cstheme="minorHAnsi"/>
                <w:sz w:val="22"/>
                <w:szCs w:val="22"/>
              </w:rPr>
            </w:pPr>
            <w:r w:rsidRPr="00B41904">
              <w:rPr>
                <w:rFonts w:asciiTheme="minorHAnsi" w:hAnsiTheme="minorHAnsi" w:cstheme="minorHAnsi"/>
                <w:b/>
                <w:bCs/>
                <w:sz w:val="22"/>
                <w:szCs w:val="22"/>
              </w:rPr>
              <w:t>Average tuition fee paid by transferring students</w:t>
            </w:r>
            <w:r w:rsidRPr="00B41904">
              <w:rPr>
                <w:rFonts w:asciiTheme="minorHAnsi" w:hAnsiTheme="minorHAnsi" w:cstheme="minorHAnsi"/>
                <w:sz w:val="22"/>
                <w:szCs w:val="22"/>
              </w:rPr>
              <w:t> </w:t>
            </w:r>
          </w:p>
          <w:p w14:paraId="073A40CF" w14:textId="77777777" w:rsidR="00C07143" w:rsidRPr="00B41904" w:rsidRDefault="00C07143" w:rsidP="00CE3E5C">
            <w:pPr>
              <w:pStyle w:val="paragraph"/>
              <w:spacing w:before="0" w:beforeAutospacing="0" w:after="120" w:line="276" w:lineRule="auto"/>
              <w:rPr>
                <w:rFonts w:asciiTheme="minorHAnsi" w:hAnsiTheme="minorHAnsi" w:cstheme="minorHAnsi"/>
                <w:sz w:val="22"/>
                <w:szCs w:val="22"/>
              </w:rPr>
            </w:pPr>
            <w:r w:rsidRPr="00B41904">
              <w:rPr>
                <w:rFonts w:asciiTheme="minorHAnsi" w:hAnsiTheme="minorHAnsi" w:cstheme="minorHAnsi"/>
                <w:sz w:val="22"/>
                <w:szCs w:val="22"/>
              </w:rPr>
              <w:t>$16,533 per student </w:t>
            </w:r>
          </w:p>
        </w:tc>
        <w:tc>
          <w:tcPr>
            <w:tcW w:w="11642" w:type="dxa"/>
            <w:tcBorders>
              <w:top w:val="single" w:sz="6" w:space="0" w:color="000000"/>
              <w:left w:val="nil"/>
              <w:bottom w:val="single" w:sz="6" w:space="0" w:color="000000"/>
              <w:right w:val="nil"/>
            </w:tcBorders>
            <w:hideMark/>
          </w:tcPr>
          <w:p w14:paraId="60D50ACE" w14:textId="77777777"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Based on average reported fees in public CRICOS reporting by sector: Higher education $36,915, VET $13,440, Schools $34,110. Weighted by sector based onshore agent-facilitated cross-provider transfers (VET: 71.6%, Higher education: 28.1%, Schools: 0.3%)  </w:t>
            </w:r>
          </w:p>
          <w:p w14:paraId="680C7738" w14:textId="77777777"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Fees for courses longer than a year are adjusted for a single year tuition. Includes both tuition and non-tuition fees. </w:t>
            </w:r>
          </w:p>
          <w:p w14:paraId="41469F3F" w14:textId="6A0BD71B"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Adjusted for an assumed 10% discount to account for scholarships</w:t>
            </w:r>
            <w:r w:rsidR="00B339E2" w:rsidRPr="00B41904">
              <w:rPr>
                <w:rFonts w:asciiTheme="minorHAnsi" w:hAnsiTheme="minorHAnsi" w:cstheme="minorHAnsi"/>
                <w:sz w:val="22"/>
                <w:szCs w:val="22"/>
              </w:rPr>
              <w:t xml:space="preserve">. </w:t>
            </w:r>
          </w:p>
          <w:p w14:paraId="4D58100C" w14:textId="5F13B208"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Adjusted for an average 83% completion rate, whereby students who do not complete are assumed to pay 50% of their fees</w:t>
            </w:r>
            <w:r w:rsidR="00B339E2" w:rsidRPr="00B41904">
              <w:rPr>
                <w:rFonts w:asciiTheme="minorHAnsi" w:hAnsiTheme="minorHAnsi" w:cstheme="minorHAnsi"/>
                <w:sz w:val="22"/>
                <w:szCs w:val="22"/>
              </w:rPr>
              <w:t xml:space="preserve">. </w:t>
            </w:r>
          </w:p>
        </w:tc>
      </w:tr>
      <w:tr w:rsidR="00C07143" w:rsidRPr="00B41904" w14:paraId="74C35C4C" w14:textId="77777777" w:rsidTr="00CE3E5C">
        <w:trPr>
          <w:trHeight w:val="300"/>
        </w:trPr>
        <w:tc>
          <w:tcPr>
            <w:tcW w:w="2535" w:type="dxa"/>
            <w:tcBorders>
              <w:top w:val="single" w:sz="6" w:space="0" w:color="000000"/>
              <w:left w:val="nil"/>
              <w:bottom w:val="single" w:sz="6" w:space="0" w:color="000000"/>
              <w:right w:val="nil"/>
            </w:tcBorders>
            <w:hideMark/>
          </w:tcPr>
          <w:p w14:paraId="4C667886" w14:textId="77777777" w:rsidR="00C07143" w:rsidRPr="00CE3E5C" w:rsidRDefault="00C07143" w:rsidP="00CE3E5C">
            <w:pPr>
              <w:pStyle w:val="paragraph"/>
              <w:spacing w:after="0" w:afterAutospacing="0" w:line="276" w:lineRule="auto"/>
              <w:rPr>
                <w:rFonts w:asciiTheme="minorHAnsi" w:hAnsiTheme="minorHAnsi" w:cstheme="minorHAnsi"/>
                <w:b/>
                <w:bCs/>
                <w:sz w:val="22"/>
                <w:szCs w:val="22"/>
              </w:rPr>
            </w:pPr>
            <w:r w:rsidRPr="00B41904">
              <w:rPr>
                <w:rFonts w:asciiTheme="minorHAnsi" w:hAnsiTheme="minorHAnsi" w:cstheme="minorHAnsi"/>
                <w:b/>
                <w:bCs/>
                <w:sz w:val="22"/>
                <w:szCs w:val="22"/>
              </w:rPr>
              <w:t>Share of providers that are transfer-dominant</w:t>
            </w:r>
            <w:r w:rsidRPr="00CE3E5C">
              <w:rPr>
                <w:rFonts w:asciiTheme="minorHAnsi" w:hAnsiTheme="minorHAnsi" w:cstheme="minorHAnsi"/>
                <w:b/>
                <w:bCs/>
                <w:sz w:val="22"/>
                <w:szCs w:val="22"/>
              </w:rPr>
              <w:t> </w:t>
            </w:r>
          </w:p>
          <w:p w14:paraId="122A8686" w14:textId="77777777" w:rsidR="00C07143" w:rsidRPr="00B41904" w:rsidRDefault="00C07143" w:rsidP="00D0072E">
            <w:pPr>
              <w:pStyle w:val="paragraph"/>
              <w:spacing w:before="0" w:beforeAutospacing="0" w:after="120" w:line="276" w:lineRule="auto"/>
              <w:rPr>
                <w:rFonts w:asciiTheme="minorHAnsi" w:hAnsiTheme="minorHAnsi" w:cstheme="minorHAnsi"/>
                <w:sz w:val="22"/>
                <w:szCs w:val="22"/>
              </w:rPr>
            </w:pPr>
            <w:r w:rsidRPr="00B41904">
              <w:rPr>
                <w:rFonts w:asciiTheme="minorHAnsi" w:hAnsiTheme="minorHAnsi" w:cstheme="minorHAnsi"/>
                <w:sz w:val="22"/>
                <w:szCs w:val="22"/>
              </w:rPr>
              <w:t>4% of all providers </w:t>
            </w:r>
          </w:p>
        </w:tc>
        <w:tc>
          <w:tcPr>
            <w:tcW w:w="11642" w:type="dxa"/>
            <w:tcBorders>
              <w:top w:val="single" w:sz="6" w:space="0" w:color="000000"/>
              <w:left w:val="nil"/>
              <w:bottom w:val="single" w:sz="6" w:space="0" w:color="000000"/>
              <w:right w:val="nil"/>
            </w:tcBorders>
            <w:hideMark/>
          </w:tcPr>
          <w:p w14:paraId="77B80631" w14:textId="77777777" w:rsidR="00C07143"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4% of all providers are reliant on agent-facilitated onshore transfers, defined by greater than 50% of enrolments from this source</w:t>
            </w:r>
            <w:r w:rsidR="00B339E2" w:rsidRPr="00B41904">
              <w:rPr>
                <w:rFonts w:asciiTheme="minorHAnsi" w:hAnsiTheme="minorHAnsi" w:cstheme="minorHAnsi"/>
                <w:sz w:val="22"/>
                <w:szCs w:val="22"/>
              </w:rPr>
              <w:t xml:space="preserve">. </w:t>
            </w:r>
          </w:p>
          <w:p w14:paraId="04776DFE" w14:textId="500138E0" w:rsidR="00C07143" w:rsidRPr="00B41904" w:rsidRDefault="00B556F7"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Pr>
                <w:rFonts w:asciiTheme="minorHAnsi" w:hAnsiTheme="minorHAnsi" w:cstheme="minorHAnsi"/>
                <w:sz w:val="22"/>
                <w:szCs w:val="22"/>
              </w:rPr>
              <w:t>Of these</w:t>
            </w:r>
            <w:r w:rsidR="008A72BA">
              <w:rPr>
                <w:rFonts w:asciiTheme="minorHAnsi" w:hAnsiTheme="minorHAnsi" w:cstheme="minorHAnsi"/>
                <w:sz w:val="22"/>
                <w:szCs w:val="22"/>
              </w:rPr>
              <w:t xml:space="preserve"> transfer</w:t>
            </w:r>
            <w:r w:rsidR="006055FB">
              <w:rPr>
                <w:rFonts w:asciiTheme="minorHAnsi" w:hAnsiTheme="minorHAnsi" w:cstheme="minorHAnsi"/>
                <w:sz w:val="22"/>
                <w:szCs w:val="22"/>
              </w:rPr>
              <w:t>-</w:t>
            </w:r>
            <w:r w:rsidR="008A72BA">
              <w:rPr>
                <w:rFonts w:asciiTheme="minorHAnsi" w:hAnsiTheme="minorHAnsi" w:cstheme="minorHAnsi"/>
                <w:sz w:val="22"/>
                <w:szCs w:val="22"/>
              </w:rPr>
              <w:t xml:space="preserve">dominant providers, </w:t>
            </w:r>
            <w:r w:rsidR="000A40FB">
              <w:rPr>
                <w:rFonts w:asciiTheme="minorHAnsi" w:hAnsiTheme="minorHAnsi" w:cstheme="minorHAnsi"/>
                <w:sz w:val="22"/>
                <w:szCs w:val="22"/>
              </w:rPr>
              <w:t>93% are VET</w:t>
            </w:r>
            <w:r w:rsidR="00B645A1">
              <w:rPr>
                <w:rFonts w:asciiTheme="minorHAnsi" w:hAnsiTheme="minorHAnsi" w:cstheme="minorHAnsi"/>
                <w:sz w:val="22"/>
                <w:szCs w:val="22"/>
              </w:rPr>
              <w:t xml:space="preserve"> providers</w:t>
            </w:r>
            <w:r w:rsidR="000A40FB">
              <w:rPr>
                <w:rFonts w:asciiTheme="minorHAnsi" w:hAnsiTheme="minorHAnsi" w:cstheme="minorHAnsi"/>
                <w:sz w:val="22"/>
                <w:szCs w:val="22"/>
              </w:rPr>
              <w:t xml:space="preserve">, </w:t>
            </w:r>
            <w:r w:rsidR="00FD2D56">
              <w:rPr>
                <w:rFonts w:asciiTheme="minorHAnsi" w:hAnsiTheme="minorHAnsi" w:cstheme="minorHAnsi"/>
                <w:sz w:val="22"/>
                <w:szCs w:val="22"/>
              </w:rPr>
              <w:t xml:space="preserve">5% </w:t>
            </w:r>
            <w:r w:rsidR="009351A0">
              <w:rPr>
                <w:rFonts w:asciiTheme="minorHAnsi" w:hAnsiTheme="minorHAnsi" w:cstheme="minorHAnsi"/>
                <w:sz w:val="22"/>
                <w:szCs w:val="22"/>
              </w:rPr>
              <w:t>are h</w:t>
            </w:r>
            <w:r w:rsidR="00FD2D56">
              <w:rPr>
                <w:rFonts w:asciiTheme="minorHAnsi" w:hAnsiTheme="minorHAnsi" w:cstheme="minorHAnsi"/>
                <w:sz w:val="22"/>
                <w:szCs w:val="22"/>
              </w:rPr>
              <w:t xml:space="preserve">igher </w:t>
            </w:r>
            <w:r w:rsidR="009351A0">
              <w:rPr>
                <w:rFonts w:asciiTheme="minorHAnsi" w:hAnsiTheme="minorHAnsi" w:cstheme="minorHAnsi"/>
                <w:sz w:val="22"/>
                <w:szCs w:val="22"/>
              </w:rPr>
              <w:t>e</w:t>
            </w:r>
            <w:r w:rsidR="00FD2D56">
              <w:rPr>
                <w:rFonts w:asciiTheme="minorHAnsi" w:hAnsiTheme="minorHAnsi" w:cstheme="minorHAnsi"/>
                <w:sz w:val="22"/>
                <w:szCs w:val="22"/>
              </w:rPr>
              <w:t>d</w:t>
            </w:r>
            <w:r w:rsidR="009351A0">
              <w:rPr>
                <w:rFonts w:asciiTheme="minorHAnsi" w:hAnsiTheme="minorHAnsi" w:cstheme="minorHAnsi"/>
                <w:sz w:val="22"/>
                <w:szCs w:val="22"/>
              </w:rPr>
              <w:t>ucation providers</w:t>
            </w:r>
            <w:r w:rsidR="00FD2D56">
              <w:rPr>
                <w:rFonts w:asciiTheme="minorHAnsi" w:hAnsiTheme="minorHAnsi" w:cstheme="minorHAnsi"/>
                <w:sz w:val="22"/>
                <w:szCs w:val="22"/>
              </w:rPr>
              <w:t xml:space="preserve">, and </w:t>
            </w:r>
            <w:r w:rsidR="00F65A1E">
              <w:rPr>
                <w:rFonts w:asciiTheme="minorHAnsi" w:hAnsiTheme="minorHAnsi" w:cstheme="minorHAnsi"/>
                <w:sz w:val="22"/>
                <w:szCs w:val="22"/>
              </w:rPr>
              <w:t xml:space="preserve">4% </w:t>
            </w:r>
            <w:r w:rsidR="009351A0">
              <w:rPr>
                <w:rFonts w:asciiTheme="minorHAnsi" w:hAnsiTheme="minorHAnsi" w:cstheme="minorHAnsi"/>
                <w:sz w:val="22"/>
                <w:szCs w:val="22"/>
              </w:rPr>
              <w:t>are s</w:t>
            </w:r>
            <w:r w:rsidR="00F65A1E">
              <w:rPr>
                <w:rFonts w:asciiTheme="minorHAnsi" w:hAnsiTheme="minorHAnsi" w:cstheme="minorHAnsi"/>
                <w:sz w:val="22"/>
                <w:szCs w:val="22"/>
              </w:rPr>
              <w:t>chools</w:t>
            </w:r>
            <w:r w:rsidR="004D153B">
              <w:rPr>
                <w:rFonts w:asciiTheme="minorHAnsi" w:hAnsiTheme="minorHAnsi" w:cstheme="minorHAnsi"/>
                <w:sz w:val="22"/>
                <w:szCs w:val="22"/>
              </w:rPr>
              <w:t xml:space="preserve"> (there is one provider who delivers both higher education and VET included in both </w:t>
            </w:r>
            <w:r w:rsidR="00C74816">
              <w:rPr>
                <w:rFonts w:asciiTheme="minorHAnsi" w:hAnsiTheme="minorHAnsi" w:cstheme="minorHAnsi"/>
                <w:sz w:val="22"/>
                <w:szCs w:val="22"/>
              </w:rPr>
              <w:t>figures)</w:t>
            </w:r>
            <w:r w:rsidR="00F65A1E">
              <w:rPr>
                <w:rFonts w:asciiTheme="minorHAnsi" w:hAnsiTheme="minorHAnsi" w:cstheme="minorHAnsi"/>
                <w:sz w:val="22"/>
                <w:szCs w:val="22"/>
              </w:rPr>
              <w:t>.</w:t>
            </w:r>
          </w:p>
        </w:tc>
      </w:tr>
      <w:tr w:rsidR="00C07143" w:rsidRPr="00B41904" w14:paraId="06704152" w14:textId="77777777" w:rsidTr="00CE3E5C">
        <w:trPr>
          <w:trHeight w:val="300"/>
        </w:trPr>
        <w:tc>
          <w:tcPr>
            <w:tcW w:w="2535" w:type="dxa"/>
            <w:tcBorders>
              <w:top w:val="single" w:sz="6" w:space="0" w:color="000000"/>
              <w:left w:val="nil"/>
              <w:bottom w:val="single" w:sz="6" w:space="0" w:color="000000"/>
              <w:right w:val="nil"/>
            </w:tcBorders>
            <w:hideMark/>
          </w:tcPr>
          <w:p w14:paraId="05B8C434" w14:textId="77777777" w:rsidR="00C07143" w:rsidRPr="00CE3E5C" w:rsidRDefault="00C07143" w:rsidP="00CE3E5C">
            <w:pPr>
              <w:pStyle w:val="paragraph"/>
              <w:spacing w:after="0" w:afterAutospacing="0" w:line="276" w:lineRule="auto"/>
              <w:rPr>
                <w:rFonts w:asciiTheme="minorHAnsi" w:hAnsiTheme="minorHAnsi" w:cstheme="minorHAnsi"/>
                <w:b/>
                <w:bCs/>
                <w:sz w:val="22"/>
                <w:szCs w:val="22"/>
              </w:rPr>
            </w:pPr>
            <w:r w:rsidRPr="00B41904">
              <w:rPr>
                <w:rFonts w:asciiTheme="minorHAnsi" w:hAnsiTheme="minorHAnsi" w:cstheme="minorHAnsi"/>
                <w:b/>
                <w:bCs/>
                <w:sz w:val="22"/>
                <w:szCs w:val="22"/>
              </w:rPr>
              <w:t>Average tuition fee paid to transfer-dominant providers</w:t>
            </w:r>
            <w:r w:rsidRPr="00CE3E5C">
              <w:rPr>
                <w:rFonts w:asciiTheme="minorHAnsi" w:hAnsiTheme="minorHAnsi" w:cstheme="minorHAnsi"/>
                <w:b/>
                <w:bCs/>
                <w:sz w:val="22"/>
                <w:szCs w:val="22"/>
              </w:rPr>
              <w:t> </w:t>
            </w:r>
          </w:p>
          <w:p w14:paraId="1C4BA448" w14:textId="77777777" w:rsidR="00C07143" w:rsidRPr="00B41904" w:rsidRDefault="00C07143" w:rsidP="00D0072E">
            <w:pPr>
              <w:pStyle w:val="paragraph"/>
              <w:spacing w:before="0" w:beforeAutospacing="0" w:after="120" w:line="276" w:lineRule="auto"/>
              <w:rPr>
                <w:rFonts w:asciiTheme="minorHAnsi" w:hAnsiTheme="minorHAnsi" w:cstheme="minorHAnsi"/>
                <w:sz w:val="22"/>
                <w:szCs w:val="22"/>
              </w:rPr>
            </w:pPr>
            <w:r w:rsidRPr="00B41904">
              <w:rPr>
                <w:rFonts w:asciiTheme="minorHAnsi" w:hAnsiTheme="minorHAnsi" w:cstheme="minorHAnsi"/>
                <w:sz w:val="22"/>
                <w:szCs w:val="22"/>
              </w:rPr>
              <w:t>$11,055 per student </w:t>
            </w:r>
          </w:p>
        </w:tc>
        <w:tc>
          <w:tcPr>
            <w:tcW w:w="11642" w:type="dxa"/>
            <w:tcBorders>
              <w:top w:val="single" w:sz="6" w:space="0" w:color="000000"/>
              <w:left w:val="nil"/>
              <w:bottom w:val="single" w:sz="6" w:space="0" w:color="000000"/>
              <w:right w:val="nil"/>
            </w:tcBorders>
            <w:hideMark/>
          </w:tcPr>
          <w:p w14:paraId="1CEA2A23" w14:textId="31DBB52C"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Reflects that the majority of transfer-dominant providers are VET providers</w:t>
            </w:r>
            <w:r w:rsidR="00B339E2" w:rsidRPr="00B41904">
              <w:rPr>
                <w:rFonts w:asciiTheme="minorHAnsi" w:hAnsiTheme="minorHAnsi" w:cstheme="minorHAnsi"/>
                <w:sz w:val="22"/>
                <w:szCs w:val="22"/>
              </w:rPr>
              <w:t xml:space="preserve">. </w:t>
            </w:r>
          </w:p>
          <w:p w14:paraId="5E5F3B3B" w14:textId="0C2B6409"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Based on VET only fee, adjusted for scholarships and completions</w:t>
            </w:r>
            <w:r w:rsidR="00B339E2" w:rsidRPr="00B41904">
              <w:rPr>
                <w:rFonts w:asciiTheme="minorHAnsi" w:hAnsiTheme="minorHAnsi" w:cstheme="minorHAnsi"/>
                <w:sz w:val="22"/>
                <w:szCs w:val="22"/>
              </w:rPr>
              <w:t xml:space="preserve">. </w:t>
            </w:r>
          </w:p>
        </w:tc>
      </w:tr>
      <w:tr w:rsidR="00C07143" w:rsidRPr="00B41904" w14:paraId="1FBCB664" w14:textId="77777777" w:rsidTr="00CE3E5C">
        <w:trPr>
          <w:trHeight w:val="300"/>
        </w:trPr>
        <w:tc>
          <w:tcPr>
            <w:tcW w:w="2535" w:type="dxa"/>
            <w:tcBorders>
              <w:top w:val="single" w:sz="6" w:space="0" w:color="000000"/>
              <w:left w:val="nil"/>
              <w:bottom w:val="single" w:sz="6" w:space="0" w:color="000000"/>
              <w:right w:val="nil"/>
            </w:tcBorders>
            <w:shd w:val="clear" w:color="auto" w:fill="DFF0F9"/>
            <w:hideMark/>
          </w:tcPr>
          <w:p w14:paraId="1B869612"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lastRenderedPageBreak/>
              <w:t>To agents</w:t>
            </w:r>
            <w:r w:rsidRPr="00B41904">
              <w:rPr>
                <w:rFonts w:asciiTheme="minorHAnsi" w:hAnsiTheme="minorHAnsi" w:cstheme="minorHAnsi"/>
                <w:sz w:val="22"/>
                <w:szCs w:val="22"/>
              </w:rPr>
              <w:t> </w:t>
            </w:r>
          </w:p>
        </w:tc>
        <w:tc>
          <w:tcPr>
            <w:tcW w:w="11642" w:type="dxa"/>
            <w:tcBorders>
              <w:top w:val="single" w:sz="6" w:space="0" w:color="000000"/>
              <w:left w:val="nil"/>
              <w:bottom w:val="single" w:sz="6" w:space="0" w:color="000000"/>
              <w:right w:val="nil"/>
            </w:tcBorders>
            <w:shd w:val="clear" w:color="auto" w:fill="DFF0F9"/>
            <w:hideMark/>
          </w:tcPr>
          <w:p w14:paraId="1537FB9F"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 </w:t>
            </w:r>
          </w:p>
        </w:tc>
      </w:tr>
      <w:tr w:rsidR="00C07143" w:rsidRPr="00B41904" w14:paraId="2219503D" w14:textId="77777777" w:rsidTr="00CE3E5C">
        <w:trPr>
          <w:trHeight w:val="300"/>
        </w:trPr>
        <w:tc>
          <w:tcPr>
            <w:tcW w:w="2535" w:type="dxa"/>
            <w:tcBorders>
              <w:top w:val="single" w:sz="6" w:space="0" w:color="000000"/>
              <w:left w:val="nil"/>
              <w:bottom w:val="single" w:sz="6" w:space="0" w:color="000000"/>
              <w:right w:val="nil"/>
            </w:tcBorders>
            <w:hideMark/>
          </w:tcPr>
          <w:p w14:paraId="25ADD393" w14:textId="77777777" w:rsidR="00C07143" w:rsidRPr="00CE3E5C" w:rsidRDefault="00C07143" w:rsidP="00CE3E5C">
            <w:pPr>
              <w:pStyle w:val="paragraph"/>
              <w:spacing w:after="0" w:afterAutospacing="0" w:line="276" w:lineRule="auto"/>
              <w:rPr>
                <w:rFonts w:asciiTheme="minorHAnsi" w:hAnsiTheme="minorHAnsi" w:cstheme="minorHAnsi"/>
                <w:b/>
                <w:bCs/>
                <w:sz w:val="22"/>
                <w:szCs w:val="22"/>
              </w:rPr>
            </w:pPr>
            <w:r w:rsidRPr="00B41904">
              <w:rPr>
                <w:rFonts w:asciiTheme="minorHAnsi" w:hAnsiTheme="minorHAnsi" w:cstheme="minorHAnsi"/>
                <w:b/>
                <w:bCs/>
                <w:sz w:val="22"/>
                <w:szCs w:val="22"/>
              </w:rPr>
              <w:t>Average commission on onshore transfers</w:t>
            </w:r>
            <w:r w:rsidRPr="00CE3E5C">
              <w:rPr>
                <w:rFonts w:asciiTheme="minorHAnsi" w:hAnsiTheme="minorHAnsi" w:cstheme="minorHAnsi"/>
                <w:b/>
                <w:bCs/>
                <w:sz w:val="22"/>
                <w:szCs w:val="22"/>
              </w:rPr>
              <w:t> </w:t>
            </w:r>
          </w:p>
          <w:p w14:paraId="189A7F8D" w14:textId="77777777" w:rsidR="00C07143" w:rsidRPr="00B41904" w:rsidRDefault="00C07143" w:rsidP="00D0072E">
            <w:pPr>
              <w:pStyle w:val="paragraph"/>
              <w:spacing w:before="0" w:beforeAutospacing="0" w:after="120" w:line="276" w:lineRule="auto"/>
              <w:rPr>
                <w:rFonts w:asciiTheme="minorHAnsi" w:hAnsiTheme="minorHAnsi" w:cstheme="minorHAnsi"/>
                <w:sz w:val="22"/>
                <w:szCs w:val="22"/>
              </w:rPr>
            </w:pPr>
            <w:r w:rsidRPr="00B41904">
              <w:rPr>
                <w:rFonts w:asciiTheme="minorHAnsi" w:hAnsiTheme="minorHAnsi" w:cstheme="minorHAnsi"/>
                <w:sz w:val="22"/>
                <w:szCs w:val="22"/>
              </w:rPr>
              <w:t>$511 per student </w:t>
            </w:r>
          </w:p>
        </w:tc>
        <w:tc>
          <w:tcPr>
            <w:tcW w:w="11642" w:type="dxa"/>
            <w:tcBorders>
              <w:top w:val="single" w:sz="6" w:space="0" w:color="000000"/>
              <w:left w:val="nil"/>
              <w:bottom w:val="single" w:sz="6" w:space="0" w:color="000000"/>
              <w:right w:val="nil"/>
            </w:tcBorders>
            <w:hideMark/>
          </w:tcPr>
          <w:p w14:paraId="7A1C1332" w14:textId="77777777"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Assumed to be 50% of the average agent commission for offshore recruitment ($1,021) </w:t>
            </w:r>
          </w:p>
        </w:tc>
      </w:tr>
      <w:tr w:rsidR="00C07143" w:rsidRPr="00B41904" w14:paraId="1F2EF8C8" w14:textId="77777777" w:rsidTr="00CE3E5C">
        <w:trPr>
          <w:trHeight w:val="300"/>
        </w:trPr>
        <w:tc>
          <w:tcPr>
            <w:tcW w:w="2535" w:type="dxa"/>
            <w:tcBorders>
              <w:top w:val="single" w:sz="6" w:space="0" w:color="000000"/>
              <w:left w:val="nil"/>
              <w:bottom w:val="single" w:sz="6" w:space="0" w:color="000000"/>
              <w:right w:val="nil"/>
            </w:tcBorders>
            <w:hideMark/>
          </w:tcPr>
          <w:p w14:paraId="4027FD5E" w14:textId="77777777" w:rsidR="00C07143" w:rsidRPr="00CE3E5C" w:rsidRDefault="00C07143" w:rsidP="00CE3E5C">
            <w:pPr>
              <w:pStyle w:val="paragraph"/>
              <w:spacing w:after="0" w:afterAutospacing="0" w:line="276" w:lineRule="auto"/>
              <w:rPr>
                <w:rFonts w:asciiTheme="minorHAnsi" w:hAnsiTheme="minorHAnsi" w:cstheme="minorHAnsi"/>
                <w:b/>
                <w:bCs/>
                <w:sz w:val="22"/>
                <w:szCs w:val="22"/>
              </w:rPr>
            </w:pPr>
            <w:r w:rsidRPr="00B41904">
              <w:rPr>
                <w:rFonts w:asciiTheme="minorHAnsi" w:hAnsiTheme="minorHAnsi" w:cstheme="minorHAnsi"/>
                <w:b/>
                <w:bCs/>
                <w:sz w:val="22"/>
                <w:szCs w:val="22"/>
              </w:rPr>
              <w:t>Share of transfer-dominant agents located onshore</w:t>
            </w:r>
            <w:r w:rsidRPr="00CE3E5C">
              <w:rPr>
                <w:rFonts w:asciiTheme="minorHAnsi" w:hAnsiTheme="minorHAnsi" w:cstheme="minorHAnsi"/>
                <w:b/>
                <w:bCs/>
                <w:sz w:val="22"/>
                <w:szCs w:val="22"/>
              </w:rPr>
              <w:t> </w:t>
            </w:r>
          </w:p>
          <w:p w14:paraId="592FC462" w14:textId="77777777" w:rsidR="00C07143" w:rsidRPr="00B41904" w:rsidRDefault="00C07143" w:rsidP="00D0072E">
            <w:pPr>
              <w:pStyle w:val="paragraph"/>
              <w:spacing w:before="0" w:beforeAutospacing="0" w:after="120" w:line="276" w:lineRule="auto"/>
              <w:rPr>
                <w:rFonts w:asciiTheme="minorHAnsi" w:hAnsiTheme="minorHAnsi" w:cstheme="minorHAnsi"/>
                <w:sz w:val="22"/>
                <w:szCs w:val="22"/>
              </w:rPr>
            </w:pPr>
            <w:r w:rsidRPr="00B41904">
              <w:rPr>
                <w:rFonts w:asciiTheme="minorHAnsi" w:hAnsiTheme="minorHAnsi" w:cstheme="minorHAnsi"/>
                <w:sz w:val="22"/>
                <w:szCs w:val="22"/>
              </w:rPr>
              <w:t>65% </w:t>
            </w:r>
          </w:p>
        </w:tc>
        <w:tc>
          <w:tcPr>
            <w:tcW w:w="11642" w:type="dxa"/>
            <w:tcBorders>
              <w:top w:val="single" w:sz="6" w:space="0" w:color="000000"/>
              <w:left w:val="nil"/>
              <w:bottom w:val="single" w:sz="6" w:space="0" w:color="000000"/>
              <w:right w:val="nil"/>
            </w:tcBorders>
            <w:hideMark/>
          </w:tcPr>
          <w:p w14:paraId="188DB726" w14:textId="77777777"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Based on 2022-23 departmental data on agents (provider reported), including associated student enrolments and transfers and registered business address. </w:t>
            </w:r>
          </w:p>
          <w:p w14:paraId="0FB7F497" w14:textId="2A13AD27" w:rsidR="00C07143" w:rsidRPr="00B41904" w:rsidRDefault="00EC4B2F"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Pr>
                <w:rFonts w:asciiTheme="minorHAnsi" w:hAnsiTheme="minorHAnsi" w:cstheme="minorHAnsi"/>
                <w:sz w:val="22"/>
                <w:szCs w:val="22"/>
              </w:rPr>
              <w:t>A</w:t>
            </w:r>
            <w:r w:rsidR="006D6340">
              <w:rPr>
                <w:rFonts w:asciiTheme="minorHAnsi" w:hAnsiTheme="minorHAnsi" w:cstheme="minorHAnsi"/>
                <w:sz w:val="22"/>
                <w:szCs w:val="22"/>
              </w:rPr>
              <w:t>n agent is</w:t>
            </w:r>
            <w:r>
              <w:rPr>
                <w:rFonts w:asciiTheme="minorHAnsi" w:hAnsiTheme="minorHAnsi" w:cstheme="minorHAnsi"/>
                <w:sz w:val="22"/>
                <w:szCs w:val="22"/>
              </w:rPr>
              <w:t xml:space="preserve"> t</w:t>
            </w:r>
            <w:r w:rsidR="00C07143" w:rsidRPr="00B41904">
              <w:rPr>
                <w:rFonts w:asciiTheme="minorHAnsi" w:hAnsiTheme="minorHAnsi" w:cstheme="minorHAnsi"/>
                <w:sz w:val="22"/>
                <w:szCs w:val="22"/>
              </w:rPr>
              <w:t>ransfer</w:t>
            </w:r>
            <w:r>
              <w:rPr>
                <w:rFonts w:asciiTheme="minorHAnsi" w:hAnsiTheme="minorHAnsi" w:cstheme="minorHAnsi"/>
                <w:sz w:val="22"/>
                <w:szCs w:val="22"/>
              </w:rPr>
              <w:t>-</w:t>
            </w:r>
            <w:r w:rsidR="00C07143" w:rsidRPr="00B41904">
              <w:rPr>
                <w:rFonts w:asciiTheme="minorHAnsi" w:hAnsiTheme="minorHAnsi" w:cstheme="minorHAnsi"/>
                <w:sz w:val="22"/>
                <w:szCs w:val="22"/>
              </w:rPr>
              <w:t xml:space="preserve">dominant </w:t>
            </w:r>
            <w:r w:rsidR="006D6340">
              <w:rPr>
                <w:rFonts w:asciiTheme="minorHAnsi" w:hAnsiTheme="minorHAnsi" w:cstheme="minorHAnsi"/>
                <w:sz w:val="22"/>
                <w:szCs w:val="22"/>
              </w:rPr>
              <w:t>where</w:t>
            </w:r>
            <w:r w:rsidR="00CE0A64">
              <w:rPr>
                <w:rFonts w:asciiTheme="minorHAnsi" w:hAnsiTheme="minorHAnsi" w:cstheme="minorHAnsi"/>
                <w:sz w:val="22"/>
                <w:szCs w:val="22"/>
              </w:rPr>
              <w:t xml:space="preserve"> </w:t>
            </w:r>
            <w:r w:rsidR="00577C44">
              <w:rPr>
                <w:rFonts w:asciiTheme="minorHAnsi" w:hAnsiTheme="minorHAnsi" w:cstheme="minorHAnsi"/>
                <w:sz w:val="22"/>
                <w:szCs w:val="22"/>
              </w:rPr>
              <w:t xml:space="preserve">more than 50% of the enrolments they facilitate </w:t>
            </w:r>
            <w:r w:rsidR="006D6340">
              <w:rPr>
                <w:rFonts w:asciiTheme="minorHAnsi" w:hAnsiTheme="minorHAnsi" w:cstheme="minorHAnsi"/>
                <w:sz w:val="22"/>
                <w:szCs w:val="22"/>
              </w:rPr>
              <w:t>are onshore cross-provider transfers</w:t>
            </w:r>
            <w:r w:rsidR="00B339E2" w:rsidRPr="00B41904">
              <w:rPr>
                <w:rFonts w:asciiTheme="minorHAnsi" w:hAnsiTheme="minorHAnsi" w:cstheme="minorHAnsi"/>
                <w:sz w:val="22"/>
                <w:szCs w:val="22"/>
              </w:rPr>
              <w:t xml:space="preserve">. </w:t>
            </w:r>
          </w:p>
        </w:tc>
      </w:tr>
      <w:tr w:rsidR="00C07143" w:rsidRPr="00B41904" w14:paraId="4B61D922" w14:textId="77777777" w:rsidTr="00CE3E5C">
        <w:trPr>
          <w:trHeight w:val="300"/>
        </w:trPr>
        <w:tc>
          <w:tcPr>
            <w:tcW w:w="2535" w:type="dxa"/>
            <w:tcBorders>
              <w:top w:val="single" w:sz="6" w:space="0" w:color="000000"/>
              <w:left w:val="nil"/>
              <w:bottom w:val="single" w:sz="6" w:space="0" w:color="000000"/>
              <w:right w:val="nil"/>
            </w:tcBorders>
            <w:hideMark/>
          </w:tcPr>
          <w:p w14:paraId="680AE5C6" w14:textId="77777777" w:rsidR="00C07143" w:rsidRPr="00CE3E5C" w:rsidRDefault="00C07143" w:rsidP="00CE3E5C">
            <w:pPr>
              <w:pStyle w:val="paragraph"/>
              <w:spacing w:after="0" w:afterAutospacing="0" w:line="276" w:lineRule="auto"/>
              <w:rPr>
                <w:rFonts w:asciiTheme="minorHAnsi" w:hAnsiTheme="minorHAnsi" w:cstheme="minorHAnsi"/>
                <w:b/>
                <w:bCs/>
                <w:sz w:val="22"/>
                <w:szCs w:val="22"/>
              </w:rPr>
            </w:pPr>
            <w:r w:rsidRPr="00B41904">
              <w:rPr>
                <w:rFonts w:asciiTheme="minorHAnsi" w:hAnsiTheme="minorHAnsi" w:cstheme="minorHAnsi"/>
                <w:b/>
                <w:bCs/>
                <w:sz w:val="22"/>
                <w:szCs w:val="22"/>
              </w:rPr>
              <w:t>Average commission paid by transfer-dominant providers</w:t>
            </w:r>
            <w:r w:rsidRPr="00CE3E5C">
              <w:rPr>
                <w:rFonts w:asciiTheme="minorHAnsi" w:hAnsiTheme="minorHAnsi" w:cstheme="minorHAnsi"/>
                <w:b/>
                <w:bCs/>
                <w:sz w:val="22"/>
                <w:szCs w:val="22"/>
              </w:rPr>
              <w:t> </w:t>
            </w:r>
          </w:p>
          <w:p w14:paraId="051DC3F6" w14:textId="77777777" w:rsidR="00C07143" w:rsidRPr="00B41904" w:rsidRDefault="00C07143" w:rsidP="00D0072E">
            <w:pPr>
              <w:pStyle w:val="paragraph"/>
              <w:spacing w:before="0" w:beforeAutospacing="0" w:after="120" w:line="276" w:lineRule="auto"/>
              <w:rPr>
                <w:rFonts w:asciiTheme="minorHAnsi" w:hAnsiTheme="minorHAnsi" w:cstheme="minorHAnsi"/>
                <w:sz w:val="22"/>
                <w:szCs w:val="22"/>
              </w:rPr>
            </w:pPr>
            <w:r w:rsidRPr="00B41904">
              <w:rPr>
                <w:rFonts w:asciiTheme="minorHAnsi" w:hAnsiTheme="minorHAnsi" w:cstheme="minorHAnsi"/>
                <w:sz w:val="22"/>
                <w:szCs w:val="22"/>
              </w:rPr>
              <w:t>$341 </w:t>
            </w:r>
          </w:p>
        </w:tc>
        <w:tc>
          <w:tcPr>
            <w:tcW w:w="11642" w:type="dxa"/>
            <w:tcBorders>
              <w:top w:val="single" w:sz="6" w:space="0" w:color="000000"/>
              <w:left w:val="nil"/>
              <w:bottom w:val="single" w:sz="6" w:space="0" w:color="000000"/>
              <w:right w:val="nil"/>
            </w:tcBorders>
            <w:hideMark/>
          </w:tcPr>
          <w:p w14:paraId="61F35E7A" w14:textId="77777777"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Assumed to be 50% of the average agent commission for offshore recruitment in VET ($683). </w:t>
            </w:r>
          </w:p>
          <w:p w14:paraId="507C4B4E" w14:textId="77777777"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Reflects that the majority of transfer-dominant providers affected are VET providers. </w:t>
            </w:r>
          </w:p>
        </w:tc>
      </w:tr>
      <w:tr w:rsidR="00C07143" w:rsidRPr="00B41904" w14:paraId="5ED70CAB" w14:textId="77777777" w:rsidTr="00CE3E5C">
        <w:trPr>
          <w:trHeight w:val="300"/>
        </w:trPr>
        <w:tc>
          <w:tcPr>
            <w:tcW w:w="2535" w:type="dxa"/>
            <w:tcBorders>
              <w:top w:val="single" w:sz="6" w:space="0" w:color="000000"/>
              <w:left w:val="nil"/>
              <w:bottom w:val="single" w:sz="6" w:space="0" w:color="000000"/>
              <w:right w:val="nil"/>
            </w:tcBorders>
            <w:shd w:val="clear" w:color="auto" w:fill="DFF0F9"/>
            <w:hideMark/>
          </w:tcPr>
          <w:p w14:paraId="03D3D97A"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To students</w:t>
            </w:r>
            <w:r w:rsidRPr="00B41904">
              <w:rPr>
                <w:rFonts w:asciiTheme="minorHAnsi" w:hAnsiTheme="minorHAnsi" w:cstheme="minorHAnsi"/>
                <w:sz w:val="22"/>
                <w:szCs w:val="22"/>
              </w:rPr>
              <w:t> </w:t>
            </w:r>
          </w:p>
        </w:tc>
        <w:tc>
          <w:tcPr>
            <w:tcW w:w="11642" w:type="dxa"/>
            <w:tcBorders>
              <w:top w:val="single" w:sz="6" w:space="0" w:color="000000"/>
              <w:left w:val="nil"/>
              <w:bottom w:val="single" w:sz="6" w:space="0" w:color="000000"/>
              <w:right w:val="nil"/>
            </w:tcBorders>
            <w:shd w:val="clear" w:color="auto" w:fill="DFF0F9"/>
            <w:hideMark/>
          </w:tcPr>
          <w:p w14:paraId="714AD4EA"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 </w:t>
            </w:r>
          </w:p>
        </w:tc>
      </w:tr>
      <w:tr w:rsidR="00C07143" w:rsidRPr="00B41904" w14:paraId="07D94C09" w14:textId="77777777" w:rsidTr="00CE3E5C">
        <w:trPr>
          <w:trHeight w:val="300"/>
        </w:trPr>
        <w:tc>
          <w:tcPr>
            <w:tcW w:w="2535" w:type="dxa"/>
            <w:tcBorders>
              <w:top w:val="single" w:sz="6" w:space="0" w:color="000000"/>
              <w:left w:val="nil"/>
              <w:bottom w:val="single" w:sz="6" w:space="0" w:color="000000"/>
              <w:right w:val="nil"/>
            </w:tcBorders>
            <w:hideMark/>
          </w:tcPr>
          <w:p w14:paraId="7B0DD91B" w14:textId="21A6E60B" w:rsidR="00C07143" w:rsidRPr="00CE3E5C" w:rsidRDefault="00C07143" w:rsidP="00CE3E5C">
            <w:pPr>
              <w:pStyle w:val="paragraph"/>
              <w:spacing w:after="0" w:afterAutospacing="0" w:line="276" w:lineRule="auto"/>
              <w:rPr>
                <w:rFonts w:asciiTheme="minorHAnsi" w:hAnsiTheme="minorHAnsi" w:cstheme="minorHAnsi"/>
                <w:b/>
                <w:bCs/>
                <w:sz w:val="22"/>
                <w:szCs w:val="22"/>
              </w:rPr>
            </w:pPr>
            <w:r w:rsidRPr="00B41904">
              <w:rPr>
                <w:rFonts w:asciiTheme="minorHAnsi" w:hAnsiTheme="minorHAnsi" w:cstheme="minorHAnsi"/>
                <w:b/>
                <w:bCs/>
                <w:sz w:val="22"/>
                <w:szCs w:val="22"/>
              </w:rPr>
              <w:t xml:space="preserve">Share of students using agents to </w:t>
            </w:r>
            <w:r w:rsidR="004B5E6F" w:rsidRPr="004B5E6F">
              <w:rPr>
                <w:rFonts w:asciiTheme="minorHAnsi" w:hAnsiTheme="minorHAnsi" w:cstheme="minorHAnsi"/>
                <w:b/>
                <w:bCs/>
                <w:sz w:val="22"/>
                <w:szCs w:val="22"/>
              </w:rPr>
              <w:t>c</w:t>
            </w:r>
            <w:r w:rsidR="004B5E6F" w:rsidRPr="00D3532E">
              <w:rPr>
                <w:rFonts w:asciiTheme="minorHAnsi" w:hAnsiTheme="minorHAnsi" w:cstheme="minorHAnsi"/>
                <w:b/>
                <w:bCs/>
                <w:sz w:val="22"/>
                <w:szCs w:val="22"/>
              </w:rPr>
              <w:t>hange</w:t>
            </w:r>
            <w:r w:rsidRPr="00B41904">
              <w:rPr>
                <w:rFonts w:asciiTheme="minorHAnsi" w:hAnsiTheme="minorHAnsi" w:cstheme="minorHAnsi"/>
                <w:b/>
                <w:bCs/>
                <w:sz w:val="22"/>
                <w:szCs w:val="22"/>
              </w:rPr>
              <w:t xml:space="preserve"> providers while onshore</w:t>
            </w:r>
            <w:r w:rsidRPr="00CE3E5C">
              <w:rPr>
                <w:rFonts w:asciiTheme="minorHAnsi" w:hAnsiTheme="minorHAnsi" w:cstheme="minorHAnsi"/>
                <w:b/>
                <w:bCs/>
                <w:sz w:val="22"/>
                <w:szCs w:val="22"/>
              </w:rPr>
              <w:t> </w:t>
            </w:r>
          </w:p>
          <w:p w14:paraId="5D4ECA9B" w14:textId="77777777" w:rsidR="00C07143" w:rsidRPr="00B41904" w:rsidRDefault="00C07143" w:rsidP="00D0072E">
            <w:pPr>
              <w:pStyle w:val="paragraph"/>
              <w:spacing w:before="0" w:beforeAutospacing="0" w:after="120" w:line="276" w:lineRule="auto"/>
              <w:rPr>
                <w:rFonts w:asciiTheme="minorHAnsi" w:hAnsiTheme="minorHAnsi" w:cstheme="minorHAnsi"/>
                <w:sz w:val="22"/>
                <w:szCs w:val="22"/>
              </w:rPr>
            </w:pPr>
            <w:r w:rsidRPr="00B41904">
              <w:rPr>
                <w:rFonts w:asciiTheme="minorHAnsi" w:hAnsiTheme="minorHAnsi" w:cstheme="minorHAnsi"/>
                <w:sz w:val="22"/>
                <w:szCs w:val="22"/>
              </w:rPr>
              <w:t>8% </w:t>
            </w:r>
          </w:p>
        </w:tc>
        <w:tc>
          <w:tcPr>
            <w:tcW w:w="11642" w:type="dxa"/>
            <w:tcBorders>
              <w:top w:val="single" w:sz="6" w:space="0" w:color="000000"/>
              <w:left w:val="nil"/>
              <w:bottom w:val="single" w:sz="6" w:space="0" w:color="000000"/>
              <w:right w:val="nil"/>
            </w:tcBorders>
            <w:hideMark/>
          </w:tcPr>
          <w:p w14:paraId="32BF886E" w14:textId="46A1FEF2"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 xml:space="preserve">10% of international students engage in </w:t>
            </w:r>
            <w:r w:rsidR="004B5E6F" w:rsidRPr="004B5E6F">
              <w:rPr>
                <w:rFonts w:asciiTheme="minorHAnsi" w:hAnsiTheme="minorHAnsi" w:cstheme="minorHAnsi"/>
                <w:sz w:val="22"/>
                <w:szCs w:val="22"/>
              </w:rPr>
              <w:t>c</w:t>
            </w:r>
            <w:r w:rsidR="004B5E6F" w:rsidRPr="00D3532E">
              <w:rPr>
                <w:rFonts w:asciiTheme="minorHAnsi" w:hAnsiTheme="minorHAnsi" w:cstheme="minorHAnsi"/>
                <w:sz w:val="22"/>
                <w:szCs w:val="22"/>
              </w:rPr>
              <w:t>hanging</w:t>
            </w:r>
            <w:r w:rsidR="004B5E6F">
              <w:rPr>
                <w:rFonts w:cstheme="minorHAnsi"/>
              </w:rPr>
              <w:t xml:space="preserve"> </w:t>
            </w:r>
            <w:r w:rsidRPr="00B41904">
              <w:rPr>
                <w:rFonts w:asciiTheme="minorHAnsi" w:hAnsiTheme="minorHAnsi" w:cstheme="minorHAnsi"/>
                <w:sz w:val="22"/>
                <w:szCs w:val="22"/>
              </w:rPr>
              <w:t>provider</w:t>
            </w:r>
            <w:r w:rsidR="004B5E6F">
              <w:rPr>
                <w:rFonts w:asciiTheme="minorHAnsi" w:hAnsiTheme="minorHAnsi" w:cstheme="minorHAnsi"/>
                <w:sz w:val="22"/>
                <w:szCs w:val="22"/>
              </w:rPr>
              <w:t>s</w:t>
            </w:r>
            <w:r w:rsidRPr="00B41904">
              <w:rPr>
                <w:rFonts w:asciiTheme="minorHAnsi" w:hAnsiTheme="minorHAnsi" w:cstheme="minorHAnsi"/>
                <w:sz w:val="22"/>
                <w:szCs w:val="22"/>
              </w:rPr>
              <w:t xml:space="preserve"> onshore.  </w:t>
            </w:r>
          </w:p>
          <w:p w14:paraId="78E1C1EB" w14:textId="77777777"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CC75AB">
              <w:rPr>
                <w:rFonts w:asciiTheme="minorHAnsi" w:hAnsiTheme="minorHAnsi" w:cstheme="minorHAnsi"/>
                <w:sz w:val="22"/>
                <w:szCs w:val="22"/>
              </w:rPr>
              <w:t>78%</w:t>
            </w:r>
            <w:r w:rsidRPr="00B41904">
              <w:rPr>
                <w:rFonts w:asciiTheme="minorHAnsi" w:hAnsiTheme="minorHAnsi" w:cstheme="minorHAnsi"/>
                <w:sz w:val="22"/>
                <w:szCs w:val="22"/>
              </w:rPr>
              <w:t xml:space="preserve"> of these transferring students use an agent. </w:t>
            </w:r>
          </w:p>
        </w:tc>
      </w:tr>
      <w:tr w:rsidR="00C07143" w:rsidRPr="00B41904" w14:paraId="124B6BE7" w14:textId="77777777" w:rsidTr="00CE3E5C">
        <w:trPr>
          <w:trHeight w:val="300"/>
        </w:trPr>
        <w:tc>
          <w:tcPr>
            <w:tcW w:w="2535" w:type="dxa"/>
            <w:tcBorders>
              <w:top w:val="single" w:sz="6" w:space="0" w:color="000000"/>
              <w:left w:val="nil"/>
              <w:bottom w:val="single" w:sz="6" w:space="0" w:color="000000"/>
              <w:right w:val="nil"/>
            </w:tcBorders>
            <w:hideMark/>
          </w:tcPr>
          <w:p w14:paraId="3646ABE5" w14:textId="77777777" w:rsidR="00C07143" w:rsidRPr="00CE3E5C" w:rsidRDefault="00C07143" w:rsidP="00CE3E5C">
            <w:pPr>
              <w:pStyle w:val="paragraph"/>
              <w:spacing w:after="0" w:afterAutospacing="0" w:line="276" w:lineRule="auto"/>
              <w:rPr>
                <w:rFonts w:asciiTheme="minorHAnsi" w:hAnsiTheme="minorHAnsi" w:cstheme="minorHAnsi"/>
                <w:b/>
                <w:bCs/>
                <w:sz w:val="22"/>
                <w:szCs w:val="22"/>
              </w:rPr>
            </w:pPr>
            <w:r w:rsidRPr="00B41904">
              <w:rPr>
                <w:rFonts w:asciiTheme="minorHAnsi" w:hAnsiTheme="minorHAnsi" w:cstheme="minorHAnsi"/>
                <w:b/>
                <w:bCs/>
                <w:sz w:val="22"/>
                <w:szCs w:val="22"/>
              </w:rPr>
              <w:t>Student response </w:t>
            </w:r>
            <w:r w:rsidRPr="00CE3E5C">
              <w:rPr>
                <w:rFonts w:asciiTheme="minorHAnsi" w:hAnsiTheme="minorHAnsi" w:cstheme="minorHAnsi"/>
                <w:b/>
                <w:bCs/>
                <w:sz w:val="22"/>
                <w:szCs w:val="22"/>
              </w:rPr>
              <w:t> </w:t>
            </w:r>
          </w:p>
          <w:p w14:paraId="503D33A0"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 </w:t>
            </w:r>
          </w:p>
        </w:tc>
        <w:tc>
          <w:tcPr>
            <w:tcW w:w="11642" w:type="dxa"/>
            <w:tcBorders>
              <w:top w:val="single" w:sz="6" w:space="0" w:color="000000"/>
              <w:left w:val="nil"/>
              <w:bottom w:val="single" w:sz="6" w:space="0" w:color="000000"/>
              <w:right w:val="nil"/>
            </w:tcBorders>
            <w:hideMark/>
          </w:tcPr>
          <w:p w14:paraId="56F26D3F" w14:textId="71ABF8A2"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An assumption-driven approach is adopted noting the uncertainties in understanding student responses to this reform</w:t>
            </w:r>
            <w:r w:rsidR="002E6568" w:rsidRPr="00B41904">
              <w:rPr>
                <w:rFonts w:asciiTheme="minorHAnsi" w:hAnsiTheme="minorHAnsi" w:cstheme="minorHAnsi"/>
                <w:sz w:val="22"/>
                <w:szCs w:val="22"/>
              </w:rPr>
              <w:t xml:space="preserve">. </w:t>
            </w:r>
          </w:p>
          <w:p w14:paraId="2D55E7D9" w14:textId="5D226AD1"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A third of students are modelled to proceed with transferring with the use of an agent</w:t>
            </w:r>
            <w:r w:rsidR="002C4026">
              <w:rPr>
                <w:rFonts w:asciiTheme="minorHAnsi" w:hAnsiTheme="minorHAnsi" w:cstheme="minorHAnsi"/>
                <w:sz w:val="22"/>
                <w:szCs w:val="22"/>
              </w:rPr>
              <w:t xml:space="preserve"> </w:t>
            </w:r>
            <w:r w:rsidR="00BE046F">
              <w:rPr>
                <w:rFonts w:asciiTheme="minorHAnsi" w:hAnsiTheme="minorHAnsi" w:cstheme="minorHAnsi"/>
                <w:sz w:val="22"/>
                <w:szCs w:val="22"/>
              </w:rPr>
              <w:t>(</w:t>
            </w:r>
            <w:r w:rsidR="002C4026">
              <w:rPr>
                <w:rFonts w:asciiTheme="minorHAnsi" w:hAnsiTheme="minorHAnsi" w:cstheme="minorHAnsi"/>
                <w:sz w:val="22"/>
                <w:szCs w:val="22"/>
              </w:rPr>
              <w:t>possibly paying a fee for service</w:t>
            </w:r>
            <w:r w:rsidR="00BE046F">
              <w:rPr>
                <w:rFonts w:asciiTheme="minorHAnsi" w:hAnsiTheme="minorHAnsi" w:cstheme="minorHAnsi"/>
                <w:sz w:val="22"/>
                <w:szCs w:val="22"/>
              </w:rPr>
              <w:t>),</w:t>
            </w:r>
            <w:r w:rsidR="003E24FD">
              <w:rPr>
                <w:rFonts w:asciiTheme="minorHAnsi" w:hAnsiTheme="minorHAnsi" w:cstheme="minorHAnsi"/>
                <w:sz w:val="22"/>
                <w:szCs w:val="22"/>
              </w:rPr>
              <w:t xml:space="preserve"> </w:t>
            </w:r>
            <w:r w:rsidR="00BE046F">
              <w:rPr>
                <w:rFonts w:asciiTheme="minorHAnsi" w:hAnsiTheme="minorHAnsi" w:cstheme="minorHAnsi"/>
                <w:sz w:val="22"/>
                <w:szCs w:val="22"/>
              </w:rPr>
              <w:t>a</w:t>
            </w:r>
            <w:r w:rsidRPr="00B41904">
              <w:rPr>
                <w:rFonts w:asciiTheme="minorHAnsi" w:hAnsiTheme="minorHAnsi" w:cstheme="minorHAnsi"/>
                <w:sz w:val="22"/>
                <w:szCs w:val="22"/>
              </w:rPr>
              <w:t xml:space="preserve"> third of students are modelled to proceed with transferring without the support of an agent, and a third of students are modelled to no longer transfer</w:t>
            </w:r>
            <w:r w:rsidR="002E6568" w:rsidRPr="00B41904">
              <w:rPr>
                <w:rFonts w:asciiTheme="minorHAnsi" w:hAnsiTheme="minorHAnsi" w:cstheme="minorHAnsi"/>
                <w:sz w:val="22"/>
                <w:szCs w:val="22"/>
              </w:rPr>
              <w:t xml:space="preserve">. </w:t>
            </w:r>
          </w:p>
          <w:p w14:paraId="53AC4121" w14:textId="27BF1682" w:rsidR="00C07143" w:rsidRPr="00B41904" w:rsidRDefault="00C07143" w:rsidP="00ED7270">
            <w:pPr>
              <w:pStyle w:val="paragraph"/>
              <w:numPr>
                <w:ilvl w:val="0"/>
                <w:numId w:val="27"/>
              </w:numPr>
              <w:tabs>
                <w:tab w:val="clear" w:pos="720"/>
              </w:tabs>
              <w:spacing w:after="0" w:afterAutospacing="0" w:line="276" w:lineRule="auto"/>
              <w:ind w:left="504"/>
              <w:rPr>
                <w:rFonts w:asciiTheme="minorHAnsi" w:hAnsiTheme="minorHAnsi" w:cstheme="minorHAnsi"/>
                <w:sz w:val="22"/>
                <w:szCs w:val="22"/>
              </w:rPr>
            </w:pPr>
            <w:r w:rsidRPr="00B41904">
              <w:rPr>
                <w:rFonts w:asciiTheme="minorHAnsi" w:hAnsiTheme="minorHAnsi" w:cstheme="minorHAnsi"/>
                <w:sz w:val="22"/>
                <w:szCs w:val="22"/>
              </w:rPr>
              <w:t>10% of students who no longer transfer are modelled to exit their studies from Australian international education and training</w:t>
            </w:r>
            <w:r w:rsidR="002E6568" w:rsidRPr="00B41904">
              <w:rPr>
                <w:rFonts w:asciiTheme="minorHAnsi" w:hAnsiTheme="minorHAnsi" w:cstheme="minorHAnsi"/>
                <w:sz w:val="22"/>
                <w:szCs w:val="22"/>
              </w:rPr>
              <w:t xml:space="preserve">. </w:t>
            </w:r>
          </w:p>
        </w:tc>
      </w:tr>
    </w:tbl>
    <w:p w14:paraId="17676E92" w14:textId="77777777" w:rsidR="004F2828" w:rsidRDefault="004F2828" w:rsidP="00CE3E5C">
      <w:pPr>
        <w:pStyle w:val="paragraph"/>
        <w:spacing w:after="0" w:afterAutospacing="0" w:line="276" w:lineRule="auto"/>
        <w:rPr>
          <w:rFonts w:asciiTheme="minorHAnsi" w:hAnsiTheme="minorHAnsi" w:cstheme="minorHAnsi"/>
          <w:b/>
          <w:bCs/>
          <w:sz w:val="22"/>
          <w:szCs w:val="22"/>
        </w:rPr>
      </w:pPr>
    </w:p>
    <w:p w14:paraId="372D3C5E" w14:textId="22A68FF3" w:rsidR="00C07143" w:rsidRPr="00CE3E5C" w:rsidRDefault="004F2828" w:rsidP="00CE3E5C">
      <w:pPr>
        <w:pStyle w:val="paragraph"/>
        <w:spacing w:after="0" w:afterAutospacing="0" w:line="276" w:lineRule="auto"/>
        <w:rPr>
          <w:rFonts w:asciiTheme="minorHAnsi" w:hAnsiTheme="minorHAnsi" w:cstheme="minorHAnsi"/>
          <w:b/>
          <w:bCs/>
          <w:sz w:val="22"/>
          <w:szCs w:val="22"/>
        </w:rPr>
      </w:pPr>
      <w:r>
        <w:rPr>
          <w:rFonts w:asciiTheme="minorHAnsi" w:hAnsiTheme="minorHAnsi" w:cstheme="minorHAnsi"/>
          <w:b/>
          <w:bCs/>
          <w:sz w:val="22"/>
          <w:szCs w:val="22"/>
        </w:rPr>
        <w:br w:type="column"/>
      </w:r>
      <w:r w:rsidR="00C07143" w:rsidRPr="00CE3E5C">
        <w:rPr>
          <w:rFonts w:asciiTheme="minorHAnsi" w:hAnsiTheme="minorHAnsi" w:cstheme="minorHAnsi"/>
          <w:b/>
          <w:bCs/>
          <w:sz w:val="22"/>
          <w:szCs w:val="22"/>
        </w:rPr>
        <w:lastRenderedPageBreak/>
        <w:t xml:space="preserve">Table </w:t>
      </w:r>
      <w:r w:rsidR="00A1719C">
        <w:rPr>
          <w:rFonts w:asciiTheme="minorHAnsi" w:hAnsiTheme="minorHAnsi" w:cstheme="minorHAnsi"/>
          <w:b/>
          <w:bCs/>
          <w:sz w:val="22"/>
          <w:szCs w:val="22"/>
        </w:rPr>
        <w:t>6</w:t>
      </w:r>
      <w:r w:rsidR="00C07143" w:rsidRPr="00CE3E5C">
        <w:rPr>
          <w:rFonts w:asciiTheme="minorHAnsi" w:hAnsiTheme="minorHAnsi" w:cstheme="minorHAnsi"/>
          <w:b/>
          <w:bCs/>
          <w:sz w:val="22"/>
          <w:szCs w:val="22"/>
        </w:rPr>
        <w:t>: Approach to measuring benefits for ‘Prohibition of payment of agent commission for onshore transfers’   </w:t>
      </w:r>
    </w:p>
    <w:tbl>
      <w:tblPr>
        <w:tblW w:w="14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1204"/>
        <w:gridCol w:w="941"/>
        <w:gridCol w:w="993"/>
        <w:gridCol w:w="1417"/>
        <w:gridCol w:w="7796"/>
      </w:tblGrid>
      <w:tr w:rsidR="00CE3E5C" w:rsidRPr="00B41904" w14:paraId="3A38D18F" w14:textId="77777777" w:rsidTr="00CE3E5C">
        <w:trPr>
          <w:trHeight w:val="300"/>
        </w:trPr>
        <w:tc>
          <w:tcPr>
            <w:tcW w:w="1824" w:type="dxa"/>
            <w:tcBorders>
              <w:top w:val="single" w:sz="18" w:space="0" w:color="62B5E5"/>
              <w:left w:val="nil"/>
              <w:bottom w:val="single" w:sz="6" w:space="0" w:color="7F7F7F"/>
              <w:right w:val="nil"/>
            </w:tcBorders>
            <w:hideMark/>
          </w:tcPr>
          <w:p w14:paraId="5D71AB6D"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Benefit </w:t>
            </w:r>
          </w:p>
        </w:tc>
        <w:tc>
          <w:tcPr>
            <w:tcW w:w="1204" w:type="dxa"/>
            <w:tcBorders>
              <w:top w:val="single" w:sz="18" w:space="0" w:color="62B5E5"/>
              <w:left w:val="nil"/>
              <w:bottom w:val="single" w:sz="6" w:space="0" w:color="7F7F7F"/>
              <w:right w:val="nil"/>
            </w:tcBorders>
            <w:hideMark/>
          </w:tcPr>
          <w:p w14:paraId="6CCA6729"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Stakeholder  </w:t>
            </w:r>
          </w:p>
        </w:tc>
        <w:tc>
          <w:tcPr>
            <w:tcW w:w="941" w:type="dxa"/>
            <w:tcBorders>
              <w:top w:val="single" w:sz="18" w:space="0" w:color="62B5E5"/>
              <w:left w:val="nil"/>
              <w:bottom w:val="single" w:sz="6" w:space="0" w:color="7F7F7F"/>
              <w:right w:val="nil"/>
            </w:tcBorders>
            <w:hideMark/>
          </w:tcPr>
          <w:p w14:paraId="2BE485AF"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Ongoing? </w:t>
            </w:r>
          </w:p>
        </w:tc>
        <w:tc>
          <w:tcPr>
            <w:tcW w:w="993" w:type="dxa"/>
            <w:tcBorders>
              <w:top w:val="single" w:sz="18" w:space="0" w:color="62B5E5"/>
              <w:left w:val="nil"/>
              <w:bottom w:val="single" w:sz="6" w:space="0" w:color="7F7F7F"/>
              <w:right w:val="nil"/>
            </w:tcBorders>
            <w:hideMark/>
          </w:tcPr>
          <w:p w14:paraId="78E952BA" w14:textId="790EBAE4"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Transfer</w:t>
            </w:r>
            <w:r w:rsidR="00034E7B" w:rsidRPr="00B41904">
              <w:rPr>
                <w:rFonts w:asciiTheme="minorHAnsi" w:hAnsiTheme="minorHAnsi" w:cstheme="minorHAnsi"/>
                <w:b/>
                <w:bCs/>
                <w:sz w:val="22"/>
                <w:szCs w:val="22"/>
              </w:rPr>
              <w:t xml:space="preserve">? </w:t>
            </w:r>
          </w:p>
        </w:tc>
        <w:tc>
          <w:tcPr>
            <w:tcW w:w="1417" w:type="dxa"/>
            <w:tcBorders>
              <w:top w:val="single" w:sz="18" w:space="0" w:color="62B5E5"/>
              <w:left w:val="nil"/>
              <w:bottom w:val="single" w:sz="6" w:space="0" w:color="7F7F7F"/>
              <w:right w:val="nil"/>
            </w:tcBorders>
            <w:hideMark/>
          </w:tcPr>
          <w:p w14:paraId="2A17A6B4" w14:textId="2EE49D1A"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Quantifiable</w:t>
            </w:r>
            <w:r w:rsidR="00034E7B" w:rsidRPr="00B41904">
              <w:rPr>
                <w:rFonts w:asciiTheme="minorHAnsi" w:hAnsiTheme="minorHAnsi" w:cstheme="minorHAnsi"/>
                <w:b/>
                <w:bCs/>
                <w:sz w:val="22"/>
                <w:szCs w:val="22"/>
              </w:rPr>
              <w:t xml:space="preserve">? </w:t>
            </w:r>
          </w:p>
        </w:tc>
        <w:tc>
          <w:tcPr>
            <w:tcW w:w="7796" w:type="dxa"/>
            <w:tcBorders>
              <w:top w:val="single" w:sz="18" w:space="0" w:color="62B5E5"/>
              <w:left w:val="nil"/>
              <w:bottom w:val="single" w:sz="6" w:space="0" w:color="7F7F7F"/>
              <w:right w:val="nil"/>
            </w:tcBorders>
            <w:hideMark/>
          </w:tcPr>
          <w:p w14:paraId="6863080D"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Approach  </w:t>
            </w:r>
          </w:p>
        </w:tc>
      </w:tr>
      <w:tr w:rsidR="00CE3E5C" w:rsidRPr="00B41904" w14:paraId="3A7A1B1F" w14:textId="77777777" w:rsidTr="00CE3E5C">
        <w:trPr>
          <w:trHeight w:val="300"/>
        </w:trPr>
        <w:tc>
          <w:tcPr>
            <w:tcW w:w="1824" w:type="dxa"/>
            <w:tcBorders>
              <w:top w:val="single" w:sz="6" w:space="0" w:color="7F7F7F"/>
              <w:left w:val="nil"/>
              <w:bottom w:val="single" w:sz="6" w:space="0" w:color="7F7F7F"/>
              <w:right w:val="nil"/>
            </w:tcBorders>
            <w:hideMark/>
          </w:tcPr>
          <w:p w14:paraId="30CC37F0" w14:textId="77777777" w:rsidR="00C07143" w:rsidRPr="00B41904" w:rsidRDefault="00C07143" w:rsidP="00D2003C">
            <w:pPr>
              <w:pStyle w:val="paragraph"/>
              <w:spacing w:line="276" w:lineRule="auto"/>
              <w:rPr>
                <w:rFonts w:asciiTheme="minorHAnsi" w:hAnsiTheme="minorHAnsi" w:cstheme="minorHAnsi"/>
                <w:b/>
                <w:bCs/>
                <w:sz w:val="22"/>
                <w:szCs w:val="22"/>
              </w:rPr>
            </w:pPr>
            <w:r w:rsidRPr="00B41904">
              <w:rPr>
                <w:rFonts w:asciiTheme="minorHAnsi" w:hAnsiTheme="minorHAnsi" w:cstheme="minorHAnsi"/>
                <w:sz w:val="22"/>
                <w:szCs w:val="22"/>
              </w:rPr>
              <w:t>Reduced cost of transfers (i.e. no commission payments)</w:t>
            </w:r>
            <w:r w:rsidRPr="00B41904">
              <w:rPr>
                <w:rFonts w:asciiTheme="minorHAnsi" w:hAnsiTheme="minorHAnsi" w:cstheme="minorHAnsi"/>
                <w:b/>
                <w:bCs/>
                <w:sz w:val="22"/>
                <w:szCs w:val="22"/>
              </w:rPr>
              <w:t> </w:t>
            </w:r>
          </w:p>
        </w:tc>
        <w:tc>
          <w:tcPr>
            <w:tcW w:w="1204" w:type="dxa"/>
            <w:tcBorders>
              <w:top w:val="single" w:sz="6" w:space="0" w:color="7F7F7F"/>
              <w:left w:val="nil"/>
              <w:bottom w:val="single" w:sz="6" w:space="0" w:color="7F7F7F"/>
              <w:right w:val="nil"/>
            </w:tcBorders>
            <w:hideMark/>
          </w:tcPr>
          <w:p w14:paraId="258AB5A0"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Providers </w:t>
            </w:r>
          </w:p>
        </w:tc>
        <w:tc>
          <w:tcPr>
            <w:tcW w:w="941" w:type="dxa"/>
            <w:tcBorders>
              <w:top w:val="single" w:sz="6" w:space="0" w:color="7F7F7F"/>
              <w:left w:val="nil"/>
              <w:bottom w:val="single" w:sz="6" w:space="0" w:color="7F7F7F"/>
              <w:right w:val="nil"/>
            </w:tcBorders>
            <w:hideMark/>
          </w:tcPr>
          <w:p w14:paraId="556680E2"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993" w:type="dxa"/>
            <w:tcBorders>
              <w:top w:val="single" w:sz="6" w:space="0" w:color="7F7F7F"/>
              <w:left w:val="nil"/>
              <w:bottom w:val="single" w:sz="6" w:space="0" w:color="7F7F7F"/>
              <w:right w:val="nil"/>
            </w:tcBorders>
            <w:hideMark/>
          </w:tcPr>
          <w:p w14:paraId="586B3C0F"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No </w:t>
            </w:r>
          </w:p>
        </w:tc>
        <w:tc>
          <w:tcPr>
            <w:tcW w:w="1417" w:type="dxa"/>
            <w:tcBorders>
              <w:top w:val="single" w:sz="6" w:space="0" w:color="7F7F7F"/>
              <w:left w:val="nil"/>
              <w:bottom w:val="single" w:sz="6" w:space="0" w:color="7F7F7F"/>
              <w:right w:val="nil"/>
            </w:tcBorders>
            <w:hideMark/>
          </w:tcPr>
          <w:p w14:paraId="24EC031D"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7796" w:type="dxa"/>
            <w:tcBorders>
              <w:top w:val="single" w:sz="6" w:space="0" w:color="7F7F7F"/>
              <w:left w:val="nil"/>
              <w:bottom w:val="single" w:sz="6" w:space="0" w:color="7F7F7F"/>
              <w:right w:val="nil"/>
            </w:tcBorders>
            <w:hideMark/>
          </w:tcPr>
          <w:p w14:paraId="0D402616" w14:textId="77777777" w:rsidR="00C07143" w:rsidRPr="00B41904" w:rsidRDefault="00C07143" w:rsidP="003F2143">
            <w:pPr>
              <w:pStyle w:val="paragraph"/>
              <w:numPr>
                <w:ilvl w:val="0"/>
                <w:numId w:val="39"/>
              </w:numPr>
              <w:tabs>
                <w:tab w:val="clear" w:pos="720"/>
              </w:tabs>
              <w:spacing w:after="120" w:line="276" w:lineRule="auto"/>
              <w:ind w:left="457"/>
              <w:rPr>
                <w:rFonts w:asciiTheme="minorHAnsi" w:hAnsiTheme="minorHAnsi" w:cstheme="minorHAnsi"/>
                <w:sz w:val="22"/>
                <w:szCs w:val="22"/>
              </w:rPr>
            </w:pPr>
            <w:r w:rsidRPr="00B41904">
              <w:rPr>
                <w:rFonts w:asciiTheme="minorHAnsi" w:hAnsiTheme="minorHAnsi" w:cstheme="minorHAnsi"/>
                <w:sz w:val="22"/>
                <w:szCs w:val="22"/>
              </w:rPr>
              <w:t>Based on estimated net amount of foregone onshore student transfers (27,835 student in 2025 - based on 8% of international students transferring with the use of an agent, 455,023 international student commencements in 2025). </w:t>
            </w:r>
          </w:p>
          <w:p w14:paraId="7101D675" w14:textId="774B6773" w:rsidR="00C07143" w:rsidRPr="00B41904" w:rsidRDefault="00C07143" w:rsidP="003F2143">
            <w:pPr>
              <w:pStyle w:val="paragraph"/>
              <w:numPr>
                <w:ilvl w:val="0"/>
                <w:numId w:val="39"/>
              </w:numPr>
              <w:tabs>
                <w:tab w:val="clear" w:pos="720"/>
              </w:tabs>
              <w:spacing w:after="120" w:line="276" w:lineRule="auto"/>
              <w:ind w:left="457"/>
              <w:rPr>
                <w:rFonts w:asciiTheme="minorHAnsi" w:hAnsiTheme="minorHAnsi" w:cstheme="minorHAnsi"/>
                <w:sz w:val="22"/>
                <w:szCs w:val="22"/>
              </w:rPr>
            </w:pPr>
            <w:r w:rsidRPr="00B41904">
              <w:rPr>
                <w:rFonts w:asciiTheme="minorHAnsi" w:hAnsiTheme="minorHAnsi" w:cstheme="minorHAnsi"/>
                <w:sz w:val="22"/>
                <w:szCs w:val="22"/>
              </w:rPr>
              <w:t>A small share of providers (and their respective enrolments, 276 on average) are excluded from the total, as 4% of providers are transfer</w:t>
            </w:r>
            <w:r w:rsidR="007B605D">
              <w:rPr>
                <w:rFonts w:asciiTheme="minorHAnsi" w:hAnsiTheme="minorHAnsi" w:cstheme="minorHAnsi"/>
                <w:sz w:val="22"/>
                <w:szCs w:val="22"/>
              </w:rPr>
              <w:t>-</w:t>
            </w:r>
            <w:r w:rsidRPr="00B41904">
              <w:rPr>
                <w:rFonts w:asciiTheme="minorHAnsi" w:hAnsiTheme="minorHAnsi" w:cstheme="minorHAnsi"/>
                <w:sz w:val="22"/>
                <w:szCs w:val="22"/>
              </w:rPr>
              <w:t>dominant, of which 50% (being 2% of total providers) adapt to an offshore recruitment model. These providers expend more on offshore recruitment and therefore do not benefit from paying fewer commissions. </w:t>
            </w:r>
          </w:p>
          <w:p w14:paraId="6E8D36BE" w14:textId="77777777" w:rsidR="00C07143" w:rsidRPr="00B41904" w:rsidRDefault="00C07143" w:rsidP="003F2143">
            <w:pPr>
              <w:pStyle w:val="paragraph"/>
              <w:numPr>
                <w:ilvl w:val="0"/>
                <w:numId w:val="39"/>
              </w:numPr>
              <w:tabs>
                <w:tab w:val="clear" w:pos="720"/>
              </w:tabs>
              <w:spacing w:after="120" w:line="276" w:lineRule="auto"/>
              <w:ind w:left="457"/>
              <w:rPr>
                <w:rFonts w:asciiTheme="minorHAnsi" w:hAnsiTheme="minorHAnsi" w:cstheme="minorHAnsi"/>
                <w:sz w:val="22"/>
                <w:szCs w:val="22"/>
              </w:rPr>
            </w:pPr>
            <w:r w:rsidRPr="00B41904">
              <w:rPr>
                <w:rFonts w:asciiTheme="minorHAnsi" w:hAnsiTheme="minorHAnsi" w:cstheme="minorHAnsi"/>
                <w:sz w:val="22"/>
                <w:szCs w:val="22"/>
              </w:rPr>
              <w:t>$511 saving per commencement in avoided onshore transfer commission payments to agents. </w:t>
            </w:r>
          </w:p>
        </w:tc>
      </w:tr>
    </w:tbl>
    <w:p w14:paraId="796F5717" w14:textId="6AED1CAA" w:rsidR="00C07143" w:rsidRPr="00CE3E5C" w:rsidRDefault="00C07143" w:rsidP="00CE3E5C">
      <w:pPr>
        <w:pStyle w:val="paragraph"/>
        <w:spacing w:after="0" w:afterAutospacing="0" w:line="276" w:lineRule="auto"/>
        <w:rPr>
          <w:rFonts w:asciiTheme="minorHAnsi" w:hAnsiTheme="minorHAnsi" w:cstheme="minorHAnsi"/>
          <w:b/>
          <w:bCs/>
          <w:sz w:val="22"/>
          <w:szCs w:val="22"/>
        </w:rPr>
      </w:pPr>
      <w:r w:rsidRPr="00CE3E5C">
        <w:rPr>
          <w:rFonts w:asciiTheme="minorHAnsi" w:hAnsiTheme="minorHAnsi" w:cstheme="minorHAnsi"/>
          <w:b/>
          <w:bCs/>
          <w:sz w:val="22"/>
          <w:szCs w:val="22"/>
        </w:rPr>
        <w:t xml:space="preserve">Table </w:t>
      </w:r>
      <w:r w:rsidR="00A1719C">
        <w:rPr>
          <w:rFonts w:asciiTheme="minorHAnsi" w:hAnsiTheme="minorHAnsi" w:cstheme="minorHAnsi"/>
          <w:b/>
          <w:bCs/>
          <w:sz w:val="22"/>
          <w:szCs w:val="22"/>
        </w:rPr>
        <w:t>7</w:t>
      </w:r>
      <w:r w:rsidRPr="00CE3E5C">
        <w:rPr>
          <w:rFonts w:asciiTheme="minorHAnsi" w:hAnsiTheme="minorHAnsi" w:cstheme="minorHAnsi"/>
          <w:b/>
          <w:bCs/>
          <w:sz w:val="22"/>
          <w:szCs w:val="22"/>
        </w:rPr>
        <w:t>: Approach to measuring costs for ‘Prohibition of payment of agent commission for onshore transfers’  </w:t>
      </w:r>
    </w:p>
    <w:tbl>
      <w:tblPr>
        <w:tblW w:w="14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5"/>
        <w:gridCol w:w="1203"/>
        <w:gridCol w:w="941"/>
        <w:gridCol w:w="993"/>
        <w:gridCol w:w="1417"/>
        <w:gridCol w:w="7796"/>
      </w:tblGrid>
      <w:tr w:rsidR="00D0072E" w:rsidRPr="00B41904" w14:paraId="20513020" w14:textId="77777777" w:rsidTr="00D0072E">
        <w:trPr>
          <w:trHeight w:val="300"/>
          <w:tblHeader/>
        </w:trPr>
        <w:tc>
          <w:tcPr>
            <w:tcW w:w="1825" w:type="dxa"/>
            <w:tcBorders>
              <w:top w:val="single" w:sz="18" w:space="0" w:color="62B5E5"/>
              <w:left w:val="nil"/>
              <w:bottom w:val="single" w:sz="6" w:space="0" w:color="7F7F7F"/>
              <w:right w:val="nil"/>
            </w:tcBorders>
            <w:hideMark/>
          </w:tcPr>
          <w:p w14:paraId="3F6CFD99"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Costs </w:t>
            </w:r>
          </w:p>
        </w:tc>
        <w:tc>
          <w:tcPr>
            <w:tcW w:w="1203" w:type="dxa"/>
            <w:tcBorders>
              <w:top w:val="single" w:sz="18" w:space="0" w:color="62B5E5"/>
              <w:left w:val="nil"/>
              <w:bottom w:val="single" w:sz="6" w:space="0" w:color="7F7F7F"/>
              <w:right w:val="nil"/>
            </w:tcBorders>
            <w:hideMark/>
          </w:tcPr>
          <w:p w14:paraId="5349B451"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Stakeholder  </w:t>
            </w:r>
          </w:p>
        </w:tc>
        <w:tc>
          <w:tcPr>
            <w:tcW w:w="941" w:type="dxa"/>
            <w:tcBorders>
              <w:top w:val="single" w:sz="18" w:space="0" w:color="62B5E5"/>
              <w:left w:val="nil"/>
              <w:bottom w:val="single" w:sz="6" w:space="0" w:color="7F7F7F"/>
              <w:right w:val="nil"/>
            </w:tcBorders>
            <w:hideMark/>
          </w:tcPr>
          <w:p w14:paraId="4D976A2E"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Ongoing? </w:t>
            </w:r>
          </w:p>
        </w:tc>
        <w:tc>
          <w:tcPr>
            <w:tcW w:w="993" w:type="dxa"/>
            <w:tcBorders>
              <w:top w:val="single" w:sz="18" w:space="0" w:color="62B5E5"/>
              <w:left w:val="nil"/>
              <w:bottom w:val="single" w:sz="6" w:space="0" w:color="7F7F7F"/>
              <w:right w:val="nil"/>
            </w:tcBorders>
            <w:hideMark/>
          </w:tcPr>
          <w:p w14:paraId="44D14FFC" w14:textId="2599B09A"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Transfer</w:t>
            </w:r>
            <w:r w:rsidR="00034E7B" w:rsidRPr="00B41904">
              <w:rPr>
                <w:rFonts w:asciiTheme="minorHAnsi" w:hAnsiTheme="minorHAnsi" w:cstheme="minorHAnsi"/>
                <w:b/>
                <w:bCs/>
                <w:sz w:val="22"/>
                <w:szCs w:val="22"/>
              </w:rPr>
              <w:t xml:space="preserve">? </w:t>
            </w:r>
          </w:p>
        </w:tc>
        <w:tc>
          <w:tcPr>
            <w:tcW w:w="1417" w:type="dxa"/>
            <w:tcBorders>
              <w:top w:val="single" w:sz="18" w:space="0" w:color="62B5E5"/>
              <w:left w:val="nil"/>
              <w:bottom w:val="single" w:sz="6" w:space="0" w:color="7F7F7F"/>
              <w:right w:val="nil"/>
            </w:tcBorders>
            <w:hideMark/>
          </w:tcPr>
          <w:p w14:paraId="2CF65841" w14:textId="186320CF"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Quantifiable</w:t>
            </w:r>
            <w:r w:rsidR="00034E7B" w:rsidRPr="00B41904">
              <w:rPr>
                <w:rFonts w:asciiTheme="minorHAnsi" w:hAnsiTheme="minorHAnsi" w:cstheme="minorHAnsi"/>
                <w:b/>
                <w:bCs/>
                <w:sz w:val="22"/>
                <w:szCs w:val="22"/>
              </w:rPr>
              <w:t xml:space="preserve">? </w:t>
            </w:r>
          </w:p>
        </w:tc>
        <w:tc>
          <w:tcPr>
            <w:tcW w:w="7796" w:type="dxa"/>
            <w:tcBorders>
              <w:top w:val="single" w:sz="18" w:space="0" w:color="62B5E5"/>
              <w:left w:val="nil"/>
              <w:bottom w:val="single" w:sz="6" w:space="0" w:color="7F7F7F"/>
              <w:right w:val="nil"/>
            </w:tcBorders>
            <w:hideMark/>
          </w:tcPr>
          <w:p w14:paraId="01A48A10"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b/>
                <w:bCs/>
                <w:sz w:val="22"/>
                <w:szCs w:val="22"/>
              </w:rPr>
              <w:t>Approach  </w:t>
            </w:r>
          </w:p>
        </w:tc>
      </w:tr>
      <w:tr w:rsidR="00D0072E" w:rsidRPr="00B41904" w14:paraId="588DD457" w14:textId="77777777" w:rsidTr="00D0072E">
        <w:trPr>
          <w:trHeight w:val="300"/>
        </w:trPr>
        <w:tc>
          <w:tcPr>
            <w:tcW w:w="1825" w:type="dxa"/>
            <w:tcBorders>
              <w:top w:val="single" w:sz="6" w:space="0" w:color="7F7F7F"/>
              <w:left w:val="nil"/>
              <w:bottom w:val="single" w:sz="6" w:space="0" w:color="7F7F7F"/>
              <w:right w:val="nil"/>
            </w:tcBorders>
            <w:hideMark/>
          </w:tcPr>
          <w:p w14:paraId="65B00AD3" w14:textId="77777777" w:rsidR="00C07143" w:rsidRPr="00B41904" w:rsidRDefault="00C07143" w:rsidP="00ED7270">
            <w:pPr>
              <w:pStyle w:val="paragraph"/>
              <w:spacing w:before="0" w:beforeAutospacing="0" w:after="0" w:afterAutospacing="0" w:line="276" w:lineRule="auto"/>
              <w:rPr>
                <w:rFonts w:asciiTheme="minorHAnsi" w:hAnsiTheme="minorHAnsi" w:cstheme="minorHAnsi"/>
                <w:b/>
                <w:bCs/>
                <w:sz w:val="22"/>
                <w:szCs w:val="22"/>
              </w:rPr>
            </w:pPr>
            <w:r w:rsidRPr="00B41904">
              <w:rPr>
                <w:rFonts w:asciiTheme="minorHAnsi" w:hAnsiTheme="minorHAnsi" w:cstheme="minorHAnsi"/>
                <w:sz w:val="22"/>
                <w:szCs w:val="22"/>
              </w:rPr>
              <w:t>Loss of profits from students exiting Australian international education and training</w:t>
            </w:r>
            <w:r w:rsidRPr="00B41904">
              <w:rPr>
                <w:rFonts w:asciiTheme="minorHAnsi" w:hAnsiTheme="minorHAnsi" w:cstheme="minorHAnsi"/>
                <w:b/>
                <w:bCs/>
                <w:sz w:val="22"/>
                <w:szCs w:val="22"/>
              </w:rPr>
              <w:t> </w:t>
            </w:r>
          </w:p>
        </w:tc>
        <w:tc>
          <w:tcPr>
            <w:tcW w:w="1203" w:type="dxa"/>
            <w:tcBorders>
              <w:top w:val="single" w:sz="6" w:space="0" w:color="7F7F7F"/>
              <w:left w:val="nil"/>
              <w:bottom w:val="single" w:sz="6" w:space="0" w:color="7F7F7F"/>
              <w:right w:val="nil"/>
            </w:tcBorders>
            <w:hideMark/>
          </w:tcPr>
          <w:p w14:paraId="2D9C25C5" w14:textId="77777777" w:rsidR="00C07143" w:rsidRPr="00B41904" w:rsidRDefault="00C07143" w:rsidP="00ED7270">
            <w:pPr>
              <w:pStyle w:val="paragraph"/>
              <w:spacing w:before="0" w:beforeAutospacing="0" w:after="0" w:afterAutospacing="0" w:line="276" w:lineRule="auto"/>
              <w:rPr>
                <w:rFonts w:asciiTheme="minorHAnsi" w:hAnsiTheme="minorHAnsi" w:cstheme="minorHAnsi"/>
                <w:sz w:val="22"/>
                <w:szCs w:val="22"/>
              </w:rPr>
            </w:pPr>
            <w:r w:rsidRPr="00B41904">
              <w:rPr>
                <w:rFonts w:asciiTheme="minorHAnsi" w:hAnsiTheme="minorHAnsi" w:cstheme="minorHAnsi"/>
                <w:sz w:val="22"/>
                <w:szCs w:val="22"/>
              </w:rPr>
              <w:t>Providers </w:t>
            </w:r>
          </w:p>
        </w:tc>
        <w:tc>
          <w:tcPr>
            <w:tcW w:w="941" w:type="dxa"/>
            <w:tcBorders>
              <w:top w:val="single" w:sz="6" w:space="0" w:color="7F7F7F"/>
              <w:left w:val="nil"/>
              <w:bottom w:val="single" w:sz="6" w:space="0" w:color="7F7F7F"/>
              <w:right w:val="nil"/>
            </w:tcBorders>
            <w:hideMark/>
          </w:tcPr>
          <w:p w14:paraId="5A61C1F1" w14:textId="77777777" w:rsidR="00C07143" w:rsidRPr="00B41904" w:rsidRDefault="00C07143" w:rsidP="00ED7270">
            <w:pPr>
              <w:pStyle w:val="paragraph"/>
              <w:spacing w:before="0" w:beforeAutospacing="0" w:after="0" w:afterAutospacing="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993" w:type="dxa"/>
            <w:tcBorders>
              <w:top w:val="single" w:sz="6" w:space="0" w:color="7F7F7F"/>
              <w:left w:val="nil"/>
              <w:bottom w:val="single" w:sz="6" w:space="0" w:color="7F7F7F"/>
              <w:right w:val="nil"/>
            </w:tcBorders>
            <w:hideMark/>
          </w:tcPr>
          <w:p w14:paraId="735A3069" w14:textId="77777777" w:rsidR="00C07143" w:rsidRPr="00B41904" w:rsidRDefault="00C07143" w:rsidP="00ED7270">
            <w:pPr>
              <w:pStyle w:val="paragraph"/>
              <w:spacing w:before="0" w:beforeAutospacing="0" w:after="0" w:afterAutospacing="0" w:line="276" w:lineRule="auto"/>
              <w:rPr>
                <w:rFonts w:asciiTheme="minorHAnsi" w:hAnsiTheme="minorHAnsi" w:cstheme="minorHAnsi"/>
                <w:sz w:val="22"/>
                <w:szCs w:val="22"/>
              </w:rPr>
            </w:pPr>
            <w:r w:rsidRPr="00B41904">
              <w:rPr>
                <w:rFonts w:asciiTheme="minorHAnsi" w:hAnsiTheme="minorHAnsi" w:cstheme="minorHAnsi"/>
                <w:sz w:val="22"/>
                <w:szCs w:val="22"/>
              </w:rPr>
              <w:t>No </w:t>
            </w:r>
          </w:p>
        </w:tc>
        <w:tc>
          <w:tcPr>
            <w:tcW w:w="1417" w:type="dxa"/>
            <w:tcBorders>
              <w:top w:val="single" w:sz="6" w:space="0" w:color="7F7F7F"/>
              <w:left w:val="nil"/>
              <w:bottom w:val="single" w:sz="6" w:space="0" w:color="7F7F7F"/>
              <w:right w:val="nil"/>
            </w:tcBorders>
            <w:hideMark/>
          </w:tcPr>
          <w:p w14:paraId="660021A1" w14:textId="77777777" w:rsidR="00C07143" w:rsidRPr="00B41904" w:rsidRDefault="00C07143" w:rsidP="00ED7270">
            <w:pPr>
              <w:pStyle w:val="paragraph"/>
              <w:spacing w:before="0" w:beforeAutospacing="0" w:after="0" w:afterAutospacing="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7796" w:type="dxa"/>
            <w:tcBorders>
              <w:top w:val="single" w:sz="6" w:space="0" w:color="7F7F7F"/>
              <w:left w:val="nil"/>
              <w:bottom w:val="single" w:sz="6" w:space="0" w:color="7F7F7F"/>
              <w:right w:val="nil"/>
            </w:tcBorders>
            <w:hideMark/>
          </w:tcPr>
          <w:p w14:paraId="2E171680" w14:textId="130A2E15" w:rsidR="00C07143" w:rsidRPr="00B41904" w:rsidRDefault="00C07143" w:rsidP="00ED7270">
            <w:pPr>
              <w:pStyle w:val="paragraph"/>
              <w:numPr>
                <w:ilvl w:val="0"/>
                <w:numId w:val="39"/>
              </w:numPr>
              <w:tabs>
                <w:tab w:val="clear" w:pos="720"/>
              </w:tabs>
              <w:spacing w:before="0" w:beforeAutospacing="0" w:after="0" w:afterAutospacing="0" w:line="276" w:lineRule="auto"/>
              <w:ind w:left="457"/>
              <w:rPr>
                <w:rFonts w:asciiTheme="minorHAnsi" w:hAnsiTheme="minorHAnsi" w:cstheme="minorHAnsi"/>
                <w:sz w:val="22"/>
                <w:szCs w:val="22"/>
              </w:rPr>
            </w:pPr>
            <w:r w:rsidRPr="00B41904">
              <w:rPr>
                <w:rFonts w:asciiTheme="minorHAnsi" w:hAnsiTheme="minorHAnsi" w:cstheme="minorHAnsi"/>
                <w:sz w:val="22"/>
                <w:szCs w:val="22"/>
              </w:rPr>
              <w:t>Assumes 33% of these students no longer transfer due to the reform, with 10% of this cohort dropping out entirely (0.26% of international students, 1,205 in 2025)</w:t>
            </w:r>
            <w:r w:rsidR="00B339E2" w:rsidRPr="00B41904">
              <w:rPr>
                <w:rFonts w:asciiTheme="minorHAnsi" w:hAnsiTheme="minorHAnsi" w:cstheme="minorHAnsi"/>
                <w:sz w:val="22"/>
                <w:szCs w:val="22"/>
              </w:rPr>
              <w:t>.</w:t>
            </w:r>
          </w:p>
          <w:p w14:paraId="46C6ED63" w14:textId="77777777" w:rsidR="00C07143" w:rsidRPr="00B41904" w:rsidRDefault="00C07143" w:rsidP="00ED7270">
            <w:pPr>
              <w:pStyle w:val="paragraph"/>
              <w:numPr>
                <w:ilvl w:val="0"/>
                <w:numId w:val="40"/>
              </w:numPr>
              <w:tabs>
                <w:tab w:val="clear" w:pos="720"/>
              </w:tabs>
              <w:spacing w:before="0" w:beforeAutospacing="0" w:after="0" w:afterAutospacing="0" w:line="276" w:lineRule="auto"/>
              <w:ind w:left="457"/>
              <w:rPr>
                <w:rFonts w:asciiTheme="minorHAnsi" w:hAnsiTheme="minorHAnsi" w:cstheme="minorHAnsi"/>
                <w:sz w:val="22"/>
                <w:szCs w:val="22"/>
              </w:rPr>
            </w:pPr>
            <w:r w:rsidRPr="00B41904">
              <w:rPr>
                <w:rFonts w:asciiTheme="minorHAnsi" w:hAnsiTheme="minorHAnsi" w:cstheme="minorHAnsi"/>
                <w:sz w:val="22"/>
                <w:szCs w:val="22"/>
              </w:rPr>
              <w:t>$8,266 in lost fee revenue (assuming that half of fees are paid before students drop out), per student who drops out. 26% profit margin. </w:t>
            </w:r>
          </w:p>
        </w:tc>
      </w:tr>
      <w:tr w:rsidR="00D0072E" w:rsidRPr="00B41904" w14:paraId="2D706B0C" w14:textId="77777777" w:rsidTr="00D0072E">
        <w:trPr>
          <w:trHeight w:val="300"/>
        </w:trPr>
        <w:tc>
          <w:tcPr>
            <w:tcW w:w="1825" w:type="dxa"/>
            <w:tcBorders>
              <w:top w:val="nil"/>
              <w:left w:val="nil"/>
              <w:bottom w:val="nil"/>
              <w:right w:val="nil"/>
            </w:tcBorders>
            <w:hideMark/>
          </w:tcPr>
          <w:p w14:paraId="54180497"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sz w:val="22"/>
                <w:szCs w:val="22"/>
              </w:rPr>
              <w:t>Potential costs in changing business operating models (higher student recruitment cost)</w:t>
            </w:r>
            <w:r w:rsidRPr="00B41904">
              <w:rPr>
                <w:rFonts w:asciiTheme="minorHAnsi" w:hAnsiTheme="minorHAnsi" w:cstheme="minorHAnsi"/>
                <w:b/>
                <w:bCs/>
                <w:sz w:val="22"/>
                <w:szCs w:val="22"/>
              </w:rPr>
              <w:t> </w:t>
            </w:r>
          </w:p>
        </w:tc>
        <w:tc>
          <w:tcPr>
            <w:tcW w:w="1203" w:type="dxa"/>
            <w:tcBorders>
              <w:top w:val="nil"/>
              <w:left w:val="nil"/>
              <w:bottom w:val="nil"/>
              <w:right w:val="nil"/>
            </w:tcBorders>
            <w:hideMark/>
          </w:tcPr>
          <w:p w14:paraId="3874FFC7"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Providers </w:t>
            </w:r>
          </w:p>
        </w:tc>
        <w:tc>
          <w:tcPr>
            <w:tcW w:w="941" w:type="dxa"/>
            <w:tcBorders>
              <w:top w:val="nil"/>
              <w:left w:val="nil"/>
              <w:bottom w:val="nil"/>
              <w:right w:val="nil"/>
            </w:tcBorders>
            <w:hideMark/>
          </w:tcPr>
          <w:p w14:paraId="7B8556D9"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993" w:type="dxa"/>
            <w:tcBorders>
              <w:top w:val="nil"/>
              <w:left w:val="nil"/>
              <w:bottom w:val="nil"/>
              <w:right w:val="nil"/>
            </w:tcBorders>
            <w:hideMark/>
          </w:tcPr>
          <w:p w14:paraId="4561AFB4"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No </w:t>
            </w:r>
          </w:p>
        </w:tc>
        <w:tc>
          <w:tcPr>
            <w:tcW w:w="1417" w:type="dxa"/>
            <w:tcBorders>
              <w:top w:val="nil"/>
              <w:left w:val="nil"/>
              <w:bottom w:val="nil"/>
              <w:right w:val="nil"/>
            </w:tcBorders>
            <w:hideMark/>
          </w:tcPr>
          <w:p w14:paraId="4F9E6362"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7796" w:type="dxa"/>
            <w:tcBorders>
              <w:top w:val="nil"/>
              <w:left w:val="nil"/>
              <w:bottom w:val="nil"/>
              <w:right w:val="nil"/>
            </w:tcBorders>
            <w:hideMark/>
          </w:tcPr>
          <w:p w14:paraId="0A577C06" w14:textId="77777777" w:rsidR="00C07143" w:rsidRPr="00B41904" w:rsidRDefault="00C07143" w:rsidP="00ED7270">
            <w:pPr>
              <w:pStyle w:val="paragraph"/>
              <w:numPr>
                <w:ilvl w:val="0"/>
                <w:numId w:val="39"/>
              </w:numPr>
              <w:tabs>
                <w:tab w:val="clear" w:pos="720"/>
              </w:tabs>
              <w:spacing w:before="0" w:beforeAutospacing="0" w:after="0" w:afterAutospacing="0" w:line="276" w:lineRule="auto"/>
              <w:ind w:left="457"/>
              <w:rPr>
                <w:rFonts w:asciiTheme="minorHAnsi" w:hAnsiTheme="minorHAnsi" w:cstheme="minorHAnsi"/>
                <w:sz w:val="22"/>
                <w:szCs w:val="22"/>
              </w:rPr>
            </w:pPr>
            <w:r w:rsidRPr="00B41904">
              <w:rPr>
                <w:rFonts w:asciiTheme="minorHAnsi" w:hAnsiTheme="minorHAnsi" w:cstheme="minorHAnsi"/>
                <w:sz w:val="22"/>
                <w:szCs w:val="22"/>
              </w:rPr>
              <w:t>Based on 50% of cross-provider dominant providers switching to an offshore recruitment model (30 providers in 2025). </w:t>
            </w:r>
          </w:p>
          <w:p w14:paraId="593DA85A" w14:textId="74E6843B" w:rsidR="00C07143" w:rsidRPr="00B41904" w:rsidRDefault="00C07143" w:rsidP="00ED7270">
            <w:pPr>
              <w:pStyle w:val="paragraph"/>
              <w:numPr>
                <w:ilvl w:val="0"/>
                <w:numId w:val="39"/>
              </w:numPr>
              <w:tabs>
                <w:tab w:val="clear" w:pos="720"/>
              </w:tabs>
              <w:spacing w:before="0" w:beforeAutospacing="0" w:after="0" w:afterAutospacing="0" w:line="276" w:lineRule="auto"/>
              <w:ind w:left="457"/>
              <w:rPr>
                <w:rFonts w:asciiTheme="minorHAnsi" w:hAnsiTheme="minorHAnsi" w:cstheme="minorHAnsi"/>
                <w:sz w:val="22"/>
                <w:szCs w:val="22"/>
              </w:rPr>
            </w:pPr>
            <w:r w:rsidRPr="00B41904">
              <w:rPr>
                <w:rFonts w:asciiTheme="minorHAnsi" w:hAnsiTheme="minorHAnsi" w:cstheme="minorHAnsi"/>
                <w:sz w:val="22"/>
                <w:szCs w:val="22"/>
              </w:rPr>
              <w:t>Assumption that these providers incur an additional 50% in commission costs switching to primarily offshore student recruitment ($94,399 per provider, based on $341 additional incremental commission cost for VET providers and an average 276 onshore transfer students)</w:t>
            </w:r>
            <w:r w:rsidR="00034E7B" w:rsidRPr="00B41904">
              <w:rPr>
                <w:rFonts w:asciiTheme="minorHAnsi" w:hAnsiTheme="minorHAnsi" w:cstheme="minorHAnsi"/>
                <w:sz w:val="22"/>
                <w:szCs w:val="22"/>
              </w:rPr>
              <w:t xml:space="preserve">. </w:t>
            </w:r>
          </w:p>
        </w:tc>
      </w:tr>
      <w:tr w:rsidR="00D0072E" w:rsidRPr="00B41904" w14:paraId="49EBC741" w14:textId="77777777" w:rsidTr="00D0072E">
        <w:trPr>
          <w:trHeight w:val="300"/>
        </w:trPr>
        <w:tc>
          <w:tcPr>
            <w:tcW w:w="1825" w:type="dxa"/>
            <w:tcBorders>
              <w:top w:val="single" w:sz="6" w:space="0" w:color="7F7F7F"/>
              <w:left w:val="nil"/>
              <w:bottom w:val="single" w:sz="6" w:space="0" w:color="7F7F7F"/>
              <w:right w:val="nil"/>
            </w:tcBorders>
            <w:hideMark/>
          </w:tcPr>
          <w:p w14:paraId="4CC789D8"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sz w:val="22"/>
                <w:szCs w:val="22"/>
              </w:rPr>
              <w:lastRenderedPageBreak/>
              <w:t>Loss of profits from transfer commissions</w:t>
            </w:r>
            <w:r w:rsidRPr="00B41904">
              <w:rPr>
                <w:rFonts w:asciiTheme="minorHAnsi" w:hAnsiTheme="minorHAnsi" w:cstheme="minorHAnsi"/>
                <w:b/>
                <w:bCs/>
                <w:sz w:val="22"/>
                <w:szCs w:val="22"/>
              </w:rPr>
              <w:t> </w:t>
            </w:r>
          </w:p>
        </w:tc>
        <w:tc>
          <w:tcPr>
            <w:tcW w:w="1203" w:type="dxa"/>
            <w:tcBorders>
              <w:top w:val="single" w:sz="6" w:space="0" w:color="7F7F7F"/>
              <w:left w:val="nil"/>
              <w:bottom w:val="single" w:sz="6" w:space="0" w:color="7F7F7F"/>
              <w:right w:val="nil"/>
            </w:tcBorders>
            <w:hideMark/>
          </w:tcPr>
          <w:p w14:paraId="1DFFFF2F"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Agents </w:t>
            </w:r>
          </w:p>
        </w:tc>
        <w:tc>
          <w:tcPr>
            <w:tcW w:w="941" w:type="dxa"/>
            <w:tcBorders>
              <w:top w:val="single" w:sz="6" w:space="0" w:color="7F7F7F"/>
              <w:left w:val="nil"/>
              <w:bottom w:val="single" w:sz="6" w:space="0" w:color="7F7F7F"/>
              <w:right w:val="nil"/>
            </w:tcBorders>
            <w:hideMark/>
          </w:tcPr>
          <w:p w14:paraId="00ED6E24"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993" w:type="dxa"/>
            <w:tcBorders>
              <w:top w:val="single" w:sz="6" w:space="0" w:color="7F7F7F"/>
              <w:left w:val="nil"/>
              <w:bottom w:val="single" w:sz="6" w:space="0" w:color="7F7F7F"/>
              <w:right w:val="nil"/>
            </w:tcBorders>
            <w:hideMark/>
          </w:tcPr>
          <w:p w14:paraId="2FA71A2B"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No </w:t>
            </w:r>
          </w:p>
        </w:tc>
        <w:tc>
          <w:tcPr>
            <w:tcW w:w="1417" w:type="dxa"/>
            <w:tcBorders>
              <w:top w:val="single" w:sz="6" w:space="0" w:color="7F7F7F"/>
              <w:left w:val="nil"/>
              <w:bottom w:val="single" w:sz="6" w:space="0" w:color="7F7F7F"/>
              <w:right w:val="nil"/>
            </w:tcBorders>
            <w:hideMark/>
          </w:tcPr>
          <w:p w14:paraId="38A3BB37"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7796" w:type="dxa"/>
            <w:tcBorders>
              <w:top w:val="single" w:sz="6" w:space="0" w:color="7F7F7F"/>
              <w:left w:val="nil"/>
              <w:bottom w:val="single" w:sz="6" w:space="0" w:color="7F7F7F"/>
              <w:right w:val="nil"/>
            </w:tcBorders>
            <w:hideMark/>
          </w:tcPr>
          <w:p w14:paraId="7C51F8EB" w14:textId="77777777" w:rsidR="00C07143" w:rsidRPr="00B41904" w:rsidRDefault="00C07143" w:rsidP="00ED7270">
            <w:pPr>
              <w:pStyle w:val="paragraph"/>
              <w:numPr>
                <w:ilvl w:val="0"/>
                <w:numId w:val="39"/>
              </w:numPr>
              <w:tabs>
                <w:tab w:val="clear" w:pos="720"/>
              </w:tabs>
              <w:spacing w:before="0" w:beforeAutospacing="0" w:after="0" w:afterAutospacing="0" w:line="276" w:lineRule="auto"/>
              <w:ind w:left="457"/>
              <w:rPr>
                <w:rFonts w:asciiTheme="minorHAnsi" w:hAnsiTheme="minorHAnsi" w:cstheme="minorHAnsi"/>
                <w:sz w:val="22"/>
                <w:szCs w:val="22"/>
              </w:rPr>
            </w:pPr>
            <w:r w:rsidRPr="00B41904">
              <w:rPr>
                <w:rFonts w:asciiTheme="minorHAnsi" w:hAnsiTheme="minorHAnsi" w:cstheme="minorHAnsi"/>
                <w:sz w:val="22"/>
                <w:szCs w:val="22"/>
              </w:rPr>
              <w:t>Assumption that agents lose all commissions from onshore transfers, however recuperate some of these losses from students who now pay a smaller fee for agents’ services. In total, the losses equate to roughly 83% of the current value of onshore transfer commissions (e.g., $2.6m in 2025, based on 36,135</w:t>
            </w:r>
            <w:r w:rsidRPr="00ED7270">
              <w:rPr>
                <w:rFonts w:asciiTheme="minorHAnsi" w:hAnsiTheme="minorHAnsi" w:cstheme="minorHAnsi"/>
                <w:sz w:val="22"/>
                <w:szCs w:val="22"/>
              </w:rPr>
              <w:t> </w:t>
            </w:r>
            <w:r w:rsidRPr="00B41904">
              <w:rPr>
                <w:rFonts w:asciiTheme="minorHAnsi" w:hAnsiTheme="minorHAnsi" w:cstheme="minorHAnsi"/>
                <w:sz w:val="22"/>
                <w:szCs w:val="22"/>
              </w:rPr>
              <w:t>students who would have switched in 2025 with support from an agent, $510</w:t>
            </w:r>
            <w:r w:rsidRPr="00ED7270">
              <w:rPr>
                <w:rFonts w:asciiTheme="minorHAnsi" w:hAnsiTheme="minorHAnsi" w:cstheme="minorHAnsi"/>
                <w:sz w:val="22"/>
                <w:szCs w:val="22"/>
              </w:rPr>
              <w:t> </w:t>
            </w:r>
            <w:r w:rsidRPr="00B41904">
              <w:rPr>
                <w:rFonts w:asciiTheme="minorHAnsi" w:hAnsiTheme="minorHAnsi" w:cstheme="minorHAnsi"/>
                <w:sz w:val="22"/>
                <w:szCs w:val="22"/>
              </w:rPr>
              <w:t>average agent commission for onshore transfers, and 65% share of agents onshore).</w:t>
            </w:r>
            <w:r w:rsidRPr="00ED7270">
              <w:rPr>
                <w:rFonts w:asciiTheme="minorHAnsi" w:hAnsiTheme="minorHAnsi" w:cstheme="minorHAnsi"/>
                <w:sz w:val="22"/>
                <w:szCs w:val="22"/>
              </w:rPr>
              <w:t>  </w:t>
            </w:r>
          </w:p>
          <w:p w14:paraId="6FC73FE9" w14:textId="77777777" w:rsidR="00C07143" w:rsidRPr="00B41904" w:rsidRDefault="00C07143" w:rsidP="00ED7270">
            <w:pPr>
              <w:pStyle w:val="paragraph"/>
              <w:numPr>
                <w:ilvl w:val="0"/>
                <w:numId w:val="39"/>
              </w:numPr>
              <w:tabs>
                <w:tab w:val="clear" w:pos="720"/>
              </w:tabs>
              <w:spacing w:before="0" w:beforeAutospacing="0" w:after="0" w:afterAutospacing="0" w:line="276" w:lineRule="auto"/>
              <w:ind w:left="457"/>
              <w:rPr>
                <w:rFonts w:asciiTheme="minorHAnsi" w:hAnsiTheme="minorHAnsi" w:cstheme="minorHAnsi"/>
                <w:sz w:val="22"/>
                <w:szCs w:val="22"/>
              </w:rPr>
            </w:pPr>
            <w:r w:rsidRPr="00B41904">
              <w:rPr>
                <w:rFonts w:asciiTheme="minorHAnsi" w:hAnsiTheme="minorHAnsi" w:cstheme="minorHAnsi"/>
                <w:sz w:val="22"/>
                <w:szCs w:val="22"/>
              </w:rPr>
              <w:t>26% profit margin for sector. </w:t>
            </w:r>
          </w:p>
        </w:tc>
      </w:tr>
      <w:tr w:rsidR="00D0072E" w:rsidRPr="00B41904" w14:paraId="3464866D" w14:textId="77777777" w:rsidTr="00D0072E">
        <w:trPr>
          <w:trHeight w:val="300"/>
        </w:trPr>
        <w:tc>
          <w:tcPr>
            <w:tcW w:w="1825" w:type="dxa"/>
            <w:tcBorders>
              <w:top w:val="nil"/>
              <w:left w:val="nil"/>
              <w:bottom w:val="nil"/>
              <w:right w:val="nil"/>
            </w:tcBorders>
            <w:hideMark/>
          </w:tcPr>
          <w:p w14:paraId="7547DAF5" w14:textId="77777777" w:rsidR="00C07143" w:rsidRPr="00B41904" w:rsidRDefault="00C07143">
            <w:pPr>
              <w:pStyle w:val="paragraph"/>
              <w:spacing w:after="120" w:line="276" w:lineRule="auto"/>
              <w:rPr>
                <w:rFonts w:asciiTheme="minorHAnsi" w:hAnsiTheme="minorHAnsi" w:cstheme="minorHAnsi"/>
                <w:b/>
                <w:bCs/>
                <w:sz w:val="22"/>
                <w:szCs w:val="22"/>
              </w:rPr>
            </w:pPr>
            <w:r w:rsidRPr="00B41904">
              <w:rPr>
                <w:rFonts w:asciiTheme="minorHAnsi" w:hAnsiTheme="minorHAnsi" w:cstheme="minorHAnsi"/>
                <w:sz w:val="22"/>
                <w:szCs w:val="22"/>
              </w:rPr>
              <w:t>Potential increase in costs in paying a fee for agent transfer services</w:t>
            </w:r>
            <w:r w:rsidRPr="00B41904">
              <w:rPr>
                <w:rFonts w:asciiTheme="minorHAnsi" w:hAnsiTheme="minorHAnsi" w:cstheme="minorHAnsi"/>
                <w:b/>
                <w:bCs/>
                <w:sz w:val="22"/>
                <w:szCs w:val="22"/>
              </w:rPr>
              <w:t> </w:t>
            </w:r>
          </w:p>
        </w:tc>
        <w:tc>
          <w:tcPr>
            <w:tcW w:w="1203" w:type="dxa"/>
            <w:tcBorders>
              <w:top w:val="nil"/>
              <w:left w:val="nil"/>
              <w:bottom w:val="nil"/>
              <w:right w:val="nil"/>
            </w:tcBorders>
            <w:hideMark/>
          </w:tcPr>
          <w:p w14:paraId="60A7DABE"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Students </w:t>
            </w:r>
          </w:p>
        </w:tc>
        <w:tc>
          <w:tcPr>
            <w:tcW w:w="941" w:type="dxa"/>
            <w:tcBorders>
              <w:top w:val="nil"/>
              <w:left w:val="nil"/>
              <w:bottom w:val="nil"/>
              <w:right w:val="nil"/>
            </w:tcBorders>
            <w:hideMark/>
          </w:tcPr>
          <w:p w14:paraId="227FA10A"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993" w:type="dxa"/>
            <w:tcBorders>
              <w:top w:val="nil"/>
              <w:left w:val="nil"/>
              <w:bottom w:val="nil"/>
              <w:right w:val="nil"/>
            </w:tcBorders>
            <w:hideMark/>
          </w:tcPr>
          <w:p w14:paraId="1551B355"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sz w:val="22"/>
                <w:szCs w:val="22"/>
              </w:rPr>
              <w:t>No </w:t>
            </w:r>
          </w:p>
        </w:tc>
        <w:tc>
          <w:tcPr>
            <w:tcW w:w="1417" w:type="dxa"/>
            <w:tcBorders>
              <w:top w:val="nil"/>
              <w:left w:val="nil"/>
              <w:bottom w:val="nil"/>
              <w:right w:val="nil"/>
            </w:tcBorders>
            <w:hideMark/>
          </w:tcPr>
          <w:p w14:paraId="7A598E48" w14:textId="77777777" w:rsidR="00C07143" w:rsidRPr="00B41904" w:rsidRDefault="00C07143">
            <w:pPr>
              <w:pStyle w:val="paragraph"/>
              <w:spacing w:after="120" w:line="276" w:lineRule="auto"/>
              <w:rPr>
                <w:rFonts w:asciiTheme="minorHAnsi" w:hAnsiTheme="minorHAnsi" w:cstheme="minorHAnsi"/>
                <w:sz w:val="22"/>
                <w:szCs w:val="22"/>
              </w:rPr>
            </w:pPr>
            <w:r w:rsidRPr="00B41904">
              <w:rPr>
                <w:rFonts w:asciiTheme="minorHAnsi" w:hAnsiTheme="minorHAnsi" w:cstheme="minorHAnsi"/>
                <w:b/>
                <w:bCs/>
                <w:sz w:val="22"/>
                <w:szCs w:val="22"/>
              </w:rPr>
              <w:t>Yes</w:t>
            </w:r>
            <w:r w:rsidRPr="00B41904">
              <w:rPr>
                <w:rFonts w:asciiTheme="minorHAnsi" w:hAnsiTheme="minorHAnsi" w:cstheme="minorHAnsi"/>
                <w:sz w:val="22"/>
                <w:szCs w:val="22"/>
              </w:rPr>
              <w:t> </w:t>
            </w:r>
          </w:p>
        </w:tc>
        <w:tc>
          <w:tcPr>
            <w:tcW w:w="7796" w:type="dxa"/>
            <w:tcBorders>
              <w:top w:val="nil"/>
              <w:left w:val="nil"/>
              <w:bottom w:val="nil"/>
              <w:right w:val="nil"/>
            </w:tcBorders>
            <w:hideMark/>
          </w:tcPr>
          <w:p w14:paraId="58B44828" w14:textId="218D3F47" w:rsidR="00C07143" w:rsidRPr="00B41904" w:rsidRDefault="00C07143" w:rsidP="00ED7270">
            <w:pPr>
              <w:pStyle w:val="paragraph"/>
              <w:numPr>
                <w:ilvl w:val="0"/>
                <w:numId w:val="39"/>
              </w:numPr>
              <w:tabs>
                <w:tab w:val="clear" w:pos="720"/>
              </w:tabs>
              <w:spacing w:before="0" w:beforeAutospacing="0" w:after="0" w:afterAutospacing="0" w:line="276" w:lineRule="auto"/>
              <w:ind w:left="457"/>
              <w:rPr>
                <w:rFonts w:asciiTheme="minorHAnsi" w:hAnsiTheme="minorHAnsi" w:cstheme="minorHAnsi"/>
                <w:sz w:val="22"/>
                <w:szCs w:val="22"/>
              </w:rPr>
            </w:pPr>
            <w:r w:rsidRPr="00B41904">
              <w:rPr>
                <w:rFonts w:asciiTheme="minorHAnsi" w:hAnsiTheme="minorHAnsi" w:cstheme="minorHAnsi"/>
                <w:sz w:val="22"/>
                <w:szCs w:val="22"/>
              </w:rPr>
              <w:t>10% of international students engage in course switching onshore - 78% using an agent (based on analysis of departmental data)</w:t>
            </w:r>
            <w:r w:rsidR="00034E7B" w:rsidRPr="00B41904">
              <w:rPr>
                <w:rFonts w:asciiTheme="minorHAnsi" w:hAnsiTheme="minorHAnsi" w:cstheme="minorHAnsi"/>
                <w:sz w:val="22"/>
                <w:szCs w:val="22"/>
              </w:rPr>
              <w:t xml:space="preserve">. </w:t>
            </w:r>
          </w:p>
          <w:p w14:paraId="174104DE" w14:textId="77777777" w:rsidR="00C07143" w:rsidRPr="00B41904" w:rsidRDefault="00C07143" w:rsidP="00ED7270">
            <w:pPr>
              <w:pStyle w:val="paragraph"/>
              <w:numPr>
                <w:ilvl w:val="0"/>
                <w:numId w:val="39"/>
              </w:numPr>
              <w:tabs>
                <w:tab w:val="clear" w:pos="720"/>
              </w:tabs>
              <w:spacing w:before="0" w:beforeAutospacing="0" w:after="0" w:afterAutospacing="0" w:line="276" w:lineRule="auto"/>
              <w:ind w:left="457"/>
              <w:rPr>
                <w:rFonts w:asciiTheme="minorHAnsi" w:hAnsiTheme="minorHAnsi" w:cstheme="minorHAnsi"/>
                <w:sz w:val="22"/>
                <w:szCs w:val="22"/>
              </w:rPr>
            </w:pPr>
            <w:r w:rsidRPr="00B41904">
              <w:rPr>
                <w:rFonts w:asciiTheme="minorHAnsi" w:hAnsiTheme="minorHAnsi" w:cstheme="minorHAnsi"/>
                <w:sz w:val="22"/>
                <w:szCs w:val="22"/>
              </w:rPr>
              <w:t>Assumes 33% of these students (12,045 in 2025) will still transfer using an agent but may incur agent charges for service (assumed at $255 per enrolment - 50% of estimated average agent commission paid by providers for onshore transfers. </w:t>
            </w:r>
          </w:p>
        </w:tc>
      </w:tr>
      <w:bookmarkEnd w:id="4"/>
      <w:bookmarkEnd w:id="5"/>
    </w:tbl>
    <w:p w14:paraId="1D9DBA9E" w14:textId="6544A08A" w:rsidR="0017134D" w:rsidRPr="00ED7270" w:rsidRDefault="0017134D" w:rsidP="00ED7270">
      <w:pPr>
        <w:pStyle w:val="paragraph"/>
        <w:spacing w:after="120" w:line="276" w:lineRule="auto"/>
        <w:rPr>
          <w:rFonts w:asciiTheme="minorHAnsi" w:hAnsiTheme="minorHAnsi" w:cstheme="minorHAnsi"/>
          <w:sz w:val="22"/>
          <w:szCs w:val="22"/>
        </w:rPr>
      </w:pPr>
    </w:p>
    <w:sectPr w:rsidR="0017134D" w:rsidRPr="00ED7270" w:rsidSect="00DD5660">
      <w:pgSz w:w="16838" w:h="11906" w:orient="landscape"/>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E6C98" w14:textId="77777777" w:rsidR="00DF5B25" w:rsidRDefault="00DF5B25" w:rsidP="000A6228">
      <w:pPr>
        <w:spacing w:after="0" w:line="240" w:lineRule="auto"/>
      </w:pPr>
      <w:r>
        <w:separator/>
      </w:r>
    </w:p>
  </w:endnote>
  <w:endnote w:type="continuationSeparator" w:id="0">
    <w:p w14:paraId="7AEF1DFF" w14:textId="77777777" w:rsidR="00DF5B25" w:rsidRDefault="00DF5B25" w:rsidP="000A6228">
      <w:pPr>
        <w:spacing w:after="0" w:line="240" w:lineRule="auto"/>
      </w:pPr>
      <w:r>
        <w:continuationSeparator/>
      </w:r>
    </w:p>
  </w:endnote>
  <w:endnote w:type="continuationNotice" w:id="1">
    <w:p w14:paraId="4928DEE3" w14:textId="77777777" w:rsidR="00DF5B25" w:rsidRDefault="00DF5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4171" w14:textId="77777777" w:rsidR="002119CB" w:rsidRDefault="00211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FF67" w14:textId="77777777" w:rsidR="002119CB" w:rsidRDefault="00211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09AA" w14:textId="77777777" w:rsidR="002119CB" w:rsidRDefault="002119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06B4" w14:textId="53E06B1B" w:rsidR="004A4C8A" w:rsidRDefault="00B64A7D" w:rsidP="00EA2FEC">
    <w:pPr>
      <w:pStyle w:val="Footer"/>
    </w:pPr>
    <w:r>
      <w:t>Improving Integrity in the International Education Sector: Addendum</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119CB">
      <w:rPr>
        <w:noProof/>
      </w:rPr>
      <w:t>24</w:t>
    </w:r>
    <w:r w:rsidR="00221D8F" w:rsidRPr="00AF1F18">
      <w:fldChar w:fldCharType="end"/>
    </w:r>
    <w:r w:rsidR="00221D8F">
      <w:rPr>
        <w:noProof/>
        <w:lang w:eastAsia="en-AU"/>
      </w:rPr>
      <w:drawing>
        <wp:anchor distT="0" distB="0" distL="114300" distR="114300" simplePos="0" relativeHeight="251658240" behindDoc="1" locked="1" layoutInCell="1" allowOverlap="1" wp14:anchorId="5D8D71DE" wp14:editId="16563B13">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F576F" w14:textId="77777777" w:rsidR="00DF5B25" w:rsidRDefault="00DF5B25" w:rsidP="000A6228">
      <w:pPr>
        <w:spacing w:after="0" w:line="240" w:lineRule="auto"/>
      </w:pPr>
      <w:r>
        <w:separator/>
      </w:r>
    </w:p>
  </w:footnote>
  <w:footnote w:type="continuationSeparator" w:id="0">
    <w:p w14:paraId="7D8E4B62" w14:textId="77777777" w:rsidR="00DF5B25" w:rsidRDefault="00DF5B25" w:rsidP="000A6228">
      <w:pPr>
        <w:spacing w:after="0" w:line="240" w:lineRule="auto"/>
      </w:pPr>
      <w:r>
        <w:continuationSeparator/>
      </w:r>
    </w:p>
  </w:footnote>
  <w:footnote w:type="continuationNotice" w:id="1">
    <w:p w14:paraId="24D0E33E" w14:textId="77777777" w:rsidR="00DF5B25" w:rsidRDefault="00DF5B25">
      <w:pPr>
        <w:spacing w:after="0" w:line="240" w:lineRule="auto"/>
      </w:pPr>
    </w:p>
  </w:footnote>
  <w:footnote w:id="2">
    <w:p w14:paraId="2F3569FE" w14:textId="77777777" w:rsidR="00C07143" w:rsidRDefault="00C07143" w:rsidP="00C07143">
      <w:pPr>
        <w:pStyle w:val="FootnoteText"/>
      </w:pPr>
      <w:r>
        <w:rPr>
          <w:rStyle w:val="FootnoteReference"/>
        </w:rPr>
        <w:footnoteRef/>
      </w:r>
      <w:r>
        <w:t xml:space="preserve"> </w:t>
      </w:r>
      <w:hyperlink r:id="rId1" w:history="1">
        <w:r w:rsidRPr="008C73D7">
          <w:rPr>
            <w:rStyle w:val="Hyperlink"/>
          </w:rPr>
          <w:t>Improving Integrity in the International Education Sector | The Office of Impact Analysis (pmc.gov.au)</w:t>
        </w:r>
      </w:hyperlink>
    </w:p>
  </w:footnote>
  <w:footnote w:id="3">
    <w:p w14:paraId="2F300F7D" w14:textId="77777777" w:rsidR="00C07143" w:rsidRDefault="00C07143" w:rsidP="00C07143">
      <w:pPr>
        <w:pStyle w:val="FootnoteText"/>
      </w:pPr>
      <w:r>
        <w:rPr>
          <w:rStyle w:val="FootnoteReference"/>
        </w:rPr>
        <w:footnoteRef/>
      </w:r>
      <w:r>
        <w:t xml:space="preserve"> </w:t>
      </w:r>
      <w:hyperlink r:id="rId2" w:history="1">
        <w:r w:rsidRPr="0015119F">
          <w:rPr>
            <w:rStyle w:val="Hyperlink"/>
          </w:rPr>
          <w:t>Next steps to strengthen the integrity of international education | Ministers' Media Centre</w:t>
        </w:r>
      </w:hyperlink>
      <w:r>
        <w:t xml:space="preserve"> </w:t>
      </w:r>
    </w:p>
  </w:footnote>
  <w:footnote w:id="4">
    <w:p w14:paraId="61CEFC8F" w14:textId="196C1142" w:rsidR="00C07143" w:rsidRDefault="00C07143" w:rsidP="00C07143">
      <w:pPr>
        <w:pStyle w:val="FootnoteText"/>
      </w:pPr>
      <w:r>
        <w:rPr>
          <w:rStyle w:val="FootnoteReference"/>
        </w:rPr>
        <w:footnoteRef/>
      </w:r>
      <w:r>
        <w:t xml:space="preserve"> Tracy Harris, ‘Sky-high agent commissions a sign of panic’, </w:t>
      </w:r>
      <w:r>
        <w:rPr>
          <w:i/>
          <w:iCs/>
        </w:rPr>
        <w:t>Koala News</w:t>
      </w:r>
      <w:r>
        <w:t xml:space="preserve">, 19 September 2024, </w:t>
      </w:r>
      <w:hyperlink r:id="rId3" w:history="1">
        <w:r w:rsidRPr="00CF407C">
          <w:rPr>
            <w:rStyle w:val="Hyperlink"/>
          </w:rPr>
          <w:t>Sky-high agent commissions a sign of panic (thekoalanews.com)</w:t>
        </w:r>
      </w:hyperlink>
      <w:r>
        <w:t xml:space="preserve">; </w:t>
      </w:r>
      <w:hyperlink r:id="rId4" w:history="1">
        <w:r w:rsidRPr="00345281">
          <w:rPr>
            <w:rStyle w:val="Hyperlink"/>
          </w:rPr>
          <w:t>Universities offer large incentives for 2024 enrolments (thekoalanews.com)</w:t>
        </w:r>
      </w:hyperlink>
      <w:r w:rsidR="007B04D7">
        <w:rPr>
          <w:rStyle w:val="Hyperlink"/>
        </w:rPr>
        <w:t>.</w:t>
      </w:r>
    </w:p>
  </w:footnote>
  <w:footnote w:id="5">
    <w:p w14:paraId="5CBBE518" w14:textId="2639C8B3" w:rsidR="00C07143" w:rsidRPr="006D6CF2" w:rsidRDefault="00C07143" w:rsidP="00C07143">
      <w:pPr>
        <w:pStyle w:val="FootnoteText"/>
      </w:pPr>
      <w:r>
        <w:rPr>
          <w:rStyle w:val="FootnoteReference"/>
        </w:rPr>
        <w:footnoteRef/>
      </w:r>
      <w:r>
        <w:t xml:space="preserve"> Dr Mukesh Chander, Chief Executive Officer, Imperial Engineering Education, </w:t>
      </w:r>
      <w:r>
        <w:rPr>
          <w:i/>
          <w:iCs/>
        </w:rPr>
        <w:t>Senate Committee Hansard</w:t>
      </w:r>
      <w:r>
        <w:t>, Canberra, 2 October 2024, p. 7</w:t>
      </w:r>
      <w:r w:rsidR="007B04D7">
        <w:t>.</w:t>
      </w:r>
    </w:p>
  </w:footnote>
  <w:footnote w:id="6">
    <w:p w14:paraId="23C9EEBC" w14:textId="148F0D80" w:rsidR="00B050C3" w:rsidRDefault="00B050C3">
      <w:pPr>
        <w:pStyle w:val="FootnoteText"/>
      </w:pPr>
      <w:r>
        <w:rPr>
          <w:rStyle w:val="FootnoteReference"/>
        </w:rPr>
        <w:footnoteRef/>
      </w:r>
      <w:r>
        <w:t xml:space="preserve"> PRISMS data</w:t>
      </w:r>
      <w:r w:rsidR="004278A0">
        <w:t>, January 2024 to May 2025</w:t>
      </w:r>
    </w:p>
  </w:footnote>
  <w:footnote w:id="7">
    <w:p w14:paraId="2F50C02F" w14:textId="77777777" w:rsidR="00C07143" w:rsidRDefault="00C07143" w:rsidP="00C07143">
      <w:pPr>
        <w:pStyle w:val="FootnoteText"/>
        <w:tabs>
          <w:tab w:val="left" w:pos="1978"/>
        </w:tabs>
      </w:pPr>
      <w:r>
        <w:rPr>
          <w:rStyle w:val="FootnoteReference"/>
        </w:rPr>
        <w:footnoteRef/>
      </w:r>
      <w:r>
        <w:t xml:space="preserve"> Ms Sharon Cook, National President, ISANA International Education Association, </w:t>
      </w:r>
      <w:r w:rsidRPr="00B356B5">
        <w:rPr>
          <w:i/>
          <w:iCs/>
        </w:rPr>
        <w:t>Committee Hansard</w:t>
      </w:r>
      <w:r>
        <w:t>, Canberra, 15 May 2023, p.11.</w:t>
      </w:r>
      <w:r>
        <w:tab/>
      </w:r>
    </w:p>
  </w:footnote>
  <w:footnote w:id="8">
    <w:p w14:paraId="47E98538" w14:textId="689A50AD" w:rsidR="00C07143" w:rsidRDefault="00C07143" w:rsidP="00C07143">
      <w:pPr>
        <w:pStyle w:val="FootnoteText"/>
      </w:pPr>
      <w:r>
        <w:rPr>
          <w:rStyle w:val="FootnoteReference"/>
        </w:rPr>
        <w:footnoteRef/>
      </w:r>
      <w:r>
        <w:t xml:space="preserve"> </w:t>
      </w:r>
      <w:r w:rsidRPr="00EF3162">
        <w:t xml:space="preserve">Hon Phillip Honeywood, CEO, International Education Association of Australia, </w:t>
      </w:r>
      <w:r w:rsidRPr="00544BAB">
        <w:rPr>
          <w:i/>
          <w:iCs/>
        </w:rPr>
        <w:t>Committee Hansard</w:t>
      </w:r>
      <w:r w:rsidRPr="00EF3162">
        <w:t>, Melbourne, 18 April 2023, p. 5</w:t>
      </w:r>
      <w:r w:rsidR="008B7305">
        <w:t>.</w:t>
      </w:r>
    </w:p>
  </w:footnote>
  <w:footnote w:id="9">
    <w:p w14:paraId="3555628D" w14:textId="75181D9C" w:rsidR="000D7D49" w:rsidRDefault="000D7D49" w:rsidP="000D7D49">
      <w:pPr>
        <w:pStyle w:val="FootnoteText"/>
      </w:pPr>
      <w:r>
        <w:rPr>
          <w:rStyle w:val="FootnoteReference"/>
        </w:rPr>
        <w:footnoteRef/>
      </w:r>
      <w:r>
        <w:t xml:space="preserve"> Dr Mukesh Chander, Chief Executive Officer, Imperial Engineering Education, </w:t>
      </w:r>
      <w:r>
        <w:rPr>
          <w:i/>
          <w:iCs/>
        </w:rPr>
        <w:t>Senate Committee Hansard</w:t>
      </w:r>
      <w:r>
        <w:t>, Canberra, 2 October 2024, p. 7</w:t>
      </w:r>
      <w:r w:rsidR="00F26CD5">
        <w:t>.</w:t>
      </w:r>
    </w:p>
  </w:footnote>
  <w:footnote w:id="10">
    <w:p w14:paraId="39CBF744" w14:textId="77777777" w:rsidR="000D7D49" w:rsidRPr="00544BAB" w:rsidRDefault="000D7D49" w:rsidP="000D7D49">
      <w:pPr>
        <w:pStyle w:val="FootnoteText"/>
        <w:rPr>
          <w:highlight w:val="yellow"/>
        </w:rPr>
      </w:pPr>
      <w:r>
        <w:rPr>
          <w:rStyle w:val="FootnoteReference"/>
        </w:rPr>
        <w:footnoteRef/>
      </w:r>
      <w:r>
        <w:t xml:space="preserve"> The </w:t>
      </w:r>
      <w:r w:rsidRPr="00544BAB">
        <w:t>University</w:t>
      </w:r>
      <w:r>
        <w:t xml:space="preserve"> of Adelaide and University of South Australia, Joint submission to the Senate Education and Employment Committee, </w:t>
      </w:r>
      <w:r>
        <w:rPr>
          <w:i/>
          <w:iCs/>
        </w:rPr>
        <w:t>Submission 30</w:t>
      </w:r>
      <w:r>
        <w:t xml:space="preserve">, pp. 1; </w:t>
      </w:r>
      <w:r w:rsidRPr="00126BD6">
        <w:t>Holmes Institute</w:t>
      </w:r>
      <w:r>
        <w:t xml:space="preserve">, Submission to the Senate Education and Employment Committee, </w:t>
      </w:r>
      <w:r>
        <w:rPr>
          <w:i/>
          <w:iCs/>
        </w:rPr>
        <w:t>Submission 37</w:t>
      </w:r>
      <w:r>
        <w:t>, pp. 3;</w:t>
      </w:r>
      <w:r w:rsidRPr="000D7D49">
        <w:t xml:space="preserve"> </w:t>
      </w:r>
      <w:r w:rsidRPr="00126BD6">
        <w:t>Navita</w:t>
      </w:r>
      <w:r>
        <w:t xml:space="preserve">s, Submission to the Senate Education and Employment Committee, </w:t>
      </w:r>
      <w:r>
        <w:rPr>
          <w:i/>
          <w:iCs/>
        </w:rPr>
        <w:t xml:space="preserve">Submission 43, </w:t>
      </w:r>
      <w:r>
        <w:t>pp. 2</w:t>
      </w:r>
    </w:p>
  </w:footnote>
  <w:footnote w:id="11">
    <w:p w14:paraId="2511B8CF" w14:textId="77777777" w:rsidR="000D7D49" w:rsidRDefault="000D7D49" w:rsidP="000D7D49">
      <w:pPr>
        <w:pStyle w:val="FootnoteText"/>
      </w:pPr>
      <w:r>
        <w:rPr>
          <w:rStyle w:val="FootnoteReference"/>
        </w:rPr>
        <w:footnoteRef/>
      </w:r>
      <w:r>
        <w:t xml:space="preserve"> Senate Standing Committee on Education and Employment, </w:t>
      </w:r>
      <w:r w:rsidRPr="00B25583">
        <w:rPr>
          <w:i/>
          <w:iCs/>
        </w:rPr>
        <w:t>Inquiry</w:t>
      </w:r>
      <w:r>
        <w:rPr>
          <w:i/>
          <w:iCs/>
        </w:rPr>
        <w:t xml:space="preserve"> into the Education Services for Overseas Students Amendment (Quality and Integrity) Bill 2024 </w:t>
      </w:r>
      <w:r w:rsidRPr="00B25583">
        <w:rPr>
          <w:i/>
          <w:iCs/>
        </w:rPr>
        <w:t>Final Report</w:t>
      </w:r>
      <w:r>
        <w:t>, pp. 25</w:t>
      </w:r>
    </w:p>
  </w:footnote>
  <w:footnote w:id="12">
    <w:p w14:paraId="0C50E2FF" w14:textId="630C4A64" w:rsidR="00DB2F20" w:rsidRDefault="00DB2F20" w:rsidP="00DB2F20">
      <w:pPr>
        <w:pStyle w:val="FootnoteText"/>
      </w:pPr>
      <w:r>
        <w:rPr>
          <w:rStyle w:val="FootnoteReference"/>
        </w:rPr>
        <w:footnoteRef/>
      </w:r>
      <w:r>
        <w:t xml:space="preserve"> </w:t>
      </w:r>
      <w:r w:rsidRPr="00C33E7E">
        <w:t>Joint Standing Committee on Foreign Affairs, Defence and Trade</w:t>
      </w:r>
      <w:r>
        <w:t xml:space="preserve">, </w:t>
      </w:r>
      <w:r w:rsidRPr="00544BAB">
        <w:rPr>
          <w:i/>
          <w:iCs/>
        </w:rPr>
        <w:t>‘Quality and Integrity - the Quest for Sustainable Growth': Interim Report into International Education</w:t>
      </w:r>
      <w:r>
        <w:t>, pp. 140-141</w:t>
      </w:r>
      <w:r w:rsidR="0067265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15B1A" w14:textId="77777777" w:rsidR="002119CB" w:rsidRDefault="00211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F587" w14:textId="77777777" w:rsidR="002119CB" w:rsidRDefault="00211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7F4F" w14:textId="77777777" w:rsidR="002119CB" w:rsidRDefault="00211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01C"/>
    <w:multiLevelType w:val="hybridMultilevel"/>
    <w:tmpl w:val="61347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794215"/>
    <w:multiLevelType w:val="multilevel"/>
    <w:tmpl w:val="A7FA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679D8"/>
    <w:multiLevelType w:val="multilevel"/>
    <w:tmpl w:val="467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D63E3C"/>
    <w:multiLevelType w:val="multilevel"/>
    <w:tmpl w:val="9518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658F0"/>
    <w:multiLevelType w:val="multilevel"/>
    <w:tmpl w:val="8A16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FE4DC9"/>
    <w:multiLevelType w:val="hybridMultilevel"/>
    <w:tmpl w:val="C8C8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030FBD"/>
    <w:multiLevelType w:val="multilevel"/>
    <w:tmpl w:val="D122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B4A61"/>
    <w:multiLevelType w:val="hybridMultilevel"/>
    <w:tmpl w:val="D6FE8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6C30B3"/>
    <w:multiLevelType w:val="multilevel"/>
    <w:tmpl w:val="F568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A72C6C"/>
    <w:multiLevelType w:val="multilevel"/>
    <w:tmpl w:val="C71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C22D16"/>
    <w:multiLevelType w:val="multilevel"/>
    <w:tmpl w:val="B224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4291D"/>
    <w:multiLevelType w:val="multilevel"/>
    <w:tmpl w:val="0ECA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147B76"/>
    <w:multiLevelType w:val="hybridMultilevel"/>
    <w:tmpl w:val="5D1EA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B85826"/>
    <w:multiLevelType w:val="multilevel"/>
    <w:tmpl w:val="C336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4B224F"/>
    <w:multiLevelType w:val="multilevel"/>
    <w:tmpl w:val="B602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D71EB5"/>
    <w:multiLevelType w:val="multilevel"/>
    <w:tmpl w:val="6A52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626E3C"/>
    <w:multiLevelType w:val="multilevel"/>
    <w:tmpl w:val="E9786364"/>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2A4BB4"/>
    <w:multiLevelType w:val="multilevel"/>
    <w:tmpl w:val="ED9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634FCA"/>
    <w:multiLevelType w:val="multilevel"/>
    <w:tmpl w:val="7CC6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5471E3"/>
    <w:multiLevelType w:val="multilevel"/>
    <w:tmpl w:val="C370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A2569F"/>
    <w:multiLevelType w:val="multilevel"/>
    <w:tmpl w:val="9E26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2963FB"/>
    <w:multiLevelType w:val="multilevel"/>
    <w:tmpl w:val="E02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4A7D60"/>
    <w:multiLevelType w:val="multilevel"/>
    <w:tmpl w:val="43E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4D6514"/>
    <w:multiLevelType w:val="multilevel"/>
    <w:tmpl w:val="F41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BC605B"/>
    <w:multiLevelType w:val="multilevel"/>
    <w:tmpl w:val="9DAC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570C6C"/>
    <w:multiLevelType w:val="multilevel"/>
    <w:tmpl w:val="9026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09413C"/>
    <w:multiLevelType w:val="multilevel"/>
    <w:tmpl w:val="BAD0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967CB6"/>
    <w:multiLevelType w:val="multilevel"/>
    <w:tmpl w:val="3178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C450A3"/>
    <w:multiLevelType w:val="multilevel"/>
    <w:tmpl w:val="7182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773E6F"/>
    <w:multiLevelType w:val="multilevel"/>
    <w:tmpl w:val="C09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7F5199"/>
    <w:multiLevelType w:val="multilevel"/>
    <w:tmpl w:val="5F2E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905BA8"/>
    <w:multiLevelType w:val="multilevel"/>
    <w:tmpl w:val="22B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212632"/>
    <w:multiLevelType w:val="multilevel"/>
    <w:tmpl w:val="22AC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7B5C0F"/>
    <w:multiLevelType w:val="multilevel"/>
    <w:tmpl w:val="0864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D973EEB"/>
    <w:multiLevelType w:val="multilevel"/>
    <w:tmpl w:val="D7A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B93982"/>
    <w:multiLevelType w:val="multilevel"/>
    <w:tmpl w:val="BDC6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B65004"/>
    <w:multiLevelType w:val="multilevel"/>
    <w:tmpl w:val="C6A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475C25"/>
    <w:multiLevelType w:val="multilevel"/>
    <w:tmpl w:val="8850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632F7F"/>
    <w:multiLevelType w:val="hybridMultilevel"/>
    <w:tmpl w:val="F6048A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7F85AD2"/>
    <w:multiLevelType w:val="multilevel"/>
    <w:tmpl w:val="E17C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24543E"/>
    <w:multiLevelType w:val="multilevel"/>
    <w:tmpl w:val="2EEC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D671F2"/>
    <w:multiLevelType w:val="hybridMultilevel"/>
    <w:tmpl w:val="45F88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E63595"/>
    <w:multiLevelType w:val="multilevel"/>
    <w:tmpl w:val="8F64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A23876"/>
    <w:multiLevelType w:val="multilevel"/>
    <w:tmpl w:val="A5B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1" w15:restartNumberingAfterBreak="0">
    <w:nsid w:val="76376C1B"/>
    <w:multiLevelType w:val="multilevel"/>
    <w:tmpl w:val="13D6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2E50D9"/>
    <w:multiLevelType w:val="hybridMultilevel"/>
    <w:tmpl w:val="CC7A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045341"/>
    <w:multiLevelType w:val="multilevel"/>
    <w:tmpl w:val="3F8E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4"/>
  </w:num>
  <w:num w:numId="4">
    <w:abstractNumId w:val="50"/>
  </w:num>
  <w:num w:numId="5">
    <w:abstractNumId w:val="39"/>
  </w:num>
  <w:num w:numId="6">
    <w:abstractNumId w:val="34"/>
  </w:num>
  <w:num w:numId="7">
    <w:abstractNumId w:val="5"/>
  </w:num>
  <w:num w:numId="8">
    <w:abstractNumId w:val="45"/>
  </w:num>
  <w:num w:numId="9">
    <w:abstractNumId w:val="36"/>
  </w:num>
  <w:num w:numId="10">
    <w:abstractNumId w:val="9"/>
  </w:num>
  <w:num w:numId="11">
    <w:abstractNumId w:val="18"/>
  </w:num>
  <w:num w:numId="12">
    <w:abstractNumId w:val="28"/>
  </w:num>
  <w:num w:numId="13">
    <w:abstractNumId w:val="49"/>
  </w:num>
  <w:num w:numId="14">
    <w:abstractNumId w:val="53"/>
  </w:num>
  <w:num w:numId="15">
    <w:abstractNumId w:val="2"/>
  </w:num>
  <w:num w:numId="16">
    <w:abstractNumId w:val="44"/>
  </w:num>
  <w:num w:numId="17">
    <w:abstractNumId w:val="0"/>
  </w:num>
  <w:num w:numId="18">
    <w:abstractNumId w:val="10"/>
  </w:num>
  <w:num w:numId="19">
    <w:abstractNumId w:val="17"/>
  </w:num>
  <w:num w:numId="20">
    <w:abstractNumId w:val="1"/>
  </w:num>
  <w:num w:numId="21">
    <w:abstractNumId w:val="38"/>
  </w:num>
  <w:num w:numId="22">
    <w:abstractNumId w:val="26"/>
  </w:num>
  <w:num w:numId="23">
    <w:abstractNumId w:val="12"/>
  </w:num>
  <w:num w:numId="24">
    <w:abstractNumId w:val="23"/>
  </w:num>
  <w:num w:numId="25">
    <w:abstractNumId w:val="43"/>
  </w:num>
  <w:num w:numId="26">
    <w:abstractNumId w:val="35"/>
  </w:num>
  <w:num w:numId="27">
    <w:abstractNumId w:val="19"/>
  </w:num>
  <w:num w:numId="28">
    <w:abstractNumId w:val="11"/>
  </w:num>
  <w:num w:numId="29">
    <w:abstractNumId w:val="37"/>
  </w:num>
  <w:num w:numId="30">
    <w:abstractNumId w:val="22"/>
  </w:num>
  <w:num w:numId="31">
    <w:abstractNumId w:val="51"/>
  </w:num>
  <w:num w:numId="32">
    <w:abstractNumId w:val="24"/>
  </w:num>
  <w:num w:numId="33">
    <w:abstractNumId w:val="31"/>
  </w:num>
  <w:num w:numId="34">
    <w:abstractNumId w:val="30"/>
  </w:num>
  <w:num w:numId="35">
    <w:abstractNumId w:val="27"/>
  </w:num>
  <w:num w:numId="36">
    <w:abstractNumId w:val="32"/>
  </w:num>
  <w:num w:numId="37">
    <w:abstractNumId w:val="29"/>
  </w:num>
  <w:num w:numId="38">
    <w:abstractNumId w:val="13"/>
  </w:num>
  <w:num w:numId="39">
    <w:abstractNumId w:val="46"/>
  </w:num>
  <w:num w:numId="40">
    <w:abstractNumId w:val="48"/>
  </w:num>
  <w:num w:numId="41">
    <w:abstractNumId w:val="41"/>
  </w:num>
  <w:num w:numId="42">
    <w:abstractNumId w:val="33"/>
  </w:num>
  <w:num w:numId="43">
    <w:abstractNumId w:val="6"/>
  </w:num>
  <w:num w:numId="44">
    <w:abstractNumId w:val="14"/>
  </w:num>
  <w:num w:numId="45">
    <w:abstractNumId w:val="40"/>
  </w:num>
  <w:num w:numId="46">
    <w:abstractNumId w:val="42"/>
  </w:num>
  <w:num w:numId="47">
    <w:abstractNumId w:val="25"/>
  </w:num>
  <w:num w:numId="48">
    <w:abstractNumId w:val="52"/>
  </w:num>
  <w:num w:numId="49">
    <w:abstractNumId w:val="47"/>
  </w:num>
  <w:num w:numId="50">
    <w:abstractNumId w:val="8"/>
  </w:num>
  <w:num w:numId="51">
    <w:abstractNumId w:val="15"/>
  </w:num>
  <w:num w:numId="52">
    <w:abstractNumId w:val="20"/>
  </w:num>
  <w:num w:numId="53">
    <w:abstractNumId w:val="20"/>
  </w:num>
  <w:num w:numId="54">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defaultTableStyle w:val="EDU-Basic"/>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28"/>
    <w:rsid w:val="00000A35"/>
    <w:rsid w:val="00001254"/>
    <w:rsid w:val="0000191E"/>
    <w:rsid w:val="00001C29"/>
    <w:rsid w:val="000029D0"/>
    <w:rsid w:val="00003497"/>
    <w:rsid w:val="0000350B"/>
    <w:rsid w:val="00003D8F"/>
    <w:rsid w:val="0000410E"/>
    <w:rsid w:val="000045D8"/>
    <w:rsid w:val="000049BF"/>
    <w:rsid w:val="00004F8B"/>
    <w:rsid w:val="00012366"/>
    <w:rsid w:val="00012E2E"/>
    <w:rsid w:val="000130FD"/>
    <w:rsid w:val="00015412"/>
    <w:rsid w:val="00020C22"/>
    <w:rsid w:val="000219F0"/>
    <w:rsid w:val="00021FBE"/>
    <w:rsid w:val="00022426"/>
    <w:rsid w:val="00023E04"/>
    <w:rsid w:val="000245BE"/>
    <w:rsid w:val="000246A4"/>
    <w:rsid w:val="000268D9"/>
    <w:rsid w:val="00026D3E"/>
    <w:rsid w:val="000273D3"/>
    <w:rsid w:val="0002754B"/>
    <w:rsid w:val="00031F5D"/>
    <w:rsid w:val="0003317F"/>
    <w:rsid w:val="000335DA"/>
    <w:rsid w:val="00034A7F"/>
    <w:rsid w:val="00034E7B"/>
    <w:rsid w:val="0004031D"/>
    <w:rsid w:val="0004059C"/>
    <w:rsid w:val="000405CC"/>
    <w:rsid w:val="00041086"/>
    <w:rsid w:val="0004148B"/>
    <w:rsid w:val="00043504"/>
    <w:rsid w:val="00044401"/>
    <w:rsid w:val="00045924"/>
    <w:rsid w:val="00045EAB"/>
    <w:rsid w:val="000461A6"/>
    <w:rsid w:val="00046C51"/>
    <w:rsid w:val="00047A11"/>
    <w:rsid w:val="00051731"/>
    <w:rsid w:val="000521D7"/>
    <w:rsid w:val="00054501"/>
    <w:rsid w:val="00055DB8"/>
    <w:rsid w:val="00057803"/>
    <w:rsid w:val="00057FDF"/>
    <w:rsid w:val="0006046D"/>
    <w:rsid w:val="0006131C"/>
    <w:rsid w:val="00061562"/>
    <w:rsid w:val="00061E86"/>
    <w:rsid w:val="00062D72"/>
    <w:rsid w:val="0006329A"/>
    <w:rsid w:val="00063FAF"/>
    <w:rsid w:val="00064646"/>
    <w:rsid w:val="000659CB"/>
    <w:rsid w:val="00065C0B"/>
    <w:rsid w:val="00066FBB"/>
    <w:rsid w:val="000678A0"/>
    <w:rsid w:val="00070BAA"/>
    <w:rsid w:val="00070F18"/>
    <w:rsid w:val="00071DFC"/>
    <w:rsid w:val="000740BD"/>
    <w:rsid w:val="0007572E"/>
    <w:rsid w:val="0007582F"/>
    <w:rsid w:val="000769E2"/>
    <w:rsid w:val="00077EE7"/>
    <w:rsid w:val="0008128C"/>
    <w:rsid w:val="00081487"/>
    <w:rsid w:val="0008183F"/>
    <w:rsid w:val="00081A8E"/>
    <w:rsid w:val="00081F59"/>
    <w:rsid w:val="00083EB9"/>
    <w:rsid w:val="00084C98"/>
    <w:rsid w:val="00092878"/>
    <w:rsid w:val="00094294"/>
    <w:rsid w:val="00094972"/>
    <w:rsid w:val="00095745"/>
    <w:rsid w:val="00095C4F"/>
    <w:rsid w:val="000967BD"/>
    <w:rsid w:val="000A0B58"/>
    <w:rsid w:val="000A0B62"/>
    <w:rsid w:val="000A277B"/>
    <w:rsid w:val="000A30BC"/>
    <w:rsid w:val="000A36A9"/>
    <w:rsid w:val="000A40FB"/>
    <w:rsid w:val="000A457B"/>
    <w:rsid w:val="000A5A4B"/>
    <w:rsid w:val="000A6228"/>
    <w:rsid w:val="000A6FC1"/>
    <w:rsid w:val="000B4315"/>
    <w:rsid w:val="000B5D40"/>
    <w:rsid w:val="000B6607"/>
    <w:rsid w:val="000B67D2"/>
    <w:rsid w:val="000B73E0"/>
    <w:rsid w:val="000B7445"/>
    <w:rsid w:val="000B7EC6"/>
    <w:rsid w:val="000C07FD"/>
    <w:rsid w:val="000C22DF"/>
    <w:rsid w:val="000C29F3"/>
    <w:rsid w:val="000C3641"/>
    <w:rsid w:val="000C45B7"/>
    <w:rsid w:val="000C57C4"/>
    <w:rsid w:val="000C69A0"/>
    <w:rsid w:val="000D09CA"/>
    <w:rsid w:val="000D1D05"/>
    <w:rsid w:val="000D2B38"/>
    <w:rsid w:val="000D4C48"/>
    <w:rsid w:val="000D64C0"/>
    <w:rsid w:val="000D69B2"/>
    <w:rsid w:val="000D7D49"/>
    <w:rsid w:val="000E0320"/>
    <w:rsid w:val="000E088B"/>
    <w:rsid w:val="000E17A0"/>
    <w:rsid w:val="000E33D3"/>
    <w:rsid w:val="000E3B95"/>
    <w:rsid w:val="000E43AF"/>
    <w:rsid w:val="000E45EB"/>
    <w:rsid w:val="000E600A"/>
    <w:rsid w:val="000E6DA2"/>
    <w:rsid w:val="000F0120"/>
    <w:rsid w:val="000F06B1"/>
    <w:rsid w:val="000F39BD"/>
    <w:rsid w:val="000F4AFA"/>
    <w:rsid w:val="000F5BE3"/>
    <w:rsid w:val="000F78E6"/>
    <w:rsid w:val="000F7DB0"/>
    <w:rsid w:val="001005C9"/>
    <w:rsid w:val="0010099D"/>
    <w:rsid w:val="00100BFE"/>
    <w:rsid w:val="00100E37"/>
    <w:rsid w:val="001028E6"/>
    <w:rsid w:val="00104D8B"/>
    <w:rsid w:val="00106528"/>
    <w:rsid w:val="001065AE"/>
    <w:rsid w:val="0010780C"/>
    <w:rsid w:val="00107D87"/>
    <w:rsid w:val="00107DD5"/>
    <w:rsid w:val="0011106A"/>
    <w:rsid w:val="001114E2"/>
    <w:rsid w:val="00111AC1"/>
    <w:rsid w:val="00112BF6"/>
    <w:rsid w:val="00112CB5"/>
    <w:rsid w:val="001138B9"/>
    <w:rsid w:val="00113C39"/>
    <w:rsid w:val="00114B2C"/>
    <w:rsid w:val="00116234"/>
    <w:rsid w:val="00120FBF"/>
    <w:rsid w:val="0012343A"/>
    <w:rsid w:val="001319BA"/>
    <w:rsid w:val="0013381F"/>
    <w:rsid w:val="00133B8D"/>
    <w:rsid w:val="00134682"/>
    <w:rsid w:val="001353B7"/>
    <w:rsid w:val="0013611E"/>
    <w:rsid w:val="00137804"/>
    <w:rsid w:val="001378D0"/>
    <w:rsid w:val="00137FB4"/>
    <w:rsid w:val="001437EE"/>
    <w:rsid w:val="001452E6"/>
    <w:rsid w:val="00146827"/>
    <w:rsid w:val="00146BFA"/>
    <w:rsid w:val="00147A06"/>
    <w:rsid w:val="0015021E"/>
    <w:rsid w:val="001515BF"/>
    <w:rsid w:val="0015249D"/>
    <w:rsid w:val="00152C5C"/>
    <w:rsid w:val="00152D8D"/>
    <w:rsid w:val="00153147"/>
    <w:rsid w:val="00153D7E"/>
    <w:rsid w:val="0015506D"/>
    <w:rsid w:val="0015533D"/>
    <w:rsid w:val="0015578B"/>
    <w:rsid w:val="001557DE"/>
    <w:rsid w:val="0015790E"/>
    <w:rsid w:val="0016041D"/>
    <w:rsid w:val="00160EF0"/>
    <w:rsid w:val="0016561E"/>
    <w:rsid w:val="00165886"/>
    <w:rsid w:val="00167AD8"/>
    <w:rsid w:val="0017002A"/>
    <w:rsid w:val="0017003C"/>
    <w:rsid w:val="0017134D"/>
    <w:rsid w:val="001713F4"/>
    <w:rsid w:val="0017291B"/>
    <w:rsid w:val="00173536"/>
    <w:rsid w:val="00174245"/>
    <w:rsid w:val="00174D8F"/>
    <w:rsid w:val="00176EA2"/>
    <w:rsid w:val="00177AC6"/>
    <w:rsid w:val="0018030F"/>
    <w:rsid w:val="00180EA3"/>
    <w:rsid w:val="00184B56"/>
    <w:rsid w:val="001906A1"/>
    <w:rsid w:val="00190D52"/>
    <w:rsid w:val="001915EA"/>
    <w:rsid w:val="00191BA8"/>
    <w:rsid w:val="0019268E"/>
    <w:rsid w:val="001927B0"/>
    <w:rsid w:val="0019300C"/>
    <w:rsid w:val="00195DA3"/>
    <w:rsid w:val="00197083"/>
    <w:rsid w:val="00197287"/>
    <w:rsid w:val="001976E1"/>
    <w:rsid w:val="001A0859"/>
    <w:rsid w:val="001A2F4E"/>
    <w:rsid w:val="001A4D45"/>
    <w:rsid w:val="001A67EA"/>
    <w:rsid w:val="001A6D36"/>
    <w:rsid w:val="001A703B"/>
    <w:rsid w:val="001A706A"/>
    <w:rsid w:val="001A7558"/>
    <w:rsid w:val="001A7B14"/>
    <w:rsid w:val="001B14D4"/>
    <w:rsid w:val="001B1958"/>
    <w:rsid w:val="001B1DB1"/>
    <w:rsid w:val="001B3D9D"/>
    <w:rsid w:val="001B5C53"/>
    <w:rsid w:val="001B5D69"/>
    <w:rsid w:val="001B67F0"/>
    <w:rsid w:val="001B7C7B"/>
    <w:rsid w:val="001C1523"/>
    <w:rsid w:val="001C4D1C"/>
    <w:rsid w:val="001C779C"/>
    <w:rsid w:val="001D0AF2"/>
    <w:rsid w:val="001D0D33"/>
    <w:rsid w:val="001D10B4"/>
    <w:rsid w:val="001D214E"/>
    <w:rsid w:val="001D36AD"/>
    <w:rsid w:val="001D39A1"/>
    <w:rsid w:val="001D497A"/>
    <w:rsid w:val="001D516F"/>
    <w:rsid w:val="001D605F"/>
    <w:rsid w:val="001D606A"/>
    <w:rsid w:val="001D68DD"/>
    <w:rsid w:val="001E0AB9"/>
    <w:rsid w:val="001E2C32"/>
    <w:rsid w:val="001E2F80"/>
    <w:rsid w:val="001E40B2"/>
    <w:rsid w:val="001E47EC"/>
    <w:rsid w:val="001E616F"/>
    <w:rsid w:val="001E69C3"/>
    <w:rsid w:val="001F12C3"/>
    <w:rsid w:val="001F26DA"/>
    <w:rsid w:val="001F38EA"/>
    <w:rsid w:val="001F3F2D"/>
    <w:rsid w:val="001F3FA7"/>
    <w:rsid w:val="001F5F81"/>
    <w:rsid w:val="001F6C96"/>
    <w:rsid w:val="001F6E69"/>
    <w:rsid w:val="002034F6"/>
    <w:rsid w:val="00204047"/>
    <w:rsid w:val="00205F53"/>
    <w:rsid w:val="0020725C"/>
    <w:rsid w:val="00210998"/>
    <w:rsid w:val="002119CB"/>
    <w:rsid w:val="00211BCD"/>
    <w:rsid w:val="002132EF"/>
    <w:rsid w:val="002147C4"/>
    <w:rsid w:val="002148D6"/>
    <w:rsid w:val="0021568A"/>
    <w:rsid w:val="00216B5F"/>
    <w:rsid w:val="002178E0"/>
    <w:rsid w:val="00221D8F"/>
    <w:rsid w:val="00221FE7"/>
    <w:rsid w:val="00223C09"/>
    <w:rsid w:val="00224DCC"/>
    <w:rsid w:val="00225590"/>
    <w:rsid w:val="00226394"/>
    <w:rsid w:val="00226B20"/>
    <w:rsid w:val="002272DB"/>
    <w:rsid w:val="002272DF"/>
    <w:rsid w:val="00230352"/>
    <w:rsid w:val="0023417F"/>
    <w:rsid w:val="00236CA9"/>
    <w:rsid w:val="002378DD"/>
    <w:rsid w:val="00237B54"/>
    <w:rsid w:val="00240120"/>
    <w:rsid w:val="00240452"/>
    <w:rsid w:val="00241263"/>
    <w:rsid w:val="00242871"/>
    <w:rsid w:val="00243981"/>
    <w:rsid w:val="002440B7"/>
    <w:rsid w:val="002458A3"/>
    <w:rsid w:val="00251C5A"/>
    <w:rsid w:val="00253B43"/>
    <w:rsid w:val="002545B3"/>
    <w:rsid w:val="00254DB6"/>
    <w:rsid w:val="002551DC"/>
    <w:rsid w:val="00255CBD"/>
    <w:rsid w:val="00257848"/>
    <w:rsid w:val="002615C5"/>
    <w:rsid w:val="00261F80"/>
    <w:rsid w:val="002632EA"/>
    <w:rsid w:val="0026364C"/>
    <w:rsid w:val="002706A0"/>
    <w:rsid w:val="00270781"/>
    <w:rsid w:val="00270EB4"/>
    <w:rsid w:val="002730EB"/>
    <w:rsid w:val="00273A1B"/>
    <w:rsid w:val="00274281"/>
    <w:rsid w:val="002757C1"/>
    <w:rsid w:val="00276047"/>
    <w:rsid w:val="0027650B"/>
    <w:rsid w:val="00276644"/>
    <w:rsid w:val="00276D2D"/>
    <w:rsid w:val="00280E03"/>
    <w:rsid w:val="002814F6"/>
    <w:rsid w:val="00281657"/>
    <w:rsid w:val="00281ED0"/>
    <w:rsid w:val="00284855"/>
    <w:rsid w:val="00292880"/>
    <w:rsid w:val="002936A4"/>
    <w:rsid w:val="002943E8"/>
    <w:rsid w:val="002A430E"/>
    <w:rsid w:val="002A4458"/>
    <w:rsid w:val="002A6985"/>
    <w:rsid w:val="002A7180"/>
    <w:rsid w:val="002A7AB9"/>
    <w:rsid w:val="002B1724"/>
    <w:rsid w:val="002B1A81"/>
    <w:rsid w:val="002B547E"/>
    <w:rsid w:val="002B671B"/>
    <w:rsid w:val="002C0F4F"/>
    <w:rsid w:val="002C1C0C"/>
    <w:rsid w:val="002C4026"/>
    <w:rsid w:val="002C4DEC"/>
    <w:rsid w:val="002C603D"/>
    <w:rsid w:val="002C75B7"/>
    <w:rsid w:val="002D0602"/>
    <w:rsid w:val="002D1C49"/>
    <w:rsid w:val="002D1E18"/>
    <w:rsid w:val="002D589A"/>
    <w:rsid w:val="002D6E61"/>
    <w:rsid w:val="002D79CD"/>
    <w:rsid w:val="002E085A"/>
    <w:rsid w:val="002E2121"/>
    <w:rsid w:val="002E3C89"/>
    <w:rsid w:val="002E474E"/>
    <w:rsid w:val="002E5ADE"/>
    <w:rsid w:val="002E6568"/>
    <w:rsid w:val="002E702C"/>
    <w:rsid w:val="002E76DC"/>
    <w:rsid w:val="002F0EE2"/>
    <w:rsid w:val="002F12D4"/>
    <w:rsid w:val="002F2100"/>
    <w:rsid w:val="002F2EC8"/>
    <w:rsid w:val="002F51E4"/>
    <w:rsid w:val="002F536D"/>
    <w:rsid w:val="002F6418"/>
    <w:rsid w:val="002F7ECF"/>
    <w:rsid w:val="0030056C"/>
    <w:rsid w:val="003013B3"/>
    <w:rsid w:val="0030324A"/>
    <w:rsid w:val="00303F8F"/>
    <w:rsid w:val="00305456"/>
    <w:rsid w:val="00306CBB"/>
    <w:rsid w:val="0031005B"/>
    <w:rsid w:val="00310479"/>
    <w:rsid w:val="00310F54"/>
    <w:rsid w:val="0031213A"/>
    <w:rsid w:val="00314F55"/>
    <w:rsid w:val="0031582D"/>
    <w:rsid w:val="003169C7"/>
    <w:rsid w:val="00316DF2"/>
    <w:rsid w:val="003171F0"/>
    <w:rsid w:val="00317FDF"/>
    <w:rsid w:val="00321FFD"/>
    <w:rsid w:val="003220D3"/>
    <w:rsid w:val="00322D7F"/>
    <w:rsid w:val="00323841"/>
    <w:rsid w:val="00331708"/>
    <w:rsid w:val="003355E7"/>
    <w:rsid w:val="00335979"/>
    <w:rsid w:val="00335E6D"/>
    <w:rsid w:val="0034153C"/>
    <w:rsid w:val="00341639"/>
    <w:rsid w:val="00341A9D"/>
    <w:rsid w:val="00343E43"/>
    <w:rsid w:val="003450AD"/>
    <w:rsid w:val="00345EAA"/>
    <w:rsid w:val="003467B3"/>
    <w:rsid w:val="00350398"/>
    <w:rsid w:val="00350465"/>
    <w:rsid w:val="00350F95"/>
    <w:rsid w:val="00351345"/>
    <w:rsid w:val="00352276"/>
    <w:rsid w:val="00352BCF"/>
    <w:rsid w:val="00353064"/>
    <w:rsid w:val="0035311E"/>
    <w:rsid w:val="00353A56"/>
    <w:rsid w:val="00354AB0"/>
    <w:rsid w:val="003550B8"/>
    <w:rsid w:val="0035568F"/>
    <w:rsid w:val="00355819"/>
    <w:rsid w:val="00355EB1"/>
    <w:rsid w:val="00360064"/>
    <w:rsid w:val="00360737"/>
    <w:rsid w:val="00361096"/>
    <w:rsid w:val="003614A0"/>
    <w:rsid w:val="0036403A"/>
    <w:rsid w:val="003652FA"/>
    <w:rsid w:val="003665B0"/>
    <w:rsid w:val="00366667"/>
    <w:rsid w:val="003678E3"/>
    <w:rsid w:val="00370585"/>
    <w:rsid w:val="00371BBC"/>
    <w:rsid w:val="00373A76"/>
    <w:rsid w:val="00374F7E"/>
    <w:rsid w:val="00375670"/>
    <w:rsid w:val="003757C3"/>
    <w:rsid w:val="00377213"/>
    <w:rsid w:val="00380443"/>
    <w:rsid w:val="003818B9"/>
    <w:rsid w:val="00381918"/>
    <w:rsid w:val="003819C2"/>
    <w:rsid w:val="00382909"/>
    <w:rsid w:val="0038753A"/>
    <w:rsid w:val="00387C06"/>
    <w:rsid w:val="00390A21"/>
    <w:rsid w:val="00391593"/>
    <w:rsid w:val="00393B07"/>
    <w:rsid w:val="003940B0"/>
    <w:rsid w:val="003949E6"/>
    <w:rsid w:val="00396C4F"/>
    <w:rsid w:val="003A0EDE"/>
    <w:rsid w:val="003A0F99"/>
    <w:rsid w:val="003A2FE3"/>
    <w:rsid w:val="003A6E29"/>
    <w:rsid w:val="003B0039"/>
    <w:rsid w:val="003B05EC"/>
    <w:rsid w:val="003B349B"/>
    <w:rsid w:val="003B5229"/>
    <w:rsid w:val="003B595C"/>
    <w:rsid w:val="003B7C9C"/>
    <w:rsid w:val="003C0DDC"/>
    <w:rsid w:val="003C3C3C"/>
    <w:rsid w:val="003C5DA9"/>
    <w:rsid w:val="003C756A"/>
    <w:rsid w:val="003D00DD"/>
    <w:rsid w:val="003D21BF"/>
    <w:rsid w:val="003D4F06"/>
    <w:rsid w:val="003D536A"/>
    <w:rsid w:val="003E24FD"/>
    <w:rsid w:val="003E2B1A"/>
    <w:rsid w:val="003E2CD5"/>
    <w:rsid w:val="003E5AE8"/>
    <w:rsid w:val="003E640A"/>
    <w:rsid w:val="003F1211"/>
    <w:rsid w:val="003F2143"/>
    <w:rsid w:val="003F4B7C"/>
    <w:rsid w:val="003F4BC1"/>
    <w:rsid w:val="003F58F7"/>
    <w:rsid w:val="003F62F7"/>
    <w:rsid w:val="003F74E1"/>
    <w:rsid w:val="0040000B"/>
    <w:rsid w:val="004003E6"/>
    <w:rsid w:val="0040155D"/>
    <w:rsid w:val="00402191"/>
    <w:rsid w:val="00404A5E"/>
    <w:rsid w:val="00406674"/>
    <w:rsid w:val="00407DAF"/>
    <w:rsid w:val="004104A6"/>
    <w:rsid w:val="00413926"/>
    <w:rsid w:val="00413D93"/>
    <w:rsid w:val="00415D31"/>
    <w:rsid w:val="00416173"/>
    <w:rsid w:val="0041625C"/>
    <w:rsid w:val="0041713E"/>
    <w:rsid w:val="00417E57"/>
    <w:rsid w:val="00421D3F"/>
    <w:rsid w:val="0042303F"/>
    <w:rsid w:val="00423785"/>
    <w:rsid w:val="00423CCB"/>
    <w:rsid w:val="004278A0"/>
    <w:rsid w:val="0043158A"/>
    <w:rsid w:val="00437331"/>
    <w:rsid w:val="00440724"/>
    <w:rsid w:val="00440B6E"/>
    <w:rsid w:val="0044112A"/>
    <w:rsid w:val="0044173B"/>
    <w:rsid w:val="00441A47"/>
    <w:rsid w:val="00443DD0"/>
    <w:rsid w:val="004473CC"/>
    <w:rsid w:val="00447765"/>
    <w:rsid w:val="0045043F"/>
    <w:rsid w:val="004516D3"/>
    <w:rsid w:val="00452D26"/>
    <w:rsid w:val="0045384C"/>
    <w:rsid w:val="00460E52"/>
    <w:rsid w:val="00461A0A"/>
    <w:rsid w:val="0046262D"/>
    <w:rsid w:val="00462F70"/>
    <w:rsid w:val="00464F1B"/>
    <w:rsid w:val="00466EF8"/>
    <w:rsid w:val="00467D77"/>
    <w:rsid w:val="00467F1A"/>
    <w:rsid w:val="00470FAC"/>
    <w:rsid w:val="00471E00"/>
    <w:rsid w:val="004727F2"/>
    <w:rsid w:val="00472C50"/>
    <w:rsid w:val="00473105"/>
    <w:rsid w:val="00475D2F"/>
    <w:rsid w:val="00475FE6"/>
    <w:rsid w:val="0047634C"/>
    <w:rsid w:val="00480861"/>
    <w:rsid w:val="00480EB7"/>
    <w:rsid w:val="00482353"/>
    <w:rsid w:val="0048340B"/>
    <w:rsid w:val="00484848"/>
    <w:rsid w:val="0048514D"/>
    <w:rsid w:val="004856EA"/>
    <w:rsid w:val="0048734B"/>
    <w:rsid w:val="00490651"/>
    <w:rsid w:val="00490DF2"/>
    <w:rsid w:val="00491C8A"/>
    <w:rsid w:val="0049563C"/>
    <w:rsid w:val="00495A8A"/>
    <w:rsid w:val="004960B2"/>
    <w:rsid w:val="004979B0"/>
    <w:rsid w:val="00497EA9"/>
    <w:rsid w:val="004A06CD"/>
    <w:rsid w:val="004A0A39"/>
    <w:rsid w:val="004A2012"/>
    <w:rsid w:val="004A204A"/>
    <w:rsid w:val="004A4456"/>
    <w:rsid w:val="004A475F"/>
    <w:rsid w:val="004A4B6F"/>
    <w:rsid w:val="004A4C8A"/>
    <w:rsid w:val="004A4CF9"/>
    <w:rsid w:val="004A739F"/>
    <w:rsid w:val="004A7A93"/>
    <w:rsid w:val="004B0121"/>
    <w:rsid w:val="004B3545"/>
    <w:rsid w:val="004B5DAD"/>
    <w:rsid w:val="004B5E6F"/>
    <w:rsid w:val="004C0D7C"/>
    <w:rsid w:val="004C1032"/>
    <w:rsid w:val="004C1B2D"/>
    <w:rsid w:val="004C20C3"/>
    <w:rsid w:val="004C2722"/>
    <w:rsid w:val="004C5D3A"/>
    <w:rsid w:val="004C6541"/>
    <w:rsid w:val="004C7FEE"/>
    <w:rsid w:val="004D13DB"/>
    <w:rsid w:val="004D153B"/>
    <w:rsid w:val="004D20C0"/>
    <w:rsid w:val="004D2965"/>
    <w:rsid w:val="004D2E0D"/>
    <w:rsid w:val="004D3A48"/>
    <w:rsid w:val="004D3C78"/>
    <w:rsid w:val="004D3CED"/>
    <w:rsid w:val="004E0F75"/>
    <w:rsid w:val="004E1916"/>
    <w:rsid w:val="004E191F"/>
    <w:rsid w:val="004E1930"/>
    <w:rsid w:val="004E1BFD"/>
    <w:rsid w:val="004E2786"/>
    <w:rsid w:val="004E391A"/>
    <w:rsid w:val="004E5EB2"/>
    <w:rsid w:val="004E5FD2"/>
    <w:rsid w:val="004E60B6"/>
    <w:rsid w:val="004E723C"/>
    <w:rsid w:val="004F053D"/>
    <w:rsid w:val="004F1C45"/>
    <w:rsid w:val="004F2828"/>
    <w:rsid w:val="004F4682"/>
    <w:rsid w:val="004F6F34"/>
    <w:rsid w:val="00500B67"/>
    <w:rsid w:val="0050139A"/>
    <w:rsid w:val="005041BA"/>
    <w:rsid w:val="00505326"/>
    <w:rsid w:val="005059A9"/>
    <w:rsid w:val="00505D6F"/>
    <w:rsid w:val="0050651A"/>
    <w:rsid w:val="00507582"/>
    <w:rsid w:val="005104DA"/>
    <w:rsid w:val="005122E5"/>
    <w:rsid w:val="00513B80"/>
    <w:rsid w:val="00516E6D"/>
    <w:rsid w:val="00517C5B"/>
    <w:rsid w:val="00517C8F"/>
    <w:rsid w:val="00520145"/>
    <w:rsid w:val="00523724"/>
    <w:rsid w:val="005247BA"/>
    <w:rsid w:val="00526861"/>
    <w:rsid w:val="005277CA"/>
    <w:rsid w:val="00532349"/>
    <w:rsid w:val="00534CC8"/>
    <w:rsid w:val="00536302"/>
    <w:rsid w:val="00540418"/>
    <w:rsid w:val="00540DBD"/>
    <w:rsid w:val="00541D02"/>
    <w:rsid w:val="0054250F"/>
    <w:rsid w:val="005465EB"/>
    <w:rsid w:val="00547E2D"/>
    <w:rsid w:val="00551D9F"/>
    <w:rsid w:val="00552B23"/>
    <w:rsid w:val="00554169"/>
    <w:rsid w:val="00556B5E"/>
    <w:rsid w:val="00560B0A"/>
    <w:rsid w:val="00560E39"/>
    <w:rsid w:val="00562BAC"/>
    <w:rsid w:val="0056330A"/>
    <w:rsid w:val="00563E78"/>
    <w:rsid w:val="005659CE"/>
    <w:rsid w:val="00565D1C"/>
    <w:rsid w:val="005660A3"/>
    <w:rsid w:val="005660DD"/>
    <w:rsid w:val="00566670"/>
    <w:rsid w:val="00571092"/>
    <w:rsid w:val="0057179B"/>
    <w:rsid w:val="005720C7"/>
    <w:rsid w:val="00573C04"/>
    <w:rsid w:val="005750E8"/>
    <w:rsid w:val="005774F1"/>
    <w:rsid w:val="00577A2D"/>
    <w:rsid w:val="00577C44"/>
    <w:rsid w:val="005827A8"/>
    <w:rsid w:val="0058321E"/>
    <w:rsid w:val="005847DA"/>
    <w:rsid w:val="00584948"/>
    <w:rsid w:val="00586E06"/>
    <w:rsid w:val="0058723E"/>
    <w:rsid w:val="005913FE"/>
    <w:rsid w:val="005929F5"/>
    <w:rsid w:val="005931EC"/>
    <w:rsid w:val="005955E8"/>
    <w:rsid w:val="005959E2"/>
    <w:rsid w:val="005A0C43"/>
    <w:rsid w:val="005A2C6A"/>
    <w:rsid w:val="005A48BD"/>
    <w:rsid w:val="005A5002"/>
    <w:rsid w:val="005A615D"/>
    <w:rsid w:val="005A74FD"/>
    <w:rsid w:val="005A75C9"/>
    <w:rsid w:val="005B0908"/>
    <w:rsid w:val="005B187D"/>
    <w:rsid w:val="005B2F90"/>
    <w:rsid w:val="005B33C3"/>
    <w:rsid w:val="005B622C"/>
    <w:rsid w:val="005C0F3E"/>
    <w:rsid w:val="005C0F93"/>
    <w:rsid w:val="005C2C11"/>
    <w:rsid w:val="005C646E"/>
    <w:rsid w:val="005C6BB7"/>
    <w:rsid w:val="005C7436"/>
    <w:rsid w:val="005C7DAB"/>
    <w:rsid w:val="005D2F77"/>
    <w:rsid w:val="005D4196"/>
    <w:rsid w:val="005D49C0"/>
    <w:rsid w:val="005D5060"/>
    <w:rsid w:val="005D5D68"/>
    <w:rsid w:val="005D5FAF"/>
    <w:rsid w:val="005D6773"/>
    <w:rsid w:val="005D7809"/>
    <w:rsid w:val="005E2650"/>
    <w:rsid w:val="005E7557"/>
    <w:rsid w:val="005F13D9"/>
    <w:rsid w:val="005F1C3E"/>
    <w:rsid w:val="005F3ACA"/>
    <w:rsid w:val="005F514B"/>
    <w:rsid w:val="005F53E8"/>
    <w:rsid w:val="005F59F7"/>
    <w:rsid w:val="005F6026"/>
    <w:rsid w:val="005F6916"/>
    <w:rsid w:val="005F7BA3"/>
    <w:rsid w:val="005F7C68"/>
    <w:rsid w:val="0060010A"/>
    <w:rsid w:val="0060086C"/>
    <w:rsid w:val="00601710"/>
    <w:rsid w:val="006033F5"/>
    <w:rsid w:val="00604039"/>
    <w:rsid w:val="006055FB"/>
    <w:rsid w:val="006060C3"/>
    <w:rsid w:val="00607EFA"/>
    <w:rsid w:val="00610CBC"/>
    <w:rsid w:val="00610EAD"/>
    <w:rsid w:val="006133CD"/>
    <w:rsid w:val="006153DB"/>
    <w:rsid w:val="00615CBE"/>
    <w:rsid w:val="006200BD"/>
    <w:rsid w:val="0062093D"/>
    <w:rsid w:val="00620D00"/>
    <w:rsid w:val="006232DC"/>
    <w:rsid w:val="00623D30"/>
    <w:rsid w:val="00625177"/>
    <w:rsid w:val="0062592A"/>
    <w:rsid w:val="0062688E"/>
    <w:rsid w:val="00627039"/>
    <w:rsid w:val="00630262"/>
    <w:rsid w:val="0063047D"/>
    <w:rsid w:val="00630757"/>
    <w:rsid w:val="0063094F"/>
    <w:rsid w:val="00631F15"/>
    <w:rsid w:val="006328BA"/>
    <w:rsid w:val="006333A2"/>
    <w:rsid w:val="00637146"/>
    <w:rsid w:val="0063720D"/>
    <w:rsid w:val="00640856"/>
    <w:rsid w:val="00641161"/>
    <w:rsid w:val="006413F8"/>
    <w:rsid w:val="0064294C"/>
    <w:rsid w:val="00644375"/>
    <w:rsid w:val="006463BA"/>
    <w:rsid w:val="00647EDC"/>
    <w:rsid w:val="00650B83"/>
    <w:rsid w:val="0065119A"/>
    <w:rsid w:val="006511B6"/>
    <w:rsid w:val="006527F1"/>
    <w:rsid w:val="00654856"/>
    <w:rsid w:val="0065586A"/>
    <w:rsid w:val="00657549"/>
    <w:rsid w:val="00660A71"/>
    <w:rsid w:val="006637A0"/>
    <w:rsid w:val="00664E09"/>
    <w:rsid w:val="00666B99"/>
    <w:rsid w:val="00667906"/>
    <w:rsid w:val="00667B4A"/>
    <w:rsid w:val="00670D70"/>
    <w:rsid w:val="00671431"/>
    <w:rsid w:val="006715E9"/>
    <w:rsid w:val="00672652"/>
    <w:rsid w:val="006735E2"/>
    <w:rsid w:val="006774B9"/>
    <w:rsid w:val="00680769"/>
    <w:rsid w:val="00683130"/>
    <w:rsid w:val="00683CB5"/>
    <w:rsid w:val="006853DC"/>
    <w:rsid w:val="00686690"/>
    <w:rsid w:val="006867B2"/>
    <w:rsid w:val="006907BB"/>
    <w:rsid w:val="006911A1"/>
    <w:rsid w:val="00691F7F"/>
    <w:rsid w:val="006938C3"/>
    <w:rsid w:val="00696610"/>
    <w:rsid w:val="006A126E"/>
    <w:rsid w:val="006A2DDC"/>
    <w:rsid w:val="006A455E"/>
    <w:rsid w:val="006A54C8"/>
    <w:rsid w:val="006A6636"/>
    <w:rsid w:val="006B027C"/>
    <w:rsid w:val="006B12B3"/>
    <w:rsid w:val="006B1917"/>
    <w:rsid w:val="006B3BE0"/>
    <w:rsid w:val="006B698D"/>
    <w:rsid w:val="006C1CD9"/>
    <w:rsid w:val="006C39F2"/>
    <w:rsid w:val="006C3CD2"/>
    <w:rsid w:val="006C474C"/>
    <w:rsid w:val="006C585B"/>
    <w:rsid w:val="006C63EE"/>
    <w:rsid w:val="006D29A1"/>
    <w:rsid w:val="006D30E8"/>
    <w:rsid w:val="006D3CB0"/>
    <w:rsid w:val="006D4695"/>
    <w:rsid w:val="006D5A33"/>
    <w:rsid w:val="006D6340"/>
    <w:rsid w:val="006D67F3"/>
    <w:rsid w:val="006E007C"/>
    <w:rsid w:val="006E1380"/>
    <w:rsid w:val="006E185D"/>
    <w:rsid w:val="006E2A3E"/>
    <w:rsid w:val="006E375D"/>
    <w:rsid w:val="006E45D2"/>
    <w:rsid w:val="006E6FA2"/>
    <w:rsid w:val="006F1972"/>
    <w:rsid w:val="006F1B28"/>
    <w:rsid w:val="006F1C24"/>
    <w:rsid w:val="006F1FFF"/>
    <w:rsid w:val="006F3838"/>
    <w:rsid w:val="006F39B0"/>
    <w:rsid w:val="006F3DC0"/>
    <w:rsid w:val="006F6D10"/>
    <w:rsid w:val="0070108E"/>
    <w:rsid w:val="0070361D"/>
    <w:rsid w:val="00703E92"/>
    <w:rsid w:val="007053AA"/>
    <w:rsid w:val="00705619"/>
    <w:rsid w:val="0071239A"/>
    <w:rsid w:val="00712B94"/>
    <w:rsid w:val="007131B5"/>
    <w:rsid w:val="007144DB"/>
    <w:rsid w:val="00715567"/>
    <w:rsid w:val="0071633F"/>
    <w:rsid w:val="00720A73"/>
    <w:rsid w:val="00721249"/>
    <w:rsid w:val="00721695"/>
    <w:rsid w:val="00722A2E"/>
    <w:rsid w:val="00723288"/>
    <w:rsid w:val="007242C5"/>
    <w:rsid w:val="00724314"/>
    <w:rsid w:val="00724F8B"/>
    <w:rsid w:val="007260FD"/>
    <w:rsid w:val="007269EE"/>
    <w:rsid w:val="00726D3D"/>
    <w:rsid w:val="007270F7"/>
    <w:rsid w:val="00731077"/>
    <w:rsid w:val="00733F2E"/>
    <w:rsid w:val="00734553"/>
    <w:rsid w:val="00736803"/>
    <w:rsid w:val="0073689B"/>
    <w:rsid w:val="00736950"/>
    <w:rsid w:val="0073720C"/>
    <w:rsid w:val="00740624"/>
    <w:rsid w:val="007409A2"/>
    <w:rsid w:val="00744510"/>
    <w:rsid w:val="00744CEF"/>
    <w:rsid w:val="00745EB7"/>
    <w:rsid w:val="007471DB"/>
    <w:rsid w:val="007511B3"/>
    <w:rsid w:val="00752B0F"/>
    <w:rsid w:val="00753D65"/>
    <w:rsid w:val="00754C60"/>
    <w:rsid w:val="0075606F"/>
    <w:rsid w:val="0075769D"/>
    <w:rsid w:val="00761453"/>
    <w:rsid w:val="00761DF5"/>
    <w:rsid w:val="007638C9"/>
    <w:rsid w:val="00766A60"/>
    <w:rsid w:val="0076715F"/>
    <w:rsid w:val="00771D9E"/>
    <w:rsid w:val="00771DD2"/>
    <w:rsid w:val="007750B5"/>
    <w:rsid w:val="00776800"/>
    <w:rsid w:val="0077793C"/>
    <w:rsid w:val="00781742"/>
    <w:rsid w:val="007829F8"/>
    <w:rsid w:val="0078356F"/>
    <w:rsid w:val="00785B1E"/>
    <w:rsid w:val="00787F10"/>
    <w:rsid w:val="007918D3"/>
    <w:rsid w:val="00792400"/>
    <w:rsid w:val="007939B3"/>
    <w:rsid w:val="00793F63"/>
    <w:rsid w:val="00794639"/>
    <w:rsid w:val="00796EE6"/>
    <w:rsid w:val="007A1277"/>
    <w:rsid w:val="007A1520"/>
    <w:rsid w:val="007A23FD"/>
    <w:rsid w:val="007A666D"/>
    <w:rsid w:val="007A6AAC"/>
    <w:rsid w:val="007A7C93"/>
    <w:rsid w:val="007B0306"/>
    <w:rsid w:val="007B04D7"/>
    <w:rsid w:val="007B1B27"/>
    <w:rsid w:val="007B264B"/>
    <w:rsid w:val="007B2C02"/>
    <w:rsid w:val="007B2CA1"/>
    <w:rsid w:val="007B3DA5"/>
    <w:rsid w:val="007B605D"/>
    <w:rsid w:val="007B63F7"/>
    <w:rsid w:val="007B6C55"/>
    <w:rsid w:val="007B6E6A"/>
    <w:rsid w:val="007B7152"/>
    <w:rsid w:val="007B7430"/>
    <w:rsid w:val="007B74C3"/>
    <w:rsid w:val="007B7740"/>
    <w:rsid w:val="007C13F1"/>
    <w:rsid w:val="007C148C"/>
    <w:rsid w:val="007C19ED"/>
    <w:rsid w:val="007C263C"/>
    <w:rsid w:val="007C2659"/>
    <w:rsid w:val="007C2AF6"/>
    <w:rsid w:val="007C2B87"/>
    <w:rsid w:val="007C2D76"/>
    <w:rsid w:val="007C5918"/>
    <w:rsid w:val="007C6A49"/>
    <w:rsid w:val="007D0006"/>
    <w:rsid w:val="007D03DA"/>
    <w:rsid w:val="007D0ABC"/>
    <w:rsid w:val="007D28FB"/>
    <w:rsid w:val="007D2901"/>
    <w:rsid w:val="007D2B1B"/>
    <w:rsid w:val="007D3272"/>
    <w:rsid w:val="007D429C"/>
    <w:rsid w:val="007E0D7A"/>
    <w:rsid w:val="007E1FD8"/>
    <w:rsid w:val="007E4335"/>
    <w:rsid w:val="007E4D5D"/>
    <w:rsid w:val="007E5E20"/>
    <w:rsid w:val="007E65E3"/>
    <w:rsid w:val="007E6A1D"/>
    <w:rsid w:val="007E7980"/>
    <w:rsid w:val="007F11CA"/>
    <w:rsid w:val="007F3447"/>
    <w:rsid w:val="007F40DC"/>
    <w:rsid w:val="007F648C"/>
    <w:rsid w:val="007F6E6D"/>
    <w:rsid w:val="007F6F03"/>
    <w:rsid w:val="007F72D0"/>
    <w:rsid w:val="008012B4"/>
    <w:rsid w:val="008029B8"/>
    <w:rsid w:val="00803491"/>
    <w:rsid w:val="008042F5"/>
    <w:rsid w:val="00804DDF"/>
    <w:rsid w:val="00805C31"/>
    <w:rsid w:val="008110E1"/>
    <w:rsid w:val="00811ACB"/>
    <w:rsid w:val="00812916"/>
    <w:rsid w:val="00815D17"/>
    <w:rsid w:val="00820C71"/>
    <w:rsid w:val="0082103D"/>
    <w:rsid w:val="00821CE8"/>
    <w:rsid w:val="00827B4D"/>
    <w:rsid w:val="0083180D"/>
    <w:rsid w:val="00833666"/>
    <w:rsid w:val="008349F0"/>
    <w:rsid w:val="00837D22"/>
    <w:rsid w:val="0084095C"/>
    <w:rsid w:val="00840A5A"/>
    <w:rsid w:val="00840E88"/>
    <w:rsid w:val="00841B67"/>
    <w:rsid w:val="00842801"/>
    <w:rsid w:val="008436EB"/>
    <w:rsid w:val="008438EF"/>
    <w:rsid w:val="00843A14"/>
    <w:rsid w:val="00843AF1"/>
    <w:rsid w:val="008445E4"/>
    <w:rsid w:val="00844E08"/>
    <w:rsid w:val="00846F6F"/>
    <w:rsid w:val="00847686"/>
    <w:rsid w:val="008476EF"/>
    <w:rsid w:val="00847F76"/>
    <w:rsid w:val="00850119"/>
    <w:rsid w:val="00850A00"/>
    <w:rsid w:val="008518FC"/>
    <w:rsid w:val="00852881"/>
    <w:rsid w:val="00852B0F"/>
    <w:rsid w:val="00855BA1"/>
    <w:rsid w:val="00860B62"/>
    <w:rsid w:val="00862912"/>
    <w:rsid w:val="00863CB8"/>
    <w:rsid w:val="00864778"/>
    <w:rsid w:val="008655B7"/>
    <w:rsid w:val="00866FDB"/>
    <w:rsid w:val="0086701A"/>
    <w:rsid w:val="00870E89"/>
    <w:rsid w:val="008712EF"/>
    <w:rsid w:val="0087207E"/>
    <w:rsid w:val="00873930"/>
    <w:rsid w:val="00874748"/>
    <w:rsid w:val="008748EE"/>
    <w:rsid w:val="008749E3"/>
    <w:rsid w:val="00875107"/>
    <w:rsid w:val="0087576D"/>
    <w:rsid w:val="00875E94"/>
    <w:rsid w:val="00880214"/>
    <w:rsid w:val="0088199C"/>
    <w:rsid w:val="0088576A"/>
    <w:rsid w:val="00885A1F"/>
    <w:rsid w:val="00886959"/>
    <w:rsid w:val="00886C0E"/>
    <w:rsid w:val="00886DB5"/>
    <w:rsid w:val="00887848"/>
    <w:rsid w:val="0088788F"/>
    <w:rsid w:val="00887ECF"/>
    <w:rsid w:val="00890BD3"/>
    <w:rsid w:val="00892EAF"/>
    <w:rsid w:val="008947D8"/>
    <w:rsid w:val="0089684F"/>
    <w:rsid w:val="008A101C"/>
    <w:rsid w:val="008A337A"/>
    <w:rsid w:val="008A36E1"/>
    <w:rsid w:val="008A37A7"/>
    <w:rsid w:val="008A54C7"/>
    <w:rsid w:val="008A5A6C"/>
    <w:rsid w:val="008A6903"/>
    <w:rsid w:val="008A6933"/>
    <w:rsid w:val="008A72BA"/>
    <w:rsid w:val="008B02B6"/>
    <w:rsid w:val="008B0736"/>
    <w:rsid w:val="008B07F8"/>
    <w:rsid w:val="008B17C6"/>
    <w:rsid w:val="008B2A4E"/>
    <w:rsid w:val="008B3F24"/>
    <w:rsid w:val="008B58E8"/>
    <w:rsid w:val="008B5F47"/>
    <w:rsid w:val="008B7305"/>
    <w:rsid w:val="008B77CC"/>
    <w:rsid w:val="008C0E91"/>
    <w:rsid w:val="008C14F7"/>
    <w:rsid w:val="008C1662"/>
    <w:rsid w:val="008D0FF6"/>
    <w:rsid w:val="008D2776"/>
    <w:rsid w:val="008D3CD6"/>
    <w:rsid w:val="008D52E6"/>
    <w:rsid w:val="008D731E"/>
    <w:rsid w:val="008E0003"/>
    <w:rsid w:val="008E2F85"/>
    <w:rsid w:val="008E3A56"/>
    <w:rsid w:val="008E4D96"/>
    <w:rsid w:val="008E4EA1"/>
    <w:rsid w:val="008E51A0"/>
    <w:rsid w:val="008E56F4"/>
    <w:rsid w:val="008E572F"/>
    <w:rsid w:val="008E6446"/>
    <w:rsid w:val="008E7E18"/>
    <w:rsid w:val="008F08D4"/>
    <w:rsid w:val="008F66E3"/>
    <w:rsid w:val="008F6D63"/>
    <w:rsid w:val="008F72C2"/>
    <w:rsid w:val="008F76E3"/>
    <w:rsid w:val="0090092C"/>
    <w:rsid w:val="00901F80"/>
    <w:rsid w:val="00903407"/>
    <w:rsid w:val="009061A9"/>
    <w:rsid w:val="00906869"/>
    <w:rsid w:val="00907880"/>
    <w:rsid w:val="00907D99"/>
    <w:rsid w:val="00911E68"/>
    <w:rsid w:val="009132F7"/>
    <w:rsid w:val="00913D4D"/>
    <w:rsid w:val="00915A0D"/>
    <w:rsid w:val="009172A4"/>
    <w:rsid w:val="009208B7"/>
    <w:rsid w:val="0092152B"/>
    <w:rsid w:val="00921EBC"/>
    <w:rsid w:val="00923124"/>
    <w:rsid w:val="00925D90"/>
    <w:rsid w:val="009269F9"/>
    <w:rsid w:val="00926D35"/>
    <w:rsid w:val="0092720D"/>
    <w:rsid w:val="00927E0F"/>
    <w:rsid w:val="009351A0"/>
    <w:rsid w:val="00936B36"/>
    <w:rsid w:val="009427B0"/>
    <w:rsid w:val="00943BA4"/>
    <w:rsid w:val="00944368"/>
    <w:rsid w:val="0094598D"/>
    <w:rsid w:val="009473BC"/>
    <w:rsid w:val="00947AA9"/>
    <w:rsid w:val="009500EA"/>
    <w:rsid w:val="00950B06"/>
    <w:rsid w:val="00952855"/>
    <w:rsid w:val="00953081"/>
    <w:rsid w:val="009532EC"/>
    <w:rsid w:val="00953A2F"/>
    <w:rsid w:val="0095637B"/>
    <w:rsid w:val="0095652A"/>
    <w:rsid w:val="00960E04"/>
    <w:rsid w:val="00961EBB"/>
    <w:rsid w:val="00962928"/>
    <w:rsid w:val="00963BD6"/>
    <w:rsid w:val="009649DE"/>
    <w:rsid w:val="00964E63"/>
    <w:rsid w:val="00965864"/>
    <w:rsid w:val="00965874"/>
    <w:rsid w:val="00965C4D"/>
    <w:rsid w:val="00966B72"/>
    <w:rsid w:val="00966CE8"/>
    <w:rsid w:val="00967509"/>
    <w:rsid w:val="009676E7"/>
    <w:rsid w:val="00970069"/>
    <w:rsid w:val="00970093"/>
    <w:rsid w:val="009715E0"/>
    <w:rsid w:val="009719A5"/>
    <w:rsid w:val="009721EB"/>
    <w:rsid w:val="009738B0"/>
    <w:rsid w:val="009747C4"/>
    <w:rsid w:val="00974A11"/>
    <w:rsid w:val="00981368"/>
    <w:rsid w:val="00982017"/>
    <w:rsid w:val="009821F4"/>
    <w:rsid w:val="00982637"/>
    <w:rsid w:val="00982E16"/>
    <w:rsid w:val="009831DB"/>
    <w:rsid w:val="009834B1"/>
    <w:rsid w:val="00983D47"/>
    <w:rsid w:val="00984C94"/>
    <w:rsid w:val="00984E0D"/>
    <w:rsid w:val="00985301"/>
    <w:rsid w:val="00985AF7"/>
    <w:rsid w:val="009861DA"/>
    <w:rsid w:val="009911E2"/>
    <w:rsid w:val="00992355"/>
    <w:rsid w:val="009923E1"/>
    <w:rsid w:val="00993839"/>
    <w:rsid w:val="009A0268"/>
    <w:rsid w:val="009A190F"/>
    <w:rsid w:val="009A1A4D"/>
    <w:rsid w:val="009A2D73"/>
    <w:rsid w:val="009A2EDF"/>
    <w:rsid w:val="009A5C5C"/>
    <w:rsid w:val="009A667D"/>
    <w:rsid w:val="009A6FF7"/>
    <w:rsid w:val="009B0715"/>
    <w:rsid w:val="009B4E77"/>
    <w:rsid w:val="009B6F4F"/>
    <w:rsid w:val="009B706E"/>
    <w:rsid w:val="009B71A9"/>
    <w:rsid w:val="009B75FF"/>
    <w:rsid w:val="009B79EB"/>
    <w:rsid w:val="009C105C"/>
    <w:rsid w:val="009C17CC"/>
    <w:rsid w:val="009C4105"/>
    <w:rsid w:val="009C423A"/>
    <w:rsid w:val="009C43AA"/>
    <w:rsid w:val="009C601A"/>
    <w:rsid w:val="009C6EE7"/>
    <w:rsid w:val="009D0D47"/>
    <w:rsid w:val="009D1E48"/>
    <w:rsid w:val="009D2DE6"/>
    <w:rsid w:val="009D6D68"/>
    <w:rsid w:val="009D7E8F"/>
    <w:rsid w:val="009D7F57"/>
    <w:rsid w:val="009E2E69"/>
    <w:rsid w:val="009E354B"/>
    <w:rsid w:val="009E3658"/>
    <w:rsid w:val="009E3BA1"/>
    <w:rsid w:val="009E4A25"/>
    <w:rsid w:val="009E4D26"/>
    <w:rsid w:val="009E4F6F"/>
    <w:rsid w:val="009E7782"/>
    <w:rsid w:val="009E79ED"/>
    <w:rsid w:val="009F19B5"/>
    <w:rsid w:val="009F2C9C"/>
    <w:rsid w:val="009F3468"/>
    <w:rsid w:val="009F3AA5"/>
    <w:rsid w:val="009F3FDD"/>
    <w:rsid w:val="009F406C"/>
    <w:rsid w:val="009F4255"/>
    <w:rsid w:val="009F7913"/>
    <w:rsid w:val="00A001D8"/>
    <w:rsid w:val="00A017BB"/>
    <w:rsid w:val="00A01C8E"/>
    <w:rsid w:val="00A0257F"/>
    <w:rsid w:val="00A031E9"/>
    <w:rsid w:val="00A04306"/>
    <w:rsid w:val="00A06AF2"/>
    <w:rsid w:val="00A07596"/>
    <w:rsid w:val="00A131CA"/>
    <w:rsid w:val="00A132E4"/>
    <w:rsid w:val="00A1496F"/>
    <w:rsid w:val="00A14B4B"/>
    <w:rsid w:val="00A1556E"/>
    <w:rsid w:val="00A15C7E"/>
    <w:rsid w:val="00A16CCE"/>
    <w:rsid w:val="00A1701F"/>
    <w:rsid w:val="00A1719C"/>
    <w:rsid w:val="00A17A08"/>
    <w:rsid w:val="00A17E7C"/>
    <w:rsid w:val="00A215E6"/>
    <w:rsid w:val="00A21883"/>
    <w:rsid w:val="00A230D1"/>
    <w:rsid w:val="00A231D7"/>
    <w:rsid w:val="00A24773"/>
    <w:rsid w:val="00A25208"/>
    <w:rsid w:val="00A25329"/>
    <w:rsid w:val="00A3075B"/>
    <w:rsid w:val="00A31679"/>
    <w:rsid w:val="00A3576B"/>
    <w:rsid w:val="00A3595C"/>
    <w:rsid w:val="00A40033"/>
    <w:rsid w:val="00A4020F"/>
    <w:rsid w:val="00A41F6D"/>
    <w:rsid w:val="00A44F1A"/>
    <w:rsid w:val="00A44F47"/>
    <w:rsid w:val="00A45DC5"/>
    <w:rsid w:val="00A50338"/>
    <w:rsid w:val="00A50A8C"/>
    <w:rsid w:val="00A5133E"/>
    <w:rsid w:val="00A51CB9"/>
    <w:rsid w:val="00A5284F"/>
    <w:rsid w:val="00A5308E"/>
    <w:rsid w:val="00A54418"/>
    <w:rsid w:val="00A54927"/>
    <w:rsid w:val="00A60673"/>
    <w:rsid w:val="00A61996"/>
    <w:rsid w:val="00A64843"/>
    <w:rsid w:val="00A64859"/>
    <w:rsid w:val="00A64E78"/>
    <w:rsid w:val="00A67885"/>
    <w:rsid w:val="00A70FD3"/>
    <w:rsid w:val="00A7214E"/>
    <w:rsid w:val="00A737AD"/>
    <w:rsid w:val="00A76F39"/>
    <w:rsid w:val="00A8185D"/>
    <w:rsid w:val="00A83DC2"/>
    <w:rsid w:val="00A84B77"/>
    <w:rsid w:val="00A857F4"/>
    <w:rsid w:val="00A86373"/>
    <w:rsid w:val="00A86715"/>
    <w:rsid w:val="00A87028"/>
    <w:rsid w:val="00A903B7"/>
    <w:rsid w:val="00A90590"/>
    <w:rsid w:val="00A910B0"/>
    <w:rsid w:val="00A9157C"/>
    <w:rsid w:val="00A92A45"/>
    <w:rsid w:val="00A92BBA"/>
    <w:rsid w:val="00A943B9"/>
    <w:rsid w:val="00A94A02"/>
    <w:rsid w:val="00A95997"/>
    <w:rsid w:val="00A967D3"/>
    <w:rsid w:val="00AA1BB0"/>
    <w:rsid w:val="00AA4887"/>
    <w:rsid w:val="00AA58E1"/>
    <w:rsid w:val="00AB02DC"/>
    <w:rsid w:val="00AB0C8A"/>
    <w:rsid w:val="00AB1149"/>
    <w:rsid w:val="00AB1C14"/>
    <w:rsid w:val="00AB3591"/>
    <w:rsid w:val="00AB520A"/>
    <w:rsid w:val="00AB6382"/>
    <w:rsid w:val="00AB6DE3"/>
    <w:rsid w:val="00AB72A9"/>
    <w:rsid w:val="00AC1872"/>
    <w:rsid w:val="00AC4E4F"/>
    <w:rsid w:val="00AC61AA"/>
    <w:rsid w:val="00AC72FB"/>
    <w:rsid w:val="00AC7653"/>
    <w:rsid w:val="00AD14D0"/>
    <w:rsid w:val="00AD31F2"/>
    <w:rsid w:val="00AD322C"/>
    <w:rsid w:val="00AD3BA6"/>
    <w:rsid w:val="00AD4F39"/>
    <w:rsid w:val="00AD631F"/>
    <w:rsid w:val="00AD7045"/>
    <w:rsid w:val="00AD706F"/>
    <w:rsid w:val="00AE082A"/>
    <w:rsid w:val="00AE1EC4"/>
    <w:rsid w:val="00AE21FF"/>
    <w:rsid w:val="00AE4103"/>
    <w:rsid w:val="00AE687F"/>
    <w:rsid w:val="00AF0B94"/>
    <w:rsid w:val="00AF1F18"/>
    <w:rsid w:val="00AF2B51"/>
    <w:rsid w:val="00AF437D"/>
    <w:rsid w:val="00AF48F4"/>
    <w:rsid w:val="00AF74C2"/>
    <w:rsid w:val="00AF76C9"/>
    <w:rsid w:val="00B00E1F"/>
    <w:rsid w:val="00B039D9"/>
    <w:rsid w:val="00B042FB"/>
    <w:rsid w:val="00B050C3"/>
    <w:rsid w:val="00B0726E"/>
    <w:rsid w:val="00B1125B"/>
    <w:rsid w:val="00B12089"/>
    <w:rsid w:val="00B122E6"/>
    <w:rsid w:val="00B12F36"/>
    <w:rsid w:val="00B13F42"/>
    <w:rsid w:val="00B14574"/>
    <w:rsid w:val="00B1750D"/>
    <w:rsid w:val="00B219D1"/>
    <w:rsid w:val="00B23947"/>
    <w:rsid w:val="00B24CA7"/>
    <w:rsid w:val="00B274D0"/>
    <w:rsid w:val="00B27B4C"/>
    <w:rsid w:val="00B30E35"/>
    <w:rsid w:val="00B31B60"/>
    <w:rsid w:val="00B339E2"/>
    <w:rsid w:val="00B346D1"/>
    <w:rsid w:val="00B353F3"/>
    <w:rsid w:val="00B372FD"/>
    <w:rsid w:val="00B37356"/>
    <w:rsid w:val="00B37F7E"/>
    <w:rsid w:val="00B417E4"/>
    <w:rsid w:val="00B41904"/>
    <w:rsid w:val="00B41F87"/>
    <w:rsid w:val="00B42101"/>
    <w:rsid w:val="00B428DB"/>
    <w:rsid w:val="00B44A2F"/>
    <w:rsid w:val="00B44FCB"/>
    <w:rsid w:val="00B45357"/>
    <w:rsid w:val="00B45E76"/>
    <w:rsid w:val="00B46983"/>
    <w:rsid w:val="00B47529"/>
    <w:rsid w:val="00B47A60"/>
    <w:rsid w:val="00B509AF"/>
    <w:rsid w:val="00B5194C"/>
    <w:rsid w:val="00B5277E"/>
    <w:rsid w:val="00B528BA"/>
    <w:rsid w:val="00B529F9"/>
    <w:rsid w:val="00B5356A"/>
    <w:rsid w:val="00B53E18"/>
    <w:rsid w:val="00B54E20"/>
    <w:rsid w:val="00B55093"/>
    <w:rsid w:val="00B556F7"/>
    <w:rsid w:val="00B57AD9"/>
    <w:rsid w:val="00B57DFC"/>
    <w:rsid w:val="00B60045"/>
    <w:rsid w:val="00B603B8"/>
    <w:rsid w:val="00B60D5E"/>
    <w:rsid w:val="00B61325"/>
    <w:rsid w:val="00B63178"/>
    <w:rsid w:val="00B636E5"/>
    <w:rsid w:val="00B645A1"/>
    <w:rsid w:val="00B64A7D"/>
    <w:rsid w:val="00B65CA5"/>
    <w:rsid w:val="00B70703"/>
    <w:rsid w:val="00B70F12"/>
    <w:rsid w:val="00B71CFA"/>
    <w:rsid w:val="00B7255C"/>
    <w:rsid w:val="00B73DEC"/>
    <w:rsid w:val="00B77D91"/>
    <w:rsid w:val="00B77E29"/>
    <w:rsid w:val="00B81F77"/>
    <w:rsid w:val="00B81FA4"/>
    <w:rsid w:val="00B82F99"/>
    <w:rsid w:val="00B83AB8"/>
    <w:rsid w:val="00B87616"/>
    <w:rsid w:val="00B8794C"/>
    <w:rsid w:val="00B87C19"/>
    <w:rsid w:val="00B93293"/>
    <w:rsid w:val="00B939C1"/>
    <w:rsid w:val="00B95860"/>
    <w:rsid w:val="00B95EF4"/>
    <w:rsid w:val="00B961FD"/>
    <w:rsid w:val="00B962DF"/>
    <w:rsid w:val="00B96E9E"/>
    <w:rsid w:val="00B97399"/>
    <w:rsid w:val="00BA1507"/>
    <w:rsid w:val="00BA2DFF"/>
    <w:rsid w:val="00BA4109"/>
    <w:rsid w:val="00BA45D9"/>
    <w:rsid w:val="00BA54E2"/>
    <w:rsid w:val="00BA54FD"/>
    <w:rsid w:val="00BA5981"/>
    <w:rsid w:val="00BA7F4C"/>
    <w:rsid w:val="00BB0F9A"/>
    <w:rsid w:val="00BB33A6"/>
    <w:rsid w:val="00BB3F0E"/>
    <w:rsid w:val="00BB4A67"/>
    <w:rsid w:val="00BB4CBC"/>
    <w:rsid w:val="00BB6509"/>
    <w:rsid w:val="00BB65D6"/>
    <w:rsid w:val="00BB79A0"/>
    <w:rsid w:val="00BC015A"/>
    <w:rsid w:val="00BC01C4"/>
    <w:rsid w:val="00BC0463"/>
    <w:rsid w:val="00BC1FBE"/>
    <w:rsid w:val="00BC248C"/>
    <w:rsid w:val="00BC51D0"/>
    <w:rsid w:val="00BC53BC"/>
    <w:rsid w:val="00BC61BB"/>
    <w:rsid w:val="00BC6E48"/>
    <w:rsid w:val="00BD2FED"/>
    <w:rsid w:val="00BD348D"/>
    <w:rsid w:val="00BD40A2"/>
    <w:rsid w:val="00BD4D8C"/>
    <w:rsid w:val="00BD4F7C"/>
    <w:rsid w:val="00BE046F"/>
    <w:rsid w:val="00BE0984"/>
    <w:rsid w:val="00BE0DA6"/>
    <w:rsid w:val="00BE29AC"/>
    <w:rsid w:val="00BE2BFA"/>
    <w:rsid w:val="00BE443F"/>
    <w:rsid w:val="00BE4ACC"/>
    <w:rsid w:val="00BE5AD9"/>
    <w:rsid w:val="00BE5EF3"/>
    <w:rsid w:val="00BE6215"/>
    <w:rsid w:val="00BE68CC"/>
    <w:rsid w:val="00BF18E4"/>
    <w:rsid w:val="00BF2354"/>
    <w:rsid w:val="00BF59D3"/>
    <w:rsid w:val="00BF6471"/>
    <w:rsid w:val="00BF6D57"/>
    <w:rsid w:val="00BF7007"/>
    <w:rsid w:val="00C00143"/>
    <w:rsid w:val="00C0030F"/>
    <w:rsid w:val="00C018D3"/>
    <w:rsid w:val="00C01EC0"/>
    <w:rsid w:val="00C022BE"/>
    <w:rsid w:val="00C046A5"/>
    <w:rsid w:val="00C055C3"/>
    <w:rsid w:val="00C07143"/>
    <w:rsid w:val="00C1008B"/>
    <w:rsid w:val="00C10F94"/>
    <w:rsid w:val="00C1182A"/>
    <w:rsid w:val="00C125FF"/>
    <w:rsid w:val="00C13483"/>
    <w:rsid w:val="00C15043"/>
    <w:rsid w:val="00C15877"/>
    <w:rsid w:val="00C15B78"/>
    <w:rsid w:val="00C16DC7"/>
    <w:rsid w:val="00C171C9"/>
    <w:rsid w:val="00C21B69"/>
    <w:rsid w:val="00C22BD1"/>
    <w:rsid w:val="00C22D6B"/>
    <w:rsid w:val="00C232EA"/>
    <w:rsid w:val="00C244EE"/>
    <w:rsid w:val="00C252BD"/>
    <w:rsid w:val="00C2645F"/>
    <w:rsid w:val="00C318B6"/>
    <w:rsid w:val="00C33B3A"/>
    <w:rsid w:val="00C341D0"/>
    <w:rsid w:val="00C365AB"/>
    <w:rsid w:val="00C3765D"/>
    <w:rsid w:val="00C42E07"/>
    <w:rsid w:val="00C43A7D"/>
    <w:rsid w:val="00C456DD"/>
    <w:rsid w:val="00C46903"/>
    <w:rsid w:val="00C50666"/>
    <w:rsid w:val="00C5146D"/>
    <w:rsid w:val="00C53C88"/>
    <w:rsid w:val="00C53DE8"/>
    <w:rsid w:val="00C546FC"/>
    <w:rsid w:val="00C548F1"/>
    <w:rsid w:val="00C558D6"/>
    <w:rsid w:val="00C568AD"/>
    <w:rsid w:val="00C5731E"/>
    <w:rsid w:val="00C6162E"/>
    <w:rsid w:val="00C636F3"/>
    <w:rsid w:val="00C64257"/>
    <w:rsid w:val="00C64517"/>
    <w:rsid w:val="00C71F86"/>
    <w:rsid w:val="00C72224"/>
    <w:rsid w:val="00C73C35"/>
    <w:rsid w:val="00C74816"/>
    <w:rsid w:val="00C74BB7"/>
    <w:rsid w:val="00C75706"/>
    <w:rsid w:val="00C767A7"/>
    <w:rsid w:val="00C76AC3"/>
    <w:rsid w:val="00C76C18"/>
    <w:rsid w:val="00C77025"/>
    <w:rsid w:val="00C770BE"/>
    <w:rsid w:val="00C77D91"/>
    <w:rsid w:val="00C8027C"/>
    <w:rsid w:val="00C80305"/>
    <w:rsid w:val="00C809E9"/>
    <w:rsid w:val="00C85EE7"/>
    <w:rsid w:val="00C916B7"/>
    <w:rsid w:val="00C93146"/>
    <w:rsid w:val="00C954C6"/>
    <w:rsid w:val="00CA254A"/>
    <w:rsid w:val="00CA3A26"/>
    <w:rsid w:val="00CA436E"/>
    <w:rsid w:val="00CA4815"/>
    <w:rsid w:val="00CA5719"/>
    <w:rsid w:val="00CB00AC"/>
    <w:rsid w:val="00CB08F0"/>
    <w:rsid w:val="00CB0A07"/>
    <w:rsid w:val="00CB218F"/>
    <w:rsid w:val="00CB3995"/>
    <w:rsid w:val="00CB4830"/>
    <w:rsid w:val="00CB7CEC"/>
    <w:rsid w:val="00CC0812"/>
    <w:rsid w:val="00CC2DCC"/>
    <w:rsid w:val="00CC34EB"/>
    <w:rsid w:val="00CC374F"/>
    <w:rsid w:val="00CC3A71"/>
    <w:rsid w:val="00CC43BA"/>
    <w:rsid w:val="00CC75AB"/>
    <w:rsid w:val="00CD06A7"/>
    <w:rsid w:val="00CD203E"/>
    <w:rsid w:val="00CD49AA"/>
    <w:rsid w:val="00CD5590"/>
    <w:rsid w:val="00CD5AEC"/>
    <w:rsid w:val="00CE0A64"/>
    <w:rsid w:val="00CE0E08"/>
    <w:rsid w:val="00CE14FF"/>
    <w:rsid w:val="00CE1607"/>
    <w:rsid w:val="00CE3E5C"/>
    <w:rsid w:val="00CE6060"/>
    <w:rsid w:val="00CE6357"/>
    <w:rsid w:val="00CE68EE"/>
    <w:rsid w:val="00CE7629"/>
    <w:rsid w:val="00CF039B"/>
    <w:rsid w:val="00CF07EE"/>
    <w:rsid w:val="00CF0B01"/>
    <w:rsid w:val="00CF210A"/>
    <w:rsid w:val="00CF216E"/>
    <w:rsid w:val="00CF3E27"/>
    <w:rsid w:val="00CF3F7F"/>
    <w:rsid w:val="00CF6562"/>
    <w:rsid w:val="00CF7F83"/>
    <w:rsid w:val="00D0072E"/>
    <w:rsid w:val="00D00733"/>
    <w:rsid w:val="00D00F6E"/>
    <w:rsid w:val="00D03642"/>
    <w:rsid w:val="00D03D57"/>
    <w:rsid w:val="00D07FDB"/>
    <w:rsid w:val="00D10AB0"/>
    <w:rsid w:val="00D11DEA"/>
    <w:rsid w:val="00D12E57"/>
    <w:rsid w:val="00D15E25"/>
    <w:rsid w:val="00D1618A"/>
    <w:rsid w:val="00D2003C"/>
    <w:rsid w:val="00D213BF"/>
    <w:rsid w:val="00D21455"/>
    <w:rsid w:val="00D242B8"/>
    <w:rsid w:val="00D25A3D"/>
    <w:rsid w:val="00D26AB3"/>
    <w:rsid w:val="00D27DD7"/>
    <w:rsid w:val="00D27EC8"/>
    <w:rsid w:val="00D31F2F"/>
    <w:rsid w:val="00D3532E"/>
    <w:rsid w:val="00D357F3"/>
    <w:rsid w:val="00D3685B"/>
    <w:rsid w:val="00D41D8C"/>
    <w:rsid w:val="00D42B28"/>
    <w:rsid w:val="00D42B77"/>
    <w:rsid w:val="00D43371"/>
    <w:rsid w:val="00D43E70"/>
    <w:rsid w:val="00D45567"/>
    <w:rsid w:val="00D50AF2"/>
    <w:rsid w:val="00D51F88"/>
    <w:rsid w:val="00D53B4A"/>
    <w:rsid w:val="00D547F0"/>
    <w:rsid w:val="00D54AB3"/>
    <w:rsid w:val="00D5527A"/>
    <w:rsid w:val="00D5561E"/>
    <w:rsid w:val="00D5688A"/>
    <w:rsid w:val="00D56F24"/>
    <w:rsid w:val="00D5725F"/>
    <w:rsid w:val="00D57F86"/>
    <w:rsid w:val="00D60421"/>
    <w:rsid w:val="00D61CD2"/>
    <w:rsid w:val="00D62B84"/>
    <w:rsid w:val="00D6358E"/>
    <w:rsid w:val="00D636F1"/>
    <w:rsid w:val="00D63DD2"/>
    <w:rsid w:val="00D645EC"/>
    <w:rsid w:val="00D64E85"/>
    <w:rsid w:val="00D67A4C"/>
    <w:rsid w:val="00D67A98"/>
    <w:rsid w:val="00D736B4"/>
    <w:rsid w:val="00D77F90"/>
    <w:rsid w:val="00D826CF"/>
    <w:rsid w:val="00D82CA5"/>
    <w:rsid w:val="00D83F34"/>
    <w:rsid w:val="00D85307"/>
    <w:rsid w:val="00D9086D"/>
    <w:rsid w:val="00D90F30"/>
    <w:rsid w:val="00D91BDB"/>
    <w:rsid w:val="00D9224A"/>
    <w:rsid w:val="00D926A8"/>
    <w:rsid w:val="00D935F6"/>
    <w:rsid w:val="00D93DB3"/>
    <w:rsid w:val="00D9413B"/>
    <w:rsid w:val="00D94CE0"/>
    <w:rsid w:val="00D961B9"/>
    <w:rsid w:val="00D96B40"/>
    <w:rsid w:val="00D97681"/>
    <w:rsid w:val="00DA455D"/>
    <w:rsid w:val="00DA6DDE"/>
    <w:rsid w:val="00DB2072"/>
    <w:rsid w:val="00DB2858"/>
    <w:rsid w:val="00DB2C10"/>
    <w:rsid w:val="00DB2F20"/>
    <w:rsid w:val="00DB3C7F"/>
    <w:rsid w:val="00DB4207"/>
    <w:rsid w:val="00DB457A"/>
    <w:rsid w:val="00DB7BDD"/>
    <w:rsid w:val="00DC06C9"/>
    <w:rsid w:val="00DC37D6"/>
    <w:rsid w:val="00DC5980"/>
    <w:rsid w:val="00DC5A9B"/>
    <w:rsid w:val="00DC6631"/>
    <w:rsid w:val="00DC6B21"/>
    <w:rsid w:val="00DC6BFE"/>
    <w:rsid w:val="00DD01A5"/>
    <w:rsid w:val="00DD1FF7"/>
    <w:rsid w:val="00DD2455"/>
    <w:rsid w:val="00DD2B46"/>
    <w:rsid w:val="00DD2BB5"/>
    <w:rsid w:val="00DD3046"/>
    <w:rsid w:val="00DD3199"/>
    <w:rsid w:val="00DD3413"/>
    <w:rsid w:val="00DD4A1B"/>
    <w:rsid w:val="00DD4EB1"/>
    <w:rsid w:val="00DD50BF"/>
    <w:rsid w:val="00DD5660"/>
    <w:rsid w:val="00DD6379"/>
    <w:rsid w:val="00DE0998"/>
    <w:rsid w:val="00DE0DA1"/>
    <w:rsid w:val="00DE1A16"/>
    <w:rsid w:val="00DE2050"/>
    <w:rsid w:val="00DE2920"/>
    <w:rsid w:val="00DE2FCE"/>
    <w:rsid w:val="00DE32F0"/>
    <w:rsid w:val="00DE3DFB"/>
    <w:rsid w:val="00DE415C"/>
    <w:rsid w:val="00DE5022"/>
    <w:rsid w:val="00DE529C"/>
    <w:rsid w:val="00DE53B5"/>
    <w:rsid w:val="00DF0E30"/>
    <w:rsid w:val="00DF1A00"/>
    <w:rsid w:val="00DF3C06"/>
    <w:rsid w:val="00DF3C25"/>
    <w:rsid w:val="00DF3E00"/>
    <w:rsid w:val="00DF4A0F"/>
    <w:rsid w:val="00DF5B25"/>
    <w:rsid w:val="00DF6154"/>
    <w:rsid w:val="00E00A52"/>
    <w:rsid w:val="00E00DC0"/>
    <w:rsid w:val="00E01701"/>
    <w:rsid w:val="00E05277"/>
    <w:rsid w:val="00E05A5B"/>
    <w:rsid w:val="00E10744"/>
    <w:rsid w:val="00E10B7E"/>
    <w:rsid w:val="00E10D27"/>
    <w:rsid w:val="00E115B9"/>
    <w:rsid w:val="00E12B5D"/>
    <w:rsid w:val="00E1412C"/>
    <w:rsid w:val="00E1778D"/>
    <w:rsid w:val="00E17AD4"/>
    <w:rsid w:val="00E203D4"/>
    <w:rsid w:val="00E2108A"/>
    <w:rsid w:val="00E238F1"/>
    <w:rsid w:val="00E24062"/>
    <w:rsid w:val="00E264AE"/>
    <w:rsid w:val="00E266AB"/>
    <w:rsid w:val="00E2671B"/>
    <w:rsid w:val="00E26944"/>
    <w:rsid w:val="00E27ED3"/>
    <w:rsid w:val="00E35254"/>
    <w:rsid w:val="00E353A6"/>
    <w:rsid w:val="00E35CE1"/>
    <w:rsid w:val="00E376C9"/>
    <w:rsid w:val="00E42DBB"/>
    <w:rsid w:val="00E4446B"/>
    <w:rsid w:val="00E44FE1"/>
    <w:rsid w:val="00E4563E"/>
    <w:rsid w:val="00E45C15"/>
    <w:rsid w:val="00E460F8"/>
    <w:rsid w:val="00E46107"/>
    <w:rsid w:val="00E47394"/>
    <w:rsid w:val="00E47425"/>
    <w:rsid w:val="00E513A3"/>
    <w:rsid w:val="00E51EED"/>
    <w:rsid w:val="00E529E5"/>
    <w:rsid w:val="00E54712"/>
    <w:rsid w:val="00E5589F"/>
    <w:rsid w:val="00E55CB4"/>
    <w:rsid w:val="00E55F0B"/>
    <w:rsid w:val="00E57025"/>
    <w:rsid w:val="00E57E01"/>
    <w:rsid w:val="00E600B7"/>
    <w:rsid w:val="00E60784"/>
    <w:rsid w:val="00E62012"/>
    <w:rsid w:val="00E654A9"/>
    <w:rsid w:val="00E65D86"/>
    <w:rsid w:val="00E6692C"/>
    <w:rsid w:val="00E67294"/>
    <w:rsid w:val="00E675A3"/>
    <w:rsid w:val="00E67728"/>
    <w:rsid w:val="00E71FD1"/>
    <w:rsid w:val="00E74C4A"/>
    <w:rsid w:val="00E80117"/>
    <w:rsid w:val="00E817BC"/>
    <w:rsid w:val="00E81D5A"/>
    <w:rsid w:val="00E8248A"/>
    <w:rsid w:val="00E829B1"/>
    <w:rsid w:val="00E83ECF"/>
    <w:rsid w:val="00E84183"/>
    <w:rsid w:val="00E852B7"/>
    <w:rsid w:val="00E86490"/>
    <w:rsid w:val="00E86EA4"/>
    <w:rsid w:val="00E86EAA"/>
    <w:rsid w:val="00E874D0"/>
    <w:rsid w:val="00E876ED"/>
    <w:rsid w:val="00E87E93"/>
    <w:rsid w:val="00E87F34"/>
    <w:rsid w:val="00E9065F"/>
    <w:rsid w:val="00E91653"/>
    <w:rsid w:val="00E91A6C"/>
    <w:rsid w:val="00E92C21"/>
    <w:rsid w:val="00EA0399"/>
    <w:rsid w:val="00EA29DE"/>
    <w:rsid w:val="00EA2FEC"/>
    <w:rsid w:val="00EA333A"/>
    <w:rsid w:val="00EA3A2F"/>
    <w:rsid w:val="00EA55D8"/>
    <w:rsid w:val="00EA5A9D"/>
    <w:rsid w:val="00EA5AB0"/>
    <w:rsid w:val="00EA69B4"/>
    <w:rsid w:val="00EB262B"/>
    <w:rsid w:val="00EB281A"/>
    <w:rsid w:val="00EB2863"/>
    <w:rsid w:val="00EB4C2F"/>
    <w:rsid w:val="00EB5459"/>
    <w:rsid w:val="00EB5984"/>
    <w:rsid w:val="00EB6A3E"/>
    <w:rsid w:val="00EC0F8B"/>
    <w:rsid w:val="00EC192E"/>
    <w:rsid w:val="00EC30BD"/>
    <w:rsid w:val="00EC3E22"/>
    <w:rsid w:val="00EC47AF"/>
    <w:rsid w:val="00EC4B2F"/>
    <w:rsid w:val="00EC5601"/>
    <w:rsid w:val="00EC73B8"/>
    <w:rsid w:val="00ED092B"/>
    <w:rsid w:val="00ED0DDF"/>
    <w:rsid w:val="00ED2AA0"/>
    <w:rsid w:val="00ED39A5"/>
    <w:rsid w:val="00ED4716"/>
    <w:rsid w:val="00ED47AF"/>
    <w:rsid w:val="00ED5D73"/>
    <w:rsid w:val="00ED7270"/>
    <w:rsid w:val="00ED732A"/>
    <w:rsid w:val="00EE0B69"/>
    <w:rsid w:val="00EE0C31"/>
    <w:rsid w:val="00EE10DF"/>
    <w:rsid w:val="00EE1C20"/>
    <w:rsid w:val="00EE1F1B"/>
    <w:rsid w:val="00EE20AB"/>
    <w:rsid w:val="00EE6330"/>
    <w:rsid w:val="00EE73ED"/>
    <w:rsid w:val="00EE78E3"/>
    <w:rsid w:val="00EF0445"/>
    <w:rsid w:val="00EF0C4C"/>
    <w:rsid w:val="00EF11E6"/>
    <w:rsid w:val="00EF248A"/>
    <w:rsid w:val="00EF50C6"/>
    <w:rsid w:val="00EF776D"/>
    <w:rsid w:val="00F00AE9"/>
    <w:rsid w:val="00F04266"/>
    <w:rsid w:val="00F046E9"/>
    <w:rsid w:val="00F04EDC"/>
    <w:rsid w:val="00F074AB"/>
    <w:rsid w:val="00F1000D"/>
    <w:rsid w:val="00F132F7"/>
    <w:rsid w:val="00F15FEE"/>
    <w:rsid w:val="00F16776"/>
    <w:rsid w:val="00F1704D"/>
    <w:rsid w:val="00F17FBE"/>
    <w:rsid w:val="00F243BC"/>
    <w:rsid w:val="00F25406"/>
    <w:rsid w:val="00F258ED"/>
    <w:rsid w:val="00F26CD5"/>
    <w:rsid w:val="00F306F8"/>
    <w:rsid w:val="00F311A4"/>
    <w:rsid w:val="00F33345"/>
    <w:rsid w:val="00F3418C"/>
    <w:rsid w:val="00F354A1"/>
    <w:rsid w:val="00F35984"/>
    <w:rsid w:val="00F36C98"/>
    <w:rsid w:val="00F374DC"/>
    <w:rsid w:val="00F40110"/>
    <w:rsid w:val="00F40A65"/>
    <w:rsid w:val="00F41281"/>
    <w:rsid w:val="00F42157"/>
    <w:rsid w:val="00F44814"/>
    <w:rsid w:val="00F4606D"/>
    <w:rsid w:val="00F476DA"/>
    <w:rsid w:val="00F500AA"/>
    <w:rsid w:val="00F50739"/>
    <w:rsid w:val="00F52BD7"/>
    <w:rsid w:val="00F53450"/>
    <w:rsid w:val="00F53A21"/>
    <w:rsid w:val="00F54290"/>
    <w:rsid w:val="00F556DB"/>
    <w:rsid w:val="00F56643"/>
    <w:rsid w:val="00F567D8"/>
    <w:rsid w:val="00F63227"/>
    <w:rsid w:val="00F63C20"/>
    <w:rsid w:val="00F64A20"/>
    <w:rsid w:val="00F65A1E"/>
    <w:rsid w:val="00F663E5"/>
    <w:rsid w:val="00F700FF"/>
    <w:rsid w:val="00F70D5B"/>
    <w:rsid w:val="00F71AF0"/>
    <w:rsid w:val="00F71EAB"/>
    <w:rsid w:val="00F743A6"/>
    <w:rsid w:val="00F7571E"/>
    <w:rsid w:val="00F76400"/>
    <w:rsid w:val="00F76E84"/>
    <w:rsid w:val="00F80DB7"/>
    <w:rsid w:val="00F821FC"/>
    <w:rsid w:val="00F82C2C"/>
    <w:rsid w:val="00F84033"/>
    <w:rsid w:val="00F84403"/>
    <w:rsid w:val="00F8468D"/>
    <w:rsid w:val="00F85913"/>
    <w:rsid w:val="00F87BEA"/>
    <w:rsid w:val="00F92EF1"/>
    <w:rsid w:val="00F93F81"/>
    <w:rsid w:val="00F9490A"/>
    <w:rsid w:val="00F951C1"/>
    <w:rsid w:val="00F96252"/>
    <w:rsid w:val="00F96DFB"/>
    <w:rsid w:val="00FA0178"/>
    <w:rsid w:val="00FA06CA"/>
    <w:rsid w:val="00FA1ED4"/>
    <w:rsid w:val="00FA1F11"/>
    <w:rsid w:val="00FA3707"/>
    <w:rsid w:val="00FA44B2"/>
    <w:rsid w:val="00FA709D"/>
    <w:rsid w:val="00FA791D"/>
    <w:rsid w:val="00FB062C"/>
    <w:rsid w:val="00FB1807"/>
    <w:rsid w:val="00FB572F"/>
    <w:rsid w:val="00FB5E0E"/>
    <w:rsid w:val="00FB6100"/>
    <w:rsid w:val="00FB65C0"/>
    <w:rsid w:val="00FB680E"/>
    <w:rsid w:val="00FB6A80"/>
    <w:rsid w:val="00FB7B52"/>
    <w:rsid w:val="00FC0481"/>
    <w:rsid w:val="00FC1F59"/>
    <w:rsid w:val="00FC29E8"/>
    <w:rsid w:val="00FC4145"/>
    <w:rsid w:val="00FC4939"/>
    <w:rsid w:val="00FC5E88"/>
    <w:rsid w:val="00FC6966"/>
    <w:rsid w:val="00FD03A1"/>
    <w:rsid w:val="00FD07EF"/>
    <w:rsid w:val="00FD1C08"/>
    <w:rsid w:val="00FD2D56"/>
    <w:rsid w:val="00FD4C29"/>
    <w:rsid w:val="00FD4D6E"/>
    <w:rsid w:val="00FD592D"/>
    <w:rsid w:val="00FD6A8B"/>
    <w:rsid w:val="00FD7B3E"/>
    <w:rsid w:val="00FE0CB4"/>
    <w:rsid w:val="00FE1173"/>
    <w:rsid w:val="00FE1C95"/>
    <w:rsid w:val="00FE216F"/>
    <w:rsid w:val="00FE32FD"/>
    <w:rsid w:val="00FE3A62"/>
    <w:rsid w:val="00FE4FE5"/>
    <w:rsid w:val="00FE5300"/>
    <w:rsid w:val="00FE5E10"/>
    <w:rsid w:val="00FF1AEF"/>
    <w:rsid w:val="00FF1DF5"/>
    <w:rsid w:val="00FF207B"/>
    <w:rsid w:val="00FF32EA"/>
    <w:rsid w:val="00FF5BC8"/>
    <w:rsid w:val="00FF5E14"/>
    <w:rsid w:val="00FF6B0E"/>
    <w:rsid w:val="00FF7740"/>
    <w:rsid w:val="02D0192C"/>
    <w:rsid w:val="035EF2B5"/>
    <w:rsid w:val="04F5927D"/>
    <w:rsid w:val="07389810"/>
    <w:rsid w:val="0936B9CA"/>
    <w:rsid w:val="09C17966"/>
    <w:rsid w:val="0B06F597"/>
    <w:rsid w:val="0B869640"/>
    <w:rsid w:val="0CCDAFBC"/>
    <w:rsid w:val="0E12B5B2"/>
    <w:rsid w:val="103EC449"/>
    <w:rsid w:val="1056395D"/>
    <w:rsid w:val="11B08BF3"/>
    <w:rsid w:val="1301CC1A"/>
    <w:rsid w:val="130264E5"/>
    <w:rsid w:val="132F54FD"/>
    <w:rsid w:val="18163467"/>
    <w:rsid w:val="1B6DEE66"/>
    <w:rsid w:val="1C711DD7"/>
    <w:rsid w:val="1CCF1BB8"/>
    <w:rsid w:val="1DA2289C"/>
    <w:rsid w:val="1DAE310F"/>
    <w:rsid w:val="1E43559F"/>
    <w:rsid w:val="1E634C02"/>
    <w:rsid w:val="1E6DC975"/>
    <w:rsid w:val="1E80F2DD"/>
    <w:rsid w:val="1FA87C2E"/>
    <w:rsid w:val="2007AE60"/>
    <w:rsid w:val="20CED8E8"/>
    <w:rsid w:val="245FB2DD"/>
    <w:rsid w:val="26318229"/>
    <w:rsid w:val="263E95F7"/>
    <w:rsid w:val="28517573"/>
    <w:rsid w:val="28E8B2F7"/>
    <w:rsid w:val="2A9C6C86"/>
    <w:rsid w:val="2CDE33C5"/>
    <w:rsid w:val="2DF926D1"/>
    <w:rsid w:val="2E46A6F0"/>
    <w:rsid w:val="2E4A605B"/>
    <w:rsid w:val="2F010927"/>
    <w:rsid w:val="313FC2B2"/>
    <w:rsid w:val="330DA44B"/>
    <w:rsid w:val="331FFF0A"/>
    <w:rsid w:val="3490299F"/>
    <w:rsid w:val="351D0BA9"/>
    <w:rsid w:val="36FE10E6"/>
    <w:rsid w:val="3A1A90EA"/>
    <w:rsid w:val="3C7A8DD1"/>
    <w:rsid w:val="3CF77815"/>
    <w:rsid w:val="3F163661"/>
    <w:rsid w:val="406DB3B7"/>
    <w:rsid w:val="4281D750"/>
    <w:rsid w:val="43B954A4"/>
    <w:rsid w:val="44F34D94"/>
    <w:rsid w:val="488F7FE2"/>
    <w:rsid w:val="4BE04015"/>
    <w:rsid w:val="4E1F7AEC"/>
    <w:rsid w:val="50F13152"/>
    <w:rsid w:val="52218ABE"/>
    <w:rsid w:val="541B91A7"/>
    <w:rsid w:val="5BD71068"/>
    <w:rsid w:val="5BF22FE4"/>
    <w:rsid w:val="5CD8572F"/>
    <w:rsid w:val="5D05FAA8"/>
    <w:rsid w:val="601CBB2F"/>
    <w:rsid w:val="62443A34"/>
    <w:rsid w:val="63551E39"/>
    <w:rsid w:val="65693CA7"/>
    <w:rsid w:val="65AA64AD"/>
    <w:rsid w:val="69332084"/>
    <w:rsid w:val="6B1BF6A5"/>
    <w:rsid w:val="6C078F68"/>
    <w:rsid w:val="6E334B4A"/>
    <w:rsid w:val="6ED363EE"/>
    <w:rsid w:val="70E950E6"/>
    <w:rsid w:val="74410CEE"/>
    <w:rsid w:val="74462D93"/>
    <w:rsid w:val="75558243"/>
    <w:rsid w:val="76E8DD84"/>
    <w:rsid w:val="776F00C7"/>
    <w:rsid w:val="7962E127"/>
    <w:rsid w:val="79A30585"/>
    <w:rsid w:val="7A5630F0"/>
    <w:rsid w:val="7A66D843"/>
    <w:rsid w:val="7ADAB42E"/>
    <w:rsid w:val="7BC3A989"/>
    <w:rsid w:val="7E87C010"/>
    <w:rsid w:val="7FAC8A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D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C07143"/>
    <w:pPr>
      <w:keepNext/>
      <w:keepLines/>
      <w:numPr>
        <w:numId w:val="52"/>
      </w:numPr>
      <w:spacing w:before="720"/>
      <w:ind w:left="426" w:hanging="426"/>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FC5E88"/>
    <w:pPr>
      <w:keepNext/>
      <w:keepLines/>
      <w:numPr>
        <w:ilvl w:val="1"/>
        <w:numId w:val="52"/>
      </w:numPr>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C07143"/>
    <w:pPr>
      <w:keepNext/>
      <w:keepLines/>
      <w:numPr>
        <w:ilvl w:val="2"/>
        <w:numId w:val="52"/>
      </w:numPr>
      <w:spacing w:before="360" w:after="0"/>
      <w:ind w:left="709"/>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unhideWhenUsed/>
    <w:qFormat/>
    <w:rsid w:val="00C0714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714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customStyle="1"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C07143"/>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FC5E88"/>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C07143"/>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8"/>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8"/>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965874"/>
    <w:pPr>
      <w:tabs>
        <w:tab w:val="left" w:pos="960"/>
        <w:tab w:val="right" w:leader="dot" w:pos="9016"/>
      </w:tabs>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customStyle="1" w:styleId="Heading8Char">
    <w:name w:val="Heading 8 Char"/>
    <w:basedOn w:val="DefaultParagraphFont"/>
    <w:link w:val="Heading8"/>
    <w:uiPriority w:val="9"/>
    <w:semiHidden/>
    <w:rsid w:val="00C07143"/>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07143"/>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C071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7143"/>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C07143"/>
    <w:pPr>
      <w:spacing w:after="160"/>
      <w:ind w:left="720"/>
      <w:contextualSpacing/>
    </w:pPr>
    <w:rPr>
      <w:kern w:val="2"/>
      <w14:ligatures w14:val="standardContextual"/>
    </w:rPr>
  </w:style>
  <w:style w:type="character" w:styleId="IntenseEmphasis">
    <w:name w:val="Intense Emphasis"/>
    <w:basedOn w:val="DefaultParagraphFont"/>
    <w:uiPriority w:val="21"/>
    <w:qFormat/>
    <w:rsid w:val="00C07143"/>
    <w:rPr>
      <w:i/>
      <w:iCs/>
      <w:color w:val="006372" w:themeColor="accent1" w:themeShade="BF"/>
    </w:rPr>
  </w:style>
  <w:style w:type="paragraph" w:styleId="IntenseQuote">
    <w:name w:val="Intense Quote"/>
    <w:basedOn w:val="Normal"/>
    <w:next w:val="Normal"/>
    <w:link w:val="IntenseQuoteChar"/>
    <w:uiPriority w:val="30"/>
    <w:qFormat/>
    <w:rsid w:val="00C07143"/>
    <w:pPr>
      <w:pBdr>
        <w:top w:val="single" w:sz="4" w:space="10" w:color="006372" w:themeColor="accent1" w:themeShade="BF"/>
        <w:bottom w:val="single" w:sz="4" w:space="10" w:color="006372" w:themeColor="accent1" w:themeShade="BF"/>
      </w:pBdr>
      <w:spacing w:before="360" w:after="360"/>
      <w:ind w:left="864" w:right="864"/>
      <w:jc w:val="center"/>
    </w:pPr>
    <w:rPr>
      <w:i/>
      <w:iCs/>
      <w:color w:val="006372" w:themeColor="accent1" w:themeShade="BF"/>
      <w:kern w:val="2"/>
      <w14:ligatures w14:val="standardContextual"/>
    </w:rPr>
  </w:style>
  <w:style w:type="character" w:customStyle="1" w:styleId="IntenseQuoteChar">
    <w:name w:val="Intense Quote Char"/>
    <w:basedOn w:val="DefaultParagraphFont"/>
    <w:link w:val="IntenseQuote"/>
    <w:uiPriority w:val="30"/>
    <w:rsid w:val="00C07143"/>
    <w:rPr>
      <w:i/>
      <w:iCs/>
      <w:color w:val="006372" w:themeColor="accent1" w:themeShade="BF"/>
      <w:kern w:val="2"/>
      <w14:ligatures w14:val="standardContextual"/>
    </w:rPr>
  </w:style>
  <w:style w:type="character" w:styleId="IntenseReference">
    <w:name w:val="Intense Reference"/>
    <w:basedOn w:val="DefaultParagraphFont"/>
    <w:uiPriority w:val="32"/>
    <w:qFormat/>
    <w:rsid w:val="00C07143"/>
    <w:rPr>
      <w:b/>
      <w:bCs/>
      <w:smallCaps/>
      <w:color w:val="006372" w:themeColor="accent1" w:themeShade="BF"/>
      <w:spacing w:val="5"/>
    </w:rPr>
  </w:style>
  <w:style w:type="character" w:styleId="FollowedHyperlink">
    <w:name w:val="FollowedHyperlink"/>
    <w:basedOn w:val="DefaultParagraphFont"/>
    <w:uiPriority w:val="99"/>
    <w:semiHidden/>
    <w:unhideWhenUsed/>
    <w:rsid w:val="00C07143"/>
    <w:rPr>
      <w:color w:val="CE372F" w:themeColor="followedHyperlink"/>
      <w:u w:val="single"/>
    </w:rPr>
  </w:style>
  <w:style w:type="paragraph" w:customStyle="1" w:styleId="paragraph">
    <w:name w:val="paragraph"/>
    <w:basedOn w:val="Normal"/>
    <w:rsid w:val="00C071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07143"/>
  </w:style>
  <w:style w:type="paragraph" w:styleId="FootnoteText">
    <w:name w:val="footnote text"/>
    <w:basedOn w:val="Normal"/>
    <w:link w:val="FootnoteTextChar"/>
    <w:uiPriority w:val="99"/>
    <w:semiHidden/>
    <w:unhideWhenUsed/>
    <w:rsid w:val="00C07143"/>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C07143"/>
    <w:rPr>
      <w:kern w:val="2"/>
      <w:sz w:val="20"/>
      <w:szCs w:val="20"/>
      <w14:ligatures w14:val="standardContextual"/>
    </w:rPr>
  </w:style>
  <w:style w:type="character" w:styleId="FootnoteReference">
    <w:name w:val="footnote reference"/>
    <w:aliases w:val="Footnotes refss,ftref,4_G,4_G Char Char Char Char Char,Footnotes refss Char Char Char Char Char,ftref Char Char Char Char Char,BVI fnr Char Char Char Char Char,BVI fnr Car Car Char Char Char Char Char"/>
    <w:basedOn w:val="DefaultParagraphFont"/>
    <w:uiPriority w:val="99"/>
    <w:unhideWhenUsed/>
    <w:rsid w:val="00C07143"/>
    <w:rPr>
      <w:vertAlign w:val="superscript"/>
    </w:rPr>
  </w:style>
  <w:style w:type="character" w:customStyle="1" w:styleId="field">
    <w:name w:val="field"/>
    <w:basedOn w:val="DefaultParagraphFont"/>
    <w:rsid w:val="00C07143"/>
  </w:style>
  <w:style w:type="character" w:styleId="CommentReference">
    <w:name w:val="annotation reference"/>
    <w:basedOn w:val="DefaultParagraphFont"/>
    <w:uiPriority w:val="99"/>
    <w:semiHidden/>
    <w:unhideWhenUsed/>
    <w:rsid w:val="00C07143"/>
    <w:rPr>
      <w:sz w:val="16"/>
      <w:szCs w:val="16"/>
    </w:rPr>
  </w:style>
  <w:style w:type="paragraph" w:styleId="CommentText">
    <w:name w:val="annotation text"/>
    <w:basedOn w:val="Normal"/>
    <w:link w:val="CommentTextChar"/>
    <w:uiPriority w:val="99"/>
    <w:unhideWhenUsed/>
    <w:rsid w:val="00C07143"/>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07143"/>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07143"/>
    <w:rPr>
      <w:b/>
      <w:bCs/>
    </w:rPr>
  </w:style>
  <w:style w:type="character" w:customStyle="1" w:styleId="CommentSubjectChar">
    <w:name w:val="Comment Subject Char"/>
    <w:basedOn w:val="CommentTextChar"/>
    <w:link w:val="CommentSubject"/>
    <w:uiPriority w:val="99"/>
    <w:semiHidden/>
    <w:rsid w:val="00C07143"/>
    <w:rPr>
      <w:b/>
      <w:bCs/>
      <w:kern w:val="2"/>
      <w:sz w:val="20"/>
      <w:szCs w:val="20"/>
      <w14:ligatures w14:val="standardContextual"/>
    </w:rPr>
  </w:style>
  <w:style w:type="paragraph" w:styleId="Revision">
    <w:name w:val="Revision"/>
    <w:hidden/>
    <w:uiPriority w:val="99"/>
    <w:semiHidden/>
    <w:rsid w:val="00C07143"/>
    <w:pPr>
      <w:spacing w:after="0" w:line="240" w:lineRule="auto"/>
    </w:pPr>
    <w:rPr>
      <w:kern w:val="2"/>
      <w14:ligatures w14:val="standardContextual"/>
    </w:rPr>
  </w:style>
  <w:style w:type="paragraph" w:styleId="EndnoteText">
    <w:name w:val="endnote text"/>
    <w:basedOn w:val="Normal"/>
    <w:link w:val="EndnoteTextChar"/>
    <w:uiPriority w:val="99"/>
    <w:semiHidden/>
    <w:unhideWhenUsed/>
    <w:rsid w:val="00C07143"/>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C07143"/>
    <w:rPr>
      <w:kern w:val="2"/>
      <w:sz w:val="20"/>
      <w:szCs w:val="20"/>
      <w14:ligatures w14:val="standardContextual"/>
    </w:rPr>
  </w:style>
  <w:style w:type="character" w:styleId="EndnoteReference">
    <w:name w:val="endnote reference"/>
    <w:basedOn w:val="DefaultParagraphFont"/>
    <w:uiPriority w:val="99"/>
    <w:semiHidden/>
    <w:unhideWhenUsed/>
    <w:rsid w:val="00C07143"/>
    <w:rPr>
      <w:vertAlign w:val="superscript"/>
    </w:rPr>
  </w:style>
  <w:style w:type="character" w:customStyle="1" w:styleId="Mention">
    <w:name w:val="Mention"/>
    <w:basedOn w:val="DefaultParagraphFont"/>
    <w:uiPriority w:val="99"/>
    <w:unhideWhenUsed/>
    <w:rsid w:val="009D7E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sv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thekoalanews.com/sky-high-agent-commissions-a-sign-of-panic/" TargetMode="External"/><Relationship Id="rId2" Type="http://schemas.openxmlformats.org/officeDocument/2006/relationships/hyperlink" Target="https://ministers.education.gov.au/clare/next-steps-strengthen-integrity-international-education" TargetMode="External"/><Relationship Id="rId1" Type="http://schemas.openxmlformats.org/officeDocument/2006/relationships/hyperlink" Target="https://oia.pmc.gov.au/published-impact-analyses-and-reports/improving-integrity-international-education-sector" TargetMode="External"/><Relationship Id="rId4" Type="http://schemas.openxmlformats.org/officeDocument/2006/relationships/hyperlink" Target="https://thekoalanews.com/universities-offer-large-incentives-for-2024-enrolments/"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7475</Words>
  <Characters>42609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2026-01-28T02:29:00Z</dcterms:created>
  <dcterms:modified xsi:type="dcterms:W3CDTF">2026-01-28T02:29:00Z</dcterms:modified>
</cp:coreProperties>
</file>