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A0D2C" w14:textId="0E4448CE" w:rsidR="00EA7587" w:rsidRDefault="00EA7587" w:rsidP="00166C15">
      <w:pPr>
        <w:spacing w:after="0" w:line="264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14:paraId="52C22D36" w14:textId="77777777" w:rsidR="00EA7587" w:rsidRDefault="00EA7587" w:rsidP="00166C15">
      <w:pPr>
        <w:spacing w:after="0" w:line="264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AF068FC" w14:textId="77777777" w:rsidR="00166C15" w:rsidRPr="007456F6" w:rsidRDefault="00A0756E" w:rsidP="00166C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="00166C15" w:rsidRPr="007456F6">
        <w:rPr>
          <w:rFonts w:ascii="Times New Roman" w:eastAsia="Times New Roman" w:hAnsi="Times New Roman" w:cs="Times New Roman"/>
          <w:sz w:val="24"/>
          <w:szCs w:val="24"/>
        </w:rPr>
        <w:t>Joanna Abhayaratna</w:t>
      </w:r>
    </w:p>
    <w:p w14:paraId="23F872CD" w14:textId="77777777" w:rsidR="00166C15" w:rsidRPr="007456F6" w:rsidRDefault="00166C15" w:rsidP="00166C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8310440"/>
      <w:r w:rsidRPr="007456F6">
        <w:rPr>
          <w:rFonts w:ascii="Times New Roman" w:eastAsia="Times New Roman" w:hAnsi="Times New Roman" w:cs="Times New Roman"/>
          <w:sz w:val="24"/>
          <w:szCs w:val="24"/>
        </w:rPr>
        <w:t>Executive Director</w:t>
      </w:r>
    </w:p>
    <w:p w14:paraId="0D58E1A4" w14:textId="77777777" w:rsidR="00166C15" w:rsidRPr="007456F6" w:rsidRDefault="00166C15" w:rsidP="00166C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6F6">
        <w:rPr>
          <w:rFonts w:ascii="Times New Roman" w:eastAsia="Times New Roman" w:hAnsi="Times New Roman" w:cs="Times New Roman"/>
          <w:sz w:val="24"/>
          <w:szCs w:val="24"/>
        </w:rPr>
        <w:t>Office of Impact Analysis</w:t>
      </w:r>
    </w:p>
    <w:bookmarkEnd w:id="1"/>
    <w:p w14:paraId="25D508C7" w14:textId="77777777" w:rsidR="00166C15" w:rsidRPr="007456F6" w:rsidRDefault="00166C15" w:rsidP="00166C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6F6">
        <w:rPr>
          <w:rFonts w:ascii="Times New Roman" w:eastAsia="Times New Roman" w:hAnsi="Times New Roman" w:cs="Times New Roman"/>
          <w:sz w:val="24"/>
          <w:szCs w:val="24"/>
        </w:rPr>
        <w:t>Department of the Prime Minister and Cabinet</w:t>
      </w:r>
    </w:p>
    <w:p w14:paraId="78BE769B" w14:textId="77777777" w:rsidR="007456F6" w:rsidRPr="007456F6" w:rsidRDefault="007456F6" w:rsidP="007456F6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6F6">
        <w:rPr>
          <w:rFonts w:ascii="Times New Roman" w:eastAsia="Times New Roman" w:hAnsi="Times New Roman" w:cs="Times New Roman"/>
          <w:sz w:val="24"/>
          <w:szCs w:val="24"/>
        </w:rPr>
        <w:t>1 National Circuit</w:t>
      </w:r>
    </w:p>
    <w:p w14:paraId="3DD920FA" w14:textId="77777777" w:rsidR="007456F6" w:rsidRPr="007456F6" w:rsidRDefault="007456F6" w:rsidP="007456F6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6F6">
        <w:rPr>
          <w:rFonts w:ascii="Times New Roman" w:eastAsia="Times New Roman" w:hAnsi="Times New Roman" w:cs="Times New Roman"/>
          <w:sz w:val="24"/>
          <w:szCs w:val="24"/>
        </w:rPr>
        <w:t>BARTON ACT 2600</w:t>
      </w:r>
    </w:p>
    <w:p w14:paraId="4DD2FCA6" w14:textId="77777777" w:rsidR="007456F6" w:rsidRPr="007456F6" w:rsidRDefault="007456F6" w:rsidP="007456F6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334060" w14:textId="77777777" w:rsidR="00166C15" w:rsidRPr="007456F6" w:rsidRDefault="007456F6" w:rsidP="007456F6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6F6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10" w:history="1">
        <w:r w:rsidRPr="007456F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Helpdesk-OIA@pmc.gov.au</w:t>
        </w:r>
      </w:hyperlink>
    </w:p>
    <w:p w14:paraId="73397512" w14:textId="77777777" w:rsidR="00166C15" w:rsidRPr="007456F6" w:rsidRDefault="00166C15" w:rsidP="007456F6">
      <w:pPr>
        <w:spacing w:before="240" w:after="12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6F6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="00A0756E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="00A0756E" w:rsidRPr="007456F6">
        <w:rPr>
          <w:rFonts w:ascii="Times New Roman" w:eastAsia="Times New Roman" w:hAnsi="Times New Roman" w:cs="Times New Roman"/>
          <w:sz w:val="24"/>
          <w:szCs w:val="24"/>
        </w:rPr>
        <w:t>Abhayaratna</w:t>
      </w:r>
    </w:p>
    <w:p w14:paraId="261929BD" w14:textId="77777777" w:rsidR="00853CB2" w:rsidRDefault="00853CB2" w:rsidP="007456F6">
      <w:pPr>
        <w:spacing w:before="120" w:after="120" w:line="264" w:lineRule="auto"/>
        <w:rPr>
          <w:rFonts w:ascii="Arial" w:eastAsia="Times New Roman" w:hAnsi="Arial" w:cs="Arial"/>
          <w:b/>
          <w:sz w:val="24"/>
          <w:szCs w:val="24"/>
        </w:rPr>
      </w:pPr>
    </w:p>
    <w:p w14:paraId="7E4D1757" w14:textId="4837F75B" w:rsidR="00166C15" w:rsidRPr="007456F6" w:rsidRDefault="007456F6" w:rsidP="007456F6">
      <w:pPr>
        <w:spacing w:before="120" w:after="120" w:line="264" w:lineRule="auto"/>
        <w:rPr>
          <w:rFonts w:ascii="Arial" w:eastAsia="Times New Roman" w:hAnsi="Arial" w:cs="Arial"/>
          <w:b/>
          <w:sz w:val="24"/>
          <w:szCs w:val="24"/>
        </w:rPr>
      </w:pPr>
      <w:r w:rsidRPr="007456F6">
        <w:rPr>
          <w:rFonts w:ascii="Arial" w:eastAsia="Times New Roman" w:hAnsi="Arial" w:cs="Arial"/>
          <w:b/>
          <w:sz w:val="24"/>
          <w:szCs w:val="24"/>
        </w:rPr>
        <w:t>Certification of Sunsetting Instrument</w:t>
      </w:r>
    </w:p>
    <w:p w14:paraId="26841120" w14:textId="77777777" w:rsidR="00853CB2" w:rsidRDefault="00853CB2" w:rsidP="007456F6">
      <w:pPr>
        <w:spacing w:before="120" w:after="12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8562B5" w14:textId="2E62FCAC" w:rsidR="00166C15" w:rsidRPr="007456F6" w:rsidRDefault="00166C15" w:rsidP="007456F6">
      <w:pPr>
        <w:spacing w:before="120" w:after="12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6F6">
        <w:rPr>
          <w:rFonts w:ascii="Times New Roman" w:eastAsia="Times New Roman" w:hAnsi="Times New Roman" w:cs="Times New Roman"/>
          <w:sz w:val="24"/>
          <w:szCs w:val="24"/>
        </w:rPr>
        <w:t xml:space="preserve">I am writing to the Office of Impact Analysis (OIA) regarding the </w:t>
      </w:r>
      <w:r w:rsidR="00EA7587" w:rsidRPr="00EA7587">
        <w:rPr>
          <w:rFonts w:ascii="Times New Roman" w:eastAsia="Times New Roman" w:hAnsi="Times New Roman" w:cs="Times New Roman"/>
          <w:sz w:val="24"/>
          <w:szCs w:val="24"/>
        </w:rPr>
        <w:t>GST-free Supply (Drugs and Medicinal Preparations) Determination 2015</w:t>
      </w:r>
      <w:r w:rsidR="001A2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6F6">
        <w:rPr>
          <w:rFonts w:ascii="Times New Roman" w:eastAsia="Times New Roman" w:hAnsi="Times New Roman" w:cs="Times New Roman"/>
          <w:sz w:val="24"/>
          <w:szCs w:val="24"/>
        </w:rPr>
        <w:t xml:space="preserve">which, as per the </w:t>
      </w:r>
      <w:r w:rsidRPr="007456F6">
        <w:rPr>
          <w:rFonts w:ascii="Times New Roman" w:eastAsia="Times New Roman" w:hAnsi="Times New Roman" w:cs="Times New Roman"/>
          <w:i/>
          <w:sz w:val="24"/>
          <w:szCs w:val="24"/>
        </w:rPr>
        <w:t>Legislation Act 2003</w:t>
      </w:r>
      <w:r w:rsidRPr="007456F6">
        <w:rPr>
          <w:rFonts w:ascii="Times New Roman" w:eastAsia="Times New Roman" w:hAnsi="Times New Roman" w:cs="Times New Roman"/>
          <w:sz w:val="24"/>
          <w:szCs w:val="24"/>
        </w:rPr>
        <w:t xml:space="preserve">, had been scheduled to sunset on </w:t>
      </w:r>
      <w:r w:rsidR="00EA7587" w:rsidRPr="001A2887">
        <w:rPr>
          <w:rFonts w:ascii="Times New Roman" w:eastAsia="Times New Roman" w:hAnsi="Times New Roman" w:cs="Times New Roman"/>
          <w:sz w:val="24"/>
          <w:szCs w:val="24"/>
        </w:rPr>
        <w:t>1 October 2025</w:t>
      </w:r>
      <w:r w:rsidRPr="001A28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53CB2">
        <w:rPr>
          <w:rFonts w:ascii="Times New Roman" w:eastAsia="Times New Roman" w:hAnsi="Times New Roman" w:cs="Times New Roman"/>
          <w:sz w:val="24"/>
          <w:szCs w:val="24"/>
        </w:rPr>
        <w:t>The Department of Health, Disability and Ageing</w:t>
      </w:r>
      <w:r w:rsidRPr="001A2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CB2">
        <w:rPr>
          <w:rFonts w:ascii="Times New Roman" w:eastAsia="Times New Roman" w:hAnsi="Times New Roman" w:cs="Times New Roman"/>
          <w:sz w:val="24"/>
          <w:szCs w:val="24"/>
        </w:rPr>
        <w:t xml:space="preserve">(the Department) </w:t>
      </w:r>
      <w:r w:rsidRPr="001A2887">
        <w:rPr>
          <w:rFonts w:ascii="Times New Roman" w:eastAsia="Times New Roman" w:hAnsi="Times New Roman" w:cs="Times New Roman"/>
          <w:sz w:val="24"/>
          <w:szCs w:val="24"/>
        </w:rPr>
        <w:t>has decided that the instrument is to be remade without significant amendment</w:t>
      </w:r>
      <w:r w:rsidRPr="00EA75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E28AE92" w14:textId="3A49C96A" w:rsidR="00166C15" w:rsidRPr="007456F6" w:rsidRDefault="00166C15" w:rsidP="007456F6">
      <w:pPr>
        <w:spacing w:before="120" w:after="12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6F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A7587" w:rsidRPr="00EA7587">
        <w:rPr>
          <w:rFonts w:ascii="Times New Roman" w:eastAsia="Times New Roman" w:hAnsi="Times New Roman" w:cs="Times New Roman"/>
          <w:sz w:val="24"/>
          <w:szCs w:val="24"/>
        </w:rPr>
        <w:t xml:space="preserve">Department </w:t>
      </w:r>
      <w:r w:rsidRPr="007456F6">
        <w:rPr>
          <w:rFonts w:ascii="Times New Roman" w:eastAsia="Times New Roman" w:hAnsi="Times New Roman" w:cs="Times New Roman"/>
          <w:sz w:val="24"/>
          <w:szCs w:val="24"/>
        </w:rPr>
        <w:t xml:space="preserve">certifies that </w:t>
      </w:r>
      <w:r w:rsidR="00EA7587" w:rsidRPr="00EA7587">
        <w:rPr>
          <w:rFonts w:ascii="Times New Roman" w:eastAsia="Times New Roman" w:hAnsi="Times New Roman" w:cs="Times New Roman"/>
          <w:sz w:val="24"/>
          <w:szCs w:val="24"/>
        </w:rPr>
        <w:t xml:space="preserve">the GST-free Supply (Drugs and Medicinal Preparations) </w:t>
      </w:r>
      <w:bookmarkStart w:id="2" w:name="_Hlk208310521"/>
      <w:r w:rsidR="00EA7587" w:rsidRPr="00EA7587">
        <w:rPr>
          <w:rFonts w:ascii="Times New Roman" w:eastAsia="Times New Roman" w:hAnsi="Times New Roman" w:cs="Times New Roman"/>
          <w:sz w:val="24"/>
          <w:szCs w:val="24"/>
        </w:rPr>
        <w:t>Determination 2015</w:t>
      </w:r>
      <w:r w:rsidRPr="007456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456F6">
        <w:rPr>
          <w:rFonts w:ascii="Times New Roman" w:eastAsia="Times New Roman" w:hAnsi="Times New Roman" w:cs="Times New Roman"/>
          <w:sz w:val="24"/>
          <w:szCs w:val="24"/>
        </w:rPr>
        <w:t>is operating effectively and efficiently, and that therefore</w:t>
      </w:r>
      <w:r w:rsidR="00807D81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 w:rsidRPr="007456F6">
        <w:rPr>
          <w:rFonts w:ascii="Times New Roman" w:eastAsia="Times New Roman" w:hAnsi="Times New Roman" w:cs="Times New Roman"/>
          <w:sz w:val="24"/>
          <w:szCs w:val="24"/>
        </w:rPr>
        <w:t xml:space="preserve"> Impact Analysis is not required for this legislation to be remade. </w:t>
      </w:r>
      <w:bookmarkEnd w:id="2"/>
    </w:p>
    <w:p w14:paraId="49BDD168" w14:textId="16BC5F89" w:rsidR="00166C15" w:rsidRPr="007456F6" w:rsidRDefault="00166C15" w:rsidP="007456F6">
      <w:pPr>
        <w:spacing w:before="120" w:after="12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6F6">
        <w:rPr>
          <w:rFonts w:ascii="Times New Roman" w:eastAsia="Times New Roman" w:hAnsi="Times New Roman" w:cs="Times New Roman"/>
          <w:sz w:val="24"/>
          <w:szCs w:val="24"/>
        </w:rPr>
        <w:t>Th</w:t>
      </w:r>
      <w:r w:rsidR="00853CB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456F6">
        <w:rPr>
          <w:rFonts w:ascii="Times New Roman" w:eastAsia="Times New Roman" w:hAnsi="Times New Roman" w:cs="Times New Roman"/>
          <w:sz w:val="24"/>
          <w:szCs w:val="24"/>
        </w:rPr>
        <w:t xml:space="preserve"> assessment has been informed by a </w:t>
      </w:r>
      <w:r w:rsidR="00853CB2">
        <w:rPr>
          <w:rFonts w:ascii="Times New Roman" w:eastAsia="Times New Roman" w:hAnsi="Times New Roman" w:cs="Times New Roman"/>
          <w:sz w:val="24"/>
          <w:szCs w:val="24"/>
        </w:rPr>
        <w:t xml:space="preserve">public </w:t>
      </w:r>
      <w:r w:rsidRPr="007456F6">
        <w:rPr>
          <w:rFonts w:ascii="Times New Roman" w:eastAsia="Times New Roman" w:hAnsi="Times New Roman" w:cs="Times New Roman"/>
          <w:sz w:val="24"/>
          <w:szCs w:val="24"/>
        </w:rPr>
        <w:t xml:space="preserve">consultation process which </w:t>
      </w:r>
      <w:r w:rsidR="00853CB2">
        <w:rPr>
          <w:rFonts w:ascii="Times New Roman" w:eastAsia="Times New Roman" w:hAnsi="Times New Roman" w:cs="Times New Roman"/>
          <w:sz w:val="24"/>
          <w:szCs w:val="24"/>
        </w:rPr>
        <w:t xml:space="preserve">took place from 21 August to 8 September 2025, and </w:t>
      </w:r>
      <w:r w:rsidRPr="007456F6">
        <w:rPr>
          <w:rFonts w:ascii="Times New Roman" w:eastAsia="Times New Roman" w:hAnsi="Times New Roman" w:cs="Times New Roman"/>
          <w:sz w:val="24"/>
          <w:szCs w:val="24"/>
        </w:rPr>
        <w:t xml:space="preserve">involved </w:t>
      </w:r>
      <w:r w:rsidR="001A2887" w:rsidRPr="000403CB">
        <w:rPr>
          <w:rFonts w:ascii="Times New Roman" w:eastAsia="Times New Roman" w:hAnsi="Times New Roman" w:cs="Times New Roman"/>
          <w:sz w:val="24"/>
          <w:szCs w:val="24"/>
        </w:rPr>
        <w:t>peak bodies representing pharmacy, medical practitioners, health consumers and the general public</w:t>
      </w:r>
      <w:r w:rsidRPr="001A28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2887">
        <w:rPr>
          <w:rFonts w:ascii="Times New Roman" w:eastAsia="Times New Roman" w:hAnsi="Times New Roman" w:cs="Times New Roman"/>
          <w:sz w:val="24"/>
          <w:szCs w:val="24"/>
        </w:rPr>
        <w:t xml:space="preserve">The consultation received </w:t>
      </w:r>
      <w:r w:rsidR="006331A7" w:rsidRPr="00FD24B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FD24B4" w:rsidRPr="00FD24B4">
        <w:rPr>
          <w:rFonts w:ascii="Times New Roman" w:eastAsia="Times New Roman" w:hAnsi="Times New Roman" w:cs="Times New Roman"/>
          <w:sz w:val="24"/>
          <w:szCs w:val="24"/>
        </w:rPr>
        <w:t>9</w:t>
      </w:r>
      <w:r w:rsidR="001A2887">
        <w:rPr>
          <w:rFonts w:ascii="Times New Roman" w:eastAsia="Times New Roman" w:hAnsi="Times New Roman" w:cs="Times New Roman"/>
          <w:sz w:val="24"/>
          <w:szCs w:val="24"/>
        </w:rPr>
        <w:t xml:space="preserve"> responses. </w:t>
      </w:r>
      <w:r w:rsidR="00FD24B4">
        <w:rPr>
          <w:rFonts w:ascii="Times New Roman" w:eastAsia="Times New Roman" w:hAnsi="Times New Roman" w:cs="Times New Roman"/>
          <w:sz w:val="24"/>
          <w:szCs w:val="24"/>
        </w:rPr>
        <w:t>137 of the</w:t>
      </w:r>
      <w:r w:rsidR="001A2887">
        <w:rPr>
          <w:rFonts w:ascii="Times New Roman" w:eastAsia="Times New Roman" w:hAnsi="Times New Roman" w:cs="Times New Roman"/>
          <w:sz w:val="24"/>
          <w:szCs w:val="24"/>
        </w:rPr>
        <w:t xml:space="preserve"> responses indicated support for the instrument being remade without significant amendment.</w:t>
      </w:r>
      <w:r w:rsidR="00FD2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176FBB" w14:textId="77777777" w:rsidR="00166C15" w:rsidRPr="007456F6" w:rsidRDefault="00166C15" w:rsidP="007456F6">
      <w:pPr>
        <w:spacing w:before="120" w:after="12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6F6">
        <w:rPr>
          <w:rFonts w:ascii="Times New Roman" w:eastAsia="Times New Roman" w:hAnsi="Times New Roman" w:cs="Times New Roman"/>
          <w:sz w:val="24"/>
          <w:szCs w:val="24"/>
        </w:rPr>
        <w:t>I also note that the regulatory burden to people, business, or community organisations has been quantified using the Australian Government’s Regulatory Burden Measurement framework. These are provided below.</w:t>
      </w:r>
    </w:p>
    <w:p w14:paraId="28261075" w14:textId="769AB9AD" w:rsidR="00166C15" w:rsidRPr="007456F6" w:rsidRDefault="00166C15" w:rsidP="007456F6">
      <w:pPr>
        <w:spacing w:before="120" w:after="12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6F6">
        <w:rPr>
          <w:rFonts w:ascii="Times New Roman" w:eastAsia="Times New Roman" w:hAnsi="Times New Roman" w:cs="Times New Roman"/>
          <w:sz w:val="24"/>
          <w:szCs w:val="24"/>
        </w:rPr>
        <w:t>Average annual regulatory costs (</w:t>
      </w:r>
      <w:r w:rsidR="00853CB2">
        <w:rPr>
          <w:rFonts w:ascii="Times New Roman" w:eastAsia="Times New Roman" w:hAnsi="Times New Roman" w:cs="Times New Roman"/>
          <w:sz w:val="24"/>
          <w:szCs w:val="24"/>
        </w:rPr>
        <w:t>compared to maintaining the current GST</w:t>
      </w:r>
      <w:r w:rsidR="00F35D56">
        <w:rPr>
          <w:rFonts w:ascii="Times New Roman" w:eastAsia="Times New Roman" w:hAnsi="Times New Roman" w:cs="Times New Roman"/>
          <w:sz w:val="24"/>
          <w:szCs w:val="24"/>
        </w:rPr>
        <w:t>-free</w:t>
      </w:r>
      <w:r w:rsidR="00853CB2">
        <w:rPr>
          <w:rFonts w:ascii="Times New Roman" w:eastAsia="Times New Roman" w:hAnsi="Times New Roman" w:cs="Times New Roman"/>
          <w:sz w:val="24"/>
          <w:szCs w:val="24"/>
        </w:rPr>
        <w:t xml:space="preserve"> status of the products</w:t>
      </w:r>
      <w:r w:rsidRPr="007456F6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3CB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LightGrid-Accent21"/>
        <w:tblW w:w="9356" w:type="dxa"/>
        <w:tblInd w:w="108" w:type="dxa"/>
        <w:tblLayout w:type="fixed"/>
        <w:tblLook w:val="04A0" w:firstRow="1" w:lastRow="0" w:firstColumn="1" w:lastColumn="0" w:noHBand="0" w:noVBand="1"/>
        <w:tblDescription w:val="Table 1: Regulatory burden estimate template"/>
      </w:tblPr>
      <w:tblGrid>
        <w:gridCol w:w="2009"/>
        <w:gridCol w:w="1733"/>
        <w:gridCol w:w="1871"/>
        <w:gridCol w:w="1871"/>
        <w:gridCol w:w="1872"/>
      </w:tblGrid>
      <w:tr w:rsidR="00166C15" w:rsidRPr="007456F6" w14:paraId="168D16D8" w14:textId="77777777" w:rsidTr="00166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shd w:val="clear" w:color="auto" w:fill="auto"/>
            <w:noWrap/>
          </w:tcPr>
          <w:p w14:paraId="575222D5" w14:textId="77777777" w:rsidR="00166C15" w:rsidRPr="007456F6" w:rsidRDefault="00166C15" w:rsidP="007456F6">
            <w:pPr>
              <w:spacing w:before="120" w:after="120" w:line="264" w:lineRule="auto"/>
              <w:rPr>
                <w:rFonts w:ascii="Times New Roman" w:hAnsi="Times New Roman"/>
              </w:rPr>
            </w:pPr>
            <w:r w:rsidRPr="007456F6">
              <w:rPr>
                <w:rFonts w:ascii="Times New Roman" w:hAnsi="Times New Roman"/>
              </w:rPr>
              <w:t>Change in costs ($ million)</w:t>
            </w:r>
          </w:p>
        </w:tc>
        <w:tc>
          <w:tcPr>
            <w:tcW w:w="1733" w:type="dxa"/>
            <w:shd w:val="clear" w:color="auto" w:fill="auto"/>
            <w:noWrap/>
          </w:tcPr>
          <w:p w14:paraId="050F266A" w14:textId="77777777" w:rsidR="00166C15" w:rsidRPr="007456F6" w:rsidRDefault="00166C15" w:rsidP="007456F6">
            <w:pPr>
              <w:spacing w:before="120"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456F6">
              <w:rPr>
                <w:rFonts w:ascii="Times New Roman" w:hAnsi="Times New Roman"/>
              </w:rPr>
              <w:t>Business</w:t>
            </w:r>
          </w:p>
        </w:tc>
        <w:tc>
          <w:tcPr>
            <w:tcW w:w="1871" w:type="dxa"/>
            <w:shd w:val="clear" w:color="auto" w:fill="auto"/>
            <w:noWrap/>
          </w:tcPr>
          <w:p w14:paraId="31416C9A" w14:textId="77777777" w:rsidR="00166C15" w:rsidRPr="007456F6" w:rsidRDefault="00166C15" w:rsidP="007456F6">
            <w:pPr>
              <w:spacing w:before="120"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456F6">
              <w:rPr>
                <w:rFonts w:ascii="Times New Roman" w:hAnsi="Times New Roman"/>
              </w:rPr>
              <w:t>Community organisations</w:t>
            </w:r>
          </w:p>
        </w:tc>
        <w:tc>
          <w:tcPr>
            <w:tcW w:w="1871" w:type="dxa"/>
            <w:shd w:val="clear" w:color="auto" w:fill="auto"/>
            <w:noWrap/>
          </w:tcPr>
          <w:p w14:paraId="35F01D59" w14:textId="77777777" w:rsidR="00166C15" w:rsidRPr="007456F6" w:rsidRDefault="00166C15" w:rsidP="007456F6">
            <w:pPr>
              <w:spacing w:before="120"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456F6">
              <w:rPr>
                <w:rFonts w:ascii="Times New Roman" w:hAnsi="Times New Roman"/>
              </w:rPr>
              <w:t>People</w:t>
            </w:r>
          </w:p>
        </w:tc>
        <w:tc>
          <w:tcPr>
            <w:tcW w:w="1872" w:type="dxa"/>
            <w:shd w:val="clear" w:color="auto" w:fill="auto"/>
            <w:noWrap/>
          </w:tcPr>
          <w:p w14:paraId="57A2AB29" w14:textId="77777777" w:rsidR="00166C15" w:rsidRPr="007456F6" w:rsidRDefault="00166C15" w:rsidP="007456F6">
            <w:pPr>
              <w:spacing w:before="120"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456F6">
              <w:rPr>
                <w:rFonts w:ascii="Times New Roman" w:hAnsi="Times New Roman"/>
              </w:rPr>
              <w:t>Total change in costs</w:t>
            </w:r>
          </w:p>
        </w:tc>
      </w:tr>
      <w:tr w:rsidR="00166C15" w:rsidRPr="007456F6" w14:paraId="0EFAA166" w14:textId="77777777" w:rsidTr="00166C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noWrap/>
          </w:tcPr>
          <w:p w14:paraId="3DB212DE" w14:textId="77777777" w:rsidR="00166C15" w:rsidRPr="007456F6" w:rsidRDefault="00166C15" w:rsidP="007456F6">
            <w:pPr>
              <w:spacing w:before="120" w:after="120" w:line="264" w:lineRule="auto"/>
              <w:rPr>
                <w:rFonts w:ascii="Times New Roman" w:hAnsi="Times New Roman"/>
                <w:b w:val="0"/>
              </w:rPr>
            </w:pPr>
            <w:r w:rsidRPr="007456F6">
              <w:rPr>
                <w:rFonts w:ascii="Times New Roman" w:hAnsi="Times New Roman"/>
                <w:b w:val="0"/>
              </w:rPr>
              <w:t>Total, by sector</w:t>
            </w:r>
          </w:p>
        </w:tc>
        <w:tc>
          <w:tcPr>
            <w:tcW w:w="1733" w:type="dxa"/>
            <w:noWrap/>
          </w:tcPr>
          <w:p w14:paraId="738AA38A" w14:textId="07B96015" w:rsidR="00166C15" w:rsidRPr="007456F6" w:rsidRDefault="00166C15" w:rsidP="007456F6">
            <w:pPr>
              <w:spacing w:before="120"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56F6">
              <w:rPr>
                <w:rFonts w:ascii="Times New Roman" w:hAnsi="Times New Roman" w:cs="Times New Roman"/>
              </w:rPr>
              <w:t>$</w:t>
            </w:r>
            <w:r w:rsidR="000C1B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  <w:noWrap/>
          </w:tcPr>
          <w:p w14:paraId="28B0DD9F" w14:textId="6EE1AED6" w:rsidR="00166C15" w:rsidRPr="007456F6" w:rsidRDefault="00166C15" w:rsidP="007456F6">
            <w:pPr>
              <w:spacing w:before="120"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56F6">
              <w:rPr>
                <w:rFonts w:ascii="Times New Roman" w:hAnsi="Times New Roman" w:cs="Times New Roman"/>
              </w:rPr>
              <w:t>$</w:t>
            </w:r>
            <w:r w:rsidR="000C1B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  <w:noWrap/>
          </w:tcPr>
          <w:p w14:paraId="2432D33D" w14:textId="2048A93C" w:rsidR="00166C15" w:rsidRPr="007456F6" w:rsidRDefault="00166C15" w:rsidP="007456F6">
            <w:pPr>
              <w:spacing w:before="120"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56F6">
              <w:rPr>
                <w:rFonts w:ascii="Times New Roman" w:hAnsi="Times New Roman" w:cs="Times New Roman"/>
              </w:rPr>
              <w:t>$</w:t>
            </w:r>
            <w:r w:rsidR="000C1B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2" w:type="dxa"/>
            <w:noWrap/>
          </w:tcPr>
          <w:p w14:paraId="4CDE80A9" w14:textId="2CDD0351" w:rsidR="00166C15" w:rsidRPr="007456F6" w:rsidRDefault="00166C15" w:rsidP="007456F6">
            <w:pPr>
              <w:spacing w:before="120"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56F6">
              <w:rPr>
                <w:rFonts w:ascii="Times New Roman" w:hAnsi="Times New Roman" w:cs="Times New Roman"/>
              </w:rPr>
              <w:t>$</w:t>
            </w:r>
            <w:r w:rsidR="000C1B8D">
              <w:rPr>
                <w:rFonts w:ascii="Times New Roman" w:hAnsi="Times New Roman" w:cs="Times New Roman"/>
              </w:rPr>
              <w:t>0</w:t>
            </w:r>
          </w:p>
        </w:tc>
      </w:tr>
    </w:tbl>
    <w:p w14:paraId="400E7CE7" w14:textId="77777777" w:rsidR="00166C15" w:rsidRPr="007456F6" w:rsidRDefault="00166C15" w:rsidP="007456F6">
      <w:pPr>
        <w:spacing w:before="120" w:after="12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6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 acknowledge that </w:t>
      </w:r>
      <w:r w:rsidR="005F26D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7456F6">
        <w:rPr>
          <w:rFonts w:ascii="Times New Roman" w:eastAsia="Times New Roman" w:hAnsi="Times New Roman" w:cs="Times New Roman"/>
          <w:sz w:val="24"/>
          <w:szCs w:val="24"/>
        </w:rPr>
        <w:t xml:space="preserve">OIA will publish this letter for transparency purposes. </w:t>
      </w:r>
    </w:p>
    <w:p w14:paraId="06DA8243" w14:textId="77777777" w:rsidR="00166C15" w:rsidRDefault="00166C15" w:rsidP="007456F6">
      <w:pPr>
        <w:spacing w:before="240" w:after="12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6F6">
        <w:rPr>
          <w:rFonts w:ascii="Times New Roman" w:eastAsia="Times New Roman" w:hAnsi="Times New Roman" w:cs="Times New Roman"/>
          <w:sz w:val="24"/>
          <w:szCs w:val="24"/>
        </w:rPr>
        <w:t>Yours sincerely</w:t>
      </w:r>
    </w:p>
    <w:p w14:paraId="07C3FDBD" w14:textId="77777777" w:rsidR="007456F6" w:rsidRDefault="007456F6" w:rsidP="00166C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E9F463" w14:textId="77777777" w:rsidR="007456F6" w:rsidRDefault="007456F6" w:rsidP="00166C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511A56" w14:textId="77777777" w:rsidR="007456F6" w:rsidRPr="007456F6" w:rsidRDefault="007456F6" w:rsidP="00166C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6C1AB4" w14:textId="60BEE956" w:rsidR="007456F6" w:rsidRPr="001A2887" w:rsidRDefault="00EA7587" w:rsidP="00166C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887">
        <w:rPr>
          <w:rFonts w:ascii="Times New Roman" w:eastAsia="Times New Roman" w:hAnsi="Times New Roman" w:cs="Times New Roman"/>
          <w:sz w:val="24"/>
          <w:szCs w:val="24"/>
        </w:rPr>
        <w:t>Mary Wood</w:t>
      </w:r>
    </w:p>
    <w:p w14:paraId="56492D7A" w14:textId="65047BF3" w:rsidR="007456F6" w:rsidRPr="001A2887" w:rsidRDefault="00166C15" w:rsidP="00166C1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887">
        <w:rPr>
          <w:rFonts w:ascii="Times New Roman" w:eastAsia="Times New Roman" w:hAnsi="Times New Roman" w:cs="Times New Roman"/>
          <w:sz w:val="24"/>
          <w:szCs w:val="24"/>
        </w:rPr>
        <w:t>Deputy Secretary</w:t>
      </w:r>
    </w:p>
    <w:p w14:paraId="10F9E230" w14:textId="7BEB596C" w:rsidR="001A2887" w:rsidRPr="001A2887" w:rsidRDefault="00EA7587" w:rsidP="001A2887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887">
        <w:rPr>
          <w:rFonts w:ascii="Times New Roman" w:eastAsia="Times New Roman" w:hAnsi="Times New Roman" w:cs="Times New Roman"/>
          <w:sz w:val="24"/>
          <w:szCs w:val="24"/>
        </w:rPr>
        <w:t>Department of Health, Disability and Age</w:t>
      </w:r>
      <w:r w:rsidR="006E78E1">
        <w:rPr>
          <w:rFonts w:ascii="Times New Roman" w:eastAsia="Times New Roman" w:hAnsi="Times New Roman" w:cs="Times New Roman"/>
          <w:sz w:val="24"/>
          <w:szCs w:val="24"/>
        </w:rPr>
        <w:t>ing</w:t>
      </w:r>
    </w:p>
    <w:p w14:paraId="6E4C57DB" w14:textId="79C18AE1" w:rsidR="00187B58" w:rsidRPr="001A2887" w:rsidRDefault="00EA7587" w:rsidP="001A2887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887">
        <w:rPr>
          <w:rFonts w:ascii="Times New Roman" w:eastAsia="Times New Roman" w:hAnsi="Times New Roman" w:cs="Times New Roman"/>
          <w:sz w:val="24"/>
          <w:szCs w:val="24"/>
          <w:highlight w:val="yellow"/>
        </w:rPr>
        <w:t>XX</w:t>
      </w:r>
      <w:r w:rsidRPr="001A2887">
        <w:rPr>
          <w:rFonts w:ascii="Times New Roman" w:eastAsia="Times New Roman" w:hAnsi="Times New Roman" w:cs="Times New Roman"/>
          <w:sz w:val="24"/>
          <w:szCs w:val="24"/>
        </w:rPr>
        <w:t xml:space="preserve"> September 2025</w:t>
      </w:r>
    </w:p>
    <w:p w14:paraId="6EB805EF" w14:textId="24F45363" w:rsidR="000355E9" w:rsidRPr="00213E2F" w:rsidRDefault="000355E9" w:rsidP="00166C15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0355E9" w:rsidRPr="00213E2F" w:rsidSect="00853CB2"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A2152" w14:textId="77777777" w:rsidR="004809DB" w:rsidRDefault="004809DB" w:rsidP="00166C15">
      <w:pPr>
        <w:spacing w:after="0" w:line="240" w:lineRule="auto"/>
      </w:pPr>
      <w:r>
        <w:separator/>
      </w:r>
    </w:p>
  </w:endnote>
  <w:endnote w:type="continuationSeparator" w:id="0">
    <w:p w14:paraId="5F15581C" w14:textId="77777777" w:rsidR="004809DB" w:rsidRDefault="004809DB" w:rsidP="0016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132DD" w14:textId="77777777" w:rsidR="004809DB" w:rsidRDefault="004809DB" w:rsidP="00166C15">
      <w:pPr>
        <w:spacing w:after="0" w:line="240" w:lineRule="auto"/>
      </w:pPr>
      <w:r>
        <w:separator/>
      </w:r>
    </w:p>
  </w:footnote>
  <w:footnote w:type="continuationSeparator" w:id="0">
    <w:p w14:paraId="42F37D3A" w14:textId="77777777" w:rsidR="004809DB" w:rsidRDefault="004809DB" w:rsidP="00166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87146" w14:textId="7BD3DC96" w:rsidR="00853CB2" w:rsidRPr="00853CB2" w:rsidRDefault="00853CB2" w:rsidP="00853CB2">
    <w:pPr>
      <w:pStyle w:val="Header"/>
    </w:pPr>
    <w:r>
      <w:rPr>
        <w:noProof/>
        <w:sz w:val="28"/>
        <w:szCs w:val="28"/>
        <w:lang w:eastAsia="en-AU"/>
      </w:rPr>
      <w:drawing>
        <wp:inline distT="0" distB="0" distL="0" distR="0" wp14:anchorId="09C25397" wp14:editId="7F0D8D4F">
          <wp:extent cx="1610543" cy="1271751"/>
          <wp:effectExtent l="0" t="0" r="8890" b="5080"/>
          <wp:docPr id="1077002744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176817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621" cy="12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15"/>
    <w:rsid w:val="000355E9"/>
    <w:rsid w:val="000403CB"/>
    <w:rsid w:val="00067D9A"/>
    <w:rsid w:val="000C1B8D"/>
    <w:rsid w:val="00166C15"/>
    <w:rsid w:val="00187B58"/>
    <w:rsid w:val="001A2887"/>
    <w:rsid w:val="00213E2F"/>
    <w:rsid w:val="00220A97"/>
    <w:rsid w:val="00324EF8"/>
    <w:rsid w:val="004809DB"/>
    <w:rsid w:val="005A3D4E"/>
    <w:rsid w:val="005B7AAB"/>
    <w:rsid w:val="005F26DF"/>
    <w:rsid w:val="006331A7"/>
    <w:rsid w:val="006E78E1"/>
    <w:rsid w:val="00735485"/>
    <w:rsid w:val="007422E4"/>
    <w:rsid w:val="007456F6"/>
    <w:rsid w:val="00807D81"/>
    <w:rsid w:val="00853CB2"/>
    <w:rsid w:val="00941C5C"/>
    <w:rsid w:val="00A0756E"/>
    <w:rsid w:val="00B8406C"/>
    <w:rsid w:val="00BB4F57"/>
    <w:rsid w:val="00C2498A"/>
    <w:rsid w:val="00DC70BD"/>
    <w:rsid w:val="00EA7587"/>
    <w:rsid w:val="00F35D56"/>
    <w:rsid w:val="00F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D9D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21">
    <w:name w:val="Light Grid - Accent 21"/>
    <w:basedOn w:val="TableNormal"/>
    <w:next w:val="LightGrid-Accent2"/>
    <w:uiPriority w:val="62"/>
    <w:rsid w:val="00166C15"/>
    <w:pPr>
      <w:spacing w:after="0" w:line="240" w:lineRule="auto"/>
    </w:pPr>
    <w:rPr>
      <w:rFonts w:eastAsia="Times New Roman"/>
      <w:sz w:val="24"/>
      <w:szCs w:val="24"/>
    </w:rPr>
    <w:tblPr>
      <w:tblStyleRowBandSize w:val="1"/>
      <w:tblStyleColBandSize w:val="1"/>
      <w:tblBorders>
        <w:top w:val="single" w:sz="8" w:space="0" w:color="4E4E4E"/>
        <w:left w:val="single" w:sz="8" w:space="0" w:color="4E4E4E"/>
        <w:bottom w:val="single" w:sz="8" w:space="0" w:color="4E4E4E"/>
        <w:right w:val="single" w:sz="8" w:space="0" w:color="4E4E4E"/>
        <w:insideH w:val="single" w:sz="8" w:space="0" w:color="4E4E4E"/>
        <w:insideV w:val="single" w:sz="8" w:space="0" w:color="4E4E4E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shd w:val="clear" w:color="auto" w:fill="CD0920"/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E4E4E"/>
          <w:left w:val="single" w:sz="8" w:space="0" w:color="4E4E4E"/>
          <w:bottom w:val="single" w:sz="8" w:space="0" w:color="4E4E4E"/>
          <w:right w:val="single" w:sz="8" w:space="0" w:color="4E4E4E"/>
          <w:insideH w:val="nil"/>
          <w:insideV w:val="single" w:sz="8" w:space="0" w:color="4E4E4E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E4E4E"/>
          <w:left w:val="single" w:sz="8" w:space="0" w:color="4E4E4E"/>
          <w:bottom w:val="single" w:sz="8" w:space="0" w:color="4E4E4E"/>
          <w:right w:val="single" w:sz="8" w:space="0" w:color="4E4E4E"/>
        </w:tcBorders>
      </w:tcPr>
    </w:tblStylePr>
    <w:tblStylePr w:type="band2Horz">
      <w:tblPr/>
      <w:tcPr>
        <w:tcBorders>
          <w:top w:val="single" w:sz="8" w:space="0" w:color="4E4E4E"/>
          <w:left w:val="single" w:sz="8" w:space="0" w:color="4E4E4E"/>
          <w:bottom w:val="single" w:sz="8" w:space="0" w:color="4E4E4E"/>
          <w:right w:val="single" w:sz="8" w:space="0" w:color="4E4E4E"/>
          <w:insideV w:val="single" w:sz="8" w:space="0" w:color="4E4E4E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6C1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66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15"/>
  </w:style>
  <w:style w:type="paragraph" w:styleId="Footer">
    <w:name w:val="footer"/>
    <w:basedOn w:val="Normal"/>
    <w:link w:val="FooterChar"/>
    <w:uiPriority w:val="99"/>
    <w:unhideWhenUsed/>
    <w:rsid w:val="00166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15"/>
  </w:style>
  <w:style w:type="character" w:styleId="Hyperlink">
    <w:name w:val="Hyperlink"/>
    <w:basedOn w:val="DefaultParagraphFont"/>
    <w:uiPriority w:val="99"/>
    <w:unhideWhenUsed/>
    <w:rsid w:val="007456F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87B5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B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7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5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5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5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lpdesk-OIA@pmc.gov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5ad5f-cdf2-4c4a-8d9b-b7944a108e98" xsi:nil="true"/>
    <lcf76f155ced4ddcb4097134ff3c332f xmlns="26285671-540d-468b-b7a1-f3e0438dd51a">
      <Terms xmlns="http://schemas.microsoft.com/office/infopath/2007/PartnerControls"/>
    </lcf76f155ced4ddcb4097134ff3c332f>
    <_dlc_DocId xmlns="4195ad5f-cdf2-4c4a-8d9b-b7944a108e98">DOCID-322795542-71613</_dlc_DocId>
    <_dlc_DocIdUrl xmlns="4195ad5f-cdf2-4c4a-8d9b-b7944a108e98">
      <Url>https://pmc01.sharepoint.com/sites/CRMOBPR/_layouts/15/DocIdRedir.aspx?ID=DOCID-322795542-71613</Url>
      <Description>DOCID-322795542-71613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239676470E04B809DDC4E24CF2322" ma:contentTypeVersion="19" ma:contentTypeDescription="Create a new document." ma:contentTypeScope="" ma:versionID="328023522d8f5ca7b629fdd69c02a5c6">
  <xsd:schema xmlns:xsd="http://www.w3.org/2001/XMLSchema" xmlns:xs="http://www.w3.org/2001/XMLSchema" xmlns:p="http://schemas.microsoft.com/office/2006/metadata/properties" xmlns:ns1="http://schemas.microsoft.com/sharepoint/v3" xmlns:ns2="4195ad5f-cdf2-4c4a-8d9b-b7944a108e98" xmlns:ns3="26285671-540d-468b-b7a1-f3e0438dd51a" targetNamespace="http://schemas.microsoft.com/office/2006/metadata/properties" ma:root="true" ma:fieldsID="e970fcefac322e889557b20d9b0bc866" ns1:_="" ns2:_="" ns3:_="">
    <xsd:import namespace="http://schemas.microsoft.com/sharepoint/v3"/>
    <xsd:import namespace="4195ad5f-cdf2-4c4a-8d9b-b7944a108e98"/>
    <xsd:import namespace="26285671-540d-468b-b7a1-f3e0438dd5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5ad5f-cdf2-4c4a-8d9b-b7944a108e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cfc965e-522b-48e0-94e0-2258889ba25b}" ma:internalName="TaxCatchAll" ma:showField="CatchAllData" ma:web="4195ad5f-cdf2-4c4a-8d9b-b7944a108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85671-540d-468b-b7a1-f3e0438dd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27E4F-77AA-4F2C-B3D0-00DE20ADE74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285671-540d-468b-b7a1-f3e0438dd51a"/>
    <ds:schemaRef ds:uri="4195ad5f-cdf2-4c4a-8d9b-b7944a108e9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550AE0-0503-4671-8475-BF9E804BE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5ad5f-cdf2-4c4a-8d9b-b7944a108e98"/>
    <ds:schemaRef ds:uri="26285671-540d-468b-b7a1-f3e0438dd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0A4EC2-8494-4E8D-82DE-8E364B3C51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5C6858-05E4-439B-A80E-043BCE394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Letter - Sunsetting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Letter - Sunsetting</dc:title>
  <dc:subject/>
  <dc:creator/>
  <cp:keywords/>
  <dc:description/>
  <cp:lastModifiedBy/>
  <cp:revision>1</cp:revision>
  <dcterms:created xsi:type="dcterms:W3CDTF">2026-01-02T01:33:00Z</dcterms:created>
  <dcterms:modified xsi:type="dcterms:W3CDTF">2026-01-02T01:33:00Z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0x0101009CA239676470E04B809DDC4E24CF2322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SecurityClassification">
    <vt:lpwstr>4;#OFFICIAL|9e0ec9cb-4e7f-4d4a-bd32-1ee7525c6d87</vt:lpwstr>
  </property>
  <property fmtid="{D5CDD505-2E9C-101B-9397-08002B2CF9AE}" pid="6" name="InformationMarker">
    <vt:lpwstr/>
  </property>
  <property fmtid="{D5CDD505-2E9C-101B-9397-08002B2CF9AE}" pid="7" name="_dlc_DocIdItemGuid">
    <vt:lpwstr>8530d815-2f42-417c-a4f7-1a6d33b854ab</vt:lpwstr>
  </property>
</Properties>
</file>