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F498" w14:textId="77777777" w:rsidR="009A34D5" w:rsidRDefault="00065973" w:rsidP="0085547B">
      <w:pPr>
        <w:pStyle w:val="BodyA"/>
        <w:suppressAutoHyphens/>
        <w:jc w:val="center"/>
        <w:rPr>
          <w:rFonts w:ascii="Times New Roman" w:hAnsi="Times New Roman" w:cs="Times New Roman"/>
          <w:b/>
          <w:bCs/>
          <w:caps/>
          <w:color w:val="auto"/>
          <w:sz w:val="24"/>
          <w:szCs w:val="24"/>
          <w:lang w:val="en-AU"/>
        </w:rPr>
      </w:pPr>
      <w:r>
        <w:rPr>
          <w:rFonts w:ascii="Times New Roman" w:hAnsi="Times New Roman" w:cs="Times New Roman"/>
          <w:b/>
          <w:bCs/>
          <w:caps/>
          <w:color w:val="auto"/>
          <w:sz w:val="24"/>
          <w:szCs w:val="24"/>
          <w:lang w:val="en-AU"/>
        </w:rPr>
        <w:t xml:space="preserve">Comprehensive and Progressive Agreement for </w:t>
      </w:r>
    </w:p>
    <w:p w14:paraId="74037B02" w14:textId="408B73F9" w:rsidR="00BC1E8B" w:rsidRPr="00DC5278" w:rsidRDefault="005B6B31" w:rsidP="0085547B">
      <w:pPr>
        <w:pStyle w:val="BodyA"/>
        <w:suppressAutoHyphens/>
        <w:jc w:val="center"/>
        <w:rPr>
          <w:rFonts w:ascii="Times New Roman" w:eastAsia="Times New Roman" w:hAnsi="Times New Roman" w:cs="Times New Roman"/>
          <w:b/>
          <w:bCs/>
          <w:caps/>
          <w:color w:val="auto"/>
          <w:sz w:val="24"/>
          <w:szCs w:val="24"/>
          <w:lang w:val="en-AU"/>
        </w:rPr>
      </w:pPr>
      <w:r w:rsidRPr="00DC5278">
        <w:rPr>
          <w:rFonts w:ascii="Times New Roman" w:hAnsi="Times New Roman" w:cs="Times New Roman"/>
          <w:b/>
          <w:bCs/>
          <w:caps/>
          <w:color w:val="auto"/>
          <w:sz w:val="24"/>
          <w:szCs w:val="24"/>
          <w:lang w:val="en-AU"/>
        </w:rPr>
        <w:t>Trans-Pacific Partnership (</w:t>
      </w:r>
      <w:r w:rsidR="005E7A96">
        <w:rPr>
          <w:rFonts w:ascii="Times New Roman" w:hAnsi="Times New Roman" w:cs="Times New Roman"/>
          <w:b/>
          <w:bCs/>
          <w:caps/>
          <w:color w:val="auto"/>
          <w:sz w:val="24"/>
          <w:szCs w:val="24"/>
          <w:lang w:val="en-AU"/>
        </w:rPr>
        <w:t>TPP-11</w:t>
      </w:r>
      <w:r w:rsidR="00065973">
        <w:rPr>
          <w:rFonts w:ascii="Times New Roman" w:hAnsi="Times New Roman" w:cs="Times New Roman"/>
          <w:b/>
          <w:bCs/>
          <w:caps/>
          <w:color w:val="auto"/>
          <w:sz w:val="24"/>
          <w:szCs w:val="24"/>
          <w:lang w:val="en-AU"/>
        </w:rPr>
        <w:t>)</w:t>
      </w:r>
    </w:p>
    <w:p w14:paraId="74037B03" w14:textId="77777777" w:rsidR="00E05A49" w:rsidRPr="00DC5278" w:rsidRDefault="00E05A49" w:rsidP="0085547B">
      <w:pPr>
        <w:pStyle w:val="BodyA"/>
        <w:suppressAutoHyphens/>
        <w:jc w:val="center"/>
        <w:rPr>
          <w:rFonts w:ascii="Times New Roman" w:eastAsia="Times New Roman" w:hAnsi="Times New Roman" w:cs="Times New Roman"/>
          <w:b/>
          <w:bCs/>
          <w:caps/>
          <w:color w:val="auto"/>
          <w:sz w:val="24"/>
          <w:szCs w:val="24"/>
          <w:lang w:val="en-AU"/>
        </w:rPr>
      </w:pPr>
    </w:p>
    <w:p w14:paraId="74037B04" w14:textId="77777777" w:rsidR="00BC1E8B" w:rsidRPr="00434484" w:rsidRDefault="00DE462F" w:rsidP="0085547B">
      <w:pPr>
        <w:pStyle w:val="BodyA"/>
        <w:suppressAutoHyphens/>
        <w:jc w:val="center"/>
        <w:rPr>
          <w:rFonts w:ascii="Times New Roman" w:eastAsia="Times New Roman" w:hAnsi="Times New Roman" w:cs="Times New Roman"/>
          <w:caps/>
          <w:color w:val="auto"/>
          <w:sz w:val="24"/>
          <w:szCs w:val="24"/>
          <w:lang w:val="en-AU"/>
        </w:rPr>
      </w:pPr>
      <w:r w:rsidRPr="00434484">
        <w:rPr>
          <w:rFonts w:ascii="Times New Roman" w:hAnsi="Times New Roman" w:cs="Times New Roman"/>
          <w:b/>
          <w:bCs/>
          <w:caps/>
          <w:color w:val="auto"/>
          <w:sz w:val="24"/>
          <w:szCs w:val="24"/>
          <w:lang w:val="en-AU"/>
        </w:rPr>
        <w:t>Analysis of regulatory impact on australia</w:t>
      </w:r>
    </w:p>
    <w:p w14:paraId="74037B05" w14:textId="77777777" w:rsidR="002F7B77" w:rsidRPr="00434484" w:rsidRDefault="002F7B77" w:rsidP="0085547B">
      <w:pPr>
        <w:pStyle w:val="BodyA"/>
        <w:suppressAutoHyphens/>
        <w:jc w:val="center"/>
        <w:rPr>
          <w:rFonts w:ascii="Times New Roman" w:eastAsia="Times New Roman" w:hAnsi="Times New Roman" w:cs="Times New Roman"/>
          <w:color w:val="auto"/>
          <w:sz w:val="24"/>
          <w:szCs w:val="24"/>
          <w:lang w:val="en-AU"/>
        </w:rPr>
      </w:pPr>
    </w:p>
    <w:p w14:paraId="74037B06" w14:textId="37796692" w:rsidR="00BC1E8B" w:rsidRPr="00E4633B" w:rsidRDefault="0076201E" w:rsidP="0085547B">
      <w:pPr>
        <w:pStyle w:val="BodyA"/>
        <w:suppressAutoHyphens/>
        <w:jc w:val="center"/>
        <w:rPr>
          <w:rFonts w:ascii="Times New Roman" w:eastAsia="Times New Roman" w:hAnsi="Times New Roman" w:cs="Times New Roman"/>
          <w:color w:val="auto"/>
          <w:sz w:val="24"/>
          <w:szCs w:val="24"/>
          <w:lang w:val="en-AU"/>
        </w:rPr>
      </w:pPr>
      <w:r>
        <w:rPr>
          <w:rFonts w:ascii="Times New Roman" w:hAnsi="Times New Roman" w:cs="Times New Roman"/>
          <w:b/>
          <w:bCs/>
          <w:iCs/>
          <w:color w:val="auto"/>
          <w:sz w:val="24"/>
          <w:szCs w:val="24"/>
          <w:lang w:val="en-AU"/>
        </w:rPr>
        <w:t xml:space="preserve">21 </w:t>
      </w:r>
      <w:r w:rsidR="00065973" w:rsidRPr="00434484">
        <w:rPr>
          <w:rFonts w:ascii="Times New Roman" w:hAnsi="Times New Roman" w:cs="Times New Roman"/>
          <w:b/>
          <w:bCs/>
          <w:iCs/>
          <w:color w:val="auto"/>
          <w:sz w:val="24"/>
          <w:szCs w:val="24"/>
          <w:lang w:val="en-AU"/>
        </w:rPr>
        <w:t>March 2018</w:t>
      </w:r>
    </w:p>
    <w:p w14:paraId="74037B07" w14:textId="77777777" w:rsidR="00BC1E8B" w:rsidRPr="00DC5278" w:rsidRDefault="00BC1E8B" w:rsidP="0085547B">
      <w:pPr>
        <w:pStyle w:val="BodyA"/>
        <w:suppressAutoHyphens/>
        <w:rPr>
          <w:rFonts w:ascii="Times New Roman" w:eastAsia="Times New Roman" w:hAnsi="Times New Roman" w:cs="Times New Roman"/>
          <w:b/>
          <w:bCs/>
          <w:color w:val="auto"/>
          <w:sz w:val="24"/>
          <w:szCs w:val="24"/>
          <w:lang w:val="en-AU"/>
        </w:rPr>
      </w:pPr>
    </w:p>
    <w:p w14:paraId="74037B08" w14:textId="77777777" w:rsidR="002F7B77" w:rsidRPr="00DC5278" w:rsidRDefault="002F7B77" w:rsidP="0085547B">
      <w:pPr>
        <w:pStyle w:val="BodyA"/>
        <w:suppressAutoHyphens/>
        <w:rPr>
          <w:rFonts w:ascii="Times New Roman" w:eastAsia="Times New Roman" w:hAnsi="Times New Roman" w:cs="Times New Roman"/>
          <w:b/>
          <w:bCs/>
          <w:color w:val="auto"/>
          <w:sz w:val="24"/>
          <w:szCs w:val="24"/>
          <w:lang w:val="en-AU"/>
        </w:rPr>
      </w:pPr>
    </w:p>
    <w:p w14:paraId="74037B09" w14:textId="77777777" w:rsidR="00BC1E8B" w:rsidRPr="00DC5278" w:rsidRDefault="005B6B31" w:rsidP="0085547B">
      <w:pPr>
        <w:pStyle w:val="BodyA"/>
        <w:suppressAutoHyphens/>
        <w:rPr>
          <w:rFonts w:ascii="Times New Roman" w:eastAsia="Times New Roman" w:hAnsi="Times New Roman" w:cs="Times New Roman"/>
          <w:b/>
          <w:bCs/>
          <w:color w:val="auto"/>
          <w:sz w:val="24"/>
          <w:szCs w:val="24"/>
          <w:lang w:val="en-AU"/>
        </w:rPr>
      </w:pPr>
      <w:r w:rsidRPr="00DC5278">
        <w:rPr>
          <w:rFonts w:ascii="Times New Roman" w:hAnsi="Times New Roman" w:cs="Times New Roman"/>
          <w:b/>
          <w:bCs/>
          <w:color w:val="auto"/>
          <w:sz w:val="24"/>
          <w:szCs w:val="24"/>
          <w:lang w:val="en-AU"/>
        </w:rPr>
        <w:t>CONTENTS</w:t>
      </w:r>
    </w:p>
    <w:p w14:paraId="7BB7E6D9" w14:textId="69FCD04A" w:rsidR="002E6AC9" w:rsidRDefault="005B6B31">
      <w:pPr>
        <w:pStyle w:val="TOC1"/>
        <w:rPr>
          <w:rFonts w:asciiTheme="minorHAnsi" w:eastAsiaTheme="minorEastAsia" w:hAnsiTheme="minorHAnsi" w:cstheme="minorBidi"/>
          <w:noProof/>
          <w:color w:val="auto"/>
          <w:sz w:val="22"/>
          <w:szCs w:val="22"/>
          <w:bdr w:val="none" w:sz="0" w:space="0" w:color="auto"/>
          <w:lang w:val="en-AU" w:eastAsia="en-AU"/>
        </w:rPr>
      </w:pPr>
      <w:r w:rsidRPr="00DC5278">
        <w:rPr>
          <w:b/>
          <w:bCs/>
          <w:color w:val="auto"/>
          <w:lang w:val="en-AU"/>
        </w:rPr>
        <w:fldChar w:fldCharType="begin"/>
      </w:r>
      <w:r w:rsidRPr="00DC5278">
        <w:rPr>
          <w:b/>
          <w:bCs/>
          <w:color w:val="auto"/>
          <w:lang w:val="en-AU"/>
        </w:rPr>
        <w:instrText xml:space="preserve"> TOC \t "Heading, 1"</w:instrText>
      </w:r>
      <w:r w:rsidRPr="00DC5278">
        <w:rPr>
          <w:b/>
          <w:bCs/>
          <w:color w:val="auto"/>
          <w:lang w:val="en-AU"/>
        </w:rPr>
        <w:fldChar w:fldCharType="separate"/>
      </w:r>
      <w:r w:rsidR="002E6AC9" w:rsidRPr="002C442F">
        <w:rPr>
          <w:rFonts w:eastAsia="Arial Unicode MS"/>
          <w:noProof/>
          <w:color w:val="auto"/>
        </w:rPr>
        <w:t>PART 1: INTRODUCTION</w:t>
      </w:r>
      <w:r w:rsidR="002E6AC9">
        <w:rPr>
          <w:noProof/>
        </w:rPr>
        <w:tab/>
      </w:r>
      <w:r w:rsidR="002E6AC9">
        <w:rPr>
          <w:noProof/>
        </w:rPr>
        <w:fldChar w:fldCharType="begin"/>
      </w:r>
      <w:r w:rsidR="002E6AC9">
        <w:rPr>
          <w:noProof/>
        </w:rPr>
        <w:instrText xml:space="preserve"> PAGEREF _Toc508810485 \h </w:instrText>
      </w:r>
      <w:r w:rsidR="002E6AC9">
        <w:rPr>
          <w:noProof/>
        </w:rPr>
      </w:r>
      <w:r w:rsidR="002E6AC9">
        <w:rPr>
          <w:noProof/>
        </w:rPr>
        <w:fldChar w:fldCharType="separate"/>
      </w:r>
      <w:r w:rsidR="00B724D0">
        <w:rPr>
          <w:noProof/>
        </w:rPr>
        <w:t>1</w:t>
      </w:r>
      <w:r w:rsidR="002E6AC9">
        <w:rPr>
          <w:noProof/>
        </w:rPr>
        <w:fldChar w:fldCharType="end"/>
      </w:r>
    </w:p>
    <w:p w14:paraId="59200C70" w14:textId="0F44B6F7"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PART 2: PROBLEM IDENTIFICATION</w:t>
      </w:r>
      <w:r>
        <w:rPr>
          <w:noProof/>
        </w:rPr>
        <w:tab/>
      </w:r>
      <w:r>
        <w:rPr>
          <w:noProof/>
        </w:rPr>
        <w:fldChar w:fldCharType="begin"/>
      </w:r>
      <w:r>
        <w:rPr>
          <w:noProof/>
        </w:rPr>
        <w:instrText xml:space="preserve"> PAGEREF _Toc508810486 \h </w:instrText>
      </w:r>
      <w:r>
        <w:rPr>
          <w:noProof/>
        </w:rPr>
      </w:r>
      <w:r>
        <w:rPr>
          <w:noProof/>
        </w:rPr>
        <w:fldChar w:fldCharType="separate"/>
      </w:r>
      <w:r w:rsidR="00B724D0">
        <w:rPr>
          <w:noProof/>
        </w:rPr>
        <w:t>1</w:t>
      </w:r>
      <w:r>
        <w:rPr>
          <w:noProof/>
        </w:rPr>
        <w:fldChar w:fldCharType="end"/>
      </w:r>
    </w:p>
    <w:p w14:paraId="3D8A1D66" w14:textId="612E8670"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PART 3: OBJECTIVES OF GOVERNMENT ACTION</w:t>
      </w:r>
      <w:r>
        <w:rPr>
          <w:noProof/>
        </w:rPr>
        <w:tab/>
      </w:r>
      <w:r>
        <w:rPr>
          <w:noProof/>
        </w:rPr>
        <w:fldChar w:fldCharType="begin"/>
      </w:r>
      <w:r>
        <w:rPr>
          <w:noProof/>
        </w:rPr>
        <w:instrText xml:space="preserve"> PAGEREF _Toc508810487 \h </w:instrText>
      </w:r>
      <w:r>
        <w:rPr>
          <w:noProof/>
        </w:rPr>
      </w:r>
      <w:r>
        <w:rPr>
          <w:noProof/>
        </w:rPr>
        <w:fldChar w:fldCharType="separate"/>
      </w:r>
      <w:r w:rsidR="00B724D0">
        <w:rPr>
          <w:noProof/>
        </w:rPr>
        <w:t>4</w:t>
      </w:r>
      <w:r>
        <w:rPr>
          <w:noProof/>
        </w:rPr>
        <w:fldChar w:fldCharType="end"/>
      </w:r>
    </w:p>
    <w:p w14:paraId="76969D6E" w14:textId="7E403BDD"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PART 4: ALTERNATIVE MEANS BY WHICH TO ACHIEVE THESE OBJECTIVES</w:t>
      </w:r>
      <w:r>
        <w:rPr>
          <w:noProof/>
        </w:rPr>
        <w:tab/>
      </w:r>
      <w:r>
        <w:rPr>
          <w:noProof/>
        </w:rPr>
        <w:fldChar w:fldCharType="begin"/>
      </w:r>
      <w:r>
        <w:rPr>
          <w:noProof/>
        </w:rPr>
        <w:instrText xml:space="preserve"> PAGEREF _Toc508810488 \h </w:instrText>
      </w:r>
      <w:r>
        <w:rPr>
          <w:noProof/>
        </w:rPr>
      </w:r>
      <w:r>
        <w:rPr>
          <w:noProof/>
        </w:rPr>
        <w:fldChar w:fldCharType="separate"/>
      </w:r>
      <w:r w:rsidR="00B724D0">
        <w:rPr>
          <w:noProof/>
        </w:rPr>
        <w:t>6</w:t>
      </w:r>
      <w:r>
        <w:rPr>
          <w:noProof/>
        </w:rPr>
        <w:fldChar w:fldCharType="end"/>
      </w:r>
    </w:p>
    <w:p w14:paraId="0B227AD4" w14:textId="629CD9D0"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PART 5: IMPACT ANALYSIS</w:t>
      </w:r>
      <w:r>
        <w:rPr>
          <w:noProof/>
        </w:rPr>
        <w:tab/>
      </w:r>
      <w:r>
        <w:rPr>
          <w:noProof/>
        </w:rPr>
        <w:fldChar w:fldCharType="begin"/>
      </w:r>
      <w:r>
        <w:rPr>
          <w:noProof/>
        </w:rPr>
        <w:instrText xml:space="preserve"> PAGEREF _Toc508810489 \h </w:instrText>
      </w:r>
      <w:r>
        <w:rPr>
          <w:noProof/>
        </w:rPr>
      </w:r>
      <w:r>
        <w:rPr>
          <w:noProof/>
        </w:rPr>
        <w:fldChar w:fldCharType="separate"/>
      </w:r>
      <w:r w:rsidR="00B724D0">
        <w:rPr>
          <w:noProof/>
        </w:rPr>
        <w:t>9</w:t>
      </w:r>
      <w:r>
        <w:rPr>
          <w:noProof/>
        </w:rPr>
        <w:fldChar w:fldCharType="end"/>
      </w:r>
    </w:p>
    <w:p w14:paraId="44CEBFDA" w14:textId="26107D94"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PART 6: TRADE IMPACT ASSESSMENT</w:t>
      </w:r>
      <w:r>
        <w:rPr>
          <w:noProof/>
        </w:rPr>
        <w:tab/>
      </w:r>
      <w:r>
        <w:rPr>
          <w:noProof/>
        </w:rPr>
        <w:fldChar w:fldCharType="begin"/>
      </w:r>
      <w:r>
        <w:rPr>
          <w:noProof/>
        </w:rPr>
        <w:instrText xml:space="preserve"> PAGEREF _Toc508810490 \h </w:instrText>
      </w:r>
      <w:r>
        <w:rPr>
          <w:noProof/>
        </w:rPr>
      </w:r>
      <w:r>
        <w:rPr>
          <w:noProof/>
        </w:rPr>
        <w:fldChar w:fldCharType="separate"/>
      </w:r>
      <w:r w:rsidR="00B724D0">
        <w:rPr>
          <w:noProof/>
        </w:rPr>
        <w:t>35</w:t>
      </w:r>
      <w:r>
        <w:rPr>
          <w:noProof/>
        </w:rPr>
        <w:fldChar w:fldCharType="end"/>
      </w:r>
    </w:p>
    <w:p w14:paraId="4AA2E7CF" w14:textId="789C2496"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PART 7: CONSULTATION</w:t>
      </w:r>
      <w:r>
        <w:rPr>
          <w:noProof/>
        </w:rPr>
        <w:tab/>
      </w:r>
      <w:r>
        <w:rPr>
          <w:noProof/>
        </w:rPr>
        <w:fldChar w:fldCharType="begin"/>
      </w:r>
      <w:r>
        <w:rPr>
          <w:noProof/>
        </w:rPr>
        <w:instrText xml:space="preserve"> PAGEREF _Toc508810491 \h </w:instrText>
      </w:r>
      <w:r>
        <w:rPr>
          <w:noProof/>
        </w:rPr>
      </w:r>
      <w:r>
        <w:rPr>
          <w:noProof/>
        </w:rPr>
        <w:fldChar w:fldCharType="separate"/>
      </w:r>
      <w:r w:rsidR="00B724D0">
        <w:rPr>
          <w:noProof/>
        </w:rPr>
        <w:t>38</w:t>
      </w:r>
      <w:r>
        <w:rPr>
          <w:noProof/>
        </w:rPr>
        <w:fldChar w:fldCharType="end"/>
      </w:r>
    </w:p>
    <w:p w14:paraId="66A3D354" w14:textId="0EB52709"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PART 8: CONCLUSION</w:t>
      </w:r>
      <w:r>
        <w:rPr>
          <w:noProof/>
        </w:rPr>
        <w:tab/>
      </w:r>
      <w:r>
        <w:rPr>
          <w:noProof/>
        </w:rPr>
        <w:fldChar w:fldCharType="begin"/>
      </w:r>
      <w:r>
        <w:rPr>
          <w:noProof/>
        </w:rPr>
        <w:instrText xml:space="preserve"> PAGEREF _Toc508810492 \h </w:instrText>
      </w:r>
      <w:r>
        <w:rPr>
          <w:noProof/>
        </w:rPr>
      </w:r>
      <w:r>
        <w:rPr>
          <w:noProof/>
        </w:rPr>
        <w:fldChar w:fldCharType="separate"/>
      </w:r>
      <w:r w:rsidR="00B724D0">
        <w:rPr>
          <w:noProof/>
        </w:rPr>
        <w:t>40</w:t>
      </w:r>
      <w:r>
        <w:rPr>
          <w:noProof/>
        </w:rPr>
        <w:fldChar w:fldCharType="end"/>
      </w:r>
    </w:p>
    <w:p w14:paraId="35EF2345" w14:textId="6BBE61C4"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PART 9: IMPLEMENTATION AND REVIEW</w:t>
      </w:r>
      <w:r>
        <w:rPr>
          <w:noProof/>
        </w:rPr>
        <w:tab/>
      </w:r>
      <w:r>
        <w:rPr>
          <w:noProof/>
        </w:rPr>
        <w:fldChar w:fldCharType="begin"/>
      </w:r>
      <w:r>
        <w:rPr>
          <w:noProof/>
        </w:rPr>
        <w:instrText xml:space="preserve"> PAGEREF _Toc508810493 \h </w:instrText>
      </w:r>
      <w:r>
        <w:rPr>
          <w:noProof/>
        </w:rPr>
      </w:r>
      <w:r>
        <w:rPr>
          <w:noProof/>
        </w:rPr>
        <w:fldChar w:fldCharType="separate"/>
      </w:r>
      <w:r w:rsidR="00B724D0">
        <w:rPr>
          <w:noProof/>
        </w:rPr>
        <w:t>41</w:t>
      </w:r>
      <w:r>
        <w:rPr>
          <w:noProof/>
        </w:rPr>
        <w:fldChar w:fldCharType="end"/>
      </w:r>
    </w:p>
    <w:p w14:paraId="3228DB2B" w14:textId="47E5FCA3" w:rsidR="002E6AC9" w:rsidRDefault="002E6AC9">
      <w:pPr>
        <w:pStyle w:val="TOC1"/>
        <w:rPr>
          <w:rFonts w:asciiTheme="minorHAnsi" w:eastAsiaTheme="minorEastAsia" w:hAnsiTheme="minorHAnsi" w:cstheme="minorBidi"/>
          <w:noProof/>
          <w:color w:val="auto"/>
          <w:sz w:val="22"/>
          <w:szCs w:val="22"/>
          <w:bdr w:val="none" w:sz="0" w:space="0" w:color="auto"/>
          <w:lang w:val="en-AU" w:eastAsia="en-AU"/>
        </w:rPr>
      </w:pPr>
      <w:r w:rsidRPr="002C442F">
        <w:rPr>
          <w:rFonts w:eastAsia="Arial Unicode MS"/>
          <w:noProof/>
          <w:color w:val="auto"/>
        </w:rPr>
        <w:t>ATTACHMENT: REGULATORY BURDEN AND COST OFFSET ESTIMATE</w:t>
      </w:r>
      <w:r>
        <w:rPr>
          <w:noProof/>
        </w:rPr>
        <w:tab/>
      </w:r>
      <w:r>
        <w:rPr>
          <w:noProof/>
        </w:rPr>
        <w:fldChar w:fldCharType="begin"/>
      </w:r>
      <w:r>
        <w:rPr>
          <w:noProof/>
        </w:rPr>
        <w:instrText xml:space="preserve"> PAGEREF _Toc508810494 \h </w:instrText>
      </w:r>
      <w:r>
        <w:rPr>
          <w:noProof/>
        </w:rPr>
      </w:r>
      <w:r>
        <w:rPr>
          <w:noProof/>
        </w:rPr>
        <w:fldChar w:fldCharType="separate"/>
      </w:r>
      <w:r w:rsidR="00B724D0">
        <w:rPr>
          <w:noProof/>
        </w:rPr>
        <w:t>42</w:t>
      </w:r>
      <w:r>
        <w:rPr>
          <w:noProof/>
        </w:rPr>
        <w:fldChar w:fldCharType="end"/>
      </w:r>
    </w:p>
    <w:p w14:paraId="74037B14" w14:textId="7902CE79" w:rsidR="00BC1E8B" w:rsidRPr="00DC5278" w:rsidRDefault="005B6B31" w:rsidP="0085547B">
      <w:pPr>
        <w:pStyle w:val="BodyA"/>
        <w:suppressAutoHyphens/>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b/>
          <w:bCs/>
          <w:color w:val="auto"/>
          <w:sz w:val="24"/>
          <w:szCs w:val="24"/>
          <w:lang w:val="en-AU"/>
        </w:rPr>
        <w:fldChar w:fldCharType="end"/>
      </w:r>
    </w:p>
    <w:p w14:paraId="74037B15" w14:textId="77777777" w:rsidR="002F7B77" w:rsidRPr="00DC5278" w:rsidRDefault="002F7B77" w:rsidP="0085547B">
      <w:pPr>
        <w:pStyle w:val="Heading"/>
        <w:suppressAutoHyphens/>
        <w:rPr>
          <w:rFonts w:eastAsia="Arial Unicode MS"/>
          <w:color w:val="auto"/>
        </w:rPr>
        <w:sectPr w:rsidR="002F7B77" w:rsidRPr="00DC5278" w:rsidSect="004C3654">
          <w:footerReference w:type="default" r:id="rId7"/>
          <w:pgSz w:w="11900" w:h="16840"/>
          <w:pgMar w:top="1245" w:right="1797" w:bottom="1440" w:left="1797" w:header="567" w:footer="709" w:gutter="0"/>
          <w:pgNumType w:start="1"/>
          <w:cols w:space="720"/>
          <w:titlePg/>
          <w:docGrid w:linePitch="326"/>
        </w:sectPr>
      </w:pPr>
    </w:p>
    <w:p w14:paraId="74037B16" w14:textId="77777777" w:rsidR="00BC1E8B" w:rsidRPr="00DC5278" w:rsidRDefault="00DE462F" w:rsidP="0085547B">
      <w:pPr>
        <w:pStyle w:val="Heading"/>
        <w:suppressAutoHyphens/>
        <w:rPr>
          <w:color w:val="auto"/>
        </w:rPr>
      </w:pPr>
      <w:bookmarkStart w:id="0" w:name="_Toc508810485"/>
      <w:r>
        <w:rPr>
          <w:rFonts w:eastAsia="Arial Unicode MS"/>
          <w:color w:val="auto"/>
        </w:rPr>
        <w:lastRenderedPageBreak/>
        <w:t xml:space="preserve">PART 1: </w:t>
      </w:r>
      <w:r w:rsidR="005B6B31" w:rsidRPr="00DC5278">
        <w:rPr>
          <w:rFonts w:eastAsia="Arial Unicode MS"/>
          <w:color w:val="auto"/>
        </w:rPr>
        <w:t>INTRODUCTION</w:t>
      </w:r>
      <w:bookmarkEnd w:id="0"/>
      <w:r w:rsidR="005B6B31" w:rsidRPr="00DC5278">
        <w:rPr>
          <w:rFonts w:eastAsia="Arial Unicode MS"/>
          <w:color w:val="auto"/>
        </w:rPr>
        <w:t xml:space="preserve"> </w:t>
      </w:r>
    </w:p>
    <w:p w14:paraId="60602D3E" w14:textId="57671259" w:rsidR="00532A11" w:rsidRPr="00532A11" w:rsidRDefault="005B6B31" w:rsidP="001D69EA">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532A11">
        <w:rPr>
          <w:rFonts w:ascii="Times New Roman" w:hAnsi="Times New Roman" w:cs="Times New Roman"/>
          <w:sz w:val="24"/>
          <w:szCs w:val="24"/>
        </w:rPr>
        <w:t xml:space="preserve">This </w:t>
      </w:r>
      <w:r w:rsidR="00B65E49" w:rsidRPr="00532A11">
        <w:rPr>
          <w:rFonts w:ascii="Times New Roman" w:hAnsi="Times New Roman" w:cs="Times New Roman"/>
          <w:sz w:val="24"/>
          <w:szCs w:val="24"/>
        </w:rPr>
        <w:t>Analysis of Regulatory Impact on Australia</w:t>
      </w:r>
      <w:r w:rsidRPr="00532A11">
        <w:rPr>
          <w:rFonts w:ascii="Times New Roman" w:hAnsi="Times New Roman" w:cs="Times New Roman"/>
          <w:sz w:val="24"/>
          <w:szCs w:val="24"/>
        </w:rPr>
        <w:t xml:space="preserve"> (</w:t>
      </w:r>
      <w:r w:rsidR="00B65E49" w:rsidRPr="00532A11">
        <w:rPr>
          <w:rFonts w:ascii="Times New Roman" w:hAnsi="Times New Roman" w:cs="Times New Roman"/>
          <w:sz w:val="24"/>
          <w:szCs w:val="24"/>
        </w:rPr>
        <w:t>ARIA</w:t>
      </w:r>
      <w:r w:rsidRPr="00532A11">
        <w:rPr>
          <w:rFonts w:ascii="Times New Roman" w:hAnsi="Times New Roman" w:cs="Times New Roman"/>
          <w:sz w:val="24"/>
          <w:szCs w:val="24"/>
        </w:rPr>
        <w:t xml:space="preserve">) relates to the </w:t>
      </w:r>
      <w:r w:rsidR="003D6FBA" w:rsidRPr="00532A11">
        <w:rPr>
          <w:rFonts w:ascii="Times New Roman" w:hAnsi="Times New Roman" w:cs="Times New Roman"/>
          <w:sz w:val="24"/>
          <w:szCs w:val="24"/>
        </w:rPr>
        <w:t xml:space="preserve">Comprehensive and Progressive Agreement for </w:t>
      </w:r>
      <w:r w:rsidRPr="00532A11">
        <w:rPr>
          <w:rFonts w:ascii="Times New Roman" w:hAnsi="Times New Roman" w:cs="Times New Roman"/>
          <w:sz w:val="24"/>
          <w:szCs w:val="24"/>
        </w:rPr>
        <w:t>Trans-Pac</w:t>
      </w:r>
      <w:r w:rsidR="002754E3" w:rsidRPr="00532A11">
        <w:rPr>
          <w:rFonts w:ascii="Times New Roman" w:hAnsi="Times New Roman" w:cs="Times New Roman"/>
          <w:sz w:val="24"/>
          <w:szCs w:val="24"/>
        </w:rPr>
        <w:t xml:space="preserve">ific Partnership </w:t>
      </w:r>
      <w:r w:rsidR="00AE59A5">
        <w:rPr>
          <w:rFonts w:ascii="Times New Roman" w:hAnsi="Times New Roman" w:cs="Times New Roman"/>
          <w:sz w:val="24"/>
          <w:szCs w:val="24"/>
        </w:rPr>
        <w:br/>
      </w:r>
      <w:r w:rsidR="002754E3" w:rsidRPr="00532A11">
        <w:rPr>
          <w:rFonts w:ascii="Times New Roman" w:hAnsi="Times New Roman" w:cs="Times New Roman"/>
          <w:sz w:val="24"/>
          <w:szCs w:val="24"/>
        </w:rPr>
        <w:t>(</w:t>
      </w:r>
      <w:r w:rsidR="005E7A96">
        <w:rPr>
          <w:rFonts w:ascii="Times New Roman" w:hAnsi="Times New Roman" w:cs="Times New Roman"/>
          <w:sz w:val="24"/>
          <w:szCs w:val="24"/>
        </w:rPr>
        <w:t>TPP-11</w:t>
      </w:r>
      <w:r w:rsidR="002754E3" w:rsidRPr="00532A11">
        <w:rPr>
          <w:rFonts w:ascii="Times New Roman" w:hAnsi="Times New Roman" w:cs="Times New Roman"/>
          <w:sz w:val="24"/>
          <w:szCs w:val="24"/>
        </w:rPr>
        <w:t>)</w:t>
      </w:r>
      <w:r w:rsidR="00056DCA" w:rsidRPr="00532A11">
        <w:rPr>
          <w:rFonts w:ascii="Times New Roman" w:hAnsi="Times New Roman" w:cs="Times New Roman"/>
          <w:sz w:val="24"/>
          <w:szCs w:val="24"/>
        </w:rPr>
        <w:t xml:space="preserve">, which was signed by </w:t>
      </w:r>
      <w:r w:rsidR="00056DCA" w:rsidRPr="00CB1B69">
        <w:rPr>
          <w:rFonts w:ascii="Times New Roman" w:hAnsi="Times New Roman" w:cs="Times New Roman"/>
          <w:sz w:val="24"/>
          <w:szCs w:val="24"/>
        </w:rPr>
        <w:t xml:space="preserve">Australia </w:t>
      </w:r>
      <w:r w:rsidR="00A65E0F" w:rsidRPr="00CB1B69">
        <w:rPr>
          <w:rFonts w:ascii="Times New Roman" w:hAnsi="Times New Roman" w:cs="Times New Roman"/>
          <w:sz w:val="24"/>
          <w:szCs w:val="24"/>
        </w:rPr>
        <w:t>on 8</w:t>
      </w:r>
      <w:r w:rsidR="00056DCA" w:rsidRPr="00CB1B69">
        <w:rPr>
          <w:rFonts w:ascii="Times New Roman" w:hAnsi="Times New Roman" w:cs="Times New Roman"/>
          <w:sz w:val="24"/>
          <w:szCs w:val="24"/>
        </w:rPr>
        <w:t xml:space="preserve"> March 2018</w:t>
      </w:r>
      <w:r w:rsidR="00CB1B69">
        <w:rPr>
          <w:rFonts w:ascii="Times New Roman" w:hAnsi="Times New Roman" w:cs="Times New Roman"/>
          <w:sz w:val="24"/>
          <w:szCs w:val="24"/>
        </w:rPr>
        <w:t xml:space="preserve"> in Santiago, Chile</w:t>
      </w:r>
      <w:r w:rsidRPr="00CB1B69">
        <w:rPr>
          <w:rFonts w:ascii="Times New Roman" w:hAnsi="Times New Roman" w:cs="Times New Roman"/>
          <w:sz w:val="24"/>
          <w:szCs w:val="24"/>
        </w:rPr>
        <w:t>.</w:t>
      </w:r>
      <w:r w:rsidRPr="00532A11">
        <w:rPr>
          <w:rFonts w:ascii="Times New Roman" w:hAnsi="Times New Roman" w:cs="Times New Roman"/>
          <w:sz w:val="24"/>
          <w:szCs w:val="24"/>
        </w:rPr>
        <w:t xml:space="preserve">  The </w:t>
      </w:r>
      <w:r w:rsidR="00CB1B69">
        <w:rPr>
          <w:rFonts w:ascii="Times New Roman" w:hAnsi="Times New Roman" w:cs="Times New Roman"/>
          <w:sz w:val="24"/>
          <w:szCs w:val="24"/>
        </w:rPr>
        <w:t>TPP-11</w:t>
      </w:r>
      <w:r w:rsidRPr="00532A11">
        <w:rPr>
          <w:rFonts w:ascii="Times New Roman" w:hAnsi="Times New Roman" w:cs="Times New Roman"/>
          <w:sz w:val="24"/>
          <w:szCs w:val="24"/>
        </w:rPr>
        <w:t xml:space="preserve"> is a regional free trade agreement (FTA) negotiated </w:t>
      </w:r>
      <w:r w:rsidR="00432FB8" w:rsidRPr="00532A11">
        <w:rPr>
          <w:rFonts w:ascii="Times New Roman" w:hAnsi="Times New Roman" w:cs="Times New Roman"/>
          <w:sz w:val="24"/>
          <w:szCs w:val="24"/>
        </w:rPr>
        <w:t>between</w:t>
      </w:r>
      <w:r w:rsidR="006310E0" w:rsidRPr="00532A11">
        <w:rPr>
          <w:rFonts w:ascii="Times New Roman" w:hAnsi="Times New Roman" w:cs="Times New Roman"/>
          <w:sz w:val="24"/>
          <w:szCs w:val="24"/>
        </w:rPr>
        <w:t xml:space="preserve"> 11</w:t>
      </w:r>
      <w:r w:rsidRPr="00532A11">
        <w:rPr>
          <w:rFonts w:ascii="Times New Roman" w:hAnsi="Times New Roman" w:cs="Times New Roman"/>
          <w:sz w:val="24"/>
          <w:szCs w:val="24"/>
        </w:rPr>
        <w:t xml:space="preserve"> economies in the Asia-Pacific: Australia, Brunei Darussalam, Canada, Chile, Japan, Malaysia, Mexico, Peru, New Zealand, Singapore, and Vi</w:t>
      </w:r>
      <w:r w:rsidR="002F7B77" w:rsidRPr="00532A11">
        <w:rPr>
          <w:rFonts w:ascii="Times New Roman" w:hAnsi="Times New Roman" w:cs="Times New Roman"/>
          <w:sz w:val="24"/>
          <w:szCs w:val="24"/>
        </w:rPr>
        <w:t>etnam.</w:t>
      </w:r>
      <w:r w:rsidR="00A33103" w:rsidRPr="00532A11">
        <w:rPr>
          <w:rFonts w:ascii="Times New Roman" w:hAnsi="Times New Roman" w:cs="Times New Roman"/>
          <w:sz w:val="24"/>
          <w:szCs w:val="24"/>
        </w:rPr>
        <w:t xml:space="preserve"> </w:t>
      </w:r>
      <w:r w:rsidR="00F145CC">
        <w:rPr>
          <w:rFonts w:ascii="Times New Roman" w:hAnsi="Times New Roman" w:cs="Times New Roman"/>
          <w:sz w:val="24"/>
          <w:szCs w:val="24"/>
        </w:rPr>
        <w:t xml:space="preserve"> </w:t>
      </w:r>
      <w:r w:rsidR="00532A11">
        <w:rPr>
          <w:rFonts w:ascii="Times New Roman" w:hAnsi="Times New Roman" w:cs="Times New Roman"/>
          <w:sz w:val="24"/>
          <w:szCs w:val="24"/>
        </w:rPr>
        <w:t>T</w:t>
      </w:r>
      <w:r w:rsidR="00A33103" w:rsidRPr="00532A11">
        <w:rPr>
          <w:rFonts w:ascii="Times New Roman" w:hAnsi="Times New Roman" w:cs="Times New Roman"/>
          <w:sz w:val="24"/>
          <w:szCs w:val="24"/>
        </w:rPr>
        <w:t xml:space="preserve">he </w:t>
      </w:r>
      <w:r w:rsidR="00AE59A5">
        <w:rPr>
          <w:rFonts w:ascii="Times New Roman" w:hAnsi="Times New Roman" w:cs="Times New Roman"/>
          <w:sz w:val="24"/>
          <w:szCs w:val="24"/>
        </w:rPr>
        <w:br/>
      </w:r>
      <w:r w:rsidR="00402F53">
        <w:rPr>
          <w:rFonts w:ascii="Times New Roman" w:hAnsi="Times New Roman" w:cs="Times New Roman"/>
          <w:sz w:val="24"/>
          <w:szCs w:val="24"/>
        </w:rPr>
        <w:t>TPP-11</w:t>
      </w:r>
      <w:r w:rsidR="00A33103" w:rsidRPr="00532A11">
        <w:rPr>
          <w:rFonts w:ascii="Times New Roman" w:hAnsi="Times New Roman" w:cs="Times New Roman"/>
          <w:sz w:val="24"/>
          <w:szCs w:val="24"/>
        </w:rPr>
        <w:t xml:space="preserve"> incorporates the provisions of the Trans-Pacific Partnership (</w:t>
      </w:r>
      <w:r w:rsidR="006A55AF">
        <w:rPr>
          <w:rFonts w:ascii="Times New Roman" w:hAnsi="Times New Roman" w:cs="Times New Roman"/>
          <w:sz w:val="24"/>
          <w:szCs w:val="24"/>
        </w:rPr>
        <w:t>TPP</w:t>
      </w:r>
      <w:r w:rsidR="00A33103" w:rsidRPr="00532A11">
        <w:rPr>
          <w:rFonts w:ascii="Times New Roman" w:hAnsi="Times New Roman" w:cs="Times New Roman"/>
          <w:sz w:val="24"/>
          <w:szCs w:val="24"/>
        </w:rPr>
        <w:t xml:space="preserve">) Agreement by reference, </w:t>
      </w:r>
      <w:proofErr w:type="gramStart"/>
      <w:r w:rsidR="00A33103" w:rsidRPr="00532A11">
        <w:rPr>
          <w:rFonts w:ascii="Times New Roman" w:hAnsi="Times New Roman" w:cs="Times New Roman"/>
          <w:sz w:val="24"/>
          <w:szCs w:val="24"/>
        </w:rPr>
        <w:t>with the exception of</w:t>
      </w:r>
      <w:proofErr w:type="gramEnd"/>
      <w:r w:rsidR="00A33103" w:rsidRPr="00532A11">
        <w:rPr>
          <w:rFonts w:ascii="Times New Roman" w:hAnsi="Times New Roman" w:cs="Times New Roman"/>
          <w:sz w:val="24"/>
          <w:szCs w:val="24"/>
        </w:rPr>
        <w:t xml:space="preserve"> a limited set of provisions which are suspended. </w:t>
      </w:r>
    </w:p>
    <w:p w14:paraId="341E8EE1" w14:textId="3BE7553D" w:rsidR="008831C2" w:rsidRPr="00532A11" w:rsidRDefault="00A33103" w:rsidP="001D69EA">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532A11">
        <w:rPr>
          <w:rFonts w:ascii="Times New Roman" w:hAnsi="Times New Roman" w:cs="Times New Roman"/>
          <w:sz w:val="24"/>
          <w:szCs w:val="24"/>
        </w:rPr>
        <w:t xml:space="preserve">The </w:t>
      </w:r>
      <w:r w:rsidR="00A51553">
        <w:rPr>
          <w:rFonts w:ascii="Times New Roman" w:hAnsi="Times New Roman" w:cs="Times New Roman"/>
          <w:sz w:val="24"/>
          <w:szCs w:val="24"/>
        </w:rPr>
        <w:t>Australian Government</w:t>
      </w:r>
      <w:r w:rsidRPr="00532A11">
        <w:rPr>
          <w:rFonts w:ascii="Times New Roman" w:hAnsi="Times New Roman" w:cs="Times New Roman"/>
          <w:sz w:val="24"/>
          <w:szCs w:val="24"/>
        </w:rPr>
        <w:t xml:space="preserve"> is now seeking to implement and ratify the </w:t>
      </w:r>
      <w:r w:rsidR="007100E2">
        <w:rPr>
          <w:rFonts w:ascii="Times New Roman" w:hAnsi="Times New Roman" w:cs="Times New Roman"/>
          <w:sz w:val="24"/>
          <w:szCs w:val="24"/>
        </w:rPr>
        <w:t xml:space="preserve">TPP-11 </w:t>
      </w:r>
      <w:r w:rsidRPr="00532A11">
        <w:rPr>
          <w:rFonts w:ascii="Times New Roman" w:hAnsi="Times New Roman" w:cs="Times New Roman"/>
          <w:sz w:val="24"/>
          <w:szCs w:val="24"/>
        </w:rPr>
        <w:t>in accordance with Australia’s domestic treaty making processes.</w:t>
      </w:r>
      <w:r w:rsidR="006D70F4" w:rsidRPr="00532A11">
        <w:rPr>
          <w:rFonts w:ascii="Times New Roman" w:hAnsi="Times New Roman" w:cs="Times New Roman"/>
          <w:sz w:val="24"/>
          <w:szCs w:val="24"/>
        </w:rPr>
        <w:t xml:space="preserve"> </w:t>
      </w:r>
      <w:r w:rsidR="001A2B43">
        <w:rPr>
          <w:rFonts w:ascii="Times New Roman" w:hAnsi="Times New Roman" w:cs="Times New Roman"/>
          <w:sz w:val="24"/>
          <w:szCs w:val="24"/>
        </w:rPr>
        <w:t xml:space="preserve"> </w:t>
      </w:r>
      <w:r w:rsidR="00096D60" w:rsidRPr="00532A11">
        <w:rPr>
          <w:rFonts w:ascii="Times New Roman" w:hAnsi="Times New Roman" w:cs="Times New Roman"/>
          <w:sz w:val="24"/>
          <w:szCs w:val="24"/>
        </w:rPr>
        <w:t>An i</w:t>
      </w:r>
      <w:r w:rsidR="001831C1" w:rsidRPr="00532A11">
        <w:rPr>
          <w:rFonts w:ascii="Times New Roman" w:hAnsi="Times New Roman" w:cs="Times New Roman"/>
          <w:sz w:val="24"/>
          <w:szCs w:val="24"/>
        </w:rPr>
        <w:t xml:space="preserve">nterim Regulatory Impact Statement </w:t>
      </w:r>
      <w:r w:rsidR="00096D60" w:rsidRPr="00532A11">
        <w:rPr>
          <w:rFonts w:ascii="Times New Roman" w:hAnsi="Times New Roman" w:cs="Times New Roman"/>
          <w:sz w:val="24"/>
          <w:szCs w:val="24"/>
        </w:rPr>
        <w:t xml:space="preserve">(RIS) </w:t>
      </w:r>
      <w:r w:rsidR="001831C1" w:rsidRPr="00532A11">
        <w:rPr>
          <w:rFonts w:ascii="Times New Roman" w:hAnsi="Times New Roman" w:cs="Times New Roman"/>
          <w:sz w:val="24"/>
          <w:szCs w:val="24"/>
        </w:rPr>
        <w:t xml:space="preserve">was completed prior to concluding negotiations and signing the </w:t>
      </w:r>
      <w:r w:rsidR="007242F3">
        <w:rPr>
          <w:rFonts w:ascii="Times New Roman" w:hAnsi="Times New Roman" w:cs="Times New Roman"/>
          <w:sz w:val="24"/>
          <w:szCs w:val="24"/>
        </w:rPr>
        <w:t>TPP</w:t>
      </w:r>
      <w:r w:rsidR="009F7005">
        <w:rPr>
          <w:rFonts w:ascii="Times New Roman" w:hAnsi="Times New Roman" w:cs="Times New Roman"/>
          <w:sz w:val="24"/>
          <w:szCs w:val="24"/>
        </w:rPr>
        <w:t>-11</w:t>
      </w:r>
      <w:r w:rsidR="001831C1" w:rsidRPr="00532A11">
        <w:rPr>
          <w:rFonts w:ascii="Times New Roman" w:hAnsi="Times New Roman" w:cs="Times New Roman"/>
          <w:sz w:val="24"/>
          <w:szCs w:val="24"/>
        </w:rPr>
        <w:t xml:space="preserve">. </w:t>
      </w:r>
      <w:r w:rsidR="008A67F9">
        <w:rPr>
          <w:rFonts w:ascii="Times New Roman" w:hAnsi="Times New Roman" w:cs="Times New Roman"/>
          <w:sz w:val="24"/>
          <w:szCs w:val="24"/>
        </w:rPr>
        <w:t xml:space="preserve"> </w:t>
      </w:r>
      <w:r w:rsidR="00096D60" w:rsidRPr="00532A11">
        <w:rPr>
          <w:rFonts w:ascii="Times New Roman" w:hAnsi="Times New Roman" w:cs="Times New Roman"/>
          <w:sz w:val="24"/>
          <w:szCs w:val="24"/>
        </w:rPr>
        <w:t xml:space="preserve">This </w:t>
      </w:r>
      <w:r w:rsidR="006D70F4" w:rsidRPr="00532A11">
        <w:rPr>
          <w:rFonts w:ascii="Times New Roman" w:hAnsi="Times New Roman" w:cs="Times New Roman"/>
          <w:sz w:val="24"/>
          <w:szCs w:val="24"/>
        </w:rPr>
        <w:t xml:space="preserve">ARIA </w:t>
      </w:r>
      <w:r w:rsidR="006550BB">
        <w:rPr>
          <w:rFonts w:ascii="Times New Roman" w:hAnsi="Times New Roman" w:cs="Times New Roman"/>
          <w:sz w:val="24"/>
          <w:szCs w:val="24"/>
        </w:rPr>
        <w:t>will</w:t>
      </w:r>
      <w:r w:rsidR="006D70F4" w:rsidRPr="00532A11">
        <w:rPr>
          <w:rFonts w:ascii="Times New Roman" w:hAnsi="Times New Roman" w:cs="Times New Roman"/>
          <w:sz w:val="24"/>
          <w:szCs w:val="24"/>
        </w:rPr>
        <w:t xml:space="preserve"> be tabled</w:t>
      </w:r>
      <w:r w:rsidR="003D7695" w:rsidRPr="00532A11">
        <w:rPr>
          <w:rFonts w:ascii="Times New Roman" w:hAnsi="Times New Roman" w:cs="Times New Roman"/>
          <w:sz w:val="24"/>
          <w:szCs w:val="24"/>
        </w:rPr>
        <w:t xml:space="preserve"> </w:t>
      </w:r>
      <w:r w:rsidR="00990A50" w:rsidRPr="00532A11">
        <w:rPr>
          <w:rFonts w:ascii="Times New Roman" w:hAnsi="Times New Roman" w:cs="Times New Roman"/>
          <w:sz w:val="24"/>
          <w:szCs w:val="24"/>
        </w:rPr>
        <w:t xml:space="preserve">in Parliament </w:t>
      </w:r>
      <w:r w:rsidR="006D70F4" w:rsidRPr="00532A11">
        <w:rPr>
          <w:rFonts w:ascii="Times New Roman" w:hAnsi="Times New Roman" w:cs="Times New Roman"/>
          <w:sz w:val="24"/>
          <w:szCs w:val="24"/>
        </w:rPr>
        <w:t xml:space="preserve">with the </w:t>
      </w:r>
      <w:r w:rsidR="007242F3">
        <w:rPr>
          <w:rFonts w:ascii="Times New Roman" w:hAnsi="Times New Roman" w:cs="Times New Roman"/>
          <w:sz w:val="24"/>
          <w:szCs w:val="24"/>
        </w:rPr>
        <w:t>TPP</w:t>
      </w:r>
      <w:r w:rsidR="009F7005">
        <w:rPr>
          <w:rFonts w:ascii="Times New Roman" w:hAnsi="Times New Roman" w:cs="Times New Roman"/>
          <w:sz w:val="24"/>
          <w:szCs w:val="24"/>
        </w:rPr>
        <w:t>-11</w:t>
      </w:r>
      <w:r w:rsidR="006D70F4" w:rsidRPr="00532A11">
        <w:rPr>
          <w:rFonts w:ascii="Times New Roman" w:hAnsi="Times New Roman" w:cs="Times New Roman"/>
          <w:sz w:val="24"/>
          <w:szCs w:val="24"/>
        </w:rPr>
        <w:t xml:space="preserve"> </w:t>
      </w:r>
      <w:r w:rsidR="00990A50" w:rsidRPr="00532A11">
        <w:rPr>
          <w:rFonts w:ascii="Times New Roman" w:hAnsi="Times New Roman" w:cs="Times New Roman"/>
          <w:sz w:val="24"/>
          <w:szCs w:val="24"/>
        </w:rPr>
        <w:t>t</w:t>
      </w:r>
      <w:r w:rsidR="001478F1" w:rsidRPr="00532A11">
        <w:rPr>
          <w:rFonts w:ascii="Times New Roman" w:hAnsi="Times New Roman" w:cs="Times New Roman"/>
          <w:sz w:val="24"/>
          <w:szCs w:val="24"/>
        </w:rPr>
        <w:t>reaty</w:t>
      </w:r>
      <w:r w:rsidR="006D70F4" w:rsidRPr="00532A11">
        <w:rPr>
          <w:rFonts w:ascii="Times New Roman" w:hAnsi="Times New Roman" w:cs="Times New Roman"/>
          <w:sz w:val="24"/>
          <w:szCs w:val="24"/>
        </w:rPr>
        <w:t>.</w:t>
      </w:r>
      <w:r w:rsidR="000D01CF">
        <w:rPr>
          <w:rFonts w:ascii="Times New Roman" w:hAnsi="Times New Roman" w:cs="Times New Roman"/>
          <w:sz w:val="24"/>
          <w:szCs w:val="24"/>
        </w:rPr>
        <w:t xml:space="preserve"> </w:t>
      </w:r>
      <w:r w:rsidR="006D70F4" w:rsidRPr="00532A11">
        <w:rPr>
          <w:rFonts w:ascii="Times New Roman" w:hAnsi="Times New Roman" w:cs="Times New Roman"/>
          <w:sz w:val="24"/>
          <w:szCs w:val="24"/>
        </w:rPr>
        <w:t xml:space="preserve"> </w:t>
      </w:r>
      <w:r w:rsidR="006550BB">
        <w:rPr>
          <w:rFonts w:ascii="Times New Roman" w:hAnsi="Times New Roman" w:cs="Times New Roman"/>
          <w:sz w:val="24"/>
          <w:szCs w:val="24"/>
        </w:rPr>
        <w:t xml:space="preserve">It builds on </w:t>
      </w:r>
      <w:r w:rsidR="00D13C2B">
        <w:rPr>
          <w:rFonts w:ascii="Times New Roman" w:hAnsi="Times New Roman" w:cs="Times New Roman"/>
          <w:sz w:val="24"/>
          <w:szCs w:val="24"/>
        </w:rPr>
        <w:t xml:space="preserve">and updates </w:t>
      </w:r>
      <w:r w:rsidR="006550BB">
        <w:rPr>
          <w:rFonts w:ascii="Times New Roman" w:hAnsi="Times New Roman" w:cs="Times New Roman"/>
          <w:sz w:val="24"/>
          <w:szCs w:val="24"/>
        </w:rPr>
        <w:t xml:space="preserve">the interim RIS as well as the ARIA submitted on 27 November 2015 in respect of the </w:t>
      </w:r>
      <w:r w:rsidR="00320322">
        <w:rPr>
          <w:rFonts w:ascii="Times New Roman" w:hAnsi="Times New Roman" w:cs="Times New Roman"/>
          <w:sz w:val="24"/>
          <w:szCs w:val="24"/>
        </w:rPr>
        <w:t xml:space="preserve">original </w:t>
      </w:r>
      <w:r w:rsidR="006A55AF">
        <w:rPr>
          <w:rFonts w:ascii="Times New Roman" w:hAnsi="Times New Roman" w:cs="Times New Roman"/>
          <w:sz w:val="24"/>
          <w:szCs w:val="24"/>
        </w:rPr>
        <w:t>TPP</w:t>
      </w:r>
      <w:r w:rsidR="006550BB">
        <w:rPr>
          <w:rFonts w:ascii="Times New Roman" w:hAnsi="Times New Roman" w:cs="Times New Roman"/>
          <w:sz w:val="24"/>
          <w:szCs w:val="24"/>
        </w:rPr>
        <w:t xml:space="preserve">, which </w:t>
      </w:r>
      <w:r w:rsidR="00DB3C8E">
        <w:rPr>
          <w:rFonts w:ascii="Times New Roman" w:hAnsi="Times New Roman" w:cs="Times New Roman"/>
          <w:sz w:val="24"/>
          <w:szCs w:val="24"/>
        </w:rPr>
        <w:t>has not</w:t>
      </w:r>
      <w:r w:rsidR="006550BB">
        <w:rPr>
          <w:rFonts w:ascii="Times New Roman" w:hAnsi="Times New Roman" w:cs="Times New Roman"/>
          <w:sz w:val="24"/>
          <w:szCs w:val="24"/>
        </w:rPr>
        <w:t xml:space="preserve"> entered into force. </w:t>
      </w:r>
      <w:r w:rsidR="008A67F9">
        <w:rPr>
          <w:rFonts w:ascii="Times New Roman" w:hAnsi="Times New Roman" w:cs="Times New Roman"/>
          <w:sz w:val="24"/>
          <w:szCs w:val="24"/>
        </w:rPr>
        <w:t xml:space="preserve"> </w:t>
      </w:r>
      <w:r w:rsidR="000037C5">
        <w:rPr>
          <w:rFonts w:ascii="Times New Roman" w:hAnsi="Times New Roman" w:cs="Times New Roman"/>
          <w:sz w:val="24"/>
          <w:szCs w:val="24"/>
        </w:rPr>
        <w:t>T</w:t>
      </w:r>
      <w:r w:rsidR="000B3A52">
        <w:rPr>
          <w:rFonts w:ascii="Times New Roman" w:hAnsi="Times New Roman" w:cs="Times New Roman"/>
          <w:sz w:val="24"/>
          <w:szCs w:val="24"/>
        </w:rPr>
        <w:t>he analysis and</w:t>
      </w:r>
      <w:r w:rsidR="005D5A04">
        <w:rPr>
          <w:rFonts w:ascii="Times New Roman" w:hAnsi="Times New Roman" w:cs="Times New Roman"/>
          <w:sz w:val="24"/>
          <w:szCs w:val="24"/>
        </w:rPr>
        <w:t xml:space="preserve"> conclusions in the </w:t>
      </w:r>
      <w:r w:rsidR="00320322">
        <w:rPr>
          <w:rFonts w:ascii="Times New Roman" w:hAnsi="Times New Roman" w:cs="Times New Roman"/>
          <w:sz w:val="24"/>
          <w:szCs w:val="24"/>
        </w:rPr>
        <w:t xml:space="preserve">original </w:t>
      </w:r>
      <w:r w:rsidR="005D5A04">
        <w:rPr>
          <w:rFonts w:ascii="Times New Roman" w:hAnsi="Times New Roman" w:cs="Times New Roman"/>
          <w:sz w:val="24"/>
          <w:szCs w:val="24"/>
        </w:rPr>
        <w:t>TPP</w:t>
      </w:r>
      <w:r w:rsidR="00DB3C8E">
        <w:rPr>
          <w:rFonts w:ascii="Times New Roman" w:hAnsi="Times New Roman" w:cs="Times New Roman"/>
          <w:sz w:val="24"/>
          <w:szCs w:val="24"/>
        </w:rPr>
        <w:t>’s ARIA remain</w:t>
      </w:r>
      <w:r w:rsidR="005D5A04">
        <w:rPr>
          <w:rFonts w:ascii="Times New Roman" w:hAnsi="Times New Roman" w:cs="Times New Roman"/>
          <w:sz w:val="24"/>
          <w:szCs w:val="24"/>
        </w:rPr>
        <w:t xml:space="preserve"> </w:t>
      </w:r>
      <w:r w:rsidR="00D975E4">
        <w:rPr>
          <w:rFonts w:ascii="Times New Roman" w:hAnsi="Times New Roman" w:cs="Times New Roman"/>
          <w:sz w:val="24"/>
          <w:szCs w:val="24"/>
        </w:rPr>
        <w:t xml:space="preserve">highly </w:t>
      </w:r>
      <w:r w:rsidR="000B3A52">
        <w:rPr>
          <w:rFonts w:ascii="Times New Roman" w:hAnsi="Times New Roman" w:cs="Times New Roman"/>
          <w:sz w:val="24"/>
          <w:szCs w:val="24"/>
        </w:rPr>
        <w:t>relevant for current purposes.</w:t>
      </w:r>
    </w:p>
    <w:p w14:paraId="74037B18" w14:textId="77777777" w:rsidR="00BC1E8B" w:rsidRPr="00DC5278" w:rsidRDefault="00DE462F" w:rsidP="0085547B">
      <w:pPr>
        <w:pStyle w:val="Heading"/>
        <w:suppressAutoHyphens/>
        <w:rPr>
          <w:color w:val="auto"/>
        </w:rPr>
      </w:pPr>
      <w:bookmarkStart w:id="1" w:name="_Toc508810486"/>
      <w:r>
        <w:rPr>
          <w:rFonts w:eastAsia="Arial Unicode MS"/>
          <w:color w:val="auto"/>
        </w:rPr>
        <w:t xml:space="preserve">PART 2: </w:t>
      </w:r>
      <w:r w:rsidR="005B6B31" w:rsidRPr="00DC5278">
        <w:rPr>
          <w:rFonts w:eastAsia="Arial Unicode MS"/>
          <w:color w:val="auto"/>
        </w:rPr>
        <w:t>PROBLEM IDENTIFICATION</w:t>
      </w:r>
      <w:bookmarkEnd w:id="1"/>
      <w:r w:rsidR="005B6B31" w:rsidRPr="00DC5278">
        <w:rPr>
          <w:rFonts w:eastAsia="Arial Unicode MS"/>
          <w:color w:val="auto"/>
        </w:rPr>
        <w:t xml:space="preserve"> </w:t>
      </w:r>
    </w:p>
    <w:p w14:paraId="2335945E" w14:textId="1CC34235" w:rsidR="002545FD" w:rsidRPr="00DC5278" w:rsidRDefault="007A727D" w:rsidP="002545FD">
      <w:pPr>
        <w:tabs>
          <w:tab w:val="left" w:pos="660"/>
        </w:tabs>
        <w:suppressAutoHyphens/>
        <w:spacing w:after="120"/>
        <w:rPr>
          <w:b/>
          <w:i/>
        </w:rPr>
      </w:pPr>
      <w:r>
        <w:rPr>
          <w:b/>
          <w:i/>
        </w:rPr>
        <w:t xml:space="preserve">Entry into Force of the </w:t>
      </w:r>
      <w:r w:rsidR="00DB3C8E">
        <w:rPr>
          <w:b/>
          <w:i/>
        </w:rPr>
        <w:t>TPP</w:t>
      </w:r>
      <w:r>
        <w:rPr>
          <w:b/>
          <w:i/>
        </w:rPr>
        <w:t xml:space="preserve"> without the United States</w:t>
      </w:r>
    </w:p>
    <w:p w14:paraId="362B64FE" w14:textId="2E5D655A" w:rsidR="00536328" w:rsidRPr="00536328" w:rsidRDefault="00DE0D76" w:rsidP="00DE0D76">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E0D76">
        <w:rPr>
          <w:rFonts w:ascii="Times New Roman" w:hAnsi="Times New Roman" w:cs="Times New Roman"/>
          <w:sz w:val="24"/>
          <w:szCs w:val="24"/>
        </w:rPr>
        <w:t>The</w:t>
      </w:r>
      <w:r w:rsidR="00433BCC">
        <w:rPr>
          <w:rFonts w:ascii="Times New Roman" w:hAnsi="Times New Roman" w:cs="Times New Roman"/>
          <w:sz w:val="24"/>
          <w:szCs w:val="24"/>
        </w:rPr>
        <w:t xml:space="preserve"> original</w:t>
      </w:r>
      <w:r w:rsidRPr="00DE0D76">
        <w:rPr>
          <w:rFonts w:ascii="Times New Roman" w:hAnsi="Times New Roman" w:cs="Times New Roman"/>
          <w:sz w:val="24"/>
          <w:szCs w:val="24"/>
        </w:rPr>
        <w:t xml:space="preserve"> TPP, signed by Australia on 4 February 2016, was the world’s most significant trade and investment agreement </w:t>
      </w:r>
      <w:proofErr w:type="spellStart"/>
      <w:r w:rsidRPr="00DE0D76">
        <w:rPr>
          <w:rFonts w:ascii="Times New Roman" w:hAnsi="Times New Roman" w:cs="Times New Roman"/>
          <w:sz w:val="24"/>
          <w:szCs w:val="24"/>
        </w:rPr>
        <w:t>finalised</w:t>
      </w:r>
      <w:proofErr w:type="spellEnd"/>
      <w:r w:rsidRPr="00DE0D76">
        <w:rPr>
          <w:rFonts w:ascii="Times New Roman" w:hAnsi="Times New Roman" w:cs="Times New Roman"/>
          <w:sz w:val="24"/>
          <w:szCs w:val="24"/>
        </w:rPr>
        <w:t xml:space="preserve"> in more than two decades, with member countries accounting for around 40 per cent of global GDP. </w:t>
      </w:r>
      <w:r w:rsidR="008A67F9">
        <w:rPr>
          <w:rFonts w:ascii="Times New Roman" w:hAnsi="Times New Roman" w:cs="Times New Roman"/>
          <w:sz w:val="24"/>
          <w:szCs w:val="24"/>
        </w:rPr>
        <w:t xml:space="preserve"> </w:t>
      </w:r>
      <w:r w:rsidRPr="00DE0D76">
        <w:rPr>
          <w:rFonts w:ascii="Times New Roman" w:hAnsi="Times New Roman" w:cs="Times New Roman"/>
          <w:sz w:val="24"/>
          <w:szCs w:val="24"/>
        </w:rPr>
        <w:t xml:space="preserve">On 30 November 2016, the Joint Standing Committee on Treaties issued a report recommending that Australia take binding treaty action to ratify the TPP. </w:t>
      </w:r>
    </w:p>
    <w:p w14:paraId="2960667C" w14:textId="49CC2638" w:rsidR="00183BA6" w:rsidRPr="00183BA6" w:rsidRDefault="00B809BB" w:rsidP="00DE0D76">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Pr>
          <w:rFonts w:ascii="Times New Roman" w:hAnsi="Times New Roman" w:cs="Times New Roman"/>
          <w:sz w:val="24"/>
          <w:szCs w:val="24"/>
        </w:rPr>
        <w:t xml:space="preserve">On 30 January 2017, the Acting United States Trade Representative sent a letter to the Depository of the TPP and all TPP signatories notifying them that the United States did not intend to become a Party to the TPP. </w:t>
      </w:r>
      <w:r w:rsidR="008A67F9">
        <w:rPr>
          <w:rFonts w:ascii="Times New Roman" w:hAnsi="Times New Roman" w:cs="Times New Roman"/>
          <w:sz w:val="24"/>
          <w:szCs w:val="24"/>
        </w:rPr>
        <w:t xml:space="preserve"> </w:t>
      </w:r>
      <w:r w:rsidR="00DF049D">
        <w:rPr>
          <w:rFonts w:ascii="Times New Roman" w:hAnsi="Times New Roman" w:cs="Times New Roman"/>
          <w:sz w:val="24"/>
          <w:szCs w:val="24"/>
        </w:rPr>
        <w:t xml:space="preserve">A direction to issue this notification was </w:t>
      </w:r>
      <w:proofErr w:type="spellStart"/>
      <w:r w:rsidR="00DF049D">
        <w:rPr>
          <w:rFonts w:ascii="Times New Roman" w:hAnsi="Times New Roman" w:cs="Times New Roman"/>
          <w:sz w:val="24"/>
          <w:szCs w:val="24"/>
        </w:rPr>
        <w:t>formalised</w:t>
      </w:r>
      <w:proofErr w:type="spellEnd"/>
      <w:r w:rsidR="00DF049D">
        <w:rPr>
          <w:rFonts w:ascii="Times New Roman" w:hAnsi="Times New Roman" w:cs="Times New Roman"/>
          <w:sz w:val="24"/>
          <w:szCs w:val="24"/>
        </w:rPr>
        <w:t xml:space="preserve"> in a</w:t>
      </w:r>
      <w:r w:rsidR="006C7447">
        <w:rPr>
          <w:rFonts w:ascii="Times New Roman" w:hAnsi="Times New Roman" w:cs="Times New Roman"/>
          <w:sz w:val="24"/>
          <w:szCs w:val="24"/>
        </w:rPr>
        <w:t xml:space="preserve"> Presidential Memorandum issued on 23 January 2017. </w:t>
      </w:r>
      <w:r w:rsidR="008A67F9">
        <w:rPr>
          <w:rFonts w:ascii="Times New Roman" w:hAnsi="Times New Roman" w:cs="Times New Roman"/>
          <w:sz w:val="24"/>
          <w:szCs w:val="24"/>
        </w:rPr>
        <w:t xml:space="preserve"> </w:t>
      </w:r>
      <w:r w:rsidR="00DE0D76" w:rsidRPr="00DE0D76">
        <w:rPr>
          <w:rFonts w:ascii="Times New Roman" w:hAnsi="Times New Roman" w:cs="Times New Roman"/>
          <w:sz w:val="24"/>
          <w:szCs w:val="24"/>
        </w:rPr>
        <w:t>The TPP as originally negotiated cannot enter into f</w:t>
      </w:r>
      <w:r w:rsidR="009A591B">
        <w:rPr>
          <w:rFonts w:ascii="Times New Roman" w:hAnsi="Times New Roman" w:cs="Times New Roman"/>
          <w:sz w:val="24"/>
          <w:szCs w:val="24"/>
        </w:rPr>
        <w:t xml:space="preserve">orce without the United States. </w:t>
      </w:r>
      <w:r w:rsidR="008A67F9">
        <w:rPr>
          <w:rFonts w:ascii="Times New Roman" w:hAnsi="Times New Roman" w:cs="Times New Roman"/>
          <w:sz w:val="24"/>
          <w:szCs w:val="24"/>
        </w:rPr>
        <w:t xml:space="preserve"> </w:t>
      </w:r>
      <w:r w:rsidR="00D20BF5">
        <w:rPr>
          <w:rFonts w:ascii="Times New Roman" w:hAnsi="Times New Roman" w:cs="Times New Roman"/>
          <w:sz w:val="24"/>
          <w:szCs w:val="24"/>
        </w:rPr>
        <w:t xml:space="preserve">If the TPP does not enter into force, Australia would </w:t>
      </w:r>
      <w:r w:rsidR="00575181">
        <w:rPr>
          <w:rFonts w:ascii="Times New Roman" w:hAnsi="Times New Roman" w:cs="Times New Roman"/>
          <w:sz w:val="24"/>
          <w:szCs w:val="24"/>
        </w:rPr>
        <w:t>miss out on</w:t>
      </w:r>
      <w:r w:rsidR="009A591B">
        <w:rPr>
          <w:rFonts w:ascii="Times New Roman" w:hAnsi="Times New Roman" w:cs="Times New Roman"/>
          <w:sz w:val="24"/>
          <w:szCs w:val="24"/>
        </w:rPr>
        <w:t xml:space="preserve"> new and improved market access </w:t>
      </w:r>
      <w:r w:rsidR="001B2C7A">
        <w:rPr>
          <w:rFonts w:ascii="Times New Roman" w:hAnsi="Times New Roman" w:cs="Times New Roman"/>
          <w:sz w:val="24"/>
          <w:szCs w:val="24"/>
        </w:rPr>
        <w:t>to</w:t>
      </w:r>
      <w:r w:rsidR="009A591B">
        <w:rPr>
          <w:rFonts w:ascii="Times New Roman" w:hAnsi="Times New Roman" w:cs="Times New Roman"/>
          <w:sz w:val="24"/>
          <w:szCs w:val="24"/>
        </w:rPr>
        <w:t xml:space="preserve"> the remaining TPP countries (Brunei Darussalam, Canada, Chile, Japan, Malaysia, Mexico, New Zealand, Peru, Singapore, and Vietnam). </w:t>
      </w:r>
    </w:p>
    <w:p w14:paraId="1F74F62C" w14:textId="314F16AA" w:rsidR="00F011CB" w:rsidRPr="00F011CB" w:rsidRDefault="004E6844" w:rsidP="003D32A6">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Pr>
          <w:rFonts w:ascii="Times New Roman" w:hAnsi="Times New Roman" w:cs="Times New Roman"/>
          <w:sz w:val="24"/>
          <w:szCs w:val="24"/>
        </w:rPr>
        <w:t xml:space="preserve">To explore options to bring the TPP </w:t>
      </w:r>
      <w:r w:rsidRPr="008D66DC">
        <w:rPr>
          <w:rFonts w:ascii="Times New Roman" w:hAnsi="Times New Roman" w:cs="Times New Roman"/>
          <w:sz w:val="24"/>
          <w:szCs w:val="24"/>
        </w:rPr>
        <w:t>into force expeditiously, ministers from the remaining TPP signatories met in Hanoi on 21 May 2017</w:t>
      </w:r>
      <w:r w:rsidR="00DE0D76" w:rsidRPr="008D66DC">
        <w:rPr>
          <w:rFonts w:ascii="Times New Roman" w:hAnsi="Times New Roman" w:cs="Times New Roman"/>
          <w:sz w:val="24"/>
          <w:szCs w:val="24"/>
        </w:rPr>
        <w:t>.</w:t>
      </w:r>
      <w:r w:rsidR="00071577">
        <w:rPr>
          <w:rFonts w:ascii="Times New Roman" w:hAnsi="Times New Roman" w:cs="Times New Roman"/>
          <w:sz w:val="24"/>
          <w:szCs w:val="24"/>
        </w:rPr>
        <w:t xml:space="preserve"> </w:t>
      </w:r>
      <w:r w:rsidR="008A67F9">
        <w:rPr>
          <w:rFonts w:ascii="Times New Roman" w:hAnsi="Times New Roman" w:cs="Times New Roman"/>
          <w:sz w:val="24"/>
          <w:szCs w:val="24"/>
        </w:rPr>
        <w:t xml:space="preserve"> </w:t>
      </w:r>
      <w:r w:rsidR="00DE0D76" w:rsidRPr="008D66DC">
        <w:rPr>
          <w:rFonts w:ascii="Times New Roman" w:hAnsi="Times New Roman" w:cs="Times New Roman"/>
          <w:sz w:val="24"/>
          <w:szCs w:val="24"/>
        </w:rPr>
        <w:t>This process cu</w:t>
      </w:r>
      <w:r w:rsidR="008D66DC" w:rsidRPr="008D66DC">
        <w:rPr>
          <w:rFonts w:ascii="Times New Roman" w:hAnsi="Times New Roman" w:cs="Times New Roman"/>
          <w:sz w:val="24"/>
          <w:szCs w:val="24"/>
        </w:rPr>
        <w:t xml:space="preserve">lminated in the signing of the </w:t>
      </w:r>
      <w:r w:rsidR="00DE0D76" w:rsidRPr="008D66DC">
        <w:rPr>
          <w:rFonts w:ascii="Times New Roman" w:hAnsi="Times New Roman" w:cs="Times New Roman"/>
          <w:sz w:val="24"/>
          <w:szCs w:val="24"/>
        </w:rPr>
        <w:t>TPP</w:t>
      </w:r>
      <w:r w:rsidR="008D66DC" w:rsidRPr="008D66DC">
        <w:rPr>
          <w:rFonts w:ascii="Times New Roman" w:hAnsi="Times New Roman" w:cs="Times New Roman"/>
          <w:sz w:val="24"/>
          <w:szCs w:val="24"/>
        </w:rPr>
        <w:t>-11</w:t>
      </w:r>
      <w:r w:rsidR="00DE0D76" w:rsidRPr="008D66DC">
        <w:rPr>
          <w:rFonts w:ascii="Times New Roman" w:hAnsi="Times New Roman" w:cs="Times New Roman"/>
          <w:sz w:val="24"/>
          <w:szCs w:val="24"/>
        </w:rPr>
        <w:t xml:space="preserve"> on </w:t>
      </w:r>
      <w:r w:rsidRPr="008D66DC">
        <w:rPr>
          <w:rFonts w:ascii="Times New Roman" w:hAnsi="Times New Roman" w:cs="Times New Roman"/>
          <w:sz w:val="24"/>
          <w:szCs w:val="24"/>
        </w:rPr>
        <w:t>8</w:t>
      </w:r>
      <w:r w:rsidR="00DE0D76" w:rsidRPr="008D66DC">
        <w:rPr>
          <w:rFonts w:ascii="Times New Roman" w:hAnsi="Times New Roman" w:cs="Times New Roman"/>
          <w:sz w:val="24"/>
          <w:szCs w:val="24"/>
        </w:rPr>
        <w:t xml:space="preserve"> March 2018</w:t>
      </w:r>
      <w:r w:rsidR="00F43E26">
        <w:rPr>
          <w:rFonts w:ascii="Times New Roman" w:hAnsi="Times New Roman" w:cs="Times New Roman"/>
          <w:sz w:val="24"/>
          <w:szCs w:val="24"/>
        </w:rPr>
        <w:t xml:space="preserve"> in Santiago, Chile</w:t>
      </w:r>
      <w:r w:rsidR="00DE0D76" w:rsidRPr="008D66DC">
        <w:rPr>
          <w:rFonts w:ascii="Times New Roman" w:hAnsi="Times New Roman" w:cs="Times New Roman"/>
          <w:sz w:val="24"/>
          <w:szCs w:val="24"/>
        </w:rPr>
        <w:t>.</w:t>
      </w:r>
      <w:r w:rsidR="003D32A6">
        <w:rPr>
          <w:rFonts w:ascii="Times New Roman" w:hAnsi="Times New Roman" w:cs="Times New Roman"/>
          <w:sz w:val="24"/>
          <w:szCs w:val="24"/>
        </w:rPr>
        <w:t xml:space="preserve"> </w:t>
      </w:r>
    </w:p>
    <w:p w14:paraId="1B3B25B1" w14:textId="77DAFEDF" w:rsidR="00F57517" w:rsidRPr="003D32A6" w:rsidRDefault="003D32A6" w:rsidP="003D32A6">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Pr>
          <w:rFonts w:ascii="Times New Roman" w:hAnsi="Times New Roman" w:cs="Times New Roman"/>
          <w:sz w:val="24"/>
          <w:szCs w:val="24"/>
        </w:rPr>
        <w:t>If Aus</w:t>
      </w:r>
      <w:r w:rsidR="0068694A">
        <w:rPr>
          <w:rFonts w:ascii="Times New Roman" w:hAnsi="Times New Roman" w:cs="Times New Roman"/>
          <w:sz w:val="24"/>
          <w:szCs w:val="24"/>
        </w:rPr>
        <w:t xml:space="preserve">tralia does not implement the </w:t>
      </w:r>
      <w:r>
        <w:rPr>
          <w:rFonts w:ascii="Times New Roman" w:hAnsi="Times New Roman" w:cs="Times New Roman"/>
          <w:sz w:val="24"/>
          <w:szCs w:val="24"/>
        </w:rPr>
        <w:t>TPP</w:t>
      </w:r>
      <w:r w:rsidR="0068694A">
        <w:rPr>
          <w:rFonts w:ascii="Times New Roman" w:hAnsi="Times New Roman" w:cs="Times New Roman"/>
          <w:sz w:val="24"/>
          <w:szCs w:val="24"/>
        </w:rPr>
        <w:t>-11</w:t>
      </w:r>
      <w:r>
        <w:rPr>
          <w:rFonts w:ascii="Times New Roman" w:hAnsi="Times New Roman" w:cs="Times New Roman"/>
          <w:sz w:val="24"/>
          <w:szCs w:val="24"/>
        </w:rPr>
        <w:t>, it would lose the gains made under the TPP</w:t>
      </w:r>
      <w:r w:rsidR="00377AB9">
        <w:rPr>
          <w:rFonts w:ascii="Times New Roman" w:hAnsi="Times New Roman" w:cs="Times New Roman"/>
          <w:sz w:val="24"/>
          <w:szCs w:val="24"/>
        </w:rPr>
        <w:t>, which the TPP-11 incorporates</w:t>
      </w:r>
      <w:r>
        <w:rPr>
          <w:rFonts w:ascii="Times New Roman" w:hAnsi="Times New Roman" w:cs="Times New Roman"/>
          <w:sz w:val="24"/>
          <w:szCs w:val="24"/>
        </w:rPr>
        <w:t xml:space="preserve">. </w:t>
      </w:r>
      <w:r w:rsidR="00972756">
        <w:rPr>
          <w:rFonts w:ascii="Times New Roman" w:hAnsi="Times New Roman" w:cs="Times New Roman"/>
          <w:sz w:val="24"/>
          <w:szCs w:val="24"/>
        </w:rPr>
        <w:t xml:space="preserve"> </w:t>
      </w:r>
      <w:r>
        <w:rPr>
          <w:rFonts w:ascii="Times New Roman" w:hAnsi="Times New Roman" w:cs="Times New Roman"/>
          <w:sz w:val="24"/>
          <w:szCs w:val="24"/>
        </w:rPr>
        <w:t xml:space="preserve">These gains are further detailed below. </w:t>
      </w:r>
    </w:p>
    <w:p w14:paraId="17B09F22" w14:textId="7F4F3665" w:rsidR="0077021A" w:rsidRPr="002545FD" w:rsidRDefault="002545FD" w:rsidP="002545FD">
      <w:pPr>
        <w:tabs>
          <w:tab w:val="left" w:pos="660"/>
        </w:tabs>
        <w:suppressAutoHyphens/>
        <w:spacing w:after="120"/>
        <w:rPr>
          <w:b/>
          <w:i/>
        </w:rPr>
      </w:pPr>
      <w:r>
        <w:rPr>
          <w:b/>
          <w:i/>
        </w:rPr>
        <w:t xml:space="preserve">Background to the </w:t>
      </w:r>
      <w:r w:rsidR="00DA0AA8">
        <w:rPr>
          <w:b/>
          <w:i/>
        </w:rPr>
        <w:t>TPP</w:t>
      </w:r>
      <w:r w:rsidR="00B50196">
        <w:rPr>
          <w:b/>
          <w:i/>
        </w:rPr>
        <w:t xml:space="preserve"> </w:t>
      </w:r>
    </w:p>
    <w:p w14:paraId="74037B19" w14:textId="6FD91D49"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w:t>
      </w:r>
      <w:r w:rsidR="006A55AF">
        <w:rPr>
          <w:rFonts w:ascii="Times New Roman" w:hAnsi="Times New Roman" w:cs="Times New Roman"/>
          <w:sz w:val="24"/>
          <w:szCs w:val="24"/>
        </w:rPr>
        <w:t>TPP</w:t>
      </w:r>
      <w:r w:rsidRPr="00DC5278">
        <w:rPr>
          <w:rFonts w:ascii="Times New Roman" w:hAnsi="Times New Roman" w:cs="Times New Roman"/>
          <w:sz w:val="24"/>
          <w:szCs w:val="24"/>
        </w:rPr>
        <w:t xml:space="preserve"> negotiatio</w:t>
      </w:r>
      <w:r w:rsidR="00210F35">
        <w:rPr>
          <w:rFonts w:ascii="Times New Roman" w:hAnsi="Times New Roman" w:cs="Times New Roman"/>
          <w:sz w:val="24"/>
          <w:szCs w:val="24"/>
        </w:rPr>
        <w:t>ns emerged amidst uncertainty about</w:t>
      </w:r>
      <w:r w:rsidRPr="00DC5278">
        <w:rPr>
          <w:rFonts w:ascii="Times New Roman" w:hAnsi="Times New Roman" w:cs="Times New Roman"/>
          <w:sz w:val="24"/>
          <w:szCs w:val="24"/>
        </w:rPr>
        <w:t xml:space="preserve"> the future of the Doha Development Agenda Round, which was launched in 2001.  Since the conclusion of the Uruguay Round in 1994, members of the World Trade Organization (WTO) have failed to agree on further </w:t>
      </w:r>
      <w:proofErr w:type="spellStart"/>
      <w:r w:rsidRPr="00DC5278">
        <w:rPr>
          <w:rFonts w:ascii="Times New Roman" w:hAnsi="Times New Roman" w:cs="Times New Roman"/>
          <w:sz w:val="24"/>
          <w:szCs w:val="24"/>
        </w:rPr>
        <w:t>liberalisation</w:t>
      </w:r>
      <w:proofErr w:type="spellEnd"/>
      <w:r w:rsidRPr="00DC5278">
        <w:rPr>
          <w:rFonts w:ascii="Times New Roman" w:hAnsi="Times New Roman" w:cs="Times New Roman"/>
          <w:sz w:val="24"/>
          <w:szCs w:val="24"/>
        </w:rPr>
        <w:t xml:space="preserve"> of global trade.  </w:t>
      </w:r>
      <w:r w:rsidR="009F37FF">
        <w:rPr>
          <w:rFonts w:ascii="Times New Roman" w:hAnsi="Times New Roman" w:cs="Times New Roman"/>
          <w:color w:val="auto"/>
          <w:sz w:val="24"/>
          <w:szCs w:val="24"/>
          <w:lang w:val="en-AU"/>
        </w:rPr>
        <w:t>Furthermore</w:t>
      </w:r>
      <w:r w:rsidR="009F37FF" w:rsidRPr="00DC5278">
        <w:rPr>
          <w:rFonts w:ascii="Times New Roman" w:hAnsi="Times New Roman" w:cs="Times New Roman"/>
          <w:color w:val="auto"/>
          <w:sz w:val="24"/>
          <w:szCs w:val="24"/>
          <w:lang w:val="en-AU"/>
        </w:rPr>
        <w:t xml:space="preserve">, the mandate for the Doha Development Round </w:t>
      </w:r>
      <w:r w:rsidR="00537C89">
        <w:rPr>
          <w:rFonts w:ascii="Times New Roman" w:hAnsi="Times New Roman" w:cs="Times New Roman"/>
          <w:color w:val="auto"/>
          <w:sz w:val="24"/>
          <w:szCs w:val="24"/>
          <w:lang w:val="en-AU"/>
        </w:rPr>
        <w:t xml:space="preserve">did </w:t>
      </w:r>
      <w:r w:rsidR="009F37FF" w:rsidRPr="00DC5278">
        <w:rPr>
          <w:rFonts w:ascii="Times New Roman" w:hAnsi="Times New Roman" w:cs="Times New Roman"/>
          <w:color w:val="auto"/>
          <w:sz w:val="24"/>
          <w:szCs w:val="24"/>
          <w:lang w:val="en-AU"/>
        </w:rPr>
        <w:t xml:space="preserve">not </w:t>
      </w:r>
      <w:r w:rsidR="00DC121C">
        <w:rPr>
          <w:rFonts w:ascii="Times New Roman" w:hAnsi="Times New Roman" w:cs="Times New Roman"/>
          <w:color w:val="auto"/>
          <w:sz w:val="24"/>
          <w:szCs w:val="24"/>
          <w:lang w:val="en-AU"/>
        </w:rPr>
        <w:t xml:space="preserve">cover </w:t>
      </w:r>
      <w:r w:rsidR="00537C89">
        <w:rPr>
          <w:rFonts w:ascii="Times New Roman" w:hAnsi="Times New Roman" w:cs="Times New Roman"/>
          <w:color w:val="auto"/>
          <w:sz w:val="24"/>
          <w:szCs w:val="24"/>
          <w:lang w:val="en-AU"/>
        </w:rPr>
        <w:t xml:space="preserve">a range of </w:t>
      </w:r>
      <w:r w:rsidR="009F37FF" w:rsidRPr="00DC5278">
        <w:rPr>
          <w:rFonts w:ascii="Times New Roman" w:hAnsi="Times New Roman" w:cs="Times New Roman"/>
          <w:color w:val="auto"/>
          <w:sz w:val="24"/>
          <w:szCs w:val="24"/>
          <w:lang w:val="en-AU"/>
        </w:rPr>
        <w:t xml:space="preserve">areas </w:t>
      </w:r>
      <w:r w:rsidR="00DC121C">
        <w:rPr>
          <w:rFonts w:ascii="Times New Roman" w:hAnsi="Times New Roman" w:cs="Times New Roman"/>
          <w:color w:val="auto"/>
          <w:sz w:val="24"/>
          <w:szCs w:val="24"/>
          <w:lang w:val="en-AU"/>
        </w:rPr>
        <w:t xml:space="preserve">of </w:t>
      </w:r>
      <w:r w:rsidR="00DC121C">
        <w:rPr>
          <w:rFonts w:ascii="Times New Roman" w:hAnsi="Times New Roman" w:cs="Times New Roman"/>
          <w:color w:val="auto"/>
          <w:sz w:val="24"/>
          <w:szCs w:val="24"/>
          <w:lang w:val="en-AU"/>
        </w:rPr>
        <w:lastRenderedPageBreak/>
        <w:t>relevance</w:t>
      </w:r>
      <w:r w:rsidR="009F37FF" w:rsidRPr="00DC5278">
        <w:rPr>
          <w:rFonts w:ascii="Times New Roman" w:hAnsi="Times New Roman" w:cs="Times New Roman"/>
          <w:color w:val="auto"/>
          <w:sz w:val="24"/>
          <w:szCs w:val="24"/>
          <w:lang w:val="en-AU"/>
        </w:rPr>
        <w:t xml:space="preserve"> </w:t>
      </w:r>
      <w:r w:rsidR="00DC121C">
        <w:rPr>
          <w:rFonts w:ascii="Times New Roman" w:hAnsi="Times New Roman" w:cs="Times New Roman"/>
          <w:color w:val="auto"/>
          <w:sz w:val="24"/>
          <w:szCs w:val="24"/>
          <w:lang w:val="en-AU"/>
        </w:rPr>
        <w:t xml:space="preserve">to trade and business, such as </w:t>
      </w:r>
      <w:r w:rsidR="009F37FF" w:rsidRPr="00DC5278">
        <w:rPr>
          <w:rFonts w:ascii="Times New Roman" w:hAnsi="Times New Roman" w:cs="Times New Roman"/>
          <w:color w:val="auto"/>
          <w:sz w:val="24"/>
          <w:szCs w:val="24"/>
          <w:lang w:val="en-AU"/>
        </w:rPr>
        <w:t xml:space="preserve">competition policy, investment, environment, labour and government procurement.  </w:t>
      </w:r>
    </w:p>
    <w:p w14:paraId="74037B1A" w14:textId="2AE7926F" w:rsidR="008809A6" w:rsidRPr="00DC5278" w:rsidRDefault="00537C89"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Pr>
          <w:rFonts w:ascii="Times New Roman" w:hAnsi="Times New Roman" w:cs="Times New Roman"/>
          <w:color w:val="auto"/>
          <w:sz w:val="24"/>
          <w:szCs w:val="24"/>
          <w:lang w:val="en-AU"/>
        </w:rPr>
        <w:t>I</w:t>
      </w:r>
      <w:r w:rsidR="005B6B31" w:rsidRPr="00DC5278">
        <w:rPr>
          <w:rFonts w:ascii="Times New Roman" w:hAnsi="Times New Roman" w:cs="Times New Roman"/>
          <w:color w:val="auto"/>
          <w:sz w:val="24"/>
          <w:szCs w:val="24"/>
          <w:lang w:val="en-AU"/>
        </w:rPr>
        <w:t xml:space="preserve">nternational production, trade and investments are increasingly organised within global value chains (GVCs) where the different stages of the production process are located across different countries.  </w:t>
      </w:r>
      <w:r w:rsidR="008809A6" w:rsidRPr="00DC5278">
        <w:rPr>
          <w:rFonts w:ascii="Times New Roman" w:hAnsi="Times New Roman" w:cs="Times New Roman"/>
          <w:color w:val="auto"/>
          <w:sz w:val="24"/>
          <w:szCs w:val="24"/>
          <w:lang w:val="en-AU"/>
        </w:rPr>
        <w:t xml:space="preserve">There have also been significant technological advancements allowing for a rapid take up of e-commerce by businesses and consumers from a diverse range of economies. </w:t>
      </w:r>
      <w:r w:rsidR="00146552" w:rsidRPr="00DC5278">
        <w:rPr>
          <w:rFonts w:ascii="Times New Roman" w:hAnsi="Times New Roman" w:cs="Times New Roman"/>
          <w:color w:val="auto"/>
          <w:sz w:val="24"/>
          <w:szCs w:val="24"/>
          <w:lang w:val="en-AU"/>
        </w:rPr>
        <w:t xml:space="preserve"> </w:t>
      </w:r>
      <w:r w:rsidR="005B6B31" w:rsidRPr="00DC5278">
        <w:rPr>
          <w:rFonts w:ascii="Times New Roman" w:hAnsi="Times New Roman" w:cs="Times New Roman"/>
          <w:color w:val="auto"/>
          <w:sz w:val="24"/>
          <w:szCs w:val="24"/>
          <w:lang w:val="en-AU"/>
        </w:rPr>
        <w:t xml:space="preserve">There is a need for a framework that </w:t>
      </w:r>
      <w:r w:rsidR="00597BE1">
        <w:rPr>
          <w:rFonts w:ascii="Times New Roman" w:hAnsi="Times New Roman" w:cs="Times New Roman"/>
          <w:color w:val="auto"/>
          <w:sz w:val="24"/>
          <w:szCs w:val="24"/>
          <w:lang w:val="en-AU"/>
        </w:rPr>
        <w:t xml:space="preserve">better </w:t>
      </w:r>
      <w:r w:rsidR="008809A6" w:rsidRPr="00DC5278">
        <w:rPr>
          <w:rFonts w:ascii="Times New Roman" w:hAnsi="Times New Roman" w:cs="Times New Roman"/>
          <w:color w:val="auto"/>
          <w:sz w:val="24"/>
          <w:szCs w:val="24"/>
          <w:lang w:val="en-AU"/>
        </w:rPr>
        <w:t>supports</w:t>
      </w:r>
      <w:r w:rsidR="005B6B31" w:rsidRPr="00DC5278">
        <w:rPr>
          <w:rFonts w:ascii="Times New Roman" w:hAnsi="Times New Roman" w:cs="Times New Roman"/>
          <w:color w:val="auto"/>
          <w:sz w:val="24"/>
          <w:szCs w:val="24"/>
          <w:lang w:val="en-AU"/>
        </w:rPr>
        <w:t xml:space="preserve"> global trade in the 21</w:t>
      </w:r>
      <w:r w:rsidR="005B6B31" w:rsidRPr="00DC5278">
        <w:rPr>
          <w:rFonts w:ascii="Times New Roman" w:hAnsi="Times New Roman" w:cs="Times New Roman"/>
          <w:color w:val="auto"/>
          <w:sz w:val="24"/>
          <w:szCs w:val="24"/>
          <w:vertAlign w:val="superscript"/>
          <w:lang w:val="en-AU"/>
        </w:rPr>
        <w:t>st</w:t>
      </w:r>
      <w:r w:rsidR="005B6B31" w:rsidRPr="00DC5278">
        <w:rPr>
          <w:rFonts w:ascii="Times New Roman" w:hAnsi="Times New Roman" w:cs="Times New Roman"/>
          <w:color w:val="auto"/>
          <w:sz w:val="24"/>
          <w:szCs w:val="24"/>
          <w:lang w:val="en-AU"/>
        </w:rPr>
        <w:t xml:space="preserve"> century. </w:t>
      </w:r>
    </w:p>
    <w:p w14:paraId="74037B1B" w14:textId="38F0B17C" w:rsidR="008809A6" w:rsidRPr="00DC5278" w:rsidRDefault="008809A6"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As multilateral negotiations have stalled, major trading economies have </w:t>
      </w:r>
      <w:proofErr w:type="gramStart"/>
      <w:r w:rsidRPr="00DC5278">
        <w:rPr>
          <w:rFonts w:ascii="Times New Roman" w:hAnsi="Times New Roman" w:cs="Times New Roman"/>
          <w:color w:val="auto"/>
          <w:sz w:val="24"/>
          <w:szCs w:val="24"/>
          <w:lang w:val="en-AU"/>
        </w:rPr>
        <w:t>entered into</w:t>
      </w:r>
      <w:proofErr w:type="gramEnd"/>
      <w:r w:rsidRPr="00DC5278">
        <w:rPr>
          <w:rFonts w:ascii="Times New Roman" w:hAnsi="Times New Roman" w:cs="Times New Roman"/>
          <w:color w:val="auto"/>
          <w:sz w:val="24"/>
          <w:szCs w:val="24"/>
          <w:lang w:val="en-AU"/>
        </w:rPr>
        <w:t xml:space="preserve"> bilateral and regional FTAs</w:t>
      </w:r>
      <w:r w:rsidR="007D273B">
        <w:rPr>
          <w:rFonts w:ascii="Times New Roman" w:hAnsi="Times New Roman" w:cs="Times New Roman"/>
          <w:color w:val="auto"/>
          <w:sz w:val="24"/>
          <w:szCs w:val="24"/>
          <w:lang w:val="en-AU"/>
        </w:rPr>
        <w:t xml:space="preserve">.  Australia has negotiated 11 </w:t>
      </w:r>
      <w:r w:rsidRPr="00DC5278">
        <w:rPr>
          <w:rFonts w:ascii="Times New Roman" w:hAnsi="Times New Roman" w:cs="Times New Roman"/>
          <w:color w:val="auto"/>
          <w:sz w:val="24"/>
          <w:szCs w:val="24"/>
          <w:lang w:val="en-AU"/>
        </w:rPr>
        <w:t>bilateral and regional FTAs since 2001.</w:t>
      </w:r>
      <w:r w:rsidRPr="00DC5278">
        <w:rPr>
          <w:rStyle w:val="FootnoteReference"/>
          <w:rFonts w:ascii="Times New Roman" w:hAnsi="Times New Roman" w:cs="Times New Roman"/>
          <w:color w:val="auto"/>
          <w:sz w:val="24"/>
          <w:szCs w:val="24"/>
          <w:lang w:val="en-AU"/>
        </w:rPr>
        <w:footnoteReference w:id="2"/>
      </w:r>
    </w:p>
    <w:p w14:paraId="74037B1C" w14:textId="117D4F7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In the past two decades, the Asia-Pacific has become the fastest growing economic region in the world</w:t>
      </w:r>
      <w:r w:rsidR="00F14CEF">
        <w:rPr>
          <w:rFonts w:ascii="Times New Roman" w:hAnsi="Times New Roman" w:cs="Times New Roman"/>
          <w:color w:val="auto"/>
          <w:sz w:val="24"/>
          <w:szCs w:val="24"/>
          <w:lang w:val="en-AU"/>
        </w:rPr>
        <w:t xml:space="preserve"> and will continue to be </w:t>
      </w:r>
      <w:r w:rsidR="00983816">
        <w:rPr>
          <w:rFonts w:ascii="Times New Roman" w:hAnsi="Times New Roman" w:cs="Times New Roman"/>
          <w:color w:val="auto"/>
          <w:sz w:val="24"/>
          <w:szCs w:val="24"/>
          <w:lang w:val="en-AU"/>
        </w:rPr>
        <w:t xml:space="preserve">the world’s fastest growing region </w:t>
      </w:r>
      <w:r w:rsidR="00F14CEF">
        <w:rPr>
          <w:rFonts w:ascii="Times New Roman" w:hAnsi="Times New Roman" w:cs="Times New Roman"/>
          <w:color w:val="auto"/>
          <w:sz w:val="24"/>
          <w:szCs w:val="24"/>
          <w:lang w:val="en-AU"/>
        </w:rPr>
        <w:t>in the 21</w:t>
      </w:r>
      <w:r w:rsidR="00F14CEF" w:rsidRPr="00F14CEF">
        <w:rPr>
          <w:rFonts w:ascii="Times New Roman" w:hAnsi="Times New Roman" w:cs="Times New Roman"/>
          <w:color w:val="auto"/>
          <w:sz w:val="24"/>
          <w:szCs w:val="24"/>
          <w:vertAlign w:val="superscript"/>
          <w:lang w:val="en-AU"/>
        </w:rPr>
        <w:t>st</w:t>
      </w:r>
      <w:r w:rsidR="00F14CEF">
        <w:rPr>
          <w:rFonts w:ascii="Times New Roman" w:hAnsi="Times New Roman" w:cs="Times New Roman"/>
          <w:color w:val="auto"/>
          <w:sz w:val="24"/>
          <w:szCs w:val="24"/>
          <w:lang w:val="en-AU"/>
        </w:rPr>
        <w:t xml:space="preserve"> century</w:t>
      </w:r>
      <w:r w:rsidRPr="00DC5278">
        <w:rPr>
          <w:rFonts w:ascii="Times New Roman" w:hAnsi="Times New Roman" w:cs="Times New Roman"/>
          <w:color w:val="auto"/>
          <w:sz w:val="24"/>
          <w:szCs w:val="24"/>
          <w:lang w:val="en-AU"/>
        </w:rPr>
        <w:t>.  With close to half of all global trade and around 70 per cent of Australia's trade flowing through this region, expanding and deepening Australia’s trade and investmen</w:t>
      </w:r>
      <w:r w:rsidR="00366D95">
        <w:rPr>
          <w:rFonts w:ascii="Times New Roman" w:hAnsi="Times New Roman" w:cs="Times New Roman"/>
          <w:color w:val="auto"/>
          <w:sz w:val="24"/>
          <w:szCs w:val="24"/>
          <w:lang w:val="en-AU"/>
        </w:rPr>
        <w:t>t relationships is critical to our</w:t>
      </w:r>
      <w:r w:rsidRPr="00DC5278">
        <w:rPr>
          <w:rFonts w:ascii="Times New Roman" w:hAnsi="Times New Roman" w:cs="Times New Roman"/>
          <w:color w:val="auto"/>
          <w:sz w:val="24"/>
          <w:szCs w:val="24"/>
          <w:lang w:val="en-AU"/>
        </w:rPr>
        <w:t xml:space="preserve"> future eco</w:t>
      </w:r>
      <w:r w:rsidR="00C969DC">
        <w:rPr>
          <w:rFonts w:ascii="Times New Roman" w:hAnsi="Times New Roman" w:cs="Times New Roman"/>
          <w:color w:val="auto"/>
          <w:sz w:val="24"/>
          <w:szCs w:val="24"/>
          <w:lang w:val="en-AU"/>
        </w:rPr>
        <w:t xml:space="preserve">nomic growth and prosperity.  </w:t>
      </w:r>
    </w:p>
    <w:p w14:paraId="74037B1D" w14:textId="02DAE21D"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For Australia, the Asia-Pacific is the </w:t>
      </w:r>
      <w:r w:rsidR="008B7BA1">
        <w:rPr>
          <w:rFonts w:ascii="Times New Roman" w:hAnsi="Times New Roman" w:cs="Times New Roman"/>
          <w:color w:val="auto"/>
          <w:sz w:val="24"/>
          <w:szCs w:val="24"/>
          <w:lang w:val="en-AU"/>
        </w:rPr>
        <w:t>logical region</w:t>
      </w:r>
      <w:r w:rsidRPr="00DC5278">
        <w:rPr>
          <w:rFonts w:ascii="Times New Roman" w:hAnsi="Times New Roman" w:cs="Times New Roman"/>
          <w:color w:val="auto"/>
          <w:sz w:val="24"/>
          <w:szCs w:val="24"/>
          <w:lang w:val="en-AU"/>
        </w:rPr>
        <w:t xml:space="preserve"> to define the new rules for global trade that covers all barriers and all sectors.  Being a participant in </w:t>
      </w:r>
      <w:r w:rsidR="006A55AF">
        <w:rPr>
          <w:rFonts w:ascii="Times New Roman" w:hAnsi="Times New Roman" w:cs="Times New Roman"/>
          <w:color w:val="auto"/>
          <w:sz w:val="24"/>
          <w:szCs w:val="24"/>
          <w:lang w:val="en-AU"/>
        </w:rPr>
        <w:t>TPP</w:t>
      </w:r>
      <w:r w:rsidR="00063BC9">
        <w:rPr>
          <w:rFonts w:ascii="Times New Roman" w:hAnsi="Times New Roman" w:cs="Times New Roman"/>
          <w:color w:val="auto"/>
          <w:sz w:val="24"/>
          <w:szCs w:val="24"/>
          <w:lang w:val="en-AU"/>
        </w:rPr>
        <w:t xml:space="preserve"> and </w:t>
      </w:r>
      <w:r w:rsidR="00B74663">
        <w:rPr>
          <w:rFonts w:ascii="Times New Roman" w:hAnsi="Times New Roman" w:cs="Times New Roman"/>
          <w:color w:val="auto"/>
          <w:sz w:val="24"/>
          <w:szCs w:val="24"/>
          <w:lang w:val="en-AU"/>
        </w:rPr>
        <w:br/>
      </w:r>
      <w:r w:rsidR="00063BC9">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negotiations since the beginning has enabled Australia to seize a strategic opportunity to shape the rules that will govern trade in the region</w:t>
      </w:r>
      <w:r w:rsidR="008249D5">
        <w:rPr>
          <w:rFonts w:ascii="Times New Roman" w:hAnsi="Times New Roman" w:cs="Times New Roman"/>
          <w:color w:val="auto"/>
          <w:sz w:val="24"/>
          <w:szCs w:val="24"/>
          <w:lang w:val="en-AU"/>
        </w:rPr>
        <w:t xml:space="preserve"> and beyond</w:t>
      </w:r>
      <w:r w:rsidRPr="00DC5278">
        <w:rPr>
          <w:rFonts w:ascii="Times New Roman" w:hAnsi="Times New Roman" w:cs="Times New Roman"/>
          <w:color w:val="auto"/>
          <w:sz w:val="24"/>
          <w:szCs w:val="24"/>
          <w:lang w:val="en-AU"/>
        </w:rPr>
        <w:t>.</w:t>
      </w:r>
    </w:p>
    <w:p w14:paraId="74037B1E" w14:textId="6F5FCE5E"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proofErr w:type="gramStart"/>
      <w:r w:rsidRPr="00DC5278">
        <w:rPr>
          <w:rFonts w:ascii="Times New Roman" w:hAnsi="Times New Roman" w:cs="Times New Roman"/>
          <w:color w:val="auto"/>
          <w:sz w:val="24"/>
          <w:szCs w:val="24"/>
          <w:lang w:val="en-AU"/>
        </w:rPr>
        <w:t>In light of</w:t>
      </w:r>
      <w:proofErr w:type="gramEnd"/>
      <w:r w:rsidRPr="00DC5278">
        <w:rPr>
          <w:rFonts w:ascii="Times New Roman" w:hAnsi="Times New Roman" w:cs="Times New Roman"/>
          <w:color w:val="auto"/>
          <w:sz w:val="24"/>
          <w:szCs w:val="24"/>
          <w:lang w:val="en-AU"/>
        </w:rPr>
        <w:t xml:space="preserve"> the region’s growing importance in the world trading system and the opportunities offered by its growing economies, the absence o</w:t>
      </w:r>
      <w:r w:rsidR="0085547B" w:rsidRPr="00DC5278">
        <w:rPr>
          <w:rFonts w:ascii="Times New Roman" w:hAnsi="Times New Roman" w:cs="Times New Roman"/>
          <w:color w:val="auto"/>
          <w:sz w:val="24"/>
          <w:szCs w:val="24"/>
          <w:lang w:val="en-AU"/>
        </w:rPr>
        <w:t xml:space="preserve">f </w:t>
      </w:r>
      <w:proofErr w:type="gramStart"/>
      <w:r w:rsidR="0085547B" w:rsidRPr="00DC5278">
        <w:rPr>
          <w:rFonts w:ascii="Times New Roman" w:hAnsi="Times New Roman" w:cs="Times New Roman"/>
          <w:color w:val="auto"/>
          <w:sz w:val="24"/>
          <w:szCs w:val="24"/>
          <w:lang w:val="en-AU"/>
        </w:rPr>
        <w:t>a</w:t>
      </w:r>
      <w:proofErr w:type="gramEnd"/>
      <w:r w:rsidR="0085547B" w:rsidRPr="00DC5278">
        <w:rPr>
          <w:rFonts w:ascii="Times New Roman" w:hAnsi="Times New Roman" w:cs="Times New Roman"/>
          <w:color w:val="auto"/>
          <w:sz w:val="24"/>
          <w:szCs w:val="24"/>
          <w:lang w:val="en-AU"/>
        </w:rPr>
        <w:t xml:space="preserve"> FTA integrating the Asia</w:t>
      </w:r>
      <w:r w:rsidRPr="00DC5278">
        <w:rPr>
          <w:rFonts w:ascii="Times New Roman" w:hAnsi="Times New Roman" w:cs="Times New Roman"/>
          <w:color w:val="auto"/>
          <w:sz w:val="24"/>
          <w:szCs w:val="24"/>
          <w:lang w:val="en-AU"/>
        </w:rPr>
        <w:t xml:space="preserve">-Pacific economies is constraining Australia’s ability to realise </w:t>
      </w:r>
      <w:r w:rsidR="00957153">
        <w:rPr>
          <w:rFonts w:ascii="Times New Roman" w:hAnsi="Times New Roman" w:cs="Times New Roman"/>
          <w:color w:val="auto"/>
          <w:sz w:val="24"/>
          <w:szCs w:val="24"/>
          <w:lang w:val="en-AU"/>
        </w:rPr>
        <w:t>its</w:t>
      </w:r>
      <w:r w:rsidRPr="00DC5278">
        <w:rPr>
          <w:rFonts w:ascii="Times New Roman" w:hAnsi="Times New Roman" w:cs="Times New Roman"/>
          <w:color w:val="auto"/>
          <w:sz w:val="24"/>
          <w:szCs w:val="24"/>
          <w:lang w:val="en-AU"/>
        </w:rPr>
        <w:t xml:space="preserve"> full </w:t>
      </w:r>
      <w:r w:rsidR="00957153">
        <w:rPr>
          <w:rFonts w:ascii="Times New Roman" w:hAnsi="Times New Roman" w:cs="Times New Roman"/>
          <w:color w:val="auto"/>
          <w:sz w:val="24"/>
          <w:szCs w:val="24"/>
          <w:lang w:val="en-AU"/>
        </w:rPr>
        <w:t xml:space="preserve">trading </w:t>
      </w:r>
      <w:r w:rsidRPr="00DC5278">
        <w:rPr>
          <w:rFonts w:ascii="Times New Roman" w:hAnsi="Times New Roman" w:cs="Times New Roman"/>
          <w:color w:val="auto"/>
          <w:sz w:val="24"/>
          <w:szCs w:val="24"/>
          <w:lang w:val="en-AU"/>
        </w:rPr>
        <w:t>potential with</w:t>
      </w:r>
      <w:r w:rsidR="00722512" w:rsidRPr="00DC5278">
        <w:rPr>
          <w:rFonts w:ascii="Times New Roman" w:hAnsi="Times New Roman" w:cs="Times New Roman"/>
          <w:color w:val="auto"/>
          <w:sz w:val="24"/>
          <w:szCs w:val="24"/>
          <w:lang w:val="en-AU"/>
        </w:rPr>
        <w:t>in</w:t>
      </w:r>
      <w:r w:rsidRPr="00DC5278">
        <w:rPr>
          <w:rFonts w:ascii="Times New Roman" w:hAnsi="Times New Roman" w:cs="Times New Roman"/>
          <w:color w:val="auto"/>
          <w:sz w:val="24"/>
          <w:szCs w:val="24"/>
          <w:lang w:val="en-AU"/>
        </w:rPr>
        <w:t xml:space="preserve"> the region. </w:t>
      </w:r>
    </w:p>
    <w:p w14:paraId="74037B1F" w14:textId="472FAF85"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pacing w:val="2"/>
          <w:sz w:val="24"/>
          <w:szCs w:val="24"/>
          <w:shd w:val="clear" w:color="auto" w:fill="FFFFFF"/>
          <w:lang w:val="en-AU"/>
        </w:rPr>
        <w:t xml:space="preserve">Conclusion of </w:t>
      </w:r>
      <w:r w:rsidR="00012826">
        <w:rPr>
          <w:rFonts w:ascii="Times New Roman" w:hAnsi="Times New Roman" w:cs="Times New Roman"/>
          <w:color w:val="auto"/>
          <w:spacing w:val="2"/>
          <w:sz w:val="24"/>
          <w:szCs w:val="24"/>
          <w:shd w:val="clear" w:color="auto" w:fill="FFFFFF"/>
          <w:lang w:val="en-AU"/>
        </w:rPr>
        <w:t xml:space="preserve">both </w:t>
      </w:r>
      <w:r w:rsidRPr="00DC5278">
        <w:rPr>
          <w:rFonts w:ascii="Times New Roman" w:hAnsi="Times New Roman" w:cs="Times New Roman"/>
          <w:color w:val="auto"/>
          <w:spacing w:val="2"/>
          <w:sz w:val="24"/>
          <w:szCs w:val="24"/>
          <w:shd w:val="clear" w:color="auto" w:fill="FFFFFF"/>
          <w:lang w:val="en-AU"/>
        </w:rPr>
        <w:t xml:space="preserve">the </w:t>
      </w:r>
      <w:r w:rsidR="00CE2876">
        <w:rPr>
          <w:rFonts w:ascii="Times New Roman" w:hAnsi="Times New Roman" w:cs="Times New Roman"/>
          <w:color w:val="auto"/>
          <w:spacing w:val="2"/>
          <w:sz w:val="24"/>
          <w:szCs w:val="24"/>
          <w:shd w:val="clear" w:color="auto" w:fill="FFFFFF"/>
          <w:lang w:val="en-AU"/>
        </w:rPr>
        <w:t xml:space="preserve">TPP and </w:t>
      </w:r>
      <w:r w:rsidR="006A55AF">
        <w:rPr>
          <w:rFonts w:ascii="Times New Roman" w:hAnsi="Times New Roman" w:cs="Times New Roman"/>
          <w:color w:val="auto"/>
          <w:spacing w:val="2"/>
          <w:sz w:val="24"/>
          <w:szCs w:val="24"/>
          <w:shd w:val="clear" w:color="auto" w:fill="FFFFFF"/>
          <w:lang w:val="en-AU"/>
        </w:rPr>
        <w:t>TPP</w:t>
      </w:r>
      <w:r w:rsidR="00063BC9">
        <w:rPr>
          <w:rFonts w:ascii="Times New Roman" w:hAnsi="Times New Roman" w:cs="Times New Roman"/>
          <w:color w:val="auto"/>
          <w:spacing w:val="2"/>
          <w:sz w:val="24"/>
          <w:szCs w:val="24"/>
          <w:shd w:val="clear" w:color="auto" w:fill="FFFFFF"/>
          <w:lang w:val="en-AU"/>
        </w:rPr>
        <w:t>-11</w:t>
      </w:r>
      <w:r w:rsidRPr="00DC5278">
        <w:rPr>
          <w:rFonts w:ascii="Times New Roman" w:hAnsi="Times New Roman" w:cs="Times New Roman"/>
          <w:color w:val="auto"/>
          <w:spacing w:val="2"/>
          <w:sz w:val="24"/>
          <w:szCs w:val="24"/>
          <w:shd w:val="clear" w:color="auto" w:fill="FFFFFF"/>
          <w:lang w:val="en-AU"/>
        </w:rPr>
        <w:t xml:space="preserve"> negotiations is the first concrete step towards realising the long-term vision of a Free Trade Are</w:t>
      </w:r>
      <w:r w:rsidR="00722512" w:rsidRPr="00DC5278">
        <w:rPr>
          <w:rFonts w:ascii="Times New Roman" w:hAnsi="Times New Roman" w:cs="Times New Roman"/>
          <w:color w:val="auto"/>
          <w:spacing w:val="2"/>
          <w:sz w:val="24"/>
          <w:szCs w:val="24"/>
          <w:shd w:val="clear" w:color="auto" w:fill="FFFFFF"/>
          <w:lang w:val="en-AU"/>
        </w:rPr>
        <w:t xml:space="preserve">a of the Asia-Pacific (FTAAP).  </w:t>
      </w:r>
      <w:r w:rsidR="00063BC9">
        <w:rPr>
          <w:rFonts w:ascii="Times New Roman" w:hAnsi="Times New Roman" w:cs="Times New Roman"/>
          <w:color w:val="auto"/>
          <w:sz w:val="24"/>
          <w:szCs w:val="24"/>
          <w:lang w:val="en-AU"/>
        </w:rPr>
        <w:t xml:space="preserve">TPP-11 </w:t>
      </w:r>
      <w:r w:rsidRPr="00DC5278">
        <w:rPr>
          <w:rFonts w:ascii="Times New Roman" w:hAnsi="Times New Roman" w:cs="Times New Roman"/>
          <w:color w:val="auto"/>
          <w:sz w:val="24"/>
          <w:szCs w:val="24"/>
          <w:lang w:val="en-AU"/>
        </w:rPr>
        <w:t>membership is open to other economies</w:t>
      </w:r>
      <w:r w:rsidR="005A03DF">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and Australia is committed to expanding </w:t>
      </w:r>
      <w:r w:rsidR="00063BC9">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membership over time.</w:t>
      </w:r>
    </w:p>
    <w:p w14:paraId="74037B20" w14:textId="634359CF" w:rsidR="00751E59" w:rsidRPr="00C75482" w:rsidRDefault="00432FB8"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More specifically, Australia’s existing FTAs with </w:t>
      </w:r>
      <w:r w:rsidR="006A55AF">
        <w:rPr>
          <w:rFonts w:ascii="Times New Roman" w:hAnsi="Times New Roman" w:cs="Times New Roman"/>
          <w:color w:val="auto"/>
          <w:sz w:val="24"/>
          <w:szCs w:val="24"/>
          <w:lang w:val="en-AU"/>
        </w:rPr>
        <w:t>TPP</w:t>
      </w:r>
      <w:r w:rsidR="00063BC9">
        <w:rPr>
          <w:rFonts w:ascii="Times New Roman" w:hAnsi="Times New Roman" w:cs="Times New Roman"/>
          <w:color w:val="auto"/>
          <w:sz w:val="24"/>
          <w:szCs w:val="24"/>
          <w:lang w:val="en-AU"/>
        </w:rPr>
        <w:t>-11</w:t>
      </w:r>
      <w:r w:rsidRPr="00DC5278">
        <w:rPr>
          <w:rFonts w:ascii="Times New Roman" w:hAnsi="Times New Roman" w:cs="Times New Roman"/>
          <w:color w:val="auto"/>
          <w:sz w:val="24"/>
          <w:szCs w:val="24"/>
          <w:lang w:val="en-AU"/>
        </w:rPr>
        <w:t xml:space="preserve"> parties have not fully addressed the barriers and restrictions in those markets, which limit the extent to which our goods and services exports can expand.  In addition</w:t>
      </w:r>
      <w:r w:rsidR="00751E59" w:rsidRPr="00DC5278">
        <w:rPr>
          <w:rFonts w:ascii="Times New Roman" w:hAnsi="Times New Roman" w:cs="Times New Roman"/>
          <w:color w:val="auto"/>
          <w:sz w:val="24"/>
          <w:szCs w:val="24"/>
          <w:lang w:val="en-AU"/>
        </w:rPr>
        <w:t>, Australia does not have FTAs with Canada</w:t>
      </w:r>
      <w:r w:rsidR="00063BC9">
        <w:rPr>
          <w:rFonts w:ascii="Times New Roman" w:hAnsi="Times New Roman" w:cs="Times New Roman"/>
          <w:color w:val="auto"/>
          <w:sz w:val="24"/>
          <w:szCs w:val="24"/>
          <w:lang w:val="en-AU"/>
        </w:rPr>
        <w:t xml:space="preserve"> and Mexico</w:t>
      </w:r>
      <w:r w:rsidR="008809A6" w:rsidRPr="00DC5278">
        <w:rPr>
          <w:rFonts w:ascii="Times New Roman" w:hAnsi="Times New Roman" w:cs="Times New Roman"/>
          <w:color w:val="auto"/>
          <w:sz w:val="24"/>
          <w:szCs w:val="24"/>
          <w:lang w:val="en-AU"/>
        </w:rPr>
        <w:t xml:space="preserve">, and our exporters </w:t>
      </w:r>
      <w:r w:rsidR="005A03DF">
        <w:rPr>
          <w:rFonts w:ascii="Times New Roman" w:hAnsi="Times New Roman" w:cs="Times New Roman"/>
          <w:color w:val="auto"/>
          <w:sz w:val="24"/>
          <w:szCs w:val="24"/>
          <w:lang w:val="en-AU"/>
        </w:rPr>
        <w:t>are disadvantaged</w:t>
      </w:r>
      <w:r w:rsidR="008809A6" w:rsidRPr="00DC5278">
        <w:rPr>
          <w:rFonts w:ascii="Times New Roman" w:hAnsi="Times New Roman" w:cs="Times New Roman"/>
          <w:color w:val="auto"/>
          <w:sz w:val="24"/>
          <w:szCs w:val="24"/>
          <w:lang w:val="en-AU"/>
        </w:rPr>
        <w:t xml:space="preserve"> due </w:t>
      </w:r>
      <w:r w:rsidR="00642A44" w:rsidRPr="00DC5278">
        <w:rPr>
          <w:rFonts w:ascii="Times New Roman" w:hAnsi="Times New Roman" w:cs="Times New Roman"/>
          <w:color w:val="auto"/>
          <w:sz w:val="24"/>
          <w:szCs w:val="24"/>
          <w:lang w:val="en-AU"/>
        </w:rPr>
        <w:t xml:space="preserve">to </w:t>
      </w:r>
      <w:r w:rsidR="00642A44">
        <w:rPr>
          <w:rFonts w:ascii="Times New Roman" w:hAnsi="Times New Roman" w:cs="Times New Roman"/>
          <w:color w:val="auto"/>
          <w:sz w:val="24"/>
          <w:szCs w:val="24"/>
          <w:lang w:val="en-AU"/>
        </w:rPr>
        <w:t>existing</w:t>
      </w:r>
      <w:r w:rsidR="005A03DF">
        <w:rPr>
          <w:rFonts w:ascii="Times New Roman" w:hAnsi="Times New Roman" w:cs="Times New Roman"/>
          <w:color w:val="auto"/>
          <w:sz w:val="24"/>
          <w:szCs w:val="24"/>
          <w:lang w:val="en-AU"/>
        </w:rPr>
        <w:t xml:space="preserve"> FTAs between </w:t>
      </w:r>
      <w:r w:rsidR="008809A6" w:rsidRPr="00DC5278">
        <w:rPr>
          <w:rFonts w:ascii="Times New Roman" w:hAnsi="Times New Roman" w:cs="Times New Roman"/>
          <w:color w:val="auto"/>
          <w:sz w:val="24"/>
          <w:szCs w:val="24"/>
          <w:lang w:val="en-AU"/>
        </w:rPr>
        <w:t xml:space="preserve">these countries </w:t>
      </w:r>
      <w:r w:rsidR="005A03DF">
        <w:rPr>
          <w:rFonts w:ascii="Times New Roman" w:hAnsi="Times New Roman" w:cs="Times New Roman"/>
          <w:color w:val="auto"/>
          <w:sz w:val="24"/>
          <w:szCs w:val="24"/>
          <w:lang w:val="en-AU"/>
        </w:rPr>
        <w:t>and our</w:t>
      </w:r>
      <w:r w:rsidR="008809A6" w:rsidRPr="00DC5278">
        <w:rPr>
          <w:rFonts w:ascii="Times New Roman" w:hAnsi="Times New Roman" w:cs="Times New Roman"/>
          <w:color w:val="auto"/>
          <w:sz w:val="24"/>
          <w:szCs w:val="24"/>
          <w:lang w:val="en-AU"/>
        </w:rPr>
        <w:t xml:space="preserve"> competitors</w:t>
      </w:r>
      <w:r w:rsidR="00751E59" w:rsidRPr="00DC5278">
        <w:rPr>
          <w:rFonts w:ascii="Times New Roman" w:hAnsi="Times New Roman" w:cs="Times New Roman"/>
          <w:color w:val="auto"/>
          <w:sz w:val="24"/>
          <w:szCs w:val="24"/>
          <w:lang w:val="en-AU"/>
        </w:rPr>
        <w:t>.  Canada and Mexico</w:t>
      </w:r>
      <w:r w:rsidR="00751E59" w:rsidRPr="00DC5278">
        <w:rPr>
          <w:rStyle w:val="FootnoteReference"/>
          <w:rFonts w:ascii="Times New Roman" w:hAnsi="Times New Roman" w:cs="Times New Roman"/>
          <w:color w:val="auto"/>
          <w:sz w:val="24"/>
          <w:szCs w:val="24"/>
          <w:lang w:val="en-AU"/>
        </w:rPr>
        <w:footnoteReference w:id="3"/>
      </w:r>
      <w:proofErr w:type="gramStart"/>
      <w:r w:rsidR="00751E59" w:rsidRPr="00DC5278">
        <w:rPr>
          <w:rFonts w:ascii="Times New Roman" w:hAnsi="Times New Roman" w:cs="Times New Roman"/>
          <w:color w:val="auto"/>
          <w:sz w:val="24"/>
          <w:szCs w:val="24"/>
          <w:lang w:val="en-AU"/>
        </w:rPr>
        <w:t>, in particular, provide</w:t>
      </w:r>
      <w:proofErr w:type="gramEnd"/>
      <w:r w:rsidR="00751E59" w:rsidRPr="00DC5278">
        <w:rPr>
          <w:rFonts w:ascii="Times New Roman" w:hAnsi="Times New Roman" w:cs="Times New Roman"/>
          <w:color w:val="auto"/>
          <w:sz w:val="24"/>
          <w:szCs w:val="24"/>
          <w:lang w:val="en-AU"/>
        </w:rPr>
        <w:t xml:space="preserve"> significant new opportunities because Australia has underdeveloped economic relationships with </w:t>
      </w:r>
      <w:proofErr w:type="gramStart"/>
      <w:r w:rsidR="00751E59" w:rsidRPr="00DC5278">
        <w:rPr>
          <w:rFonts w:ascii="Times New Roman" w:hAnsi="Times New Roman" w:cs="Times New Roman"/>
          <w:color w:val="auto"/>
          <w:sz w:val="24"/>
          <w:szCs w:val="24"/>
          <w:lang w:val="en-AU"/>
        </w:rPr>
        <w:t>both of these</w:t>
      </w:r>
      <w:proofErr w:type="gramEnd"/>
      <w:r w:rsidR="00751E59" w:rsidRPr="00DC5278">
        <w:rPr>
          <w:rFonts w:ascii="Times New Roman" w:hAnsi="Times New Roman" w:cs="Times New Roman"/>
          <w:color w:val="auto"/>
          <w:sz w:val="24"/>
          <w:szCs w:val="24"/>
          <w:lang w:val="en-AU"/>
        </w:rPr>
        <w:t xml:space="preserve"> G20 economies.  </w:t>
      </w:r>
      <w:r w:rsidRPr="00DC5278">
        <w:rPr>
          <w:rFonts w:ascii="Times New Roman" w:hAnsi="Times New Roman" w:cs="Times New Roman"/>
          <w:color w:val="auto"/>
          <w:sz w:val="24"/>
          <w:szCs w:val="24"/>
          <w:lang w:val="en-AU"/>
        </w:rPr>
        <w:t xml:space="preserve">The </w:t>
      </w:r>
      <w:r w:rsidR="00D519C3">
        <w:rPr>
          <w:rFonts w:ascii="Times New Roman" w:hAnsi="Times New Roman" w:cs="Times New Roman"/>
          <w:color w:val="auto"/>
          <w:sz w:val="24"/>
          <w:szCs w:val="24"/>
          <w:lang w:val="en-AU"/>
        </w:rPr>
        <w:t>TPP</w:t>
      </w:r>
      <w:r w:rsidR="00376154">
        <w:rPr>
          <w:rFonts w:ascii="Times New Roman" w:hAnsi="Times New Roman" w:cs="Times New Roman"/>
          <w:color w:val="auto"/>
          <w:sz w:val="24"/>
          <w:szCs w:val="24"/>
          <w:lang w:val="en-AU"/>
        </w:rPr>
        <w:t>-11</w:t>
      </w:r>
      <w:r w:rsidRPr="00DC5278">
        <w:rPr>
          <w:rFonts w:ascii="Times New Roman" w:hAnsi="Times New Roman" w:cs="Times New Roman"/>
          <w:color w:val="auto"/>
          <w:sz w:val="24"/>
          <w:szCs w:val="24"/>
          <w:lang w:val="en-AU"/>
        </w:rPr>
        <w:t xml:space="preserve"> presents an opportunity to address both these issues.</w:t>
      </w:r>
    </w:p>
    <w:p w14:paraId="3885BE19" w14:textId="77777777" w:rsidR="00C75482" w:rsidRPr="00DC5278" w:rsidRDefault="00C75482" w:rsidP="00C75482">
      <w:pPr>
        <w:pStyle w:val="ListParagraph"/>
        <w:tabs>
          <w:tab w:val="left" w:pos="660"/>
        </w:tabs>
        <w:suppressAutoHyphens/>
        <w:spacing w:after="120"/>
        <w:ind w:left="360"/>
        <w:rPr>
          <w:rFonts w:ascii="Times New Roman" w:eastAsia="Times New Roman" w:hAnsi="Times New Roman" w:cs="Times New Roman"/>
          <w:sz w:val="24"/>
          <w:szCs w:val="24"/>
        </w:rPr>
      </w:pPr>
    </w:p>
    <w:p w14:paraId="74037B21" w14:textId="1DB6D152" w:rsidR="00751E59" w:rsidRPr="00DC5278" w:rsidRDefault="00751E59" w:rsidP="0085547B">
      <w:pPr>
        <w:tabs>
          <w:tab w:val="left" w:pos="660"/>
        </w:tabs>
        <w:suppressAutoHyphens/>
        <w:spacing w:after="120"/>
        <w:rPr>
          <w:b/>
          <w:i/>
        </w:rPr>
      </w:pPr>
      <w:r w:rsidRPr="00DC5278">
        <w:rPr>
          <w:b/>
          <w:i/>
        </w:rPr>
        <w:lastRenderedPageBreak/>
        <w:t xml:space="preserve">Tariff </w:t>
      </w:r>
      <w:r w:rsidR="00642A44">
        <w:rPr>
          <w:b/>
          <w:i/>
        </w:rPr>
        <w:t>b</w:t>
      </w:r>
      <w:r w:rsidRPr="00DC5278">
        <w:rPr>
          <w:b/>
          <w:i/>
        </w:rPr>
        <w:t xml:space="preserve">arriers </w:t>
      </w:r>
      <w:r w:rsidR="00642A44">
        <w:rPr>
          <w:b/>
          <w:i/>
        </w:rPr>
        <w:t>s</w:t>
      </w:r>
      <w:r w:rsidRPr="00DC5278">
        <w:rPr>
          <w:b/>
          <w:i/>
        </w:rPr>
        <w:t>till</w:t>
      </w:r>
      <w:r w:rsidR="00E009F5" w:rsidRPr="00DC5278">
        <w:rPr>
          <w:b/>
          <w:i/>
        </w:rPr>
        <w:t xml:space="preserve"> </w:t>
      </w:r>
      <w:r w:rsidR="00642A44">
        <w:rPr>
          <w:b/>
          <w:i/>
        </w:rPr>
        <w:t>faced by Australian e</w:t>
      </w:r>
      <w:r w:rsidRPr="00DC5278">
        <w:rPr>
          <w:b/>
          <w:i/>
        </w:rPr>
        <w:t>xporters</w:t>
      </w:r>
    </w:p>
    <w:p w14:paraId="74037B23" w14:textId="62FD963A" w:rsidR="00751E59" w:rsidRPr="005116D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 xml:space="preserve">With Japan, </w:t>
      </w:r>
      <w:r w:rsidRPr="005116D8">
        <w:rPr>
          <w:rFonts w:ascii="Times New Roman" w:eastAsia="Times New Roman" w:hAnsi="Times New Roman" w:cs="Times New Roman"/>
          <w:color w:val="auto"/>
          <w:sz w:val="24"/>
          <w:szCs w:val="24"/>
          <w:lang w:val="en-AU"/>
        </w:rPr>
        <w:t xml:space="preserve">Australia has secured </w:t>
      </w:r>
      <w:r w:rsidR="008809A6" w:rsidRPr="005116D8">
        <w:rPr>
          <w:rFonts w:ascii="Times New Roman" w:eastAsia="Times New Roman" w:hAnsi="Times New Roman" w:cs="Times New Roman"/>
          <w:color w:val="auto"/>
          <w:sz w:val="24"/>
          <w:szCs w:val="24"/>
          <w:lang w:val="en-AU"/>
        </w:rPr>
        <w:t xml:space="preserve">increased </w:t>
      </w:r>
      <w:r w:rsidRPr="005116D8">
        <w:rPr>
          <w:rFonts w:ascii="Times New Roman" w:eastAsia="Times New Roman" w:hAnsi="Times New Roman" w:cs="Times New Roman"/>
          <w:color w:val="auto"/>
          <w:sz w:val="24"/>
          <w:szCs w:val="24"/>
          <w:lang w:val="en-AU"/>
        </w:rPr>
        <w:t xml:space="preserve">access for many products under the Japan-Australia </w:t>
      </w:r>
      <w:r w:rsidR="0085547B" w:rsidRPr="005116D8">
        <w:rPr>
          <w:rFonts w:ascii="Times New Roman" w:eastAsia="Times New Roman" w:hAnsi="Times New Roman" w:cs="Times New Roman"/>
          <w:color w:val="auto"/>
          <w:sz w:val="24"/>
          <w:szCs w:val="24"/>
          <w:lang w:val="en-AU"/>
        </w:rPr>
        <w:t>Economic Partnership Agreement</w:t>
      </w:r>
      <w:r w:rsidRPr="005116D8">
        <w:rPr>
          <w:rFonts w:ascii="Times New Roman" w:eastAsia="Times New Roman" w:hAnsi="Times New Roman" w:cs="Times New Roman"/>
          <w:color w:val="auto"/>
          <w:sz w:val="24"/>
          <w:szCs w:val="24"/>
          <w:lang w:val="en-AU"/>
        </w:rPr>
        <w:t xml:space="preserve"> (JAEPA</w:t>
      </w:r>
      <w:proofErr w:type="gramStart"/>
      <w:r w:rsidRPr="005116D8">
        <w:rPr>
          <w:rFonts w:ascii="Times New Roman" w:eastAsia="Times New Roman" w:hAnsi="Times New Roman" w:cs="Times New Roman"/>
          <w:color w:val="auto"/>
          <w:sz w:val="24"/>
          <w:szCs w:val="24"/>
          <w:lang w:val="en-AU"/>
        </w:rPr>
        <w:t>), but</w:t>
      </w:r>
      <w:proofErr w:type="gramEnd"/>
      <w:r w:rsidRPr="005116D8">
        <w:rPr>
          <w:rFonts w:ascii="Times New Roman" w:eastAsia="Times New Roman" w:hAnsi="Times New Roman" w:cs="Times New Roman"/>
          <w:color w:val="auto"/>
          <w:sz w:val="24"/>
          <w:szCs w:val="24"/>
          <w:lang w:val="en-AU"/>
        </w:rPr>
        <w:t xml:space="preserve"> will continue to face high tariffs and quota</w:t>
      </w:r>
      <w:r w:rsidR="0085547B" w:rsidRPr="005116D8">
        <w:rPr>
          <w:rFonts w:ascii="Times New Roman" w:eastAsia="Times New Roman" w:hAnsi="Times New Roman" w:cs="Times New Roman"/>
          <w:color w:val="auto"/>
          <w:sz w:val="24"/>
          <w:szCs w:val="24"/>
          <w:lang w:val="en-AU"/>
        </w:rPr>
        <w:t>-</w:t>
      </w:r>
      <w:r w:rsidRPr="005116D8">
        <w:rPr>
          <w:rFonts w:ascii="Times New Roman" w:eastAsia="Times New Roman" w:hAnsi="Times New Roman" w:cs="Times New Roman"/>
          <w:color w:val="auto"/>
          <w:sz w:val="24"/>
          <w:szCs w:val="24"/>
          <w:lang w:val="en-AU"/>
        </w:rPr>
        <w:t>limited access on Japan’s sensitive products.  In dairy</w:t>
      </w:r>
      <w:r w:rsidR="008C1CCA" w:rsidRPr="005116D8">
        <w:rPr>
          <w:rFonts w:ascii="Times New Roman" w:eastAsia="Times New Roman" w:hAnsi="Times New Roman" w:cs="Times New Roman"/>
          <w:color w:val="auto"/>
          <w:sz w:val="24"/>
          <w:szCs w:val="24"/>
          <w:lang w:val="en-AU"/>
        </w:rPr>
        <w:t>,</w:t>
      </w:r>
      <w:r w:rsidRPr="005116D8">
        <w:rPr>
          <w:rFonts w:ascii="Times New Roman" w:eastAsia="Times New Roman" w:hAnsi="Times New Roman" w:cs="Times New Roman"/>
          <w:color w:val="auto"/>
          <w:sz w:val="24"/>
          <w:szCs w:val="24"/>
          <w:lang w:val="en-AU"/>
        </w:rPr>
        <w:t xml:space="preserve"> products face </w:t>
      </w:r>
      <w:r w:rsidRPr="00A43AA7">
        <w:rPr>
          <w:rFonts w:ascii="Times New Roman" w:eastAsia="Times New Roman" w:hAnsi="Times New Roman" w:cs="Times New Roman"/>
          <w:i/>
          <w:color w:val="auto"/>
          <w:sz w:val="24"/>
          <w:szCs w:val="24"/>
          <w:lang w:val="en-AU"/>
        </w:rPr>
        <w:t>ad valorem</w:t>
      </w:r>
      <w:r w:rsidRPr="005116D8">
        <w:rPr>
          <w:rFonts w:ascii="Times New Roman" w:eastAsia="Times New Roman" w:hAnsi="Times New Roman" w:cs="Times New Roman"/>
          <w:color w:val="auto"/>
          <w:sz w:val="24"/>
          <w:szCs w:val="24"/>
          <w:lang w:val="en-AU"/>
        </w:rPr>
        <w:t xml:space="preserve"> tariffs </w:t>
      </w:r>
      <w:r w:rsidR="0085547B" w:rsidRPr="005116D8">
        <w:rPr>
          <w:rFonts w:ascii="Times New Roman" w:eastAsia="Times New Roman" w:hAnsi="Times New Roman" w:cs="Times New Roman"/>
          <w:color w:val="auto"/>
          <w:sz w:val="24"/>
          <w:szCs w:val="24"/>
          <w:lang w:val="en-AU"/>
        </w:rPr>
        <w:t>ranging</w:t>
      </w:r>
      <w:r w:rsidRPr="005116D8">
        <w:rPr>
          <w:rFonts w:ascii="Times New Roman" w:eastAsia="Times New Roman" w:hAnsi="Times New Roman" w:cs="Times New Roman"/>
          <w:color w:val="auto"/>
          <w:sz w:val="24"/>
          <w:szCs w:val="24"/>
          <w:lang w:val="en-AU"/>
        </w:rPr>
        <w:t xml:space="preserve"> up to 40</w:t>
      </w:r>
      <w:r w:rsidR="008809A6" w:rsidRPr="005116D8">
        <w:rPr>
          <w:rFonts w:ascii="Times New Roman" w:eastAsia="Times New Roman" w:hAnsi="Times New Roman" w:cs="Times New Roman"/>
          <w:color w:val="auto"/>
          <w:sz w:val="24"/>
          <w:szCs w:val="24"/>
          <w:lang w:val="en-AU"/>
        </w:rPr>
        <w:t xml:space="preserve"> per cent</w:t>
      </w:r>
      <w:r w:rsidRPr="005116D8">
        <w:rPr>
          <w:rFonts w:ascii="Times New Roman" w:eastAsia="Times New Roman" w:hAnsi="Times New Roman" w:cs="Times New Roman"/>
          <w:color w:val="auto"/>
          <w:sz w:val="24"/>
          <w:szCs w:val="24"/>
          <w:lang w:val="en-AU"/>
        </w:rPr>
        <w:t xml:space="preserve"> and specific tari</w:t>
      </w:r>
      <w:r w:rsidR="00146552" w:rsidRPr="005116D8">
        <w:rPr>
          <w:rFonts w:ascii="Times New Roman" w:eastAsia="Times New Roman" w:hAnsi="Times New Roman" w:cs="Times New Roman"/>
          <w:color w:val="auto"/>
          <w:sz w:val="24"/>
          <w:szCs w:val="24"/>
          <w:lang w:val="en-AU"/>
        </w:rPr>
        <w:t>ff</w:t>
      </w:r>
      <w:r w:rsidR="0085547B" w:rsidRPr="005116D8">
        <w:rPr>
          <w:rFonts w:ascii="Times New Roman" w:eastAsia="Times New Roman" w:hAnsi="Times New Roman" w:cs="Times New Roman"/>
          <w:color w:val="auto"/>
          <w:sz w:val="24"/>
          <w:szCs w:val="24"/>
          <w:lang w:val="en-AU"/>
        </w:rPr>
        <w:t>s</w:t>
      </w:r>
      <w:r w:rsidR="00146552" w:rsidRPr="005116D8">
        <w:rPr>
          <w:rFonts w:ascii="Times New Roman" w:eastAsia="Times New Roman" w:hAnsi="Times New Roman" w:cs="Times New Roman"/>
          <w:color w:val="auto"/>
          <w:sz w:val="24"/>
          <w:szCs w:val="24"/>
          <w:lang w:val="en-AU"/>
        </w:rPr>
        <w:t xml:space="preserve"> up to ¥1,199/kg ($12.62/kg).  </w:t>
      </w:r>
      <w:r w:rsidRPr="005116D8">
        <w:rPr>
          <w:rFonts w:ascii="Times New Roman" w:eastAsia="Times New Roman" w:hAnsi="Times New Roman" w:cs="Times New Roman"/>
          <w:color w:val="auto"/>
          <w:sz w:val="24"/>
          <w:szCs w:val="24"/>
          <w:lang w:val="en-AU"/>
        </w:rPr>
        <w:t xml:space="preserve">Beef tariffs, while significantly reduced under JAEPA, would still be as high as 23.5 per cent after 15 years. </w:t>
      </w:r>
      <w:r w:rsidR="0085547B" w:rsidRPr="005116D8">
        <w:rPr>
          <w:rFonts w:ascii="Times New Roman" w:eastAsia="Times New Roman" w:hAnsi="Times New Roman" w:cs="Times New Roman"/>
          <w:color w:val="auto"/>
          <w:sz w:val="24"/>
          <w:szCs w:val="24"/>
          <w:lang w:val="en-AU"/>
        </w:rPr>
        <w:t xml:space="preserve"> </w:t>
      </w:r>
      <w:r w:rsidRPr="005116D8">
        <w:rPr>
          <w:rFonts w:ascii="Times New Roman" w:eastAsia="Times New Roman" w:hAnsi="Times New Roman" w:cs="Times New Roman"/>
          <w:color w:val="auto"/>
          <w:sz w:val="24"/>
          <w:szCs w:val="24"/>
          <w:lang w:val="en-AU"/>
        </w:rPr>
        <w:t>Wheat and barley face tariffs of up to ¥50/kg ($0.58/kg) and ¥39/kg ($0.45/kg) respectively, rice is subject to a ¥341/ kg tariff ($3.93/kg) and sugar is subject to a levy on high polarity sug</w:t>
      </w:r>
      <w:r w:rsidR="00146552" w:rsidRPr="005116D8">
        <w:rPr>
          <w:rFonts w:ascii="Times New Roman" w:eastAsia="Times New Roman" w:hAnsi="Times New Roman" w:cs="Times New Roman"/>
          <w:color w:val="auto"/>
          <w:sz w:val="24"/>
          <w:szCs w:val="24"/>
          <w:lang w:val="en-AU"/>
        </w:rPr>
        <w:t>ar of 103.10 yen/kg ($1.19-kg).</w:t>
      </w:r>
      <w:r w:rsidRPr="005116D8">
        <w:rPr>
          <w:rFonts w:ascii="Times New Roman" w:eastAsia="Times New Roman" w:hAnsi="Times New Roman" w:cs="Times New Roman"/>
          <w:color w:val="auto"/>
          <w:sz w:val="24"/>
          <w:szCs w:val="24"/>
          <w:lang w:val="en-AU"/>
        </w:rPr>
        <w:t xml:space="preserve">  A range of tariffs also remain on other Australian interests in horticulture and seafood.</w:t>
      </w:r>
    </w:p>
    <w:p w14:paraId="74037B24" w14:textId="6528E7DC" w:rsidR="00751E59" w:rsidRPr="005116D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5116D8">
        <w:rPr>
          <w:rFonts w:ascii="Times New Roman" w:eastAsia="Times New Roman" w:hAnsi="Times New Roman" w:cs="Times New Roman"/>
          <w:color w:val="auto"/>
          <w:sz w:val="24"/>
          <w:szCs w:val="24"/>
          <w:lang w:val="en-AU"/>
        </w:rPr>
        <w:t>Australia has two ex</w:t>
      </w:r>
      <w:r w:rsidR="00475813">
        <w:rPr>
          <w:rFonts w:ascii="Times New Roman" w:eastAsia="Times New Roman" w:hAnsi="Times New Roman" w:cs="Times New Roman"/>
          <w:color w:val="auto"/>
          <w:sz w:val="24"/>
          <w:szCs w:val="24"/>
          <w:lang w:val="en-AU"/>
        </w:rPr>
        <w:t>isting FTAs</w:t>
      </w:r>
      <w:r w:rsidRPr="005116D8">
        <w:rPr>
          <w:rFonts w:ascii="Times New Roman" w:eastAsia="Times New Roman" w:hAnsi="Times New Roman" w:cs="Times New Roman"/>
          <w:color w:val="auto"/>
          <w:sz w:val="24"/>
          <w:szCs w:val="24"/>
          <w:lang w:val="en-AU"/>
        </w:rPr>
        <w:t xml:space="preserve"> with Malaysia, the ASEAN-Australia-New Zealand Free Trade Agreement (AANZFTA), and the Malaysia-Australia Free Trade Agreement. </w:t>
      </w:r>
      <w:r w:rsidR="0085547B" w:rsidRPr="005116D8">
        <w:rPr>
          <w:rFonts w:ascii="Times New Roman" w:eastAsia="Times New Roman" w:hAnsi="Times New Roman" w:cs="Times New Roman"/>
          <w:color w:val="auto"/>
          <w:sz w:val="24"/>
          <w:szCs w:val="24"/>
          <w:lang w:val="en-AU"/>
        </w:rPr>
        <w:t xml:space="preserve"> </w:t>
      </w:r>
      <w:r w:rsidRPr="005116D8">
        <w:rPr>
          <w:rFonts w:ascii="Times New Roman" w:eastAsia="Times New Roman" w:hAnsi="Times New Roman" w:cs="Times New Roman"/>
          <w:color w:val="auto"/>
          <w:sz w:val="24"/>
          <w:szCs w:val="24"/>
          <w:lang w:val="en-AU"/>
        </w:rPr>
        <w:t>Nonetheless</w:t>
      </w:r>
      <w:r w:rsidR="00535E3E" w:rsidRPr="005116D8">
        <w:rPr>
          <w:rFonts w:ascii="Times New Roman" w:eastAsia="Times New Roman" w:hAnsi="Times New Roman" w:cs="Times New Roman"/>
          <w:color w:val="auto"/>
          <w:sz w:val="24"/>
          <w:szCs w:val="24"/>
          <w:lang w:val="en-AU"/>
        </w:rPr>
        <w:t>,</w:t>
      </w:r>
      <w:r w:rsidRPr="005116D8">
        <w:rPr>
          <w:rFonts w:ascii="Times New Roman" w:eastAsia="Times New Roman" w:hAnsi="Times New Roman" w:cs="Times New Roman"/>
          <w:color w:val="auto"/>
          <w:sz w:val="24"/>
          <w:szCs w:val="24"/>
          <w:lang w:val="en-AU"/>
        </w:rPr>
        <w:t xml:space="preserve"> Australia still faces tariffs and quota</w:t>
      </w:r>
      <w:r w:rsidR="0085547B" w:rsidRPr="005116D8">
        <w:rPr>
          <w:rFonts w:ascii="Times New Roman" w:eastAsia="Times New Roman" w:hAnsi="Times New Roman" w:cs="Times New Roman"/>
          <w:color w:val="auto"/>
          <w:sz w:val="24"/>
          <w:szCs w:val="24"/>
          <w:lang w:val="en-AU"/>
        </w:rPr>
        <w:t>-</w:t>
      </w:r>
      <w:r w:rsidRPr="005116D8">
        <w:rPr>
          <w:rFonts w:ascii="Times New Roman" w:eastAsia="Times New Roman" w:hAnsi="Times New Roman" w:cs="Times New Roman"/>
          <w:color w:val="auto"/>
          <w:sz w:val="24"/>
          <w:szCs w:val="24"/>
          <w:lang w:val="en-AU"/>
        </w:rPr>
        <w:t xml:space="preserve">limited access into Malaysia </w:t>
      </w:r>
      <w:proofErr w:type="gramStart"/>
      <w:r w:rsidRPr="005116D8">
        <w:rPr>
          <w:rFonts w:ascii="Times New Roman" w:eastAsia="Times New Roman" w:hAnsi="Times New Roman" w:cs="Times New Roman"/>
          <w:color w:val="auto"/>
          <w:sz w:val="24"/>
          <w:szCs w:val="24"/>
          <w:lang w:val="en-AU"/>
        </w:rPr>
        <w:t>on</w:t>
      </w:r>
      <w:r w:rsidR="00BA5B3B">
        <w:rPr>
          <w:rFonts w:ascii="Times New Roman" w:eastAsia="Times New Roman" w:hAnsi="Times New Roman" w:cs="Times New Roman"/>
          <w:color w:val="auto"/>
          <w:sz w:val="24"/>
          <w:szCs w:val="24"/>
          <w:lang w:val="en-AU"/>
        </w:rPr>
        <w:t>:</w:t>
      </w:r>
      <w:proofErr w:type="gramEnd"/>
      <w:r w:rsidRPr="005116D8">
        <w:rPr>
          <w:rFonts w:ascii="Times New Roman" w:eastAsia="Times New Roman" w:hAnsi="Times New Roman" w:cs="Times New Roman"/>
          <w:color w:val="auto"/>
          <w:sz w:val="24"/>
          <w:szCs w:val="24"/>
          <w:lang w:val="en-AU"/>
        </w:rPr>
        <w:t xml:space="preserve"> beer, with a tariff of R</w:t>
      </w:r>
      <w:r w:rsidR="00BA5B3B">
        <w:rPr>
          <w:rFonts w:ascii="Times New Roman" w:eastAsia="Times New Roman" w:hAnsi="Times New Roman" w:cs="Times New Roman"/>
          <w:color w:val="auto"/>
          <w:sz w:val="24"/>
          <w:szCs w:val="24"/>
          <w:lang w:val="en-AU"/>
        </w:rPr>
        <w:t>M5 per litre;</w:t>
      </w:r>
      <w:r w:rsidRPr="005116D8">
        <w:rPr>
          <w:rFonts w:ascii="Times New Roman" w:eastAsia="Times New Roman" w:hAnsi="Times New Roman" w:cs="Times New Roman"/>
          <w:color w:val="auto"/>
          <w:sz w:val="24"/>
          <w:szCs w:val="24"/>
          <w:lang w:val="en-AU"/>
        </w:rPr>
        <w:t xml:space="preserve"> wine, where the tariffs are</w:t>
      </w:r>
      <w:r w:rsidR="00BA5B3B">
        <w:rPr>
          <w:rFonts w:ascii="Times New Roman" w:eastAsia="Times New Roman" w:hAnsi="Times New Roman" w:cs="Times New Roman"/>
          <w:color w:val="auto"/>
          <w:sz w:val="24"/>
          <w:szCs w:val="24"/>
          <w:lang w:val="en-AU"/>
        </w:rPr>
        <w:t xml:space="preserve"> between RM7 and RM23 per litre;</w:t>
      </w:r>
      <w:r w:rsidRPr="005116D8">
        <w:rPr>
          <w:rFonts w:ascii="Times New Roman" w:eastAsia="Times New Roman" w:hAnsi="Times New Roman" w:cs="Times New Roman"/>
          <w:color w:val="auto"/>
          <w:sz w:val="24"/>
          <w:szCs w:val="24"/>
          <w:lang w:val="en-AU"/>
        </w:rPr>
        <w:t xml:space="preserve"> and other alcoholic beverages, tariffs on which can be up to RM108.5 per litre.  Pork faces a tariff of 25 per cent for </w:t>
      </w:r>
      <w:r w:rsidR="00BA5B3B">
        <w:rPr>
          <w:rFonts w:ascii="Times New Roman" w:eastAsia="Times New Roman" w:hAnsi="Times New Roman" w:cs="Times New Roman"/>
          <w:color w:val="auto"/>
          <w:sz w:val="24"/>
          <w:szCs w:val="24"/>
          <w:lang w:val="en-AU"/>
        </w:rPr>
        <w:br/>
      </w:r>
      <w:r w:rsidRPr="005116D8">
        <w:rPr>
          <w:rFonts w:ascii="Times New Roman" w:eastAsia="Times New Roman" w:hAnsi="Times New Roman" w:cs="Times New Roman"/>
          <w:color w:val="auto"/>
          <w:sz w:val="24"/>
          <w:szCs w:val="24"/>
          <w:lang w:val="en-AU"/>
        </w:rPr>
        <w:t>in-quota imports and 50 per cent for o</w:t>
      </w:r>
      <w:r w:rsidR="0085547B" w:rsidRPr="005116D8">
        <w:rPr>
          <w:rFonts w:ascii="Times New Roman" w:eastAsia="Times New Roman" w:hAnsi="Times New Roman" w:cs="Times New Roman"/>
          <w:color w:val="auto"/>
          <w:sz w:val="24"/>
          <w:szCs w:val="24"/>
          <w:lang w:val="en-AU"/>
        </w:rPr>
        <w:t>ut-of</w:t>
      </w:r>
      <w:r w:rsidRPr="005116D8">
        <w:rPr>
          <w:rFonts w:ascii="Times New Roman" w:eastAsia="Times New Roman" w:hAnsi="Times New Roman" w:cs="Times New Roman"/>
          <w:color w:val="auto"/>
          <w:sz w:val="24"/>
          <w:szCs w:val="24"/>
          <w:lang w:val="en-AU"/>
        </w:rPr>
        <w:t>-quota imports, while liquid milk has tariffs of 20 per cent for in-quota imports, and 50 per cent for o</w:t>
      </w:r>
      <w:r w:rsidR="0085547B" w:rsidRPr="005116D8">
        <w:rPr>
          <w:rFonts w:ascii="Times New Roman" w:eastAsia="Times New Roman" w:hAnsi="Times New Roman" w:cs="Times New Roman"/>
          <w:color w:val="auto"/>
          <w:sz w:val="24"/>
          <w:szCs w:val="24"/>
          <w:lang w:val="en-AU"/>
        </w:rPr>
        <w:t>ut-of</w:t>
      </w:r>
      <w:r w:rsidRPr="005116D8">
        <w:rPr>
          <w:rFonts w:ascii="Times New Roman" w:eastAsia="Times New Roman" w:hAnsi="Times New Roman" w:cs="Times New Roman"/>
          <w:color w:val="auto"/>
          <w:sz w:val="24"/>
          <w:szCs w:val="24"/>
          <w:lang w:val="en-AU"/>
        </w:rPr>
        <w:t>-quota imports.</w:t>
      </w:r>
    </w:p>
    <w:p w14:paraId="74037B25" w14:textId="3B1942CC" w:rsidR="00751E59" w:rsidRPr="005116D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5116D8">
        <w:rPr>
          <w:rFonts w:ascii="Times New Roman" w:eastAsia="Times New Roman" w:hAnsi="Times New Roman" w:cs="Times New Roman"/>
          <w:color w:val="auto"/>
          <w:sz w:val="24"/>
          <w:szCs w:val="24"/>
          <w:lang w:val="en-AU"/>
        </w:rPr>
        <w:t xml:space="preserve">Australia has an existing </w:t>
      </w:r>
      <w:r w:rsidR="00BA5B3B">
        <w:rPr>
          <w:rFonts w:ascii="Times New Roman" w:eastAsia="Times New Roman" w:hAnsi="Times New Roman" w:cs="Times New Roman"/>
          <w:color w:val="auto"/>
          <w:sz w:val="24"/>
          <w:szCs w:val="24"/>
          <w:lang w:val="en-AU"/>
        </w:rPr>
        <w:t>FTA</w:t>
      </w:r>
      <w:r w:rsidRPr="00DC5278">
        <w:rPr>
          <w:rFonts w:ascii="Times New Roman" w:eastAsia="Times New Roman" w:hAnsi="Times New Roman" w:cs="Times New Roman"/>
          <w:color w:val="auto"/>
          <w:sz w:val="24"/>
          <w:szCs w:val="24"/>
          <w:lang w:val="en-AU"/>
        </w:rPr>
        <w:t xml:space="preserve"> with Vietnam under AANZFTA, however that agreement did not eliminate Vietnamese tariffs on range of products of interest to Australia.  These products include refined petroleum</w:t>
      </w:r>
      <w:r w:rsidR="00535E3E" w:rsidRPr="00DC5278">
        <w:rPr>
          <w:rFonts w:ascii="Times New Roman" w:eastAsia="Times New Roman" w:hAnsi="Times New Roman" w:cs="Times New Roman"/>
          <w:color w:val="auto"/>
          <w:sz w:val="24"/>
          <w:szCs w:val="24"/>
          <w:lang w:val="en-AU"/>
        </w:rPr>
        <w:t>,</w:t>
      </w:r>
      <w:r w:rsidRPr="00DC5278">
        <w:rPr>
          <w:rFonts w:ascii="Times New Roman" w:eastAsia="Times New Roman" w:hAnsi="Times New Roman" w:cs="Times New Roman"/>
          <w:color w:val="auto"/>
          <w:sz w:val="24"/>
          <w:szCs w:val="24"/>
          <w:lang w:val="en-AU"/>
        </w:rPr>
        <w:t xml:space="preserve"> which faces a tariff </w:t>
      </w:r>
      <w:r w:rsidRPr="005116D8">
        <w:rPr>
          <w:rFonts w:ascii="Times New Roman" w:eastAsia="Times New Roman" w:hAnsi="Times New Roman" w:cs="Times New Roman"/>
          <w:color w:val="auto"/>
          <w:sz w:val="24"/>
          <w:szCs w:val="24"/>
          <w:lang w:val="en-AU"/>
        </w:rPr>
        <w:t xml:space="preserve">of 20 per cent, </w:t>
      </w:r>
      <w:r w:rsidR="00147036">
        <w:rPr>
          <w:rFonts w:ascii="Times New Roman" w:eastAsia="Times New Roman" w:hAnsi="Times New Roman" w:cs="Times New Roman"/>
          <w:color w:val="auto"/>
          <w:sz w:val="24"/>
          <w:szCs w:val="24"/>
          <w:lang w:val="en-AU"/>
        </w:rPr>
        <w:t xml:space="preserve">and </w:t>
      </w:r>
      <w:r w:rsidRPr="005116D8">
        <w:rPr>
          <w:rFonts w:ascii="Times New Roman" w:eastAsia="Times New Roman" w:hAnsi="Times New Roman" w:cs="Times New Roman"/>
          <w:color w:val="auto"/>
          <w:sz w:val="24"/>
          <w:szCs w:val="24"/>
          <w:lang w:val="en-AU"/>
        </w:rPr>
        <w:t xml:space="preserve">iron and steel products, on which tariffs are as high as 40 per cent.  Beer faces a 47 per cent tariff, wine </w:t>
      </w:r>
      <w:r w:rsidR="00AC6E99">
        <w:rPr>
          <w:rFonts w:ascii="Times New Roman" w:eastAsia="Times New Roman" w:hAnsi="Times New Roman" w:cs="Times New Roman"/>
          <w:color w:val="auto"/>
          <w:sz w:val="24"/>
          <w:szCs w:val="24"/>
          <w:lang w:val="en-AU"/>
        </w:rPr>
        <w:t xml:space="preserve">a </w:t>
      </w:r>
      <w:r w:rsidRPr="005116D8">
        <w:rPr>
          <w:rFonts w:ascii="Times New Roman" w:eastAsia="Times New Roman" w:hAnsi="Times New Roman" w:cs="Times New Roman"/>
          <w:color w:val="auto"/>
          <w:sz w:val="24"/>
          <w:szCs w:val="24"/>
          <w:lang w:val="en-AU"/>
        </w:rPr>
        <w:t>56</w:t>
      </w:r>
      <w:r w:rsidR="0085547B" w:rsidRPr="005116D8">
        <w:rPr>
          <w:rFonts w:ascii="Times New Roman" w:eastAsia="Times New Roman" w:hAnsi="Times New Roman" w:cs="Times New Roman"/>
          <w:color w:val="auto"/>
          <w:sz w:val="24"/>
          <w:szCs w:val="24"/>
          <w:lang w:val="en-AU"/>
        </w:rPr>
        <w:t xml:space="preserve"> to </w:t>
      </w:r>
      <w:r w:rsidRPr="005116D8">
        <w:rPr>
          <w:rFonts w:ascii="Times New Roman" w:eastAsia="Times New Roman" w:hAnsi="Times New Roman" w:cs="Times New Roman"/>
          <w:color w:val="auto"/>
          <w:sz w:val="24"/>
          <w:szCs w:val="24"/>
          <w:lang w:val="en-AU"/>
        </w:rPr>
        <w:t xml:space="preserve">59 per cent </w:t>
      </w:r>
      <w:r w:rsidR="00AC6E99">
        <w:rPr>
          <w:rFonts w:ascii="Times New Roman" w:eastAsia="Times New Roman" w:hAnsi="Times New Roman" w:cs="Times New Roman"/>
          <w:color w:val="auto"/>
          <w:sz w:val="24"/>
          <w:szCs w:val="24"/>
          <w:lang w:val="en-AU"/>
        </w:rPr>
        <w:t xml:space="preserve">tariff </w:t>
      </w:r>
      <w:r w:rsidRPr="005116D8">
        <w:rPr>
          <w:rFonts w:ascii="Times New Roman" w:eastAsia="Times New Roman" w:hAnsi="Times New Roman" w:cs="Times New Roman"/>
          <w:color w:val="auto"/>
          <w:sz w:val="24"/>
          <w:szCs w:val="24"/>
          <w:lang w:val="en-AU"/>
        </w:rPr>
        <w:t>and spirits a tariff rate of 55 per cent.</w:t>
      </w:r>
    </w:p>
    <w:p w14:paraId="74037B26" w14:textId="68B80B36" w:rsidR="00751E59" w:rsidRPr="00DC527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With regards to Australia’s new FTA partners, Canad</w:t>
      </w:r>
      <w:r w:rsidR="002B78B2">
        <w:rPr>
          <w:rFonts w:ascii="Times New Roman" w:eastAsia="Times New Roman" w:hAnsi="Times New Roman" w:cs="Times New Roman"/>
          <w:color w:val="auto"/>
          <w:sz w:val="24"/>
          <w:szCs w:val="24"/>
          <w:lang w:val="en-AU"/>
        </w:rPr>
        <w:t xml:space="preserve">a and </w:t>
      </w:r>
      <w:r w:rsidRPr="002B78B2">
        <w:rPr>
          <w:rFonts w:ascii="Times New Roman" w:eastAsia="Times New Roman" w:hAnsi="Times New Roman" w:cs="Times New Roman"/>
          <w:color w:val="auto"/>
          <w:sz w:val="24"/>
          <w:szCs w:val="24"/>
          <w:lang w:val="en-AU"/>
        </w:rPr>
        <w:t>Mexico, Australia</w:t>
      </w:r>
      <w:r w:rsidRPr="00DC5278">
        <w:rPr>
          <w:rFonts w:ascii="Times New Roman" w:eastAsia="Times New Roman" w:hAnsi="Times New Roman" w:cs="Times New Roman"/>
          <w:color w:val="auto"/>
          <w:sz w:val="24"/>
          <w:szCs w:val="24"/>
          <w:lang w:val="en-AU"/>
        </w:rPr>
        <w:t xml:space="preserve"> faces a wide range of tariff barriers.</w:t>
      </w:r>
    </w:p>
    <w:p w14:paraId="74037B27" w14:textId="30BADFF7" w:rsidR="00751E59" w:rsidRPr="005116D8" w:rsidRDefault="00751E59" w:rsidP="0085547B">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 xml:space="preserve">Access into the </w:t>
      </w:r>
      <w:r w:rsidRPr="005116D8">
        <w:rPr>
          <w:rFonts w:ascii="Times New Roman" w:eastAsia="Times New Roman" w:hAnsi="Times New Roman" w:cs="Times New Roman"/>
          <w:color w:val="auto"/>
          <w:sz w:val="24"/>
          <w:szCs w:val="24"/>
          <w:lang w:val="en-AU"/>
        </w:rPr>
        <w:t>Canadian dairy market is currently significantly limited by existing quota and high tariff arrangements.  Canada’s quota access for dairy products is incredibly small – for example</w:t>
      </w:r>
      <w:r w:rsidR="00535E3E" w:rsidRPr="005116D8">
        <w:rPr>
          <w:rFonts w:ascii="Times New Roman" w:eastAsia="Times New Roman" w:hAnsi="Times New Roman" w:cs="Times New Roman"/>
          <w:color w:val="auto"/>
          <w:sz w:val="24"/>
          <w:szCs w:val="24"/>
          <w:lang w:val="en-AU"/>
        </w:rPr>
        <w:t>,</w:t>
      </w:r>
      <w:r w:rsidRPr="005116D8">
        <w:rPr>
          <w:rFonts w:ascii="Times New Roman" w:eastAsia="Times New Roman" w:hAnsi="Times New Roman" w:cs="Times New Roman"/>
          <w:color w:val="auto"/>
          <w:sz w:val="24"/>
          <w:szCs w:val="24"/>
          <w:lang w:val="en-AU"/>
        </w:rPr>
        <w:t xml:space="preserve"> 332 tonnes for yoghurt, 394 tonnes for cream and 3,274 </w:t>
      </w:r>
      <w:proofErr w:type="gramStart"/>
      <w:r w:rsidRPr="005116D8">
        <w:rPr>
          <w:rFonts w:ascii="Times New Roman" w:eastAsia="Times New Roman" w:hAnsi="Times New Roman" w:cs="Times New Roman"/>
          <w:color w:val="auto"/>
          <w:sz w:val="24"/>
          <w:szCs w:val="24"/>
          <w:lang w:val="en-AU"/>
        </w:rPr>
        <w:t>tonne</w:t>
      </w:r>
      <w:proofErr w:type="gramEnd"/>
      <w:r w:rsidRPr="005116D8">
        <w:rPr>
          <w:rFonts w:ascii="Times New Roman" w:eastAsia="Times New Roman" w:hAnsi="Times New Roman" w:cs="Times New Roman"/>
          <w:color w:val="auto"/>
          <w:sz w:val="24"/>
          <w:szCs w:val="24"/>
          <w:lang w:val="en-AU"/>
        </w:rPr>
        <w:t xml:space="preserve"> for butter (2,000 tonnes of which are alloc</w:t>
      </w:r>
      <w:r w:rsidR="0085547B" w:rsidRPr="005116D8">
        <w:rPr>
          <w:rFonts w:ascii="Times New Roman" w:eastAsia="Times New Roman" w:hAnsi="Times New Roman" w:cs="Times New Roman"/>
          <w:color w:val="auto"/>
          <w:sz w:val="24"/>
          <w:szCs w:val="24"/>
          <w:lang w:val="en-AU"/>
        </w:rPr>
        <w:t>ated to New Zealand</w:t>
      </w:r>
      <w:r w:rsidR="003B7784">
        <w:rPr>
          <w:rFonts w:ascii="Times New Roman" w:eastAsia="Times New Roman" w:hAnsi="Times New Roman" w:cs="Times New Roman"/>
          <w:color w:val="auto"/>
          <w:sz w:val="24"/>
          <w:szCs w:val="24"/>
          <w:lang w:val="en-AU"/>
        </w:rPr>
        <w:t>)</w:t>
      </w:r>
      <w:r w:rsidR="0085547B" w:rsidRPr="005116D8">
        <w:rPr>
          <w:rFonts w:ascii="Times New Roman" w:eastAsia="Times New Roman" w:hAnsi="Times New Roman" w:cs="Times New Roman"/>
          <w:color w:val="auto"/>
          <w:sz w:val="24"/>
          <w:szCs w:val="24"/>
          <w:lang w:val="en-AU"/>
        </w:rPr>
        <w:t>.  While out-of-</w:t>
      </w:r>
      <w:r w:rsidRPr="005116D8">
        <w:rPr>
          <w:rFonts w:ascii="Times New Roman" w:eastAsia="Times New Roman" w:hAnsi="Times New Roman" w:cs="Times New Roman"/>
          <w:color w:val="auto"/>
          <w:sz w:val="24"/>
          <w:szCs w:val="24"/>
          <w:lang w:val="en-AU"/>
        </w:rPr>
        <w:t>quota tariffs range u</w:t>
      </w:r>
      <w:r w:rsidR="009C6C55">
        <w:rPr>
          <w:rFonts w:ascii="Times New Roman" w:eastAsia="Times New Roman" w:hAnsi="Times New Roman" w:cs="Times New Roman"/>
          <w:color w:val="auto"/>
          <w:sz w:val="24"/>
          <w:szCs w:val="24"/>
          <w:lang w:val="en-AU"/>
        </w:rPr>
        <w:t>p to 369 per cent.  Outside of d</w:t>
      </w:r>
      <w:r w:rsidRPr="005116D8">
        <w:rPr>
          <w:rFonts w:ascii="Times New Roman" w:eastAsia="Times New Roman" w:hAnsi="Times New Roman" w:cs="Times New Roman"/>
          <w:color w:val="auto"/>
          <w:sz w:val="24"/>
          <w:szCs w:val="24"/>
          <w:lang w:val="en-AU"/>
        </w:rPr>
        <w:t>airy</w:t>
      </w:r>
      <w:r w:rsidR="009C6C55">
        <w:rPr>
          <w:rFonts w:ascii="Times New Roman" w:eastAsia="Times New Roman" w:hAnsi="Times New Roman" w:cs="Times New Roman"/>
          <w:color w:val="auto"/>
          <w:sz w:val="24"/>
          <w:szCs w:val="24"/>
          <w:lang w:val="en-AU"/>
        </w:rPr>
        <w:t>,</w:t>
      </w:r>
      <w:r w:rsidRPr="005116D8">
        <w:rPr>
          <w:rFonts w:ascii="Times New Roman" w:eastAsia="Times New Roman" w:hAnsi="Times New Roman" w:cs="Times New Roman"/>
          <w:color w:val="auto"/>
          <w:sz w:val="24"/>
          <w:szCs w:val="24"/>
          <w:lang w:val="en-AU"/>
        </w:rPr>
        <w:t xml:space="preserve"> Canada also imposes tariffs of up to 94 per cent for barley </w:t>
      </w:r>
      <w:proofErr w:type="gramStart"/>
      <w:r w:rsidRPr="005116D8">
        <w:rPr>
          <w:rFonts w:ascii="Times New Roman" w:eastAsia="Times New Roman" w:hAnsi="Times New Roman" w:cs="Times New Roman"/>
          <w:color w:val="auto"/>
          <w:sz w:val="24"/>
          <w:szCs w:val="24"/>
          <w:lang w:val="en-AU"/>
        </w:rPr>
        <w:t>products, and</w:t>
      </w:r>
      <w:proofErr w:type="gramEnd"/>
      <w:r w:rsidRPr="005116D8">
        <w:rPr>
          <w:rFonts w:ascii="Times New Roman" w:eastAsia="Times New Roman" w:hAnsi="Times New Roman" w:cs="Times New Roman"/>
          <w:color w:val="auto"/>
          <w:sz w:val="24"/>
          <w:szCs w:val="24"/>
          <w:lang w:val="en-AU"/>
        </w:rPr>
        <w:t xml:space="preserve"> imposes tariffs of 1.87 c/litre for wine, and up to around 20 per cent on industrial products</w:t>
      </w:r>
      <w:r w:rsidR="00276D5A">
        <w:rPr>
          <w:rFonts w:ascii="Times New Roman" w:eastAsia="Times New Roman" w:hAnsi="Times New Roman" w:cs="Times New Roman"/>
          <w:color w:val="auto"/>
          <w:sz w:val="24"/>
          <w:szCs w:val="24"/>
          <w:lang w:val="en-AU"/>
        </w:rPr>
        <w:t>,</w:t>
      </w:r>
      <w:r w:rsidRPr="005116D8">
        <w:rPr>
          <w:rFonts w:ascii="Times New Roman" w:eastAsia="Times New Roman" w:hAnsi="Times New Roman" w:cs="Times New Roman"/>
          <w:color w:val="auto"/>
          <w:sz w:val="24"/>
          <w:szCs w:val="24"/>
          <w:lang w:val="en-AU"/>
        </w:rPr>
        <w:t xml:space="preserve"> which it has eliminated for its other FTA partners.</w:t>
      </w:r>
    </w:p>
    <w:p w14:paraId="54EC7411" w14:textId="2631DFEF" w:rsidR="00AD7D47" w:rsidRDefault="00751E59" w:rsidP="00AD7D47">
      <w:pPr>
        <w:pStyle w:val="ListParagraph"/>
        <w:numPr>
          <w:ilvl w:val="0"/>
          <w:numId w:val="68"/>
        </w:numPr>
        <w:suppressAutoHyphens/>
        <w:spacing w:after="120"/>
        <w:rPr>
          <w:rFonts w:ascii="Times New Roman" w:eastAsia="Times New Roman" w:hAnsi="Times New Roman" w:cs="Times New Roman"/>
          <w:color w:val="auto"/>
          <w:sz w:val="24"/>
          <w:szCs w:val="24"/>
          <w:lang w:val="en-AU"/>
        </w:rPr>
      </w:pPr>
      <w:r w:rsidRPr="005116D8">
        <w:rPr>
          <w:rFonts w:ascii="Times New Roman" w:eastAsia="Times New Roman" w:hAnsi="Times New Roman" w:cs="Times New Roman"/>
          <w:color w:val="auto"/>
          <w:sz w:val="24"/>
          <w:szCs w:val="24"/>
          <w:lang w:val="en-AU"/>
        </w:rPr>
        <w:t>Mexico has tariffs of up to 67 per cent on wheat, 115.2 per cent on barley, 125 per cent on dairy, 25 per cent on beef, and 20 per cent on wine.</w:t>
      </w:r>
      <w:r w:rsidR="0085547B" w:rsidRPr="005116D8">
        <w:rPr>
          <w:rFonts w:ascii="Times New Roman" w:eastAsia="Times New Roman" w:hAnsi="Times New Roman" w:cs="Times New Roman"/>
          <w:color w:val="auto"/>
          <w:sz w:val="24"/>
          <w:szCs w:val="24"/>
          <w:lang w:val="en-AU"/>
        </w:rPr>
        <w:t xml:space="preserve"> </w:t>
      </w:r>
      <w:r w:rsidRPr="005116D8">
        <w:rPr>
          <w:rFonts w:ascii="Times New Roman" w:eastAsia="Times New Roman" w:hAnsi="Times New Roman" w:cs="Times New Roman"/>
          <w:color w:val="auto"/>
          <w:sz w:val="24"/>
          <w:szCs w:val="24"/>
          <w:lang w:val="en-AU"/>
        </w:rPr>
        <w:t xml:space="preserve"> On industrial products, Mexico’s tariffs can range from 15</w:t>
      </w:r>
      <w:r w:rsidR="0085547B" w:rsidRPr="005116D8">
        <w:rPr>
          <w:rFonts w:ascii="Times New Roman" w:eastAsia="Times New Roman" w:hAnsi="Times New Roman" w:cs="Times New Roman"/>
          <w:color w:val="auto"/>
          <w:sz w:val="24"/>
          <w:szCs w:val="24"/>
          <w:lang w:val="en-AU"/>
        </w:rPr>
        <w:t xml:space="preserve"> to </w:t>
      </w:r>
      <w:r w:rsidRPr="005116D8">
        <w:rPr>
          <w:rFonts w:ascii="Times New Roman" w:eastAsia="Times New Roman" w:hAnsi="Times New Roman" w:cs="Times New Roman"/>
          <w:color w:val="auto"/>
          <w:sz w:val="24"/>
          <w:szCs w:val="24"/>
          <w:lang w:val="en-AU"/>
        </w:rPr>
        <w:t>30 per cent for automotive parts or mining equipment.</w:t>
      </w:r>
    </w:p>
    <w:p w14:paraId="4300457B" w14:textId="77777777" w:rsidR="00F978C8" w:rsidRDefault="00F978C8">
      <w:pPr>
        <w:rPr>
          <w:b/>
          <w:i/>
        </w:rPr>
      </w:pPr>
      <w:r>
        <w:rPr>
          <w:b/>
          <w:i/>
        </w:rPr>
        <w:br w:type="page"/>
      </w:r>
    </w:p>
    <w:p w14:paraId="74037B2A" w14:textId="1FB3779B" w:rsidR="00E009F5" w:rsidRPr="00DC5278" w:rsidRDefault="00E009F5" w:rsidP="0085547B">
      <w:pPr>
        <w:tabs>
          <w:tab w:val="left" w:pos="660"/>
        </w:tabs>
        <w:suppressAutoHyphens/>
        <w:spacing w:after="120"/>
        <w:rPr>
          <w:b/>
          <w:i/>
        </w:rPr>
      </w:pPr>
      <w:r w:rsidRPr="00DC5278">
        <w:rPr>
          <w:b/>
          <w:i/>
        </w:rPr>
        <w:lastRenderedPageBreak/>
        <w:t>Barri</w:t>
      </w:r>
      <w:r w:rsidR="00A34378">
        <w:rPr>
          <w:b/>
          <w:i/>
        </w:rPr>
        <w:t>ers to Australian services exporters and i</w:t>
      </w:r>
      <w:r w:rsidRPr="00DC5278">
        <w:rPr>
          <w:b/>
          <w:i/>
        </w:rPr>
        <w:t xml:space="preserve">nvestors in </w:t>
      </w:r>
      <w:r w:rsidR="00240F08">
        <w:rPr>
          <w:b/>
          <w:i/>
        </w:rPr>
        <w:t>TPP-11</w:t>
      </w:r>
      <w:r w:rsidR="00A34378">
        <w:rPr>
          <w:b/>
          <w:i/>
        </w:rPr>
        <w:t xml:space="preserve"> c</w:t>
      </w:r>
      <w:r w:rsidRPr="00DC5278">
        <w:rPr>
          <w:b/>
          <w:i/>
        </w:rPr>
        <w:t>ountries</w:t>
      </w:r>
    </w:p>
    <w:p w14:paraId="74037B2B" w14:textId="61556ACD" w:rsidR="00E009F5" w:rsidRPr="00DC5278" w:rsidRDefault="00E009F5"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eastAsia="Times New Roman" w:hAnsi="Times New Roman" w:cs="Times New Roman"/>
          <w:sz w:val="24"/>
          <w:szCs w:val="24"/>
        </w:rPr>
        <w:t xml:space="preserve">Table 1 </w:t>
      </w:r>
      <w:proofErr w:type="spellStart"/>
      <w:r w:rsidRPr="00DC5278">
        <w:rPr>
          <w:rFonts w:ascii="Times New Roman" w:eastAsia="Times New Roman" w:hAnsi="Times New Roman" w:cs="Times New Roman"/>
          <w:sz w:val="24"/>
          <w:szCs w:val="24"/>
        </w:rPr>
        <w:t>summarises</w:t>
      </w:r>
      <w:proofErr w:type="spellEnd"/>
      <w:r w:rsidRPr="00DC5278">
        <w:rPr>
          <w:rFonts w:ascii="Times New Roman" w:eastAsia="Times New Roman" w:hAnsi="Times New Roman" w:cs="Times New Roman"/>
          <w:sz w:val="24"/>
          <w:szCs w:val="24"/>
        </w:rPr>
        <w:t xml:space="preserve"> key barriers faced by Australian services exporters and investors in </w:t>
      </w:r>
      <w:r w:rsidR="00A65500">
        <w:rPr>
          <w:rFonts w:ascii="Times New Roman" w:eastAsia="Times New Roman" w:hAnsi="Times New Roman" w:cs="Times New Roman"/>
          <w:sz w:val="24"/>
          <w:szCs w:val="24"/>
        </w:rPr>
        <w:t xml:space="preserve">TPP-11 </w:t>
      </w:r>
      <w:r w:rsidRPr="00DC5278">
        <w:rPr>
          <w:rFonts w:ascii="Times New Roman" w:eastAsia="Times New Roman" w:hAnsi="Times New Roman" w:cs="Times New Roman"/>
          <w:sz w:val="24"/>
          <w:szCs w:val="24"/>
        </w:rPr>
        <w:t>countries.</w:t>
      </w:r>
    </w:p>
    <w:p w14:paraId="74037B2C" w14:textId="08A921F7" w:rsidR="003C1E26" w:rsidRPr="00DC5278" w:rsidRDefault="00E009F5" w:rsidP="0085547B">
      <w:pPr>
        <w:pStyle w:val="ListParagraph"/>
        <w:tabs>
          <w:tab w:val="left" w:pos="660"/>
        </w:tabs>
        <w:suppressAutoHyphens/>
        <w:spacing w:after="120"/>
        <w:ind w:left="360"/>
        <w:rPr>
          <w:rFonts w:ascii="Times New Roman" w:hAnsi="Times New Roman" w:cs="Times New Roman"/>
          <w:b/>
          <w:color w:val="auto"/>
          <w:sz w:val="24"/>
          <w:szCs w:val="24"/>
          <w:lang w:val="en-AU"/>
        </w:rPr>
      </w:pPr>
      <w:r w:rsidRPr="00DC5278">
        <w:rPr>
          <w:rFonts w:ascii="Times New Roman" w:hAnsi="Times New Roman" w:cs="Times New Roman"/>
          <w:b/>
          <w:color w:val="auto"/>
          <w:sz w:val="24"/>
          <w:szCs w:val="24"/>
          <w:lang w:val="en-AU"/>
        </w:rPr>
        <w:t>Table 1</w:t>
      </w:r>
      <w:r w:rsidR="003C1E26" w:rsidRPr="00DC5278">
        <w:rPr>
          <w:rFonts w:ascii="Times New Roman" w:hAnsi="Times New Roman" w:cs="Times New Roman"/>
          <w:b/>
          <w:color w:val="auto"/>
          <w:sz w:val="24"/>
          <w:szCs w:val="24"/>
          <w:lang w:val="en-AU"/>
        </w:rPr>
        <w:t xml:space="preserve">: Selected barriers to Australian service exporters in </w:t>
      </w:r>
      <w:r w:rsidR="00491D56">
        <w:rPr>
          <w:rFonts w:ascii="Times New Roman" w:hAnsi="Times New Roman" w:cs="Times New Roman"/>
          <w:b/>
          <w:color w:val="auto"/>
          <w:sz w:val="24"/>
          <w:szCs w:val="24"/>
          <w:lang w:val="en-AU"/>
        </w:rPr>
        <w:t>TPP-11</w:t>
      </w:r>
      <w:r w:rsidR="003C1E26" w:rsidRPr="00DC5278">
        <w:rPr>
          <w:rFonts w:ascii="Times New Roman" w:hAnsi="Times New Roman" w:cs="Times New Roman"/>
          <w:b/>
          <w:color w:val="auto"/>
          <w:sz w:val="24"/>
          <w:szCs w:val="24"/>
          <w:lang w:val="en-AU"/>
        </w:rPr>
        <w:t xml:space="preserve"> countries</w:t>
      </w:r>
    </w:p>
    <w:tbl>
      <w:tblPr>
        <w:tblStyle w:val="TableGrid"/>
        <w:tblW w:w="0" w:type="auto"/>
        <w:tblInd w:w="605" w:type="dxa"/>
        <w:tblLook w:val="04A0" w:firstRow="1" w:lastRow="0" w:firstColumn="1" w:lastColumn="0" w:noHBand="0" w:noVBand="1"/>
        <w:tblDescription w:val="This table describes selected barriers to Australian service exporters in TPP countries."/>
      </w:tblPr>
      <w:tblGrid>
        <w:gridCol w:w="1611"/>
        <w:gridCol w:w="6080"/>
      </w:tblGrid>
      <w:tr w:rsidR="003C1E26" w:rsidRPr="00DC5278" w14:paraId="74037B2F" w14:textId="77777777" w:rsidTr="00A34378">
        <w:trPr>
          <w:tblHeader/>
        </w:trPr>
        <w:tc>
          <w:tcPr>
            <w:tcW w:w="1611" w:type="dxa"/>
          </w:tcPr>
          <w:p w14:paraId="74037B2D"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Country</w:t>
            </w:r>
          </w:p>
        </w:tc>
        <w:tc>
          <w:tcPr>
            <w:tcW w:w="6080" w:type="dxa"/>
          </w:tcPr>
          <w:p w14:paraId="74037B2E"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Barrier</w:t>
            </w:r>
          </w:p>
        </w:tc>
      </w:tr>
      <w:tr w:rsidR="00A34378" w:rsidRPr="00DC5278" w14:paraId="74037B32" w14:textId="77777777" w:rsidTr="00A34378">
        <w:tc>
          <w:tcPr>
            <w:tcW w:w="1611" w:type="dxa"/>
            <w:vMerge w:val="restart"/>
          </w:tcPr>
          <w:p w14:paraId="284BF9F5"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Brunei</w:t>
            </w:r>
          </w:p>
          <w:p w14:paraId="74037B30" w14:textId="0B4CC042"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31"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Higher local content requirements for goods and services suppliers in the oil and gas industry.</w:t>
            </w:r>
          </w:p>
        </w:tc>
      </w:tr>
      <w:tr w:rsidR="00A34378" w:rsidRPr="00DC5278" w14:paraId="74037B35" w14:textId="77777777" w:rsidTr="00A34378">
        <w:tc>
          <w:tcPr>
            <w:tcW w:w="1611" w:type="dxa"/>
            <w:vMerge/>
          </w:tcPr>
          <w:p w14:paraId="74037B33" w14:textId="5D127629"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34"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Tertiary education qualifications offered online not recognised.</w:t>
            </w:r>
          </w:p>
        </w:tc>
      </w:tr>
      <w:tr w:rsidR="003C1E26" w:rsidRPr="00DC5278" w14:paraId="74037B38" w14:textId="77777777" w:rsidTr="00A34378">
        <w:tc>
          <w:tcPr>
            <w:tcW w:w="1611" w:type="dxa"/>
          </w:tcPr>
          <w:p w14:paraId="74037B36"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Canada</w:t>
            </w:r>
          </w:p>
        </w:tc>
        <w:tc>
          <w:tcPr>
            <w:tcW w:w="6080" w:type="dxa"/>
          </w:tcPr>
          <w:p w14:paraId="74037B37"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Labour certification tests on the temporary entry of Australian professionals and technicians.</w:t>
            </w:r>
          </w:p>
        </w:tc>
      </w:tr>
      <w:tr w:rsidR="00C75482" w:rsidRPr="00DC5278" w14:paraId="683B9819" w14:textId="77777777" w:rsidTr="00A34378">
        <w:tc>
          <w:tcPr>
            <w:tcW w:w="1611" w:type="dxa"/>
          </w:tcPr>
          <w:p w14:paraId="7D72F232" w14:textId="6E574095" w:rsidR="00C75482" w:rsidRPr="00DC5278" w:rsidRDefault="00C75482"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Pr>
                <w:rFonts w:ascii="Times New Roman" w:eastAsia="Times New Roman" w:hAnsi="Times New Roman" w:cs="Times New Roman"/>
                <w:b/>
                <w:color w:val="auto"/>
                <w:sz w:val="24"/>
                <w:szCs w:val="24"/>
                <w:lang w:val="en-AU"/>
              </w:rPr>
              <w:t>Japan</w:t>
            </w:r>
          </w:p>
        </w:tc>
        <w:tc>
          <w:tcPr>
            <w:tcW w:w="6080" w:type="dxa"/>
          </w:tcPr>
          <w:p w14:paraId="3DC27627" w14:textId="15A4BF87" w:rsidR="00C75482" w:rsidRPr="00DC5278" w:rsidRDefault="0006246F"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Pr>
                <w:rFonts w:ascii="Times New Roman" w:eastAsia="Times New Roman" w:hAnsi="Times New Roman" w:cs="Times New Roman"/>
                <w:color w:val="auto"/>
                <w:sz w:val="24"/>
                <w:szCs w:val="24"/>
                <w:lang w:val="en-AU"/>
              </w:rPr>
              <w:t>Restricted access for Australian suppliers of ground-handling services.</w:t>
            </w:r>
          </w:p>
        </w:tc>
      </w:tr>
      <w:tr w:rsidR="00A34378" w:rsidRPr="00DC5278" w14:paraId="74037B3B" w14:textId="77777777" w:rsidTr="00A34378">
        <w:tc>
          <w:tcPr>
            <w:tcW w:w="1611" w:type="dxa"/>
            <w:vMerge w:val="restart"/>
          </w:tcPr>
          <w:p w14:paraId="2BFC6A22"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Malaysia</w:t>
            </w:r>
          </w:p>
          <w:p w14:paraId="74037B39" w14:textId="36FFD3F4"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3A"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Ban on provision of legal services on a fly-in fly-out basis and inability to establish legal practices in Malaysia.</w:t>
            </w:r>
          </w:p>
        </w:tc>
      </w:tr>
      <w:tr w:rsidR="00A34378" w:rsidRPr="00DC5278" w14:paraId="74037B3E" w14:textId="77777777" w:rsidTr="00A34378">
        <w:tc>
          <w:tcPr>
            <w:tcW w:w="1611" w:type="dxa"/>
            <w:vMerge/>
          </w:tcPr>
          <w:p w14:paraId="74037B3C" w14:textId="7DA131B2"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3D"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Major restrictions on foreign suppliers providing engineering, quantity surveying, land surveying and architectural services.</w:t>
            </w:r>
          </w:p>
        </w:tc>
      </w:tr>
      <w:tr w:rsidR="00A34378" w:rsidRPr="00DC5278" w14:paraId="74037B41" w14:textId="77777777" w:rsidTr="00A34378">
        <w:tc>
          <w:tcPr>
            <w:tcW w:w="1611" w:type="dxa"/>
            <w:vMerge/>
          </w:tcPr>
          <w:p w14:paraId="74037B3F" w14:textId="1BE11F3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40"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Foreign equity caps on banks and insurers.</w:t>
            </w:r>
          </w:p>
        </w:tc>
      </w:tr>
      <w:tr w:rsidR="00A34378" w:rsidRPr="00DC5278" w14:paraId="74037B44" w14:textId="77777777" w:rsidTr="00A34378">
        <w:tc>
          <w:tcPr>
            <w:tcW w:w="1611" w:type="dxa"/>
            <w:vMerge/>
          </w:tcPr>
          <w:p w14:paraId="74037B42" w14:textId="17623FE3"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43"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Tertiary education qualifications offered online not recognised.</w:t>
            </w:r>
          </w:p>
        </w:tc>
      </w:tr>
      <w:tr w:rsidR="003C1E26" w:rsidRPr="00DC5278" w14:paraId="74037B47" w14:textId="77777777" w:rsidTr="00A34378">
        <w:tc>
          <w:tcPr>
            <w:tcW w:w="1611" w:type="dxa"/>
          </w:tcPr>
          <w:p w14:paraId="74037B45"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Mexico</w:t>
            </w:r>
          </w:p>
        </w:tc>
        <w:tc>
          <w:tcPr>
            <w:tcW w:w="6080" w:type="dxa"/>
          </w:tcPr>
          <w:p w14:paraId="74037B46"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Inability to supply services to Mexico’s energy sector</w:t>
            </w:r>
            <w:r w:rsidR="00E009F5" w:rsidRPr="00DC5278">
              <w:rPr>
                <w:rFonts w:ascii="Times New Roman" w:eastAsia="Times New Roman" w:hAnsi="Times New Roman" w:cs="Times New Roman"/>
                <w:color w:val="auto"/>
                <w:sz w:val="24"/>
                <w:szCs w:val="24"/>
                <w:lang w:val="en-AU"/>
              </w:rPr>
              <w:t>.</w:t>
            </w:r>
          </w:p>
        </w:tc>
      </w:tr>
      <w:tr w:rsidR="003C1E26" w:rsidRPr="00DC5278" w14:paraId="74037B4A" w14:textId="77777777" w:rsidTr="00A34378">
        <w:tc>
          <w:tcPr>
            <w:tcW w:w="1611" w:type="dxa"/>
          </w:tcPr>
          <w:p w14:paraId="74037B48"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Singapore</w:t>
            </w:r>
          </w:p>
        </w:tc>
        <w:tc>
          <w:tcPr>
            <w:tcW w:w="6080" w:type="dxa"/>
          </w:tcPr>
          <w:p w14:paraId="74037B49" w14:textId="77777777" w:rsidR="003C1E26" w:rsidRPr="00DC5278" w:rsidRDefault="003C1E26"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Ban on provision of brokerage services, on a cross-border basis, for insurance of aviation, maritime and transport-related risks</w:t>
            </w:r>
            <w:r w:rsidR="00E009F5" w:rsidRPr="00DC5278">
              <w:rPr>
                <w:rFonts w:ascii="Times New Roman" w:eastAsia="Times New Roman" w:hAnsi="Times New Roman" w:cs="Times New Roman"/>
                <w:color w:val="auto"/>
                <w:sz w:val="24"/>
                <w:szCs w:val="24"/>
                <w:lang w:val="en-AU"/>
              </w:rPr>
              <w:t>.</w:t>
            </w:r>
          </w:p>
        </w:tc>
      </w:tr>
      <w:tr w:rsidR="00A34378" w:rsidRPr="00DC5278" w14:paraId="74037B4D" w14:textId="77777777" w:rsidTr="00A34378">
        <w:tc>
          <w:tcPr>
            <w:tcW w:w="1611" w:type="dxa"/>
            <w:vMerge w:val="restart"/>
          </w:tcPr>
          <w:p w14:paraId="160E0797"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b/>
                <w:color w:val="auto"/>
                <w:sz w:val="24"/>
                <w:szCs w:val="24"/>
                <w:lang w:val="en-AU"/>
              </w:rPr>
              <w:t>Vietnam</w:t>
            </w:r>
          </w:p>
          <w:p w14:paraId="74037B4B" w14:textId="42A8361A"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4C"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r w:rsidRPr="00DC5278">
              <w:rPr>
                <w:rFonts w:ascii="Times New Roman" w:eastAsia="Times New Roman" w:hAnsi="Times New Roman" w:cs="Times New Roman"/>
                <w:color w:val="auto"/>
                <w:sz w:val="24"/>
                <w:szCs w:val="24"/>
                <w:lang w:val="en-AU"/>
              </w:rPr>
              <w:t>Tertiary education qualifications offered online not recognised.</w:t>
            </w:r>
          </w:p>
        </w:tc>
      </w:tr>
      <w:tr w:rsidR="00A34378" w:rsidRPr="00DC5278" w14:paraId="74037B50" w14:textId="77777777" w:rsidTr="00A34378">
        <w:tc>
          <w:tcPr>
            <w:tcW w:w="1611" w:type="dxa"/>
            <w:vMerge/>
          </w:tcPr>
          <w:p w14:paraId="74037B4E" w14:textId="33D1E369"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4F"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Foreign providers able to offer only limited education courses.</w:t>
            </w:r>
          </w:p>
        </w:tc>
      </w:tr>
      <w:tr w:rsidR="00A34378" w:rsidRPr="00DC5278" w14:paraId="74037B53" w14:textId="77777777" w:rsidTr="00A34378">
        <w:tc>
          <w:tcPr>
            <w:tcW w:w="1611" w:type="dxa"/>
            <w:vMerge/>
          </w:tcPr>
          <w:p w14:paraId="74037B51" w14:textId="0C99A6FA"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52"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Foreign equity caps on telecommunications providers.</w:t>
            </w:r>
          </w:p>
        </w:tc>
      </w:tr>
      <w:tr w:rsidR="00A34378" w:rsidRPr="00DC5278" w14:paraId="74037B56" w14:textId="77777777" w:rsidTr="00A34378">
        <w:tc>
          <w:tcPr>
            <w:tcW w:w="1611" w:type="dxa"/>
            <w:vMerge/>
          </w:tcPr>
          <w:p w14:paraId="74037B54" w14:textId="45232236"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b/>
                <w:color w:val="auto"/>
                <w:sz w:val="24"/>
                <w:szCs w:val="24"/>
                <w:lang w:val="en-AU"/>
              </w:rPr>
            </w:pPr>
          </w:p>
        </w:tc>
        <w:tc>
          <w:tcPr>
            <w:tcW w:w="6080" w:type="dxa"/>
          </w:tcPr>
          <w:p w14:paraId="74037B55" w14:textId="77777777" w:rsidR="00A34378" w:rsidRPr="00DC5278" w:rsidRDefault="00A34378" w:rsidP="0085547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ind w:left="0"/>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Contractual service suppliers permitted only short stays in limited sectors.</w:t>
            </w:r>
          </w:p>
        </w:tc>
      </w:tr>
    </w:tbl>
    <w:p w14:paraId="74037B57" w14:textId="77777777" w:rsidR="003C1E26" w:rsidRPr="00DC5278" w:rsidRDefault="003C1E26" w:rsidP="0085547B">
      <w:pPr>
        <w:pStyle w:val="ListParagraph"/>
        <w:suppressAutoHyphens/>
        <w:ind w:left="360"/>
        <w:rPr>
          <w:rFonts w:ascii="Times New Roman" w:hAnsi="Times New Roman" w:cs="Times New Roman"/>
        </w:rPr>
      </w:pPr>
    </w:p>
    <w:p w14:paraId="74037B58" w14:textId="77777777" w:rsidR="00BC1E8B" w:rsidRPr="00DC5278" w:rsidRDefault="00DE462F" w:rsidP="0085547B">
      <w:pPr>
        <w:pStyle w:val="Heading"/>
        <w:suppressAutoHyphens/>
        <w:rPr>
          <w:color w:val="auto"/>
        </w:rPr>
      </w:pPr>
      <w:bookmarkStart w:id="2" w:name="_Toc508810487"/>
      <w:r>
        <w:rPr>
          <w:rFonts w:eastAsia="Arial Unicode MS"/>
          <w:color w:val="auto"/>
        </w:rPr>
        <w:t xml:space="preserve">PART 3: </w:t>
      </w:r>
      <w:r w:rsidR="005B6B31" w:rsidRPr="00DC5278">
        <w:rPr>
          <w:rFonts w:eastAsia="Arial Unicode MS"/>
          <w:color w:val="auto"/>
        </w:rPr>
        <w:t>OBJECTIVES OF GOVERNMENT ACTION</w:t>
      </w:r>
      <w:bookmarkEnd w:id="2"/>
    </w:p>
    <w:p w14:paraId="74037B59" w14:textId="59D4BA97"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Consistent with Government policy, the primary objective </w:t>
      </w:r>
      <w:r w:rsidR="00264DE9">
        <w:rPr>
          <w:rFonts w:ascii="Times New Roman" w:hAnsi="Times New Roman" w:cs="Times New Roman"/>
          <w:sz w:val="24"/>
          <w:szCs w:val="24"/>
        </w:rPr>
        <w:t xml:space="preserve">throughout the TPP-11 process </w:t>
      </w:r>
      <w:r w:rsidR="007115C6">
        <w:rPr>
          <w:rFonts w:ascii="Times New Roman" w:hAnsi="Times New Roman" w:cs="Times New Roman"/>
          <w:sz w:val="24"/>
          <w:szCs w:val="24"/>
        </w:rPr>
        <w:t>has been to</w:t>
      </w:r>
      <w:r w:rsidR="00264DE9">
        <w:rPr>
          <w:rFonts w:ascii="Times New Roman" w:hAnsi="Times New Roman" w:cs="Times New Roman"/>
          <w:sz w:val="24"/>
          <w:szCs w:val="24"/>
        </w:rPr>
        <w:t xml:space="preserve"> maintain the high standards of the original </w:t>
      </w:r>
      <w:r w:rsidR="00C41981">
        <w:rPr>
          <w:rFonts w:ascii="Times New Roman" w:hAnsi="Times New Roman" w:cs="Times New Roman"/>
          <w:sz w:val="24"/>
          <w:szCs w:val="24"/>
        </w:rPr>
        <w:t xml:space="preserve">TPP. </w:t>
      </w:r>
      <w:r w:rsidR="00A34378">
        <w:rPr>
          <w:rFonts w:ascii="Times New Roman" w:hAnsi="Times New Roman" w:cs="Times New Roman"/>
          <w:sz w:val="24"/>
          <w:szCs w:val="24"/>
        </w:rPr>
        <w:t xml:space="preserve"> </w:t>
      </w:r>
      <w:r w:rsidR="0036724E">
        <w:rPr>
          <w:rFonts w:ascii="Times New Roman" w:hAnsi="Times New Roman" w:cs="Times New Roman"/>
          <w:sz w:val="24"/>
          <w:szCs w:val="24"/>
        </w:rPr>
        <w:t xml:space="preserve">In this context, </w:t>
      </w:r>
      <w:r w:rsidR="00C41981">
        <w:rPr>
          <w:rFonts w:ascii="Times New Roman" w:hAnsi="Times New Roman" w:cs="Times New Roman"/>
          <w:sz w:val="24"/>
          <w:szCs w:val="24"/>
        </w:rPr>
        <w:t xml:space="preserve">the objective was to maintain the following outcomes: </w:t>
      </w:r>
    </w:p>
    <w:p w14:paraId="74037B5B" w14:textId="77777777" w:rsidR="0039578A" w:rsidRPr="00DC5278" w:rsidRDefault="005B6B31" w:rsidP="0085547B">
      <w:pPr>
        <w:pStyle w:val="ListParagraph"/>
        <w:numPr>
          <w:ilvl w:val="0"/>
          <w:numId w:val="69"/>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sz w:val="24"/>
          <w:szCs w:val="24"/>
        </w:rPr>
        <w:lastRenderedPageBreak/>
        <w:t xml:space="preserve">improved goods market access through the elimination of tariffs across the board and setting a regional approach to commitments to facilitate </w:t>
      </w:r>
      <w:proofErr w:type="gramStart"/>
      <w:r w:rsidRPr="00DC5278">
        <w:rPr>
          <w:rFonts w:ascii="Times New Roman" w:hAnsi="Times New Roman" w:cs="Times New Roman"/>
          <w:sz w:val="24"/>
          <w:szCs w:val="24"/>
        </w:rPr>
        <w:t>GVCs, in particular</w:t>
      </w:r>
      <w:proofErr w:type="gramEnd"/>
      <w:r w:rsidRPr="00DC5278">
        <w:rPr>
          <w:rFonts w:ascii="Times New Roman" w:hAnsi="Times New Roman" w:cs="Times New Roman"/>
          <w:sz w:val="24"/>
          <w:szCs w:val="24"/>
        </w:rPr>
        <w:t xml:space="preserve">: </w:t>
      </w:r>
    </w:p>
    <w:p w14:paraId="74037B5D" w14:textId="77777777" w:rsidR="0039578A" w:rsidRPr="00DC5278" w:rsidRDefault="005B6B31" w:rsidP="0085547B">
      <w:pPr>
        <w:pStyle w:val="ListParagraph"/>
        <w:numPr>
          <w:ilvl w:val="1"/>
          <w:numId w:val="69"/>
        </w:numPr>
        <w:tabs>
          <w:tab w:val="clear" w:pos="1134"/>
          <w:tab w:val="num" w:pos="851"/>
        </w:tabs>
        <w:suppressAutoHyphens/>
        <w:spacing w:after="200"/>
        <w:ind w:left="851" w:hanging="284"/>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securing new market access gains for our exporters with Mexico and Canada,</w:t>
      </w:r>
    </w:p>
    <w:p w14:paraId="74037B5E" w14:textId="77777777" w:rsidR="00BC1E8B" w:rsidRPr="00DC5278" w:rsidRDefault="005B6B31" w:rsidP="0085547B">
      <w:pPr>
        <w:pStyle w:val="ListParagraph"/>
        <w:numPr>
          <w:ilvl w:val="1"/>
          <w:numId w:val="69"/>
        </w:numPr>
        <w:tabs>
          <w:tab w:val="clear" w:pos="1134"/>
          <w:tab w:val="num" w:pos="851"/>
        </w:tabs>
        <w:suppressAutoHyphens/>
        <w:spacing w:after="200"/>
        <w:ind w:left="851" w:hanging="284"/>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improving upon the market access outcomes from </w:t>
      </w:r>
      <w:proofErr w:type="gramStart"/>
      <w:r w:rsidRPr="00DC5278">
        <w:rPr>
          <w:rFonts w:ascii="Times New Roman" w:hAnsi="Times New Roman" w:cs="Times New Roman"/>
          <w:color w:val="auto"/>
          <w:sz w:val="24"/>
          <w:szCs w:val="24"/>
          <w:lang w:val="en-AU"/>
        </w:rPr>
        <w:t>JAEPA;</w:t>
      </w:r>
      <w:proofErr w:type="gramEnd"/>
    </w:p>
    <w:p w14:paraId="74037B5F" w14:textId="35425475"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strong investment protections that would provide greater certainty to Australian investors in </w:t>
      </w:r>
      <w:r w:rsidR="006A55AF">
        <w:rPr>
          <w:rFonts w:ascii="Times New Roman" w:hAnsi="Times New Roman" w:cs="Times New Roman"/>
          <w:sz w:val="24"/>
          <w:szCs w:val="24"/>
        </w:rPr>
        <w:t>TPP</w:t>
      </w:r>
      <w:r w:rsidR="00320C8C">
        <w:rPr>
          <w:rFonts w:ascii="Times New Roman" w:hAnsi="Times New Roman" w:cs="Times New Roman"/>
          <w:sz w:val="24"/>
          <w:szCs w:val="24"/>
        </w:rPr>
        <w:t>-11</w:t>
      </w:r>
      <w:r w:rsidRPr="00DC5278">
        <w:rPr>
          <w:rFonts w:ascii="Times New Roman" w:hAnsi="Times New Roman" w:cs="Times New Roman"/>
          <w:sz w:val="24"/>
          <w:szCs w:val="24"/>
        </w:rPr>
        <w:t xml:space="preserve"> countries, whilst retaining the ability to regulate legitimately on social, environmental or other similar public policy </w:t>
      </w:r>
      <w:proofErr w:type="gramStart"/>
      <w:r w:rsidRPr="00DC5278">
        <w:rPr>
          <w:rFonts w:ascii="Times New Roman" w:hAnsi="Times New Roman" w:cs="Times New Roman"/>
          <w:sz w:val="24"/>
          <w:szCs w:val="24"/>
        </w:rPr>
        <w:t>matters;</w:t>
      </w:r>
      <w:proofErr w:type="gramEnd"/>
    </w:p>
    <w:p w14:paraId="74037B60"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 xml:space="preserve">mutual recognition of professional qualifications (such as for architects and engineers) and best practice regulations for foreign </w:t>
      </w:r>
      <w:proofErr w:type="gramStart"/>
      <w:r w:rsidRPr="00DC5278">
        <w:rPr>
          <w:rFonts w:ascii="Times New Roman" w:hAnsi="Times New Roman" w:cs="Times New Roman"/>
          <w:color w:val="auto"/>
          <w:sz w:val="24"/>
          <w:szCs w:val="24"/>
          <w:u w:color="3D3935"/>
          <w:lang w:val="en-AU"/>
        </w:rPr>
        <w:t>lawyers;</w:t>
      </w:r>
      <w:proofErr w:type="gramEnd"/>
    </w:p>
    <w:p w14:paraId="74037B61" w14:textId="77777777"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new opportunities and a level playing field for Australian providers of, and investors in, minerals and energy and related services, education, engineering, financial and legal services and logistics, particularly in Malaysia and </w:t>
      </w:r>
      <w:proofErr w:type="gramStart"/>
      <w:r w:rsidRPr="00DC5278">
        <w:rPr>
          <w:rFonts w:ascii="Times New Roman" w:hAnsi="Times New Roman" w:cs="Times New Roman"/>
          <w:color w:val="auto"/>
          <w:sz w:val="24"/>
          <w:szCs w:val="24"/>
          <w:lang w:val="en-AU"/>
        </w:rPr>
        <w:t>Vietnam;</w:t>
      </w:r>
      <w:proofErr w:type="gramEnd"/>
    </w:p>
    <w:p w14:paraId="74037B62" w14:textId="693FA7DD" w:rsidR="00501F58" w:rsidRPr="00DC5278" w:rsidRDefault="00501F58" w:rsidP="0085547B">
      <w:pPr>
        <w:pStyle w:val="ListParagraph"/>
        <w:numPr>
          <w:ilvl w:val="0"/>
          <w:numId w:val="70"/>
        </w:numPr>
        <w:tabs>
          <w:tab w:val="left" w:pos="720"/>
        </w:tabs>
        <w:suppressAutoHyphens/>
        <w:spacing w:after="200"/>
        <w:rPr>
          <w:rFonts w:ascii="Times New Roman" w:eastAsia="Times New Roman" w:hAnsi="Times New Roman" w:cs="Times New Roman"/>
          <w:b/>
          <w:bCs/>
          <w:color w:val="auto"/>
          <w:sz w:val="24"/>
          <w:szCs w:val="24"/>
          <w:lang w:val="en-AU"/>
        </w:rPr>
      </w:pPr>
      <w:r w:rsidRPr="00DC5278">
        <w:rPr>
          <w:rFonts w:ascii="Times New Roman" w:hAnsi="Times New Roman" w:cs="Times New Roman"/>
          <w:color w:val="auto"/>
          <w:sz w:val="24"/>
          <w:szCs w:val="24"/>
          <w:lang w:val="en-AU"/>
        </w:rPr>
        <w:t>new commitments addressing the importance of the internet to international trade, providing certainty for Australian businesses of all sizes to move and store da</w:t>
      </w:r>
      <w:r w:rsidR="00146552" w:rsidRPr="00DC5278">
        <w:rPr>
          <w:rFonts w:ascii="Times New Roman" w:hAnsi="Times New Roman" w:cs="Times New Roman"/>
          <w:color w:val="auto"/>
          <w:sz w:val="24"/>
          <w:szCs w:val="24"/>
          <w:lang w:val="en-AU"/>
        </w:rPr>
        <w:t xml:space="preserve">ta across </w:t>
      </w:r>
      <w:r w:rsidR="006A55AF">
        <w:rPr>
          <w:rFonts w:ascii="Times New Roman" w:hAnsi="Times New Roman" w:cs="Times New Roman"/>
          <w:color w:val="auto"/>
          <w:sz w:val="24"/>
          <w:szCs w:val="24"/>
          <w:lang w:val="en-AU"/>
        </w:rPr>
        <w:t>TPP</w:t>
      </w:r>
      <w:r w:rsidR="00320C8C">
        <w:rPr>
          <w:rFonts w:ascii="Times New Roman" w:hAnsi="Times New Roman" w:cs="Times New Roman"/>
          <w:color w:val="auto"/>
          <w:sz w:val="24"/>
          <w:szCs w:val="24"/>
          <w:lang w:val="en-AU"/>
        </w:rPr>
        <w:t>-11</w:t>
      </w:r>
      <w:r w:rsidR="00146552" w:rsidRPr="00DC5278">
        <w:rPr>
          <w:rFonts w:ascii="Times New Roman" w:hAnsi="Times New Roman" w:cs="Times New Roman"/>
          <w:color w:val="auto"/>
          <w:sz w:val="24"/>
          <w:szCs w:val="24"/>
          <w:lang w:val="en-AU"/>
        </w:rPr>
        <w:t xml:space="preserve"> </w:t>
      </w:r>
      <w:proofErr w:type="gramStart"/>
      <w:r w:rsidR="00146552" w:rsidRPr="00DC5278">
        <w:rPr>
          <w:rFonts w:ascii="Times New Roman" w:hAnsi="Times New Roman" w:cs="Times New Roman"/>
          <w:color w:val="auto"/>
          <w:sz w:val="24"/>
          <w:szCs w:val="24"/>
          <w:lang w:val="en-AU"/>
        </w:rPr>
        <w:t>economies;</w:t>
      </w:r>
      <w:proofErr w:type="gramEnd"/>
    </w:p>
    <w:p w14:paraId="74037B63" w14:textId="77777777" w:rsidR="00501F58" w:rsidRPr="00DC5278" w:rsidRDefault="00501F58" w:rsidP="0085547B">
      <w:pPr>
        <w:pStyle w:val="ListParagraph"/>
        <w:numPr>
          <w:ilvl w:val="0"/>
          <w:numId w:val="70"/>
        </w:numPr>
        <w:tabs>
          <w:tab w:val="left" w:pos="720"/>
        </w:tabs>
        <w:suppressAutoHyphens/>
        <w:spacing w:after="200"/>
        <w:rPr>
          <w:rFonts w:ascii="Times New Roman" w:eastAsia="Times New Roman" w:hAnsi="Times New Roman" w:cs="Times New Roman"/>
          <w:b/>
          <w:bCs/>
          <w:color w:val="auto"/>
          <w:sz w:val="24"/>
          <w:szCs w:val="24"/>
          <w:lang w:val="en-AU"/>
        </w:rPr>
      </w:pPr>
      <w:r w:rsidRPr="00DC5278">
        <w:rPr>
          <w:rFonts w:ascii="Times New Roman" w:hAnsi="Times New Roman" w:cs="Times New Roman"/>
          <w:color w:val="auto"/>
          <w:sz w:val="24"/>
          <w:szCs w:val="24"/>
          <w:lang w:val="en-AU"/>
        </w:rPr>
        <w:t xml:space="preserve">a permanent moratorium on the imposition of customs duties on electronic </w:t>
      </w:r>
      <w:proofErr w:type="gramStart"/>
      <w:r w:rsidRPr="00DC5278">
        <w:rPr>
          <w:rFonts w:ascii="Times New Roman" w:hAnsi="Times New Roman" w:cs="Times New Roman"/>
          <w:color w:val="auto"/>
          <w:sz w:val="24"/>
          <w:szCs w:val="24"/>
          <w:lang w:val="en-AU"/>
        </w:rPr>
        <w:t>transactions;</w:t>
      </w:r>
      <w:proofErr w:type="gramEnd"/>
    </w:p>
    <w:p w14:paraId="74037B64" w14:textId="77777777" w:rsidR="00501F58" w:rsidRPr="00DC5278" w:rsidRDefault="00501F58" w:rsidP="0085547B">
      <w:pPr>
        <w:pStyle w:val="BodyA"/>
        <w:numPr>
          <w:ilvl w:val="0"/>
          <w:numId w:val="70"/>
        </w:numPr>
        <w:tabs>
          <w:tab w:val="left" w:pos="720"/>
        </w:tabs>
        <w:suppressAutoHyphens/>
        <w:spacing w:after="120"/>
        <w:rPr>
          <w:rFonts w:ascii="Times New Roman" w:eastAsia="Times New Roman" w:hAnsi="Times New Roman" w:cs="Times New Roman"/>
          <w:color w:val="auto"/>
          <w:sz w:val="24"/>
          <w:szCs w:val="24"/>
          <w:u w:color="3D3935"/>
          <w:lang w:val="en-AU"/>
        </w:rPr>
      </w:pPr>
      <w:r w:rsidRPr="00DC5278">
        <w:rPr>
          <w:rFonts w:ascii="Times New Roman" w:hAnsi="Times New Roman" w:cs="Times New Roman"/>
          <w:bCs/>
          <w:color w:val="auto"/>
          <w:sz w:val="24"/>
          <w:szCs w:val="24"/>
          <w:u w:color="3D3935"/>
          <w:lang w:val="en-AU"/>
        </w:rPr>
        <w:t>commitments to</w:t>
      </w:r>
      <w:r w:rsidRPr="00DC5278">
        <w:rPr>
          <w:rFonts w:ascii="Times New Roman" w:hAnsi="Times New Roman" w:cs="Times New Roman"/>
          <w:color w:val="auto"/>
          <w:sz w:val="24"/>
          <w:szCs w:val="24"/>
          <w:u w:color="3D3935"/>
          <w:lang w:val="en-AU"/>
        </w:rPr>
        <w:t xml:space="preserve"> address, for the first time, the high cost of International Mobile </w:t>
      </w:r>
      <w:proofErr w:type="gramStart"/>
      <w:r w:rsidRPr="00DC5278">
        <w:rPr>
          <w:rFonts w:ascii="Times New Roman" w:hAnsi="Times New Roman" w:cs="Times New Roman"/>
          <w:color w:val="auto"/>
          <w:sz w:val="24"/>
          <w:szCs w:val="24"/>
          <w:u w:color="3D3935"/>
          <w:lang w:val="en-AU"/>
        </w:rPr>
        <w:t>Roaming;</w:t>
      </w:r>
      <w:proofErr w:type="gramEnd"/>
    </w:p>
    <w:p w14:paraId="74037B65" w14:textId="5B41C7DB"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 xml:space="preserve">enhanced opportunities for Australian </w:t>
      </w:r>
      <w:proofErr w:type="gramStart"/>
      <w:r w:rsidRPr="00DC5278">
        <w:rPr>
          <w:rFonts w:ascii="Times New Roman" w:hAnsi="Times New Roman" w:cs="Times New Roman"/>
          <w:color w:val="auto"/>
          <w:sz w:val="24"/>
          <w:szCs w:val="24"/>
          <w:u w:color="3D3935"/>
          <w:lang w:val="en-AU"/>
        </w:rPr>
        <w:t>business persons</w:t>
      </w:r>
      <w:proofErr w:type="gramEnd"/>
      <w:r w:rsidRPr="00DC5278">
        <w:rPr>
          <w:rFonts w:ascii="Times New Roman" w:hAnsi="Times New Roman" w:cs="Times New Roman"/>
          <w:color w:val="auto"/>
          <w:sz w:val="24"/>
          <w:szCs w:val="24"/>
          <w:u w:color="3D3935"/>
          <w:lang w:val="en-AU"/>
        </w:rPr>
        <w:t xml:space="preserve"> seeking to enter and temporarily stay in other </w:t>
      </w:r>
      <w:r w:rsidR="006A55AF">
        <w:rPr>
          <w:rFonts w:ascii="Times New Roman" w:hAnsi="Times New Roman" w:cs="Times New Roman"/>
          <w:color w:val="auto"/>
          <w:sz w:val="24"/>
          <w:szCs w:val="24"/>
          <w:u w:color="3D3935"/>
          <w:lang w:val="en-AU"/>
        </w:rPr>
        <w:t>TPP</w:t>
      </w:r>
      <w:r w:rsidR="00320C8C">
        <w:rPr>
          <w:rFonts w:ascii="Times New Roman" w:hAnsi="Times New Roman" w:cs="Times New Roman"/>
          <w:color w:val="auto"/>
          <w:sz w:val="24"/>
          <w:szCs w:val="24"/>
          <w:u w:color="3D3935"/>
          <w:lang w:val="en-AU"/>
        </w:rPr>
        <w:t>-11</w:t>
      </w:r>
      <w:r w:rsidRPr="00DC5278">
        <w:rPr>
          <w:rFonts w:ascii="Times New Roman" w:hAnsi="Times New Roman" w:cs="Times New Roman"/>
          <w:color w:val="auto"/>
          <w:sz w:val="24"/>
          <w:szCs w:val="24"/>
          <w:u w:color="3D3935"/>
          <w:lang w:val="en-AU"/>
        </w:rPr>
        <w:t xml:space="preserve"> countries through expeditious processing of immigration documents, minimised fees and transparency on entry </w:t>
      </w:r>
      <w:proofErr w:type="gramStart"/>
      <w:r w:rsidRPr="00DC5278">
        <w:rPr>
          <w:rFonts w:ascii="Times New Roman" w:hAnsi="Times New Roman" w:cs="Times New Roman"/>
          <w:color w:val="auto"/>
          <w:sz w:val="24"/>
          <w:szCs w:val="24"/>
          <w:u w:color="3D3935"/>
          <w:lang w:val="en-AU"/>
        </w:rPr>
        <w:t>requirements;</w:t>
      </w:r>
      <w:proofErr w:type="gramEnd"/>
    </w:p>
    <w:p w14:paraId="74037B66" w14:textId="1895C2ED"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commitments to enable short-term business visitors, intra-corporate transferees, certain independent executives</w:t>
      </w:r>
      <w:r w:rsidR="0085547B" w:rsidRPr="00DC5278">
        <w:rPr>
          <w:rFonts w:ascii="Times New Roman" w:hAnsi="Times New Roman" w:cs="Times New Roman"/>
          <w:color w:val="auto"/>
          <w:sz w:val="24"/>
          <w:szCs w:val="24"/>
          <w:u w:color="3D3935"/>
          <w:lang w:val="en-AU"/>
        </w:rPr>
        <w:t>,</w:t>
      </w:r>
      <w:r w:rsidRPr="00DC5278">
        <w:rPr>
          <w:rFonts w:ascii="Times New Roman" w:hAnsi="Times New Roman" w:cs="Times New Roman"/>
          <w:color w:val="auto"/>
          <w:sz w:val="24"/>
          <w:szCs w:val="24"/>
          <w:u w:color="3D3935"/>
          <w:lang w:val="en-AU"/>
        </w:rPr>
        <w:t xml:space="preserve"> and contractual service suppliers to enter and stay te</w:t>
      </w:r>
      <w:r w:rsidR="00455DE8" w:rsidRPr="00DC5278">
        <w:rPr>
          <w:rFonts w:ascii="Times New Roman" w:hAnsi="Times New Roman" w:cs="Times New Roman"/>
          <w:color w:val="auto"/>
          <w:sz w:val="24"/>
          <w:szCs w:val="24"/>
          <w:u w:color="3D3935"/>
          <w:lang w:val="en-AU"/>
        </w:rPr>
        <w:t xml:space="preserve">mporarily in </w:t>
      </w:r>
      <w:r w:rsidR="006A55AF">
        <w:rPr>
          <w:rFonts w:ascii="Times New Roman" w:hAnsi="Times New Roman" w:cs="Times New Roman"/>
          <w:color w:val="auto"/>
          <w:sz w:val="24"/>
          <w:szCs w:val="24"/>
          <w:u w:color="3D3935"/>
          <w:lang w:val="en-AU"/>
        </w:rPr>
        <w:t>TPP</w:t>
      </w:r>
      <w:r w:rsidR="00320C8C">
        <w:rPr>
          <w:rFonts w:ascii="Times New Roman" w:hAnsi="Times New Roman" w:cs="Times New Roman"/>
          <w:color w:val="auto"/>
          <w:sz w:val="24"/>
          <w:szCs w:val="24"/>
          <w:u w:color="3D3935"/>
          <w:lang w:val="en-AU"/>
        </w:rPr>
        <w:t>-11</w:t>
      </w:r>
      <w:r w:rsidR="00455DE8" w:rsidRPr="00DC5278">
        <w:rPr>
          <w:rFonts w:ascii="Times New Roman" w:hAnsi="Times New Roman" w:cs="Times New Roman"/>
          <w:color w:val="auto"/>
          <w:sz w:val="24"/>
          <w:szCs w:val="24"/>
          <w:u w:color="3D3935"/>
          <w:lang w:val="en-AU"/>
        </w:rPr>
        <w:t xml:space="preserve"> </w:t>
      </w:r>
      <w:proofErr w:type="gramStart"/>
      <w:r w:rsidR="00455DE8" w:rsidRPr="00DC5278">
        <w:rPr>
          <w:rFonts w:ascii="Times New Roman" w:hAnsi="Times New Roman" w:cs="Times New Roman"/>
          <w:color w:val="auto"/>
          <w:sz w:val="24"/>
          <w:szCs w:val="24"/>
          <w:u w:color="3D3935"/>
          <w:lang w:val="en-AU"/>
        </w:rPr>
        <w:t>countries</w:t>
      </w:r>
      <w:r w:rsidRPr="00DC5278">
        <w:rPr>
          <w:rFonts w:ascii="Times New Roman" w:hAnsi="Times New Roman" w:cs="Times New Roman"/>
          <w:color w:val="auto"/>
          <w:sz w:val="24"/>
          <w:szCs w:val="24"/>
          <w:u w:color="3D3935"/>
          <w:lang w:val="en-AU"/>
        </w:rPr>
        <w:t>;</w:t>
      </w:r>
      <w:proofErr w:type="gramEnd"/>
    </w:p>
    <w:p w14:paraId="74037B67" w14:textId="06F7F29A"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improved access for Australian suppliers to the gov</w:t>
      </w:r>
      <w:r w:rsidR="0085547B" w:rsidRPr="00DC5278">
        <w:rPr>
          <w:rFonts w:ascii="Times New Roman" w:hAnsi="Times New Roman" w:cs="Times New Roman"/>
          <w:color w:val="auto"/>
          <w:sz w:val="24"/>
          <w:szCs w:val="24"/>
          <w:u w:color="3D3935"/>
          <w:lang w:val="en-AU"/>
        </w:rPr>
        <w:t xml:space="preserve">ernment procurement markets in </w:t>
      </w:r>
      <w:r w:rsidRPr="00DC5278">
        <w:rPr>
          <w:rFonts w:ascii="Times New Roman" w:hAnsi="Times New Roman" w:cs="Times New Roman"/>
          <w:color w:val="auto"/>
          <w:sz w:val="24"/>
          <w:szCs w:val="24"/>
          <w:u w:color="3D3935"/>
          <w:lang w:val="en-AU"/>
        </w:rPr>
        <w:t xml:space="preserve">other </w:t>
      </w:r>
      <w:r w:rsidR="006A55AF">
        <w:rPr>
          <w:rFonts w:ascii="Times New Roman" w:hAnsi="Times New Roman" w:cs="Times New Roman"/>
          <w:color w:val="auto"/>
          <w:sz w:val="24"/>
          <w:szCs w:val="24"/>
          <w:u w:color="3D3935"/>
          <w:lang w:val="en-AU"/>
        </w:rPr>
        <w:t>TPP</w:t>
      </w:r>
      <w:r w:rsidR="00320C8C">
        <w:rPr>
          <w:rFonts w:ascii="Times New Roman" w:hAnsi="Times New Roman" w:cs="Times New Roman"/>
          <w:color w:val="auto"/>
          <w:sz w:val="24"/>
          <w:szCs w:val="24"/>
          <w:u w:color="3D3935"/>
          <w:lang w:val="en-AU"/>
        </w:rPr>
        <w:t>-11</w:t>
      </w:r>
      <w:r w:rsidRPr="00DC5278">
        <w:rPr>
          <w:rFonts w:ascii="Times New Roman" w:hAnsi="Times New Roman" w:cs="Times New Roman"/>
          <w:color w:val="auto"/>
          <w:sz w:val="24"/>
          <w:szCs w:val="24"/>
          <w:u w:color="3D3935"/>
          <w:lang w:val="en-AU"/>
        </w:rPr>
        <w:t xml:space="preserve"> </w:t>
      </w:r>
      <w:proofErr w:type="gramStart"/>
      <w:r w:rsidRPr="00DC5278">
        <w:rPr>
          <w:rFonts w:ascii="Times New Roman" w:hAnsi="Times New Roman" w:cs="Times New Roman"/>
          <w:color w:val="auto"/>
          <w:sz w:val="24"/>
          <w:szCs w:val="24"/>
          <w:u w:color="3D3935"/>
          <w:lang w:val="en-AU"/>
        </w:rPr>
        <w:t>countries;</w:t>
      </w:r>
      <w:proofErr w:type="gramEnd"/>
    </w:p>
    <w:p w14:paraId="74037B68" w14:textId="7A07DBB0" w:rsidR="0039578A"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 xml:space="preserve">commitments to ensure rights of Australian intellectual property (IP) holders are protected effectively and enforced by other </w:t>
      </w:r>
      <w:r w:rsidR="006A55AF">
        <w:rPr>
          <w:rFonts w:ascii="Times New Roman" w:hAnsi="Times New Roman" w:cs="Times New Roman"/>
          <w:color w:val="auto"/>
          <w:sz w:val="24"/>
          <w:szCs w:val="24"/>
          <w:u w:color="3D3935"/>
          <w:lang w:val="en-AU"/>
        </w:rPr>
        <w:t>TPP</w:t>
      </w:r>
      <w:r w:rsidR="00320C8C">
        <w:rPr>
          <w:rFonts w:ascii="Times New Roman" w:hAnsi="Times New Roman" w:cs="Times New Roman"/>
          <w:color w:val="auto"/>
          <w:sz w:val="24"/>
          <w:szCs w:val="24"/>
          <w:u w:color="3D3935"/>
          <w:lang w:val="en-AU"/>
        </w:rPr>
        <w:t>-11</w:t>
      </w:r>
      <w:r w:rsidRPr="00DC5278">
        <w:rPr>
          <w:rFonts w:ascii="Times New Roman" w:hAnsi="Times New Roman" w:cs="Times New Roman"/>
          <w:color w:val="auto"/>
          <w:sz w:val="24"/>
          <w:szCs w:val="24"/>
          <w:u w:color="3D3935"/>
          <w:lang w:val="en-AU"/>
        </w:rPr>
        <w:t xml:space="preserve"> </w:t>
      </w:r>
      <w:r w:rsidR="0085547B" w:rsidRPr="00DC5278">
        <w:rPr>
          <w:rFonts w:ascii="Times New Roman" w:hAnsi="Times New Roman" w:cs="Times New Roman"/>
          <w:color w:val="auto"/>
          <w:sz w:val="24"/>
          <w:szCs w:val="24"/>
          <w:u w:color="3D3935"/>
          <w:lang w:val="en-AU"/>
        </w:rPr>
        <w:t>countries’</w:t>
      </w:r>
      <w:r w:rsidRPr="00DC5278">
        <w:rPr>
          <w:rFonts w:ascii="Times New Roman" w:hAnsi="Times New Roman" w:cs="Times New Roman"/>
          <w:color w:val="auto"/>
          <w:sz w:val="24"/>
          <w:szCs w:val="24"/>
          <w:u w:color="3D3935"/>
          <w:lang w:val="en-AU"/>
        </w:rPr>
        <w:t xml:space="preserve"> IP </w:t>
      </w:r>
      <w:proofErr w:type="gramStart"/>
      <w:r w:rsidRPr="00DC5278">
        <w:rPr>
          <w:rFonts w:ascii="Times New Roman" w:hAnsi="Times New Roman" w:cs="Times New Roman"/>
          <w:color w:val="auto"/>
          <w:sz w:val="24"/>
          <w:szCs w:val="24"/>
          <w:u w:color="3D3935"/>
          <w:lang w:val="en-AU"/>
        </w:rPr>
        <w:t>regime</w:t>
      </w:r>
      <w:r w:rsidR="0085547B" w:rsidRPr="00DC5278">
        <w:rPr>
          <w:rFonts w:ascii="Times New Roman" w:hAnsi="Times New Roman" w:cs="Times New Roman"/>
          <w:color w:val="auto"/>
          <w:sz w:val="24"/>
          <w:szCs w:val="24"/>
          <w:u w:color="3D3935"/>
          <w:lang w:val="en-AU"/>
        </w:rPr>
        <w:t>s</w:t>
      </w:r>
      <w:r w:rsidRPr="00DC5278">
        <w:rPr>
          <w:rFonts w:ascii="Times New Roman" w:hAnsi="Times New Roman" w:cs="Times New Roman"/>
          <w:color w:val="auto"/>
          <w:sz w:val="24"/>
          <w:szCs w:val="24"/>
          <w:u w:color="3D3935"/>
          <w:lang w:val="en-AU"/>
        </w:rPr>
        <w:t>;</w:t>
      </w:r>
      <w:proofErr w:type="gramEnd"/>
    </w:p>
    <w:p w14:paraId="74037B6A" w14:textId="77777777" w:rsidR="00BC1E8B" w:rsidRPr="00DC5278" w:rsidRDefault="005B6B31" w:rsidP="0085547B">
      <w:pPr>
        <w:pStyle w:val="ListParagraph"/>
        <w:numPr>
          <w:ilvl w:val="0"/>
          <w:numId w:val="70"/>
        </w:numPr>
        <w:tabs>
          <w:tab w:val="left" w:pos="720"/>
        </w:tabs>
        <w:suppressAutoHyphens/>
        <w:spacing w:after="20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3D3935"/>
          <w:lang w:val="en-AU"/>
        </w:rPr>
        <w:t>new disciplines that address the role of State-</w:t>
      </w:r>
      <w:r w:rsidR="0085547B" w:rsidRPr="00DC5278">
        <w:rPr>
          <w:rFonts w:ascii="Times New Roman" w:hAnsi="Times New Roman" w:cs="Times New Roman"/>
          <w:color w:val="auto"/>
          <w:sz w:val="24"/>
          <w:szCs w:val="24"/>
          <w:u w:color="3D3935"/>
          <w:lang w:val="en-AU"/>
        </w:rPr>
        <w:t>O</w:t>
      </w:r>
      <w:r w:rsidRPr="00DC5278">
        <w:rPr>
          <w:rFonts w:ascii="Times New Roman" w:hAnsi="Times New Roman" w:cs="Times New Roman"/>
          <w:color w:val="auto"/>
          <w:sz w:val="24"/>
          <w:szCs w:val="24"/>
          <w:u w:color="3D3935"/>
          <w:lang w:val="en-AU"/>
        </w:rPr>
        <w:t xml:space="preserve">wned Enterprises (SOEs) in global trade whilst upholding Australia’s right to use SOEs for public interest </w:t>
      </w:r>
      <w:proofErr w:type="gramStart"/>
      <w:r w:rsidRPr="00DC5278">
        <w:rPr>
          <w:rFonts w:ascii="Times New Roman" w:hAnsi="Times New Roman" w:cs="Times New Roman"/>
          <w:color w:val="auto"/>
          <w:sz w:val="24"/>
          <w:szCs w:val="24"/>
          <w:u w:color="3D3935"/>
          <w:lang w:val="en-AU"/>
        </w:rPr>
        <w:t>purposes;</w:t>
      </w:r>
      <w:proofErr w:type="gramEnd"/>
    </w:p>
    <w:p w14:paraId="74037B6B" w14:textId="5CE38275"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color w:val="auto"/>
          <w:sz w:val="24"/>
          <w:szCs w:val="24"/>
          <w:u w:color="3D3935"/>
          <w:lang w:val="en-AU"/>
        </w:rPr>
      </w:pPr>
      <w:r w:rsidRPr="00DC5278">
        <w:rPr>
          <w:rFonts w:ascii="Times New Roman" w:hAnsi="Times New Roman" w:cs="Times New Roman"/>
          <w:color w:val="auto"/>
          <w:sz w:val="24"/>
          <w:szCs w:val="24"/>
          <w:u w:color="3D3935"/>
          <w:lang w:val="en-AU"/>
        </w:rPr>
        <w:t xml:space="preserve">commitments to ensure that the benefits of the </w:t>
      </w:r>
      <w:r w:rsidR="006A55AF">
        <w:rPr>
          <w:rFonts w:ascii="Times New Roman" w:hAnsi="Times New Roman" w:cs="Times New Roman"/>
          <w:color w:val="auto"/>
          <w:sz w:val="24"/>
          <w:szCs w:val="24"/>
          <w:u w:color="3D3935"/>
          <w:lang w:val="en-AU"/>
        </w:rPr>
        <w:t>TPP</w:t>
      </w:r>
      <w:r w:rsidR="00320C8C">
        <w:rPr>
          <w:rFonts w:ascii="Times New Roman" w:hAnsi="Times New Roman" w:cs="Times New Roman"/>
          <w:color w:val="auto"/>
          <w:sz w:val="24"/>
          <w:szCs w:val="24"/>
          <w:u w:color="3D3935"/>
          <w:lang w:val="en-AU"/>
        </w:rPr>
        <w:t>-11</w:t>
      </w:r>
      <w:r w:rsidRPr="00DC5278">
        <w:rPr>
          <w:rFonts w:ascii="Times New Roman" w:hAnsi="Times New Roman" w:cs="Times New Roman"/>
          <w:color w:val="auto"/>
          <w:sz w:val="24"/>
          <w:szCs w:val="24"/>
          <w:u w:color="3D3935"/>
          <w:lang w:val="en-AU"/>
        </w:rPr>
        <w:t xml:space="preserve"> are not undermined b</w:t>
      </w:r>
      <w:r w:rsidR="00076589" w:rsidRPr="00DC5278">
        <w:rPr>
          <w:rFonts w:ascii="Times New Roman" w:hAnsi="Times New Roman" w:cs="Times New Roman"/>
          <w:color w:val="auto"/>
          <w:sz w:val="24"/>
          <w:szCs w:val="24"/>
          <w:u w:color="3D3935"/>
          <w:lang w:val="en-AU"/>
        </w:rPr>
        <w:t>y anti</w:t>
      </w:r>
      <w:r w:rsidR="00A34378">
        <w:rPr>
          <w:rFonts w:ascii="Times New Roman" w:hAnsi="Times New Roman" w:cs="Times New Roman"/>
          <w:color w:val="auto"/>
          <w:sz w:val="24"/>
          <w:szCs w:val="24"/>
          <w:u w:color="3D3935"/>
          <w:lang w:val="en-AU"/>
        </w:rPr>
        <w:t>-</w:t>
      </w:r>
      <w:r w:rsidR="00076589" w:rsidRPr="00DC5278">
        <w:rPr>
          <w:rFonts w:ascii="Times New Roman" w:hAnsi="Times New Roman" w:cs="Times New Roman"/>
          <w:color w:val="auto"/>
          <w:sz w:val="24"/>
          <w:szCs w:val="24"/>
          <w:u w:color="3D3935"/>
          <w:lang w:val="en-AU"/>
        </w:rPr>
        <w:t xml:space="preserve">competitive </w:t>
      </w:r>
      <w:proofErr w:type="gramStart"/>
      <w:r w:rsidR="00076589" w:rsidRPr="00DC5278">
        <w:rPr>
          <w:rFonts w:ascii="Times New Roman" w:hAnsi="Times New Roman" w:cs="Times New Roman"/>
          <w:color w:val="auto"/>
          <w:sz w:val="24"/>
          <w:szCs w:val="24"/>
          <w:u w:color="3D3935"/>
          <w:lang w:val="en-AU"/>
        </w:rPr>
        <w:t>practices;</w:t>
      </w:r>
      <w:proofErr w:type="gramEnd"/>
      <w:r w:rsidR="00076589" w:rsidRPr="00DC5278">
        <w:rPr>
          <w:rFonts w:ascii="Times New Roman" w:hAnsi="Times New Roman" w:cs="Times New Roman"/>
          <w:color w:val="auto"/>
          <w:sz w:val="24"/>
          <w:szCs w:val="24"/>
          <w:u w:color="3D3935"/>
          <w:lang w:val="en-AU"/>
        </w:rPr>
        <w:t xml:space="preserve"> </w:t>
      </w:r>
    </w:p>
    <w:p w14:paraId="74037B6C" w14:textId="77777777"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b/>
          <w:bCs/>
          <w:color w:val="auto"/>
          <w:sz w:val="24"/>
          <w:szCs w:val="24"/>
          <w:u w:color="3D3935"/>
          <w:lang w:val="en-AU"/>
        </w:rPr>
      </w:pPr>
      <w:r w:rsidRPr="00DC5278">
        <w:rPr>
          <w:rFonts w:ascii="Times New Roman" w:hAnsi="Times New Roman" w:cs="Times New Roman"/>
          <w:color w:val="auto"/>
          <w:sz w:val="24"/>
          <w:szCs w:val="24"/>
          <w:u w:color="3D3935"/>
          <w:lang w:val="en-AU"/>
        </w:rPr>
        <w:lastRenderedPageBreak/>
        <w:t xml:space="preserve">a new benchmark that will benefit workers across the region by promoting compliance with </w:t>
      </w:r>
      <w:proofErr w:type="gramStart"/>
      <w:r w:rsidRPr="00DC5278">
        <w:rPr>
          <w:rFonts w:ascii="Times New Roman" w:hAnsi="Times New Roman" w:cs="Times New Roman"/>
          <w:color w:val="auto"/>
          <w:sz w:val="24"/>
          <w:szCs w:val="24"/>
          <w:u w:color="3D3935"/>
          <w:lang w:val="en-AU"/>
        </w:rPr>
        <w:t>internationally-recognised</w:t>
      </w:r>
      <w:proofErr w:type="gramEnd"/>
      <w:r w:rsidRPr="00DC5278">
        <w:rPr>
          <w:rFonts w:ascii="Times New Roman" w:hAnsi="Times New Roman" w:cs="Times New Roman"/>
          <w:color w:val="auto"/>
          <w:sz w:val="24"/>
          <w:szCs w:val="24"/>
          <w:u w:color="3D3935"/>
          <w:lang w:val="en-AU"/>
        </w:rPr>
        <w:t xml:space="preserve"> labour rights and the effective enforcement of labour </w:t>
      </w:r>
      <w:proofErr w:type="gramStart"/>
      <w:r w:rsidRPr="00DC5278">
        <w:rPr>
          <w:rFonts w:ascii="Times New Roman" w:hAnsi="Times New Roman" w:cs="Times New Roman"/>
          <w:color w:val="auto"/>
          <w:sz w:val="24"/>
          <w:szCs w:val="24"/>
          <w:u w:color="3D3935"/>
          <w:lang w:val="en-AU"/>
        </w:rPr>
        <w:t>laws;</w:t>
      </w:r>
      <w:proofErr w:type="gramEnd"/>
    </w:p>
    <w:p w14:paraId="74037B6D" w14:textId="77777777"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color w:val="auto"/>
          <w:sz w:val="24"/>
          <w:szCs w:val="24"/>
          <w:u w:color="3D3935"/>
          <w:lang w:val="en-AU"/>
        </w:rPr>
      </w:pPr>
      <w:r w:rsidRPr="00DC5278">
        <w:rPr>
          <w:rFonts w:ascii="Times New Roman" w:hAnsi="Times New Roman" w:cs="Times New Roman"/>
          <w:color w:val="auto"/>
          <w:sz w:val="24"/>
          <w:szCs w:val="24"/>
          <w:u w:color="3D3935"/>
          <w:lang w:val="en-AU"/>
        </w:rPr>
        <w:t>commitments in areas where trade disciplines can help to address environmental challenges, including through liberalising trade in environmental goods and services and disciplines on fisheries subsidies that contribute to over-</w:t>
      </w:r>
      <w:proofErr w:type="gramStart"/>
      <w:r w:rsidRPr="00DC5278">
        <w:rPr>
          <w:rFonts w:ascii="Times New Roman" w:hAnsi="Times New Roman" w:cs="Times New Roman"/>
          <w:color w:val="auto"/>
          <w:sz w:val="24"/>
          <w:szCs w:val="24"/>
          <w:u w:color="3D3935"/>
          <w:lang w:val="en-AU"/>
        </w:rPr>
        <w:t>fishing;</w:t>
      </w:r>
      <w:proofErr w:type="gramEnd"/>
      <w:r w:rsidRPr="00DC5278">
        <w:rPr>
          <w:rFonts w:ascii="Times New Roman" w:hAnsi="Times New Roman" w:cs="Times New Roman"/>
          <w:color w:val="auto"/>
          <w:sz w:val="24"/>
          <w:szCs w:val="24"/>
          <w:u w:color="3D3935"/>
          <w:lang w:val="en-AU"/>
        </w:rPr>
        <w:t xml:space="preserve"> </w:t>
      </w:r>
    </w:p>
    <w:p w14:paraId="74037B6E" w14:textId="77777777" w:rsidR="00BC1E8B" w:rsidRPr="00DC5278" w:rsidRDefault="005B6B31" w:rsidP="0085547B">
      <w:pPr>
        <w:pStyle w:val="BodyA"/>
        <w:numPr>
          <w:ilvl w:val="0"/>
          <w:numId w:val="71"/>
        </w:numPr>
        <w:tabs>
          <w:tab w:val="left" w:pos="720"/>
        </w:tabs>
        <w:suppressAutoHyphens/>
        <w:spacing w:after="120"/>
        <w:rPr>
          <w:rFonts w:ascii="Times New Roman" w:eastAsia="Times New Roman" w:hAnsi="Times New Roman" w:cs="Times New Roman"/>
          <w:b/>
          <w:bCs/>
          <w:color w:val="auto"/>
          <w:sz w:val="24"/>
          <w:szCs w:val="24"/>
          <w:u w:color="3D3935"/>
          <w:lang w:val="en-AU"/>
        </w:rPr>
      </w:pPr>
      <w:r w:rsidRPr="00DC5278">
        <w:rPr>
          <w:rFonts w:ascii="Times New Roman" w:hAnsi="Times New Roman" w:cs="Times New Roman"/>
          <w:color w:val="auto"/>
          <w:sz w:val="24"/>
          <w:szCs w:val="24"/>
          <w:u w:color="3D3935"/>
          <w:lang w:val="en-AU"/>
        </w:rPr>
        <w:t>promotion of international efforts to combat corruption and bribery of officials and effective enforcement of anti-corruption laws; and</w:t>
      </w:r>
    </w:p>
    <w:p w14:paraId="74037B6F" w14:textId="17D80AD5" w:rsidR="00BC1E8B" w:rsidRPr="00FE7942" w:rsidRDefault="005B6B31" w:rsidP="0085547B">
      <w:pPr>
        <w:pStyle w:val="BodyA"/>
        <w:numPr>
          <w:ilvl w:val="0"/>
          <w:numId w:val="71"/>
        </w:numPr>
        <w:tabs>
          <w:tab w:val="left" w:pos="720"/>
        </w:tabs>
        <w:suppressAutoHyphens/>
        <w:spacing w:after="120"/>
        <w:rPr>
          <w:rFonts w:ascii="Times New Roman" w:eastAsia="Times New Roman" w:hAnsi="Times New Roman" w:cs="Times New Roman"/>
          <w:b/>
          <w:bCs/>
          <w:color w:val="auto"/>
          <w:sz w:val="24"/>
          <w:szCs w:val="24"/>
          <w:lang w:val="en-AU"/>
        </w:rPr>
      </w:pPr>
      <w:r w:rsidRPr="00FE7942">
        <w:rPr>
          <w:rFonts w:ascii="Times New Roman" w:hAnsi="Times New Roman" w:cs="Times New Roman"/>
          <w:color w:val="auto"/>
          <w:sz w:val="24"/>
          <w:szCs w:val="24"/>
          <w:lang w:val="en-AU"/>
        </w:rPr>
        <w:t xml:space="preserve">a framework for settling disputes under the </w:t>
      </w:r>
      <w:r w:rsidR="006A55AF" w:rsidRPr="00FE7942">
        <w:rPr>
          <w:rFonts w:ascii="Times New Roman" w:hAnsi="Times New Roman" w:cs="Times New Roman"/>
          <w:color w:val="auto"/>
          <w:sz w:val="24"/>
          <w:szCs w:val="24"/>
          <w:lang w:val="en-AU"/>
        </w:rPr>
        <w:t>TPP</w:t>
      </w:r>
      <w:r w:rsidR="00320C8C" w:rsidRPr="00FE7942">
        <w:rPr>
          <w:rFonts w:ascii="Times New Roman" w:hAnsi="Times New Roman" w:cs="Times New Roman"/>
          <w:color w:val="auto"/>
          <w:sz w:val="24"/>
          <w:szCs w:val="24"/>
          <w:lang w:val="en-AU"/>
        </w:rPr>
        <w:t>-11</w:t>
      </w:r>
      <w:r w:rsidRPr="00FE7942">
        <w:rPr>
          <w:rFonts w:ascii="Times New Roman" w:hAnsi="Times New Roman" w:cs="Times New Roman"/>
          <w:color w:val="auto"/>
          <w:sz w:val="24"/>
          <w:szCs w:val="24"/>
          <w:lang w:val="en-AU"/>
        </w:rPr>
        <w:t>.</w:t>
      </w:r>
    </w:p>
    <w:p w14:paraId="562459F4" w14:textId="45BA30CC" w:rsidR="00320C8C" w:rsidRPr="00FE7942" w:rsidRDefault="00320C8C" w:rsidP="00320C8C">
      <w:pPr>
        <w:pStyle w:val="BodyA"/>
        <w:tabs>
          <w:tab w:val="left" w:pos="720"/>
        </w:tabs>
        <w:suppressAutoHyphens/>
        <w:spacing w:after="120"/>
        <w:rPr>
          <w:rFonts w:ascii="Times New Roman" w:hAnsi="Times New Roman" w:cs="Times New Roman"/>
          <w:color w:val="auto"/>
          <w:sz w:val="24"/>
          <w:szCs w:val="24"/>
          <w:lang w:val="en-AU"/>
        </w:rPr>
      </w:pPr>
    </w:p>
    <w:p w14:paraId="12EED7C1" w14:textId="12CE7030" w:rsidR="00320C8C" w:rsidRPr="00FE7942" w:rsidRDefault="00320C8C" w:rsidP="00320C8C">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FE7942">
        <w:rPr>
          <w:rFonts w:ascii="Times New Roman" w:eastAsia="Times New Roman" w:hAnsi="Times New Roman" w:cs="Times New Roman"/>
          <w:color w:val="auto"/>
          <w:sz w:val="24"/>
          <w:szCs w:val="24"/>
          <w:lang w:val="en-AU"/>
        </w:rPr>
        <w:t xml:space="preserve">In negotiating the TPP-11, the following </w:t>
      </w:r>
      <w:r w:rsidR="009A5F49" w:rsidRPr="00FE7942">
        <w:rPr>
          <w:rFonts w:ascii="Times New Roman" w:eastAsia="Times New Roman" w:hAnsi="Times New Roman" w:cs="Times New Roman"/>
          <w:color w:val="auto"/>
          <w:sz w:val="24"/>
          <w:szCs w:val="24"/>
          <w:lang w:val="en-AU"/>
        </w:rPr>
        <w:t xml:space="preserve">additional </w:t>
      </w:r>
      <w:r w:rsidRPr="00FE7942">
        <w:rPr>
          <w:rFonts w:ascii="Times New Roman" w:eastAsia="Times New Roman" w:hAnsi="Times New Roman" w:cs="Times New Roman"/>
          <w:color w:val="auto"/>
          <w:sz w:val="24"/>
          <w:szCs w:val="24"/>
          <w:lang w:val="en-AU"/>
        </w:rPr>
        <w:t>outcomes were sought:</w:t>
      </w:r>
    </w:p>
    <w:p w14:paraId="3C128C4A" w14:textId="5E103723" w:rsidR="00D83C3A" w:rsidRPr="00FE7942" w:rsidRDefault="00D83C3A" w:rsidP="00D83C3A">
      <w:pPr>
        <w:pStyle w:val="BodyA"/>
        <w:numPr>
          <w:ilvl w:val="0"/>
          <w:numId w:val="71"/>
        </w:numPr>
        <w:tabs>
          <w:tab w:val="left" w:pos="720"/>
        </w:tabs>
        <w:suppressAutoHyphens/>
        <w:spacing w:after="120"/>
        <w:rPr>
          <w:rFonts w:ascii="Times New Roman" w:eastAsia="Times New Roman" w:hAnsi="Times New Roman" w:cs="Times New Roman"/>
          <w:b/>
          <w:bCs/>
          <w:color w:val="auto"/>
          <w:sz w:val="24"/>
          <w:szCs w:val="24"/>
          <w:lang w:val="en-AU"/>
        </w:rPr>
      </w:pPr>
      <w:r w:rsidRPr="00FE7942">
        <w:rPr>
          <w:rFonts w:ascii="Times New Roman" w:hAnsi="Times New Roman" w:cs="Times New Roman"/>
          <w:color w:val="auto"/>
          <w:sz w:val="24"/>
          <w:szCs w:val="24"/>
          <w:lang w:val="en-AU"/>
        </w:rPr>
        <w:t xml:space="preserve">a commitment by all 11 countries to maintain their market access </w:t>
      </w:r>
      <w:r w:rsidR="00E90768" w:rsidRPr="00FE7942">
        <w:rPr>
          <w:rFonts w:ascii="Times New Roman" w:hAnsi="Times New Roman" w:cs="Times New Roman"/>
          <w:color w:val="auto"/>
          <w:sz w:val="24"/>
          <w:szCs w:val="24"/>
          <w:lang w:val="en-AU"/>
        </w:rPr>
        <w:t>commitments</w:t>
      </w:r>
      <w:r w:rsidRPr="00FE7942">
        <w:rPr>
          <w:rFonts w:ascii="Times New Roman" w:hAnsi="Times New Roman" w:cs="Times New Roman"/>
          <w:color w:val="auto"/>
          <w:sz w:val="24"/>
          <w:szCs w:val="24"/>
          <w:lang w:val="en-AU"/>
        </w:rPr>
        <w:t xml:space="preserve"> under the </w:t>
      </w:r>
      <w:r w:rsidR="00015DBD" w:rsidRPr="00FE7942">
        <w:rPr>
          <w:rFonts w:ascii="Times New Roman" w:hAnsi="Times New Roman" w:cs="Times New Roman"/>
          <w:color w:val="auto"/>
          <w:sz w:val="24"/>
          <w:szCs w:val="24"/>
          <w:lang w:val="en-AU"/>
        </w:rPr>
        <w:t xml:space="preserve">original </w:t>
      </w:r>
      <w:r w:rsidRPr="00FE7942">
        <w:rPr>
          <w:rFonts w:ascii="Times New Roman" w:hAnsi="Times New Roman" w:cs="Times New Roman"/>
          <w:color w:val="auto"/>
          <w:sz w:val="24"/>
          <w:szCs w:val="24"/>
          <w:lang w:val="en-AU"/>
        </w:rPr>
        <w:t>TPP;</w:t>
      </w:r>
      <w:r w:rsidR="00FE7942" w:rsidRPr="00FE7942">
        <w:rPr>
          <w:rFonts w:ascii="Times New Roman" w:hAnsi="Times New Roman" w:cs="Times New Roman"/>
          <w:color w:val="auto"/>
          <w:sz w:val="24"/>
          <w:szCs w:val="24"/>
          <w:lang w:val="en-AU"/>
        </w:rPr>
        <w:t xml:space="preserve"> and</w:t>
      </w:r>
    </w:p>
    <w:p w14:paraId="677D7313" w14:textId="5B563BB6" w:rsidR="00D83C3A" w:rsidRPr="00FE7942" w:rsidRDefault="00A20E3F" w:rsidP="00CE293C">
      <w:pPr>
        <w:pStyle w:val="BodyA"/>
        <w:numPr>
          <w:ilvl w:val="0"/>
          <w:numId w:val="71"/>
        </w:numPr>
        <w:tabs>
          <w:tab w:val="left" w:pos="720"/>
        </w:tabs>
        <w:suppressAutoHyphens/>
        <w:spacing w:after="120"/>
        <w:rPr>
          <w:rFonts w:ascii="Times New Roman" w:eastAsia="Times New Roman" w:hAnsi="Times New Roman" w:cs="Times New Roman"/>
          <w:b/>
          <w:bCs/>
          <w:color w:val="auto"/>
          <w:sz w:val="24"/>
          <w:szCs w:val="24"/>
          <w:lang w:val="en-AU"/>
        </w:rPr>
      </w:pPr>
      <w:r>
        <w:rPr>
          <w:rFonts w:ascii="Times New Roman" w:hAnsi="Times New Roman" w:cs="Times New Roman"/>
          <w:color w:val="auto"/>
          <w:sz w:val="24"/>
          <w:szCs w:val="24"/>
          <w:lang w:val="en-AU"/>
        </w:rPr>
        <w:t>a minimisation of</w:t>
      </w:r>
      <w:r w:rsidR="008F2939" w:rsidRPr="00FE7942">
        <w:rPr>
          <w:rFonts w:ascii="Times New Roman" w:hAnsi="Times New Roman" w:cs="Times New Roman"/>
          <w:color w:val="auto"/>
          <w:sz w:val="24"/>
          <w:szCs w:val="24"/>
          <w:lang w:val="en-AU"/>
        </w:rPr>
        <w:t xml:space="preserve"> the number </w:t>
      </w:r>
      <w:r w:rsidR="00D948CA" w:rsidRPr="00FE7942">
        <w:rPr>
          <w:rFonts w:ascii="Times New Roman" w:hAnsi="Times New Roman" w:cs="Times New Roman"/>
          <w:color w:val="auto"/>
          <w:sz w:val="24"/>
          <w:szCs w:val="24"/>
          <w:lang w:val="en-AU"/>
        </w:rPr>
        <w:t xml:space="preserve">of articles </w:t>
      </w:r>
      <w:r w:rsidR="008F2939" w:rsidRPr="00FE7942">
        <w:rPr>
          <w:rFonts w:ascii="Times New Roman" w:hAnsi="Times New Roman" w:cs="Times New Roman"/>
          <w:color w:val="auto"/>
          <w:sz w:val="24"/>
          <w:szCs w:val="24"/>
          <w:lang w:val="en-AU"/>
        </w:rPr>
        <w:t>from the original TPP that would be suspended under the TPP-11</w:t>
      </w:r>
      <w:r w:rsidR="00FE7942">
        <w:rPr>
          <w:rFonts w:ascii="Times New Roman" w:hAnsi="Times New Roman" w:cs="Times New Roman"/>
          <w:color w:val="auto"/>
          <w:sz w:val="24"/>
          <w:szCs w:val="24"/>
          <w:lang w:val="en-AU"/>
        </w:rPr>
        <w:t>.</w:t>
      </w:r>
    </w:p>
    <w:p w14:paraId="74037B70" w14:textId="77777777" w:rsidR="00BC1E8B" w:rsidRPr="00DC5278" w:rsidRDefault="00DE462F" w:rsidP="0085547B">
      <w:pPr>
        <w:pStyle w:val="Heading"/>
        <w:suppressAutoHyphens/>
        <w:rPr>
          <w:color w:val="auto"/>
        </w:rPr>
      </w:pPr>
      <w:bookmarkStart w:id="3" w:name="_Toc508810488"/>
      <w:r>
        <w:rPr>
          <w:rFonts w:eastAsia="Arial Unicode MS"/>
          <w:color w:val="auto"/>
        </w:rPr>
        <w:t xml:space="preserve">PART 4: </w:t>
      </w:r>
      <w:r w:rsidR="008E21C4" w:rsidRPr="00DC5278">
        <w:rPr>
          <w:rFonts w:eastAsia="Arial Unicode MS"/>
          <w:color w:val="auto"/>
        </w:rPr>
        <w:t xml:space="preserve">ALTERNATIVE MEANS BY WHICH TO </w:t>
      </w:r>
      <w:r w:rsidR="005B6B31" w:rsidRPr="00DC5278">
        <w:rPr>
          <w:rFonts w:eastAsia="Arial Unicode MS"/>
          <w:color w:val="auto"/>
        </w:rPr>
        <w:t>ACHIEVE THESE OBJECTIVES</w:t>
      </w:r>
      <w:bookmarkEnd w:id="3"/>
    </w:p>
    <w:p w14:paraId="74037B71" w14:textId="3B3BEE0F" w:rsidR="0039578A" w:rsidRPr="00DC5278" w:rsidRDefault="00D83C3A"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Pr>
          <w:rFonts w:ascii="Times New Roman" w:hAnsi="Times New Roman" w:cs="Times New Roman"/>
          <w:sz w:val="24"/>
          <w:szCs w:val="24"/>
        </w:rPr>
        <w:t>The 11</w:t>
      </w:r>
      <w:r w:rsidR="005B6B31" w:rsidRPr="00DC5278">
        <w:rPr>
          <w:rFonts w:ascii="Times New Roman" w:hAnsi="Times New Roman" w:cs="Times New Roman"/>
          <w:sz w:val="24"/>
          <w:szCs w:val="24"/>
        </w:rPr>
        <w:t xml:space="preserve"> countries that negotiated the </w:t>
      </w:r>
      <w:r w:rsidR="006A55AF">
        <w:rPr>
          <w:rFonts w:ascii="Times New Roman" w:hAnsi="Times New Roman" w:cs="Times New Roman"/>
          <w:sz w:val="24"/>
          <w:szCs w:val="24"/>
        </w:rPr>
        <w:t>TPP</w:t>
      </w:r>
      <w:r w:rsidR="00153791">
        <w:rPr>
          <w:rFonts w:ascii="Times New Roman" w:hAnsi="Times New Roman" w:cs="Times New Roman"/>
          <w:sz w:val="24"/>
          <w:szCs w:val="24"/>
        </w:rPr>
        <w:t>-11</w:t>
      </w:r>
      <w:r w:rsidR="005B6B31" w:rsidRPr="00DC5278">
        <w:rPr>
          <w:rFonts w:ascii="Times New Roman" w:hAnsi="Times New Roman" w:cs="Times New Roman"/>
          <w:sz w:val="24"/>
          <w:szCs w:val="24"/>
        </w:rPr>
        <w:t xml:space="preserve"> represent around </w:t>
      </w:r>
      <w:r w:rsidR="00153791">
        <w:rPr>
          <w:rFonts w:ascii="Times New Roman" w:hAnsi="Times New Roman" w:cs="Times New Roman"/>
          <w:sz w:val="24"/>
          <w:szCs w:val="24"/>
        </w:rPr>
        <w:t>13.5</w:t>
      </w:r>
      <w:r w:rsidR="005B6B31" w:rsidRPr="00DC5278">
        <w:rPr>
          <w:rFonts w:ascii="Times New Roman" w:hAnsi="Times New Roman" w:cs="Times New Roman"/>
          <w:sz w:val="24"/>
          <w:szCs w:val="24"/>
        </w:rPr>
        <w:t xml:space="preserve"> pe</w:t>
      </w:r>
      <w:r w:rsidR="00153791">
        <w:rPr>
          <w:rFonts w:ascii="Times New Roman" w:hAnsi="Times New Roman" w:cs="Times New Roman"/>
          <w:sz w:val="24"/>
          <w:szCs w:val="24"/>
        </w:rPr>
        <w:t xml:space="preserve">r cent of the global economy worth nearly $13.7 </w:t>
      </w:r>
      <w:r w:rsidR="001857B5">
        <w:rPr>
          <w:rFonts w:ascii="Times New Roman" w:hAnsi="Times New Roman" w:cs="Times New Roman"/>
          <w:sz w:val="24"/>
          <w:szCs w:val="24"/>
        </w:rPr>
        <w:t>trillion</w:t>
      </w:r>
      <w:r w:rsidR="005B6B31" w:rsidRPr="00DC5278">
        <w:rPr>
          <w:rFonts w:ascii="Times New Roman" w:hAnsi="Times New Roman" w:cs="Times New Roman"/>
          <w:sz w:val="24"/>
          <w:szCs w:val="24"/>
        </w:rPr>
        <w:t>.  Australia’s exports of goods and services</w:t>
      </w:r>
      <w:r w:rsidR="005E37E4">
        <w:rPr>
          <w:rFonts w:ascii="Times New Roman" w:hAnsi="Times New Roman" w:cs="Times New Roman"/>
          <w:sz w:val="24"/>
          <w:szCs w:val="24"/>
        </w:rPr>
        <w:t xml:space="preserve"> to</w:t>
      </w:r>
      <w:r w:rsidR="008804C7">
        <w:rPr>
          <w:rFonts w:ascii="Times New Roman" w:hAnsi="Times New Roman" w:cs="Times New Roman"/>
          <w:sz w:val="24"/>
          <w:szCs w:val="24"/>
        </w:rPr>
        <w:t xml:space="preserve"> these countries were worth</w:t>
      </w:r>
      <w:r w:rsidR="005E37E4">
        <w:rPr>
          <w:rFonts w:ascii="Times New Roman" w:hAnsi="Times New Roman" w:cs="Times New Roman"/>
          <w:sz w:val="24"/>
          <w:szCs w:val="24"/>
        </w:rPr>
        <w:t xml:space="preserve"> $87</w:t>
      </w:r>
      <w:r w:rsidR="008804C7">
        <w:rPr>
          <w:rFonts w:ascii="Times New Roman" w:hAnsi="Times New Roman" w:cs="Times New Roman"/>
          <w:sz w:val="24"/>
          <w:szCs w:val="24"/>
        </w:rPr>
        <w:t>.9</w:t>
      </w:r>
      <w:r w:rsidR="005E37E4">
        <w:rPr>
          <w:rFonts w:ascii="Times New Roman" w:hAnsi="Times New Roman" w:cs="Times New Roman"/>
          <w:sz w:val="24"/>
          <w:szCs w:val="24"/>
        </w:rPr>
        <w:t xml:space="preserve"> billion in 2016-17</w:t>
      </w:r>
      <w:r w:rsidR="005B6B31" w:rsidRPr="00DC5278">
        <w:rPr>
          <w:rFonts w:ascii="Times New Roman" w:hAnsi="Times New Roman" w:cs="Times New Roman"/>
          <w:sz w:val="24"/>
          <w:szCs w:val="24"/>
        </w:rPr>
        <w:t xml:space="preserve">. </w:t>
      </w:r>
      <w:r w:rsidR="005E37E4">
        <w:rPr>
          <w:rFonts w:ascii="Times New Roman" w:hAnsi="Times New Roman" w:cs="Times New Roman"/>
          <w:sz w:val="24"/>
          <w:szCs w:val="24"/>
        </w:rPr>
        <w:t>The 11</w:t>
      </w:r>
      <w:r w:rsidR="00455DE8" w:rsidRPr="00DC5278">
        <w:rPr>
          <w:rFonts w:ascii="Times New Roman" w:hAnsi="Times New Roman" w:cs="Times New Roman"/>
          <w:sz w:val="24"/>
          <w:szCs w:val="24"/>
        </w:rPr>
        <w:t xml:space="preserve"> countries also make up</w:t>
      </w:r>
      <w:r w:rsidR="005B6B31" w:rsidRPr="00DC5278">
        <w:rPr>
          <w:rFonts w:ascii="Times New Roman" w:hAnsi="Times New Roman" w:cs="Times New Roman"/>
          <w:sz w:val="24"/>
          <w:szCs w:val="24"/>
        </w:rPr>
        <w:t xml:space="preserve"> </w:t>
      </w:r>
      <w:r w:rsidR="00440585">
        <w:rPr>
          <w:rFonts w:ascii="Times New Roman" w:hAnsi="Times New Roman" w:cs="Times New Roman"/>
          <w:sz w:val="24"/>
          <w:szCs w:val="24"/>
        </w:rPr>
        <w:t>6.8 per</w:t>
      </w:r>
      <w:r w:rsidR="00722512" w:rsidRPr="00DC5278">
        <w:rPr>
          <w:rFonts w:ascii="Times New Roman" w:hAnsi="Times New Roman" w:cs="Times New Roman"/>
          <w:sz w:val="24"/>
          <w:szCs w:val="24"/>
        </w:rPr>
        <w:t xml:space="preserve"> </w:t>
      </w:r>
      <w:r w:rsidR="005B6B31" w:rsidRPr="00DC5278">
        <w:rPr>
          <w:rFonts w:ascii="Times New Roman" w:hAnsi="Times New Roman" w:cs="Times New Roman"/>
          <w:sz w:val="24"/>
          <w:szCs w:val="24"/>
        </w:rPr>
        <w:t xml:space="preserve">cent of </w:t>
      </w:r>
      <w:r w:rsidR="00455DE8" w:rsidRPr="00DC5278">
        <w:rPr>
          <w:rFonts w:ascii="Times New Roman" w:hAnsi="Times New Roman" w:cs="Times New Roman"/>
          <w:sz w:val="24"/>
          <w:szCs w:val="24"/>
        </w:rPr>
        <w:t xml:space="preserve">the </w:t>
      </w:r>
      <w:r w:rsidR="005B6B31" w:rsidRPr="00DC5278">
        <w:rPr>
          <w:rFonts w:ascii="Times New Roman" w:hAnsi="Times New Roman" w:cs="Times New Roman"/>
          <w:sz w:val="24"/>
          <w:szCs w:val="24"/>
        </w:rPr>
        <w:t>world</w:t>
      </w:r>
      <w:r w:rsidR="00455DE8" w:rsidRPr="00DC5278">
        <w:rPr>
          <w:rFonts w:ascii="Times New Roman" w:hAnsi="Times New Roman" w:cs="Times New Roman"/>
          <w:sz w:val="24"/>
          <w:szCs w:val="24"/>
        </w:rPr>
        <w:t>’s</w:t>
      </w:r>
      <w:r w:rsidR="005B6B31" w:rsidRPr="00DC5278">
        <w:rPr>
          <w:rFonts w:ascii="Times New Roman" w:hAnsi="Times New Roman" w:cs="Times New Roman"/>
          <w:sz w:val="24"/>
          <w:szCs w:val="24"/>
        </w:rPr>
        <w:t xml:space="preserve"> population, providing Australia with a market of </w:t>
      </w:r>
      <w:r w:rsidR="00AA5FCE">
        <w:rPr>
          <w:rFonts w:ascii="Times New Roman" w:hAnsi="Times New Roman" w:cs="Times New Roman"/>
          <w:sz w:val="24"/>
          <w:szCs w:val="24"/>
        </w:rPr>
        <w:t>495</w:t>
      </w:r>
      <w:r w:rsidR="005B6B31" w:rsidRPr="00DC5278">
        <w:rPr>
          <w:rFonts w:ascii="Times New Roman" w:hAnsi="Times New Roman" w:cs="Times New Roman"/>
          <w:sz w:val="24"/>
          <w:szCs w:val="24"/>
        </w:rPr>
        <w:t xml:space="preserve"> million people.  In 201</w:t>
      </w:r>
      <w:r w:rsidR="00523D6E">
        <w:rPr>
          <w:rFonts w:ascii="Times New Roman" w:hAnsi="Times New Roman" w:cs="Times New Roman"/>
          <w:sz w:val="24"/>
          <w:szCs w:val="24"/>
        </w:rPr>
        <w:t>6</w:t>
      </w:r>
      <w:r w:rsidR="005B6B31" w:rsidRPr="00DC5278">
        <w:rPr>
          <w:rFonts w:ascii="Times New Roman" w:hAnsi="Times New Roman" w:cs="Times New Roman"/>
          <w:sz w:val="24"/>
          <w:szCs w:val="24"/>
        </w:rPr>
        <w:t xml:space="preserve">, Australian investment in </w:t>
      </w:r>
      <w:r w:rsidR="006A55AF">
        <w:rPr>
          <w:rFonts w:ascii="Times New Roman" w:hAnsi="Times New Roman" w:cs="Times New Roman"/>
          <w:sz w:val="24"/>
          <w:szCs w:val="24"/>
        </w:rPr>
        <w:t>TPP</w:t>
      </w:r>
      <w:r w:rsidR="00B52123">
        <w:rPr>
          <w:rFonts w:ascii="Times New Roman" w:hAnsi="Times New Roman" w:cs="Times New Roman"/>
          <w:sz w:val="24"/>
          <w:szCs w:val="24"/>
        </w:rPr>
        <w:t>-11</w:t>
      </w:r>
      <w:r w:rsidR="005B6B31" w:rsidRPr="00DC5278">
        <w:rPr>
          <w:rFonts w:ascii="Times New Roman" w:hAnsi="Times New Roman" w:cs="Times New Roman"/>
          <w:sz w:val="24"/>
          <w:szCs w:val="24"/>
        </w:rPr>
        <w:t xml:space="preserve"> countries </w:t>
      </w:r>
      <w:r w:rsidR="00440585">
        <w:rPr>
          <w:rFonts w:ascii="Times New Roman" w:hAnsi="Times New Roman" w:cs="Times New Roman"/>
          <w:sz w:val="24"/>
          <w:szCs w:val="24"/>
        </w:rPr>
        <w:t>represented</w:t>
      </w:r>
      <w:r w:rsidR="005B6B31" w:rsidRPr="00DC5278">
        <w:rPr>
          <w:rFonts w:ascii="Times New Roman" w:hAnsi="Times New Roman" w:cs="Times New Roman"/>
          <w:sz w:val="24"/>
          <w:szCs w:val="24"/>
        </w:rPr>
        <w:t xml:space="preserve"> </w:t>
      </w:r>
      <w:r w:rsidR="00B52123">
        <w:rPr>
          <w:rFonts w:ascii="Times New Roman" w:hAnsi="Times New Roman" w:cs="Times New Roman"/>
          <w:sz w:val="24"/>
          <w:szCs w:val="24"/>
        </w:rPr>
        <w:t>15.6</w:t>
      </w:r>
      <w:r w:rsidR="005B6B31" w:rsidRPr="00DC5278">
        <w:rPr>
          <w:rFonts w:ascii="Times New Roman" w:hAnsi="Times New Roman" w:cs="Times New Roman"/>
          <w:sz w:val="24"/>
          <w:szCs w:val="24"/>
        </w:rPr>
        <w:t xml:space="preserve"> per cent of all outward investment.</w:t>
      </w:r>
    </w:p>
    <w:p w14:paraId="74037B72" w14:textId="0635CB61" w:rsidR="00BC1E8B" w:rsidRPr="00DC5278" w:rsidRDefault="00523D6E"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Pr>
          <w:rFonts w:ascii="Times New Roman" w:hAnsi="Times New Roman" w:cs="Times New Roman"/>
          <w:color w:val="auto"/>
          <w:sz w:val="24"/>
          <w:szCs w:val="24"/>
          <w:lang w:val="en-AU"/>
        </w:rPr>
        <w:t>The 11</w:t>
      </w:r>
      <w:r w:rsidR="005B6B31" w:rsidRPr="00DC5278">
        <w:rPr>
          <w:rFonts w:ascii="Times New Roman" w:hAnsi="Times New Roman" w:cs="Times New Roman"/>
          <w:color w:val="auto"/>
          <w:sz w:val="24"/>
          <w:szCs w:val="24"/>
          <w:lang w:val="en-AU"/>
        </w:rPr>
        <w:t xml:space="preserve"> countries that negotiated the </w:t>
      </w:r>
      <w:r w:rsidR="006A55AF">
        <w:rPr>
          <w:rFonts w:ascii="Times New Roman" w:hAnsi="Times New Roman" w:cs="Times New Roman"/>
          <w:color w:val="auto"/>
          <w:sz w:val="24"/>
          <w:szCs w:val="24"/>
          <w:lang w:val="en-AU"/>
        </w:rPr>
        <w:t>TPP</w:t>
      </w:r>
      <w:r>
        <w:rPr>
          <w:rFonts w:ascii="Times New Roman" w:hAnsi="Times New Roman" w:cs="Times New Roman"/>
          <w:color w:val="auto"/>
          <w:sz w:val="24"/>
          <w:szCs w:val="24"/>
          <w:lang w:val="en-AU"/>
        </w:rPr>
        <w:t>-11</w:t>
      </w:r>
      <w:r w:rsidR="005B6B31" w:rsidRPr="00DC5278">
        <w:rPr>
          <w:rFonts w:ascii="Times New Roman" w:hAnsi="Times New Roman" w:cs="Times New Roman"/>
          <w:color w:val="auto"/>
          <w:sz w:val="24"/>
          <w:szCs w:val="24"/>
          <w:lang w:val="en-AU"/>
        </w:rPr>
        <w:t xml:space="preserve"> demonstrated a willingness to </w:t>
      </w:r>
      <w:r w:rsidR="00567D27">
        <w:rPr>
          <w:rFonts w:ascii="Times New Roman" w:hAnsi="Times New Roman" w:cs="Times New Roman"/>
          <w:color w:val="auto"/>
          <w:sz w:val="24"/>
          <w:szCs w:val="24"/>
          <w:lang w:val="en-AU"/>
        </w:rPr>
        <w:t xml:space="preserve">bring </w:t>
      </w:r>
      <w:r w:rsidR="00440585">
        <w:rPr>
          <w:rFonts w:ascii="Times New Roman" w:hAnsi="Times New Roman" w:cs="Times New Roman"/>
          <w:color w:val="auto"/>
          <w:sz w:val="24"/>
          <w:szCs w:val="24"/>
          <w:lang w:val="en-AU"/>
        </w:rPr>
        <w:t>the TPP into force</w:t>
      </w:r>
      <w:r w:rsidR="00567D27">
        <w:rPr>
          <w:rFonts w:ascii="Times New Roman" w:hAnsi="Times New Roman" w:cs="Times New Roman"/>
          <w:color w:val="auto"/>
          <w:sz w:val="24"/>
          <w:szCs w:val="24"/>
          <w:lang w:val="en-AU"/>
        </w:rPr>
        <w:t>, an</w:t>
      </w:r>
      <w:r w:rsidR="005B6B31" w:rsidRPr="00DC5278">
        <w:rPr>
          <w:rFonts w:ascii="Times New Roman" w:hAnsi="Times New Roman" w:cs="Times New Roman"/>
          <w:color w:val="auto"/>
          <w:sz w:val="24"/>
          <w:szCs w:val="24"/>
          <w:lang w:val="en-AU"/>
        </w:rPr>
        <w:t xml:space="preserve"> </w:t>
      </w:r>
      <w:r w:rsidR="00AB3D0F" w:rsidRPr="00DC5278">
        <w:rPr>
          <w:rFonts w:ascii="Times New Roman" w:hAnsi="Times New Roman" w:cs="Times New Roman"/>
          <w:color w:val="auto"/>
          <w:sz w:val="24"/>
          <w:szCs w:val="24"/>
          <w:lang w:val="en-AU"/>
        </w:rPr>
        <w:t>ambitious and</w:t>
      </w:r>
      <w:r w:rsidR="005B6B31" w:rsidRPr="00DC5278">
        <w:rPr>
          <w:rFonts w:ascii="Times New Roman" w:hAnsi="Times New Roman" w:cs="Times New Roman"/>
          <w:color w:val="auto"/>
          <w:sz w:val="24"/>
          <w:szCs w:val="24"/>
          <w:lang w:val="en-AU"/>
        </w:rPr>
        <w:t xml:space="preserve"> comprehensive agreement that will mark an important step toward our </w:t>
      </w:r>
      <w:proofErr w:type="gramStart"/>
      <w:r w:rsidR="005B6B31" w:rsidRPr="00DC5278">
        <w:rPr>
          <w:rFonts w:ascii="Times New Roman" w:hAnsi="Times New Roman" w:cs="Times New Roman"/>
          <w:color w:val="auto"/>
          <w:sz w:val="24"/>
          <w:szCs w:val="24"/>
          <w:lang w:val="en-AU"/>
        </w:rPr>
        <w:t>ultimate goal</w:t>
      </w:r>
      <w:proofErr w:type="gramEnd"/>
      <w:r w:rsidR="005B6B31" w:rsidRPr="00DC5278">
        <w:rPr>
          <w:rFonts w:ascii="Times New Roman" w:hAnsi="Times New Roman" w:cs="Times New Roman"/>
          <w:color w:val="auto"/>
          <w:sz w:val="24"/>
          <w:szCs w:val="24"/>
          <w:lang w:val="en-AU"/>
        </w:rPr>
        <w:t xml:space="preserve"> of open trade and regional integration across the region in the 21</w:t>
      </w:r>
      <w:r w:rsidR="005B6B31" w:rsidRPr="00DC5278">
        <w:rPr>
          <w:rFonts w:ascii="Times New Roman" w:hAnsi="Times New Roman" w:cs="Times New Roman"/>
          <w:color w:val="auto"/>
          <w:sz w:val="24"/>
          <w:szCs w:val="24"/>
          <w:vertAlign w:val="superscript"/>
          <w:lang w:val="en-AU"/>
        </w:rPr>
        <w:t>st</w:t>
      </w:r>
      <w:r w:rsidR="005B6B31" w:rsidRPr="00DC5278">
        <w:rPr>
          <w:rFonts w:ascii="Times New Roman" w:hAnsi="Times New Roman" w:cs="Times New Roman"/>
          <w:color w:val="auto"/>
          <w:sz w:val="24"/>
          <w:szCs w:val="24"/>
          <w:lang w:val="en-AU"/>
        </w:rPr>
        <w:t xml:space="preserve"> century.  </w:t>
      </w:r>
      <w:proofErr w:type="gramStart"/>
      <w:r w:rsidR="005B6B31" w:rsidRPr="00DC5278">
        <w:rPr>
          <w:rFonts w:ascii="Times New Roman" w:hAnsi="Times New Roman" w:cs="Times New Roman"/>
          <w:color w:val="auto"/>
          <w:sz w:val="24"/>
          <w:szCs w:val="24"/>
          <w:lang w:val="en-AU"/>
        </w:rPr>
        <w:t>In particular, these</w:t>
      </w:r>
      <w:proofErr w:type="gramEnd"/>
      <w:r w:rsidR="005B6B31" w:rsidRPr="00DC5278">
        <w:rPr>
          <w:rFonts w:ascii="Times New Roman" w:hAnsi="Times New Roman" w:cs="Times New Roman"/>
          <w:color w:val="auto"/>
          <w:sz w:val="24"/>
          <w:szCs w:val="24"/>
          <w:lang w:val="en-AU"/>
        </w:rPr>
        <w:t xml:space="preserve"> </w:t>
      </w:r>
      <w:r w:rsidR="00146552" w:rsidRPr="00DC5278">
        <w:rPr>
          <w:rFonts w:ascii="Times New Roman" w:hAnsi="Times New Roman" w:cs="Times New Roman"/>
          <w:color w:val="auto"/>
          <w:sz w:val="24"/>
          <w:szCs w:val="24"/>
          <w:lang w:val="en-AU"/>
        </w:rPr>
        <w:t xml:space="preserve">countries </w:t>
      </w:r>
      <w:r w:rsidR="005B6B31" w:rsidRPr="00DC5278">
        <w:rPr>
          <w:rFonts w:ascii="Times New Roman" w:hAnsi="Times New Roman" w:cs="Times New Roman"/>
          <w:color w:val="auto"/>
          <w:sz w:val="24"/>
          <w:szCs w:val="24"/>
          <w:lang w:val="en-AU"/>
        </w:rPr>
        <w:t>were committed to agreeing to:</w:t>
      </w:r>
    </w:p>
    <w:p w14:paraId="74037B73" w14:textId="77777777" w:rsidR="00BC1E8B" w:rsidRPr="00DC5278" w:rsidRDefault="00146552"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b/>
          <w:color w:val="auto"/>
          <w:sz w:val="24"/>
          <w:szCs w:val="24"/>
          <w:lang w:val="en-AU"/>
        </w:rPr>
        <w:t>comprehensive market access</w:t>
      </w:r>
      <w:r w:rsidR="0085547B" w:rsidRPr="00DC5278">
        <w:rPr>
          <w:rFonts w:ascii="Times New Roman" w:hAnsi="Times New Roman" w:cs="Times New Roman"/>
          <w:color w:val="auto"/>
          <w:sz w:val="24"/>
          <w:szCs w:val="24"/>
          <w:lang w:val="en-AU"/>
        </w:rPr>
        <w:t xml:space="preserve"> by eliminating or reducing</w:t>
      </w:r>
      <w:r w:rsidR="005B6B31" w:rsidRPr="00DC5278">
        <w:rPr>
          <w:rFonts w:ascii="Times New Roman" w:hAnsi="Times New Roman" w:cs="Times New Roman"/>
          <w:color w:val="auto"/>
          <w:sz w:val="24"/>
          <w:szCs w:val="24"/>
          <w:lang w:val="en-AU"/>
        </w:rPr>
        <w:t xml:space="preserve"> tariff and non-tariff barriers across substantially </w:t>
      </w:r>
      <w:r w:rsidR="0085547B" w:rsidRPr="00DC5278">
        <w:rPr>
          <w:rFonts w:ascii="Times New Roman" w:hAnsi="Times New Roman" w:cs="Times New Roman"/>
          <w:color w:val="auto"/>
          <w:sz w:val="24"/>
          <w:szCs w:val="24"/>
          <w:lang w:val="en-AU"/>
        </w:rPr>
        <w:t>all trade in goods and services; c</w:t>
      </w:r>
      <w:r w:rsidR="005B6B31" w:rsidRPr="00DC5278">
        <w:rPr>
          <w:rFonts w:ascii="Times New Roman" w:hAnsi="Times New Roman" w:cs="Times New Roman"/>
          <w:color w:val="auto"/>
          <w:sz w:val="24"/>
          <w:szCs w:val="24"/>
          <w:lang w:val="en-AU"/>
        </w:rPr>
        <w:t>over</w:t>
      </w:r>
      <w:r w:rsidR="0085547B" w:rsidRPr="00DC5278">
        <w:rPr>
          <w:rFonts w:ascii="Times New Roman" w:hAnsi="Times New Roman" w:cs="Times New Roman"/>
          <w:color w:val="auto"/>
          <w:sz w:val="24"/>
          <w:szCs w:val="24"/>
          <w:lang w:val="en-AU"/>
        </w:rPr>
        <w:t>ing</w:t>
      </w:r>
      <w:r w:rsidR="005B6B31" w:rsidRPr="00DC5278">
        <w:rPr>
          <w:rFonts w:ascii="Times New Roman" w:hAnsi="Times New Roman" w:cs="Times New Roman"/>
          <w:color w:val="auto"/>
          <w:sz w:val="24"/>
          <w:szCs w:val="24"/>
          <w:lang w:val="en-AU"/>
        </w:rPr>
        <w:t xml:space="preserve"> the full spectrum of trade, including goods and services trade and investment, </w:t>
      </w:r>
      <w:proofErr w:type="gramStart"/>
      <w:r w:rsidR="005B6B31" w:rsidRPr="00DC5278">
        <w:rPr>
          <w:rFonts w:ascii="Times New Roman" w:hAnsi="Times New Roman" w:cs="Times New Roman"/>
          <w:color w:val="auto"/>
          <w:sz w:val="24"/>
          <w:szCs w:val="24"/>
          <w:lang w:val="en-AU"/>
        </w:rPr>
        <w:t>so as to</w:t>
      </w:r>
      <w:proofErr w:type="gramEnd"/>
      <w:r w:rsidR="005B6B31" w:rsidRPr="00DC5278">
        <w:rPr>
          <w:rFonts w:ascii="Times New Roman" w:hAnsi="Times New Roman" w:cs="Times New Roman"/>
          <w:color w:val="auto"/>
          <w:sz w:val="24"/>
          <w:szCs w:val="24"/>
          <w:lang w:val="en-AU"/>
        </w:rPr>
        <w:t xml:space="preserve"> create new opportunities and benefits for our businesses, workers, and </w:t>
      </w:r>
      <w:proofErr w:type="gramStart"/>
      <w:r w:rsidR="005B6B31" w:rsidRPr="00DC5278">
        <w:rPr>
          <w:rFonts w:ascii="Times New Roman" w:hAnsi="Times New Roman" w:cs="Times New Roman"/>
          <w:color w:val="auto"/>
          <w:sz w:val="24"/>
          <w:szCs w:val="24"/>
          <w:lang w:val="en-AU"/>
        </w:rPr>
        <w:t>consumers;</w:t>
      </w:r>
      <w:proofErr w:type="gramEnd"/>
    </w:p>
    <w:p w14:paraId="74037B74" w14:textId="77777777" w:rsidR="00076589" w:rsidRPr="00DC5278" w:rsidRDefault="00076589"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a </w:t>
      </w:r>
      <w:r w:rsidRPr="00DC5278">
        <w:rPr>
          <w:rFonts w:ascii="Times New Roman" w:hAnsi="Times New Roman" w:cs="Times New Roman"/>
          <w:b/>
          <w:color w:val="auto"/>
          <w:sz w:val="24"/>
          <w:szCs w:val="24"/>
          <w:lang w:val="en-AU"/>
        </w:rPr>
        <w:t>r</w:t>
      </w:r>
      <w:r w:rsidR="00146552" w:rsidRPr="00DC5278">
        <w:rPr>
          <w:rFonts w:ascii="Times New Roman" w:hAnsi="Times New Roman" w:cs="Times New Roman"/>
          <w:b/>
          <w:color w:val="auto"/>
          <w:sz w:val="24"/>
          <w:szCs w:val="24"/>
          <w:lang w:val="en-AU"/>
        </w:rPr>
        <w:t>egional approach to commitments</w:t>
      </w:r>
      <w:r w:rsidR="00146552" w:rsidRPr="00DC5278">
        <w:rPr>
          <w:rFonts w:ascii="Times New Roman" w:hAnsi="Times New Roman" w:cs="Times New Roman"/>
          <w:color w:val="auto"/>
          <w:sz w:val="24"/>
          <w:szCs w:val="24"/>
          <w:lang w:val="en-AU"/>
        </w:rPr>
        <w:t xml:space="preserve"> that would facilitate </w:t>
      </w:r>
      <w:r w:rsidRPr="00DC5278">
        <w:rPr>
          <w:rFonts w:ascii="Times New Roman" w:hAnsi="Times New Roman" w:cs="Times New Roman"/>
          <w:color w:val="auto"/>
          <w:sz w:val="24"/>
          <w:szCs w:val="24"/>
          <w:lang w:val="en-AU"/>
        </w:rPr>
        <w:t xml:space="preserve">the development </w:t>
      </w:r>
      <w:r w:rsidR="0085547B" w:rsidRPr="00DC5278">
        <w:rPr>
          <w:rFonts w:ascii="Times New Roman" w:hAnsi="Times New Roman" w:cs="Times New Roman"/>
          <w:color w:val="auto"/>
          <w:sz w:val="24"/>
          <w:szCs w:val="24"/>
          <w:lang w:val="en-AU"/>
        </w:rPr>
        <w:t>of production and supply chains</w:t>
      </w:r>
      <w:r w:rsidRPr="00DC5278">
        <w:rPr>
          <w:rFonts w:ascii="Times New Roman" w:hAnsi="Times New Roman" w:cs="Times New Roman"/>
          <w:color w:val="auto"/>
          <w:sz w:val="24"/>
          <w:szCs w:val="24"/>
          <w:lang w:val="en-AU"/>
        </w:rPr>
        <w:t xml:space="preserve"> and seamless trade, </w:t>
      </w:r>
      <w:proofErr w:type="gramStart"/>
      <w:r w:rsidRPr="00DC5278">
        <w:rPr>
          <w:rFonts w:ascii="Times New Roman" w:hAnsi="Times New Roman" w:cs="Times New Roman"/>
          <w:color w:val="auto"/>
          <w:sz w:val="24"/>
          <w:szCs w:val="24"/>
          <w:lang w:val="en-AU"/>
        </w:rPr>
        <w:t>enhancing</w:t>
      </w:r>
      <w:proofErr w:type="gramEnd"/>
      <w:r w:rsidRPr="00DC5278">
        <w:rPr>
          <w:rFonts w:ascii="Times New Roman" w:hAnsi="Times New Roman" w:cs="Times New Roman"/>
          <w:color w:val="auto"/>
          <w:sz w:val="24"/>
          <w:szCs w:val="24"/>
          <w:lang w:val="en-AU"/>
        </w:rPr>
        <w:t xml:space="preserve"> efficiency and supporting our goal of creating and supporting jobs, raising living standards, enhancing conservation efforts, and facilitating cross-border integration, as well as opening domestic </w:t>
      </w:r>
      <w:proofErr w:type="gramStart"/>
      <w:r w:rsidRPr="00DC5278">
        <w:rPr>
          <w:rFonts w:ascii="Times New Roman" w:hAnsi="Times New Roman" w:cs="Times New Roman"/>
          <w:color w:val="auto"/>
          <w:sz w:val="24"/>
          <w:szCs w:val="24"/>
          <w:lang w:val="en-AU"/>
        </w:rPr>
        <w:t>markets;</w:t>
      </w:r>
      <w:proofErr w:type="gramEnd"/>
    </w:p>
    <w:p w14:paraId="74037B75" w14:textId="197A46A5" w:rsidR="00BC1E8B" w:rsidRPr="00DC5278" w:rsidRDefault="005B6B31"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b/>
          <w:color w:val="auto"/>
          <w:sz w:val="24"/>
          <w:szCs w:val="24"/>
          <w:lang w:val="en-AU"/>
        </w:rPr>
        <w:t>addressing new trade challenges</w:t>
      </w:r>
      <w:r w:rsidR="00146552" w:rsidRPr="00DC5278">
        <w:rPr>
          <w:rFonts w:ascii="Times New Roman" w:hAnsi="Times New Roman" w:cs="Times New Roman"/>
          <w:b/>
          <w:color w:val="auto"/>
          <w:sz w:val="24"/>
          <w:szCs w:val="24"/>
          <w:lang w:val="en-AU"/>
        </w:rPr>
        <w:t xml:space="preserve"> </w:t>
      </w:r>
      <w:r w:rsidR="00146552" w:rsidRPr="00DC5278">
        <w:rPr>
          <w:rFonts w:ascii="Times New Roman" w:hAnsi="Times New Roman" w:cs="Times New Roman"/>
          <w:color w:val="auto"/>
          <w:sz w:val="24"/>
          <w:szCs w:val="24"/>
          <w:lang w:val="en-AU"/>
        </w:rPr>
        <w:t>by promoting</w:t>
      </w:r>
      <w:r w:rsidRPr="00DC5278">
        <w:rPr>
          <w:rFonts w:ascii="Times New Roman" w:hAnsi="Times New Roman" w:cs="Times New Roman"/>
          <w:color w:val="auto"/>
          <w:sz w:val="24"/>
          <w:szCs w:val="24"/>
          <w:lang w:val="en-AU"/>
        </w:rPr>
        <w:t xml:space="preserve"> innovation, productivity, and competitiveness by addressing new issues, including the development of the </w:t>
      </w:r>
      <w:r w:rsidRPr="00DC5278">
        <w:rPr>
          <w:rFonts w:ascii="Times New Roman" w:hAnsi="Times New Roman" w:cs="Times New Roman"/>
          <w:color w:val="auto"/>
          <w:sz w:val="24"/>
          <w:szCs w:val="24"/>
          <w:lang w:val="en-AU"/>
        </w:rPr>
        <w:lastRenderedPageBreak/>
        <w:t>di</w:t>
      </w:r>
      <w:r w:rsidR="00E43ECC">
        <w:rPr>
          <w:rFonts w:ascii="Times New Roman" w:hAnsi="Times New Roman" w:cs="Times New Roman"/>
          <w:color w:val="auto"/>
          <w:sz w:val="24"/>
          <w:szCs w:val="24"/>
          <w:lang w:val="en-AU"/>
        </w:rPr>
        <w:t>gital economy, and the role of State-Owned E</w:t>
      </w:r>
      <w:r w:rsidRPr="00DC5278">
        <w:rPr>
          <w:rFonts w:ascii="Times New Roman" w:hAnsi="Times New Roman" w:cs="Times New Roman"/>
          <w:color w:val="auto"/>
          <w:sz w:val="24"/>
          <w:szCs w:val="24"/>
          <w:lang w:val="en-AU"/>
        </w:rPr>
        <w:t xml:space="preserve">nterprises in the global </w:t>
      </w:r>
      <w:proofErr w:type="gramStart"/>
      <w:r w:rsidRPr="00DC5278">
        <w:rPr>
          <w:rFonts w:ascii="Times New Roman" w:hAnsi="Times New Roman" w:cs="Times New Roman"/>
          <w:color w:val="auto"/>
          <w:sz w:val="24"/>
          <w:szCs w:val="24"/>
          <w:lang w:val="en-AU"/>
        </w:rPr>
        <w:t>economy;</w:t>
      </w:r>
      <w:proofErr w:type="gramEnd"/>
    </w:p>
    <w:p w14:paraId="74037B76" w14:textId="2A1CC3C6" w:rsidR="00BC1E8B" w:rsidRPr="00DC5278" w:rsidRDefault="00F91311" w:rsidP="0085547B">
      <w:pPr>
        <w:pStyle w:val="BodyA"/>
        <w:numPr>
          <w:ilvl w:val="0"/>
          <w:numId w:val="72"/>
        </w:numPr>
        <w:suppressAutoHyphens/>
        <w:rPr>
          <w:rFonts w:ascii="Times New Roman" w:eastAsia="Times New Roman" w:hAnsi="Times New Roman" w:cs="Times New Roman"/>
          <w:color w:val="auto"/>
          <w:sz w:val="24"/>
          <w:szCs w:val="24"/>
          <w:lang w:val="en-AU"/>
        </w:rPr>
      </w:pPr>
      <w:r>
        <w:rPr>
          <w:rFonts w:ascii="Times New Roman" w:hAnsi="Times New Roman" w:cs="Times New Roman"/>
          <w:color w:val="auto"/>
          <w:sz w:val="24"/>
          <w:szCs w:val="24"/>
          <w:lang w:val="en-AU"/>
        </w:rPr>
        <w:t xml:space="preserve">commitments to promote </w:t>
      </w:r>
      <w:r w:rsidR="005B6B31" w:rsidRPr="00DC5278">
        <w:rPr>
          <w:rFonts w:ascii="Times New Roman" w:hAnsi="Times New Roman" w:cs="Times New Roman"/>
          <w:b/>
          <w:color w:val="auto"/>
          <w:sz w:val="24"/>
          <w:szCs w:val="24"/>
          <w:lang w:val="en-AU"/>
        </w:rPr>
        <w:t>inclusive trade</w:t>
      </w:r>
      <w:r w:rsidR="00146552" w:rsidRPr="00DC5278">
        <w:rPr>
          <w:rFonts w:ascii="Times New Roman" w:hAnsi="Times New Roman" w:cs="Times New Roman"/>
          <w:b/>
          <w:color w:val="auto"/>
          <w:sz w:val="24"/>
          <w:szCs w:val="24"/>
          <w:lang w:val="en-AU"/>
        </w:rPr>
        <w:t xml:space="preserve"> </w:t>
      </w:r>
      <w:r w:rsidR="00146552" w:rsidRPr="00DC5278">
        <w:rPr>
          <w:rFonts w:ascii="Times New Roman" w:hAnsi="Times New Roman" w:cs="Times New Roman"/>
          <w:color w:val="auto"/>
          <w:sz w:val="24"/>
          <w:szCs w:val="24"/>
          <w:lang w:val="en-AU"/>
        </w:rPr>
        <w:t>by ensuring</w:t>
      </w:r>
      <w:r w:rsidR="005B6B31" w:rsidRPr="00DC5278">
        <w:rPr>
          <w:rFonts w:ascii="Times New Roman" w:hAnsi="Times New Roman" w:cs="Times New Roman"/>
          <w:color w:val="auto"/>
          <w:sz w:val="24"/>
          <w:szCs w:val="24"/>
          <w:lang w:val="en-AU"/>
        </w:rPr>
        <w:t xml:space="preserve"> that economies at all levels of development and businesses of all sizes can benefit from trade. </w:t>
      </w:r>
      <w:r w:rsidR="0085547B" w:rsidRPr="00DC5278">
        <w:rPr>
          <w:rFonts w:ascii="Times New Roman" w:hAnsi="Times New Roman" w:cs="Times New Roman"/>
          <w:color w:val="auto"/>
          <w:sz w:val="24"/>
          <w:szCs w:val="24"/>
          <w:lang w:val="en-AU"/>
        </w:rPr>
        <w:t xml:space="preserve"> </w:t>
      </w:r>
      <w:r w:rsidR="005B6B31" w:rsidRPr="00DC5278">
        <w:rPr>
          <w:rFonts w:ascii="Times New Roman" w:hAnsi="Times New Roman" w:cs="Times New Roman"/>
          <w:color w:val="auto"/>
          <w:sz w:val="24"/>
          <w:szCs w:val="24"/>
          <w:lang w:val="en-AU"/>
        </w:rPr>
        <w:t>It inc</w:t>
      </w:r>
      <w:r w:rsidR="0085547B" w:rsidRPr="00DC5278">
        <w:rPr>
          <w:rFonts w:ascii="Times New Roman" w:hAnsi="Times New Roman" w:cs="Times New Roman"/>
          <w:color w:val="auto"/>
          <w:sz w:val="24"/>
          <w:szCs w:val="24"/>
          <w:lang w:val="en-AU"/>
        </w:rPr>
        <w:t>ludes commitments to help small</w:t>
      </w:r>
      <w:r w:rsidR="005B6B31" w:rsidRPr="00DC5278">
        <w:rPr>
          <w:rFonts w:ascii="Times New Roman" w:hAnsi="Times New Roman" w:cs="Times New Roman"/>
          <w:color w:val="auto"/>
          <w:sz w:val="24"/>
          <w:szCs w:val="24"/>
          <w:lang w:val="en-AU"/>
        </w:rPr>
        <w:t xml:space="preserve"> and medium-sized businesses understand the Agreement, take advantage of its opportunities, and bring their unique challenges to the attention of the </w:t>
      </w:r>
      <w:r w:rsidR="006A55AF">
        <w:rPr>
          <w:rFonts w:ascii="Times New Roman" w:hAnsi="Times New Roman" w:cs="Times New Roman"/>
          <w:color w:val="auto"/>
          <w:sz w:val="24"/>
          <w:szCs w:val="24"/>
          <w:lang w:val="en-AU"/>
        </w:rPr>
        <w:t>TPP</w:t>
      </w:r>
      <w:r w:rsidR="00735363">
        <w:rPr>
          <w:rFonts w:ascii="Times New Roman" w:hAnsi="Times New Roman" w:cs="Times New Roman"/>
          <w:color w:val="auto"/>
          <w:sz w:val="24"/>
          <w:szCs w:val="24"/>
          <w:lang w:val="en-AU"/>
        </w:rPr>
        <w:t>-11</w:t>
      </w:r>
      <w:r w:rsidR="005B6B31" w:rsidRPr="00DC5278">
        <w:rPr>
          <w:rFonts w:ascii="Times New Roman" w:hAnsi="Times New Roman" w:cs="Times New Roman"/>
          <w:color w:val="auto"/>
          <w:sz w:val="24"/>
          <w:szCs w:val="24"/>
          <w:lang w:val="en-AU"/>
        </w:rPr>
        <w:t xml:space="preserve"> governments. </w:t>
      </w:r>
      <w:r w:rsidR="0085547B" w:rsidRPr="00DC5278">
        <w:rPr>
          <w:rFonts w:ascii="Times New Roman" w:hAnsi="Times New Roman" w:cs="Times New Roman"/>
          <w:color w:val="auto"/>
          <w:sz w:val="24"/>
          <w:szCs w:val="24"/>
          <w:lang w:val="en-AU"/>
        </w:rPr>
        <w:t xml:space="preserve"> </w:t>
      </w:r>
      <w:r w:rsidR="005B6B31" w:rsidRPr="00DC5278">
        <w:rPr>
          <w:rFonts w:ascii="Times New Roman" w:hAnsi="Times New Roman" w:cs="Times New Roman"/>
          <w:color w:val="auto"/>
          <w:sz w:val="24"/>
          <w:szCs w:val="24"/>
          <w:lang w:val="en-AU"/>
        </w:rPr>
        <w:t xml:space="preserve">It also includes specific commitments on development and trade capacity building, to ensure that all </w:t>
      </w:r>
      <w:r w:rsidR="00455DE8" w:rsidRPr="00DC5278">
        <w:rPr>
          <w:rFonts w:ascii="Times New Roman" w:hAnsi="Times New Roman" w:cs="Times New Roman"/>
          <w:color w:val="auto"/>
          <w:sz w:val="24"/>
          <w:szCs w:val="24"/>
          <w:lang w:val="en-AU"/>
        </w:rPr>
        <w:t>p</w:t>
      </w:r>
      <w:r w:rsidR="005B6B31" w:rsidRPr="00DC5278">
        <w:rPr>
          <w:rFonts w:ascii="Times New Roman" w:hAnsi="Times New Roman" w:cs="Times New Roman"/>
          <w:color w:val="auto"/>
          <w:sz w:val="24"/>
          <w:szCs w:val="24"/>
          <w:lang w:val="en-AU"/>
        </w:rPr>
        <w:t xml:space="preserve">arties </w:t>
      </w:r>
      <w:proofErr w:type="gramStart"/>
      <w:r w:rsidR="005B6B31" w:rsidRPr="00DC5278">
        <w:rPr>
          <w:rFonts w:ascii="Times New Roman" w:hAnsi="Times New Roman" w:cs="Times New Roman"/>
          <w:color w:val="auto"/>
          <w:sz w:val="24"/>
          <w:szCs w:val="24"/>
          <w:lang w:val="en-AU"/>
        </w:rPr>
        <w:t>are able to</w:t>
      </w:r>
      <w:proofErr w:type="gramEnd"/>
      <w:r w:rsidR="005B6B31" w:rsidRPr="00DC5278">
        <w:rPr>
          <w:rFonts w:ascii="Times New Roman" w:hAnsi="Times New Roman" w:cs="Times New Roman"/>
          <w:color w:val="auto"/>
          <w:sz w:val="24"/>
          <w:szCs w:val="24"/>
          <w:lang w:val="en-AU"/>
        </w:rPr>
        <w:t xml:space="preserve"> meet the commitments in the Agreement and take full advantage of its benefits; and</w:t>
      </w:r>
    </w:p>
    <w:p w14:paraId="74037B77" w14:textId="5D771D30" w:rsidR="00BC1E8B" w:rsidRPr="00DC5278" w:rsidRDefault="005B6B31" w:rsidP="0085547B">
      <w:pPr>
        <w:pStyle w:val="BodyA"/>
        <w:numPr>
          <w:ilvl w:val="0"/>
          <w:numId w:val="72"/>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a </w:t>
      </w:r>
      <w:r w:rsidRPr="00DC5278">
        <w:rPr>
          <w:rFonts w:ascii="Times New Roman" w:hAnsi="Times New Roman" w:cs="Times New Roman"/>
          <w:b/>
          <w:color w:val="auto"/>
          <w:sz w:val="24"/>
          <w:szCs w:val="24"/>
          <w:lang w:val="en-AU"/>
        </w:rPr>
        <w:t>platform for regional integration</w:t>
      </w:r>
      <w:r w:rsidR="00146552" w:rsidRPr="00DC5278">
        <w:rPr>
          <w:rFonts w:ascii="Times New Roman" w:hAnsi="Times New Roman" w:cs="Times New Roman"/>
          <w:b/>
          <w:color w:val="auto"/>
          <w:sz w:val="24"/>
          <w:szCs w:val="24"/>
          <w:lang w:val="en-AU"/>
        </w:rPr>
        <w:t xml:space="preserve"> </w:t>
      </w:r>
      <w:r w:rsidR="00146552" w:rsidRPr="00DC5278">
        <w:rPr>
          <w:rFonts w:ascii="Times New Roman" w:hAnsi="Times New Roman" w:cs="Times New Roman"/>
          <w:color w:val="auto"/>
          <w:sz w:val="24"/>
          <w:szCs w:val="24"/>
          <w:lang w:val="en-AU"/>
        </w:rPr>
        <w:t xml:space="preserve">that would welcome </w:t>
      </w:r>
      <w:r w:rsidRPr="00DC5278">
        <w:rPr>
          <w:rFonts w:ascii="Times New Roman" w:hAnsi="Times New Roman" w:cs="Times New Roman"/>
          <w:color w:val="auto"/>
          <w:sz w:val="24"/>
          <w:szCs w:val="24"/>
          <w:lang w:val="en-AU"/>
        </w:rPr>
        <w:t>additional economies</w:t>
      </w:r>
      <w:r w:rsidR="008B427D">
        <w:rPr>
          <w:rFonts w:ascii="Times New Roman" w:hAnsi="Times New Roman" w:cs="Times New Roman"/>
          <w:color w:val="auto"/>
          <w:sz w:val="24"/>
          <w:szCs w:val="24"/>
          <w:lang w:val="en-AU"/>
        </w:rPr>
        <w:t xml:space="preserve"> across the Asia-Pacific region that can meet the Agreement’s high standards.</w:t>
      </w:r>
    </w:p>
    <w:p w14:paraId="74037B78" w14:textId="77777777" w:rsidR="00BC1E8B" w:rsidRPr="00DC5278" w:rsidRDefault="00BC1E8B" w:rsidP="0085547B">
      <w:pPr>
        <w:pStyle w:val="BodyA"/>
        <w:suppressAutoHyphens/>
        <w:rPr>
          <w:rFonts w:ascii="Times New Roman" w:eastAsia="Times New Roman" w:hAnsi="Times New Roman" w:cs="Times New Roman"/>
          <w:color w:val="auto"/>
          <w:sz w:val="24"/>
          <w:szCs w:val="24"/>
          <w:lang w:val="en-AU"/>
        </w:rPr>
      </w:pPr>
    </w:p>
    <w:p w14:paraId="74037B79" w14:textId="6E6BF6F4" w:rsidR="00BC1E8B" w:rsidRPr="00DC5278" w:rsidRDefault="00455DE8"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w:t>
      </w:r>
      <w:r w:rsidR="006A55AF">
        <w:rPr>
          <w:rFonts w:ascii="Times New Roman" w:hAnsi="Times New Roman" w:cs="Times New Roman"/>
          <w:sz w:val="24"/>
          <w:szCs w:val="24"/>
        </w:rPr>
        <w:t>TPP</w:t>
      </w:r>
      <w:r w:rsidR="00FF1931">
        <w:rPr>
          <w:rFonts w:ascii="Times New Roman" w:hAnsi="Times New Roman" w:cs="Times New Roman"/>
          <w:sz w:val="24"/>
          <w:szCs w:val="24"/>
        </w:rPr>
        <w:t>-11</w:t>
      </w:r>
      <w:r w:rsidR="005B6B31" w:rsidRPr="00DC5278">
        <w:rPr>
          <w:rFonts w:ascii="Times New Roman" w:hAnsi="Times New Roman" w:cs="Times New Roman"/>
          <w:sz w:val="24"/>
          <w:szCs w:val="24"/>
        </w:rPr>
        <w:t xml:space="preserve"> unites a diverse group of countries – diverse by geography, language and history, size, and levels of develop</w:t>
      </w:r>
      <w:r w:rsidR="0039578A" w:rsidRPr="00DC5278">
        <w:rPr>
          <w:rFonts w:ascii="Times New Roman" w:hAnsi="Times New Roman" w:cs="Times New Roman"/>
          <w:sz w:val="24"/>
          <w:szCs w:val="24"/>
        </w:rPr>
        <w:t xml:space="preserve">ment. </w:t>
      </w:r>
      <w:r w:rsidR="008804C7">
        <w:rPr>
          <w:rFonts w:ascii="Times New Roman" w:hAnsi="Times New Roman" w:cs="Times New Roman"/>
          <w:sz w:val="24"/>
          <w:szCs w:val="24"/>
        </w:rPr>
        <w:t xml:space="preserve"> </w:t>
      </w:r>
      <w:r w:rsidR="0039578A" w:rsidRPr="00DC5278">
        <w:rPr>
          <w:rFonts w:ascii="Times New Roman" w:hAnsi="Times New Roman" w:cs="Times New Roman"/>
          <w:sz w:val="24"/>
          <w:szCs w:val="24"/>
        </w:rPr>
        <w:t xml:space="preserve">All </w:t>
      </w:r>
      <w:r w:rsidR="006A55AF">
        <w:rPr>
          <w:rFonts w:ascii="Times New Roman" w:hAnsi="Times New Roman" w:cs="Times New Roman"/>
          <w:sz w:val="24"/>
          <w:szCs w:val="24"/>
        </w:rPr>
        <w:t>TPP</w:t>
      </w:r>
      <w:r w:rsidR="00FF1931">
        <w:rPr>
          <w:rFonts w:ascii="Times New Roman" w:hAnsi="Times New Roman" w:cs="Times New Roman"/>
          <w:sz w:val="24"/>
          <w:szCs w:val="24"/>
        </w:rPr>
        <w:t>-11</w:t>
      </w:r>
      <w:r w:rsidR="0039578A" w:rsidRPr="00DC5278">
        <w:rPr>
          <w:rFonts w:ascii="Times New Roman" w:hAnsi="Times New Roman" w:cs="Times New Roman"/>
          <w:sz w:val="24"/>
          <w:szCs w:val="24"/>
        </w:rPr>
        <w:t xml:space="preserve"> countries </w:t>
      </w:r>
      <w:proofErr w:type="spellStart"/>
      <w:r w:rsidR="0039578A" w:rsidRPr="00DC5278">
        <w:rPr>
          <w:rFonts w:ascii="Times New Roman" w:hAnsi="Times New Roman" w:cs="Times New Roman"/>
          <w:sz w:val="24"/>
          <w:szCs w:val="24"/>
        </w:rPr>
        <w:t>recognis</w:t>
      </w:r>
      <w:r w:rsidR="005B6B31" w:rsidRPr="00DC5278">
        <w:rPr>
          <w:rFonts w:ascii="Times New Roman" w:hAnsi="Times New Roman" w:cs="Times New Roman"/>
          <w:sz w:val="24"/>
          <w:szCs w:val="24"/>
        </w:rPr>
        <w:t>e</w:t>
      </w:r>
      <w:proofErr w:type="spellEnd"/>
      <w:r w:rsidR="005B6B31" w:rsidRPr="00DC5278">
        <w:rPr>
          <w:rFonts w:ascii="Times New Roman" w:hAnsi="Times New Roman" w:cs="Times New Roman"/>
          <w:sz w:val="24"/>
          <w:szCs w:val="24"/>
        </w:rPr>
        <w:t xml:space="preserve"> that diversity is a unique asset, but also one which requires close cooperation, c</w:t>
      </w:r>
      <w:r w:rsidR="008E21C4" w:rsidRPr="00DC5278">
        <w:rPr>
          <w:rFonts w:ascii="Times New Roman" w:hAnsi="Times New Roman" w:cs="Times New Roman"/>
          <w:sz w:val="24"/>
          <w:szCs w:val="24"/>
        </w:rPr>
        <w:t xml:space="preserve">apacity-building for the less </w:t>
      </w:r>
      <w:r w:rsidR="005B6B31" w:rsidRPr="00DC5278">
        <w:rPr>
          <w:rFonts w:ascii="Times New Roman" w:hAnsi="Times New Roman" w:cs="Times New Roman"/>
          <w:sz w:val="24"/>
          <w:szCs w:val="24"/>
        </w:rPr>
        <w:t xml:space="preserve">developed </w:t>
      </w:r>
      <w:r w:rsidR="006A55AF">
        <w:rPr>
          <w:rFonts w:ascii="Times New Roman" w:hAnsi="Times New Roman" w:cs="Times New Roman"/>
          <w:sz w:val="24"/>
          <w:szCs w:val="24"/>
        </w:rPr>
        <w:t>TPP</w:t>
      </w:r>
      <w:r w:rsidR="00FF1931">
        <w:rPr>
          <w:rFonts w:ascii="Times New Roman" w:hAnsi="Times New Roman" w:cs="Times New Roman"/>
          <w:sz w:val="24"/>
          <w:szCs w:val="24"/>
        </w:rPr>
        <w:t>-11</w:t>
      </w:r>
      <w:r w:rsidR="005B6B31" w:rsidRPr="00DC5278">
        <w:rPr>
          <w:rFonts w:ascii="Times New Roman" w:hAnsi="Times New Roman" w:cs="Times New Roman"/>
          <w:sz w:val="24"/>
          <w:szCs w:val="24"/>
        </w:rPr>
        <w:t xml:space="preserve"> countries, and in some cases special transitional periods and mechanisms which offer some </w:t>
      </w:r>
      <w:r w:rsidR="006A55AF">
        <w:rPr>
          <w:rFonts w:ascii="Times New Roman" w:hAnsi="Times New Roman" w:cs="Times New Roman"/>
          <w:sz w:val="24"/>
          <w:szCs w:val="24"/>
        </w:rPr>
        <w:t>TPP</w:t>
      </w:r>
      <w:r w:rsidR="00FF1931">
        <w:rPr>
          <w:rFonts w:ascii="Times New Roman" w:hAnsi="Times New Roman" w:cs="Times New Roman"/>
          <w:sz w:val="24"/>
          <w:szCs w:val="24"/>
        </w:rPr>
        <w:t>-11</w:t>
      </w:r>
      <w:r w:rsidR="005B6B31" w:rsidRPr="00DC5278">
        <w:rPr>
          <w:rFonts w:ascii="Times New Roman" w:hAnsi="Times New Roman" w:cs="Times New Roman"/>
          <w:sz w:val="24"/>
          <w:szCs w:val="24"/>
        </w:rPr>
        <w:t xml:space="preserve"> partners additional time, where warranted, to develop capacity to implement new obligations.</w:t>
      </w:r>
    </w:p>
    <w:p w14:paraId="74037B7A" w14:textId="2478D1F8" w:rsidR="00BC1E8B"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w:t>
      </w:r>
      <w:proofErr w:type="gramStart"/>
      <w:r w:rsidR="008E21C4" w:rsidRPr="00DC5278">
        <w:rPr>
          <w:rFonts w:ascii="Times New Roman" w:hAnsi="Times New Roman" w:cs="Times New Roman"/>
          <w:sz w:val="24"/>
          <w:szCs w:val="24"/>
        </w:rPr>
        <w:t>most</w:t>
      </w:r>
      <w:r w:rsidRPr="00DC5278">
        <w:rPr>
          <w:rFonts w:ascii="Times New Roman" w:hAnsi="Times New Roman" w:cs="Times New Roman"/>
          <w:sz w:val="24"/>
          <w:szCs w:val="24"/>
        </w:rPr>
        <w:t xml:space="preserve"> timely</w:t>
      </w:r>
      <w:proofErr w:type="gramEnd"/>
      <w:r w:rsidRPr="00DC5278">
        <w:rPr>
          <w:rFonts w:ascii="Times New Roman" w:hAnsi="Times New Roman" w:cs="Times New Roman"/>
          <w:sz w:val="24"/>
          <w:szCs w:val="24"/>
        </w:rPr>
        <w:t xml:space="preserve"> option available to the Government to achieve these objectives is the negotiation of a regio</w:t>
      </w:r>
      <w:r w:rsidR="00FF1931">
        <w:rPr>
          <w:rFonts w:ascii="Times New Roman" w:hAnsi="Times New Roman" w:cs="Times New Roman"/>
          <w:sz w:val="24"/>
          <w:szCs w:val="24"/>
        </w:rPr>
        <w:t xml:space="preserve">nal trade agreement with the </w:t>
      </w:r>
      <w:r w:rsidR="006A55AF">
        <w:rPr>
          <w:rFonts w:ascii="Times New Roman" w:hAnsi="Times New Roman" w:cs="Times New Roman"/>
          <w:sz w:val="24"/>
          <w:szCs w:val="24"/>
        </w:rPr>
        <w:t>TPP</w:t>
      </w:r>
      <w:r w:rsidR="00FF1931">
        <w:rPr>
          <w:rFonts w:ascii="Times New Roman" w:hAnsi="Times New Roman" w:cs="Times New Roman"/>
          <w:sz w:val="24"/>
          <w:szCs w:val="24"/>
        </w:rPr>
        <w:t>-11</w:t>
      </w:r>
      <w:r w:rsidRPr="00DC5278">
        <w:rPr>
          <w:rFonts w:ascii="Times New Roman" w:hAnsi="Times New Roman" w:cs="Times New Roman"/>
          <w:sz w:val="24"/>
          <w:szCs w:val="24"/>
        </w:rPr>
        <w:t xml:space="preserve"> countries.  The following discusses </w:t>
      </w:r>
      <w:r w:rsidR="008E21C4" w:rsidRPr="00DC5278">
        <w:rPr>
          <w:rFonts w:ascii="Times New Roman" w:hAnsi="Times New Roman" w:cs="Times New Roman"/>
          <w:sz w:val="24"/>
          <w:szCs w:val="24"/>
        </w:rPr>
        <w:t xml:space="preserve">alternative means to achieve these objectives </w:t>
      </w:r>
      <w:r w:rsidRPr="00DC5278">
        <w:rPr>
          <w:rFonts w:ascii="Times New Roman" w:hAnsi="Times New Roman" w:cs="Times New Roman"/>
          <w:sz w:val="24"/>
          <w:szCs w:val="24"/>
        </w:rPr>
        <w:t>available to the Government.</w:t>
      </w:r>
    </w:p>
    <w:p w14:paraId="6B2FBE16" w14:textId="1517C1E8" w:rsidR="0000135F" w:rsidRDefault="0000135F" w:rsidP="0085547B">
      <w:pPr>
        <w:keepNext/>
        <w:suppressAutoHyphens/>
        <w:spacing w:after="120"/>
        <w:rPr>
          <w:b/>
          <w:bCs/>
          <w:i/>
          <w:iCs/>
        </w:rPr>
      </w:pPr>
      <w:r>
        <w:rPr>
          <w:b/>
          <w:bCs/>
          <w:i/>
          <w:iCs/>
        </w:rPr>
        <w:t>Renegotiate the TPP with the United States</w:t>
      </w:r>
    </w:p>
    <w:p w14:paraId="7AE9C587" w14:textId="1E59A186" w:rsidR="00C15170" w:rsidRDefault="00C15170" w:rsidP="00C15170">
      <w:pPr>
        <w:pStyle w:val="ListParagraph"/>
        <w:numPr>
          <w:ilvl w:val="0"/>
          <w:numId w:val="68"/>
        </w:numPr>
        <w:tabs>
          <w:tab w:val="left" w:pos="660"/>
        </w:tabs>
        <w:suppressAutoHyphens/>
        <w:spacing w:after="120"/>
        <w:rPr>
          <w:rFonts w:ascii="Times New Roman" w:hAnsi="Times New Roman" w:cs="Times New Roman"/>
          <w:sz w:val="24"/>
          <w:szCs w:val="24"/>
        </w:rPr>
      </w:pPr>
      <w:r>
        <w:rPr>
          <w:rFonts w:ascii="Times New Roman" w:hAnsi="Times New Roman" w:cs="Times New Roman"/>
          <w:sz w:val="24"/>
          <w:szCs w:val="24"/>
        </w:rPr>
        <w:t>W</w:t>
      </w:r>
      <w:r w:rsidRPr="00C15170">
        <w:rPr>
          <w:rFonts w:ascii="Times New Roman" w:hAnsi="Times New Roman" w:cs="Times New Roman"/>
          <w:sz w:val="24"/>
          <w:szCs w:val="24"/>
        </w:rPr>
        <w:t>hen</w:t>
      </w:r>
      <w:r w:rsidR="007C6D5D">
        <w:rPr>
          <w:rFonts w:ascii="Times New Roman" w:hAnsi="Times New Roman" w:cs="Times New Roman"/>
          <w:sz w:val="24"/>
          <w:szCs w:val="24"/>
        </w:rPr>
        <w:t xml:space="preserve"> President Trump withdrew the United States</w:t>
      </w:r>
      <w:r w:rsidRPr="00C15170">
        <w:rPr>
          <w:rFonts w:ascii="Times New Roman" w:hAnsi="Times New Roman" w:cs="Times New Roman"/>
          <w:sz w:val="24"/>
          <w:szCs w:val="24"/>
        </w:rPr>
        <w:t xml:space="preserve"> from the TPP on 30 January 2017, he expressed a clear preference fo</w:t>
      </w:r>
      <w:r>
        <w:rPr>
          <w:rFonts w:ascii="Times New Roman" w:hAnsi="Times New Roman" w:cs="Times New Roman"/>
          <w:sz w:val="24"/>
          <w:szCs w:val="24"/>
        </w:rPr>
        <w:t xml:space="preserve">r bilateral over regional deals. </w:t>
      </w:r>
      <w:r w:rsidR="008804C7">
        <w:rPr>
          <w:rFonts w:ascii="Times New Roman" w:hAnsi="Times New Roman" w:cs="Times New Roman"/>
          <w:sz w:val="24"/>
          <w:szCs w:val="24"/>
        </w:rPr>
        <w:t xml:space="preserve"> </w:t>
      </w:r>
      <w:r w:rsidR="00DB73EE">
        <w:rPr>
          <w:rFonts w:ascii="Times New Roman" w:hAnsi="Times New Roman" w:cs="Times New Roman"/>
          <w:sz w:val="24"/>
          <w:szCs w:val="24"/>
        </w:rPr>
        <w:t>The</w:t>
      </w:r>
      <w:r>
        <w:rPr>
          <w:rFonts w:ascii="Times New Roman" w:hAnsi="Times New Roman" w:cs="Times New Roman"/>
          <w:sz w:val="24"/>
          <w:szCs w:val="24"/>
        </w:rPr>
        <w:t xml:space="preserve"> TPP-11 countries moved forward to bring the TPP into force without the United States.</w:t>
      </w:r>
      <w:r w:rsidR="008804C7">
        <w:rPr>
          <w:rFonts w:ascii="Times New Roman" w:hAnsi="Times New Roman" w:cs="Times New Roman"/>
          <w:sz w:val="24"/>
          <w:szCs w:val="24"/>
        </w:rPr>
        <w:t xml:space="preserve"> </w:t>
      </w:r>
      <w:r w:rsidR="00145369">
        <w:rPr>
          <w:rFonts w:ascii="Times New Roman" w:hAnsi="Times New Roman" w:cs="Times New Roman"/>
          <w:sz w:val="24"/>
          <w:szCs w:val="24"/>
        </w:rPr>
        <w:t xml:space="preserve"> This is because t</w:t>
      </w:r>
      <w:r w:rsidR="00145369" w:rsidRPr="00200ED8">
        <w:rPr>
          <w:rFonts w:ascii="Times New Roman" w:hAnsi="Times New Roman" w:cs="Times New Roman"/>
          <w:sz w:val="24"/>
          <w:szCs w:val="24"/>
        </w:rPr>
        <w:t>he TPP’s high standards and comprehensiveness provide a strong level of confidence that the deal will bring huge benefits to all its signatories, including the United States.</w:t>
      </w:r>
    </w:p>
    <w:p w14:paraId="6BC1371C" w14:textId="38AE77DA" w:rsidR="00145369" w:rsidRPr="00145369" w:rsidRDefault="00145369" w:rsidP="001D69EA">
      <w:pPr>
        <w:pStyle w:val="ListParagraph"/>
        <w:numPr>
          <w:ilvl w:val="0"/>
          <w:numId w:val="68"/>
        </w:numPr>
        <w:tabs>
          <w:tab w:val="left" w:pos="660"/>
        </w:tabs>
        <w:suppressAutoHyphens/>
        <w:spacing w:after="120"/>
        <w:rPr>
          <w:rFonts w:ascii="Times New Roman" w:hAnsi="Times New Roman" w:cs="Times New Roman"/>
          <w:sz w:val="24"/>
          <w:szCs w:val="24"/>
        </w:rPr>
      </w:pPr>
      <w:r w:rsidRPr="00145369">
        <w:rPr>
          <w:rFonts w:ascii="Times New Roman" w:hAnsi="Times New Roman" w:cs="Times New Roman"/>
          <w:sz w:val="24"/>
          <w:szCs w:val="24"/>
        </w:rPr>
        <w:t xml:space="preserve">A key objective of the TPP-11 process was to encourage the United States to reconsider </w:t>
      </w:r>
      <w:r w:rsidR="00DB73EE">
        <w:rPr>
          <w:rFonts w:ascii="Times New Roman" w:hAnsi="Times New Roman" w:cs="Times New Roman"/>
          <w:sz w:val="24"/>
          <w:szCs w:val="24"/>
        </w:rPr>
        <w:t xml:space="preserve">its </w:t>
      </w:r>
      <w:r w:rsidR="00E75E90">
        <w:rPr>
          <w:rFonts w:ascii="Times New Roman" w:hAnsi="Times New Roman" w:cs="Times New Roman"/>
          <w:sz w:val="24"/>
          <w:szCs w:val="24"/>
        </w:rPr>
        <w:t>approach to this A</w:t>
      </w:r>
      <w:r w:rsidRPr="00145369">
        <w:rPr>
          <w:rFonts w:ascii="Times New Roman" w:hAnsi="Times New Roman" w:cs="Times New Roman"/>
          <w:sz w:val="24"/>
          <w:szCs w:val="24"/>
        </w:rPr>
        <w:t xml:space="preserve">greement. </w:t>
      </w:r>
      <w:r w:rsidR="008804C7">
        <w:rPr>
          <w:rFonts w:ascii="Times New Roman" w:hAnsi="Times New Roman" w:cs="Times New Roman"/>
          <w:sz w:val="24"/>
          <w:szCs w:val="24"/>
        </w:rPr>
        <w:t xml:space="preserve"> </w:t>
      </w:r>
      <w:r w:rsidRPr="00145369">
        <w:rPr>
          <w:rFonts w:ascii="Times New Roman" w:hAnsi="Times New Roman" w:cs="Times New Roman"/>
          <w:sz w:val="24"/>
          <w:szCs w:val="24"/>
        </w:rPr>
        <w:t>There has indeed been significant interest in the TPP-11 f</w:t>
      </w:r>
      <w:r w:rsidR="00776F9F">
        <w:rPr>
          <w:rFonts w:ascii="Times New Roman" w:hAnsi="Times New Roman" w:cs="Times New Roman"/>
          <w:sz w:val="24"/>
          <w:szCs w:val="24"/>
        </w:rPr>
        <w:t>rom US agriculture and business in the benefits of the Agreement.</w:t>
      </w:r>
      <w:r w:rsidRPr="00145369">
        <w:rPr>
          <w:rFonts w:ascii="Times New Roman" w:hAnsi="Times New Roman" w:cs="Times New Roman"/>
          <w:sz w:val="24"/>
          <w:szCs w:val="24"/>
        </w:rPr>
        <w:t xml:space="preserve"> </w:t>
      </w:r>
    </w:p>
    <w:p w14:paraId="046433B1" w14:textId="2119CA13" w:rsidR="00145369" w:rsidRPr="0083203C" w:rsidRDefault="00C15170" w:rsidP="0083203C">
      <w:pPr>
        <w:pStyle w:val="ListParagraph"/>
        <w:numPr>
          <w:ilvl w:val="0"/>
          <w:numId w:val="68"/>
        </w:numPr>
        <w:tabs>
          <w:tab w:val="left" w:pos="660"/>
        </w:tabs>
        <w:suppressAutoHyphens/>
        <w:spacing w:after="120"/>
        <w:rPr>
          <w:rFonts w:ascii="Times New Roman" w:hAnsi="Times New Roman" w:cs="Times New Roman"/>
          <w:sz w:val="24"/>
          <w:szCs w:val="24"/>
        </w:rPr>
      </w:pPr>
      <w:r w:rsidRPr="0083203C">
        <w:rPr>
          <w:rFonts w:ascii="Times New Roman" w:hAnsi="Times New Roman" w:cs="Times New Roman"/>
          <w:sz w:val="24"/>
          <w:szCs w:val="24"/>
        </w:rPr>
        <w:t>On 26 January 2018, following the conclusion of the TPP-11 deal, US President Trump said in Davos</w:t>
      </w:r>
      <w:r w:rsidR="00276D5A">
        <w:rPr>
          <w:rFonts w:ascii="Times New Roman" w:hAnsi="Times New Roman" w:cs="Times New Roman"/>
          <w:sz w:val="24"/>
          <w:szCs w:val="24"/>
        </w:rPr>
        <w:t>, Switzerland,</w:t>
      </w:r>
      <w:r w:rsidRPr="0083203C">
        <w:rPr>
          <w:rFonts w:ascii="Times New Roman" w:hAnsi="Times New Roman" w:cs="Times New Roman"/>
          <w:sz w:val="24"/>
          <w:szCs w:val="24"/>
        </w:rPr>
        <w:t xml:space="preserve"> that the United States would re-engage with the TPP if it was in the US’ interest, but that the United States would need to reach a ‘much better deal’ than the original TPP for it to return. </w:t>
      </w:r>
      <w:r w:rsidR="008804C7">
        <w:rPr>
          <w:rFonts w:ascii="Times New Roman" w:hAnsi="Times New Roman" w:cs="Times New Roman"/>
          <w:sz w:val="24"/>
          <w:szCs w:val="24"/>
        </w:rPr>
        <w:t xml:space="preserve"> </w:t>
      </w:r>
      <w:r w:rsidR="00776F9F">
        <w:rPr>
          <w:rFonts w:ascii="Times New Roman" w:hAnsi="Times New Roman" w:cs="Times New Roman"/>
          <w:sz w:val="24"/>
          <w:szCs w:val="24"/>
        </w:rPr>
        <w:t>While</w:t>
      </w:r>
      <w:r w:rsidR="0083203C">
        <w:rPr>
          <w:rFonts w:ascii="Times New Roman" w:hAnsi="Times New Roman" w:cs="Times New Roman"/>
          <w:sz w:val="24"/>
          <w:szCs w:val="24"/>
        </w:rPr>
        <w:t xml:space="preserve"> h</w:t>
      </w:r>
      <w:r w:rsidR="0083203C" w:rsidRPr="0083203C">
        <w:rPr>
          <w:rFonts w:ascii="Times New Roman" w:hAnsi="Times New Roman" w:cs="Times New Roman"/>
          <w:sz w:val="24"/>
          <w:szCs w:val="24"/>
        </w:rPr>
        <w:t xml:space="preserve">aving the United States return to the TPP in the future would represent a net positive for Australia and for the region’s trade </w:t>
      </w:r>
      <w:r w:rsidR="0083203C">
        <w:rPr>
          <w:rFonts w:ascii="Times New Roman" w:hAnsi="Times New Roman" w:cs="Times New Roman"/>
          <w:sz w:val="24"/>
          <w:szCs w:val="24"/>
        </w:rPr>
        <w:t xml:space="preserve">and investment growth prospects, ratifying the TPP-11 remains the best option to lock in the gains made under the TPP in the interim. </w:t>
      </w:r>
    </w:p>
    <w:p w14:paraId="74037B7B" w14:textId="3A35DD94" w:rsidR="00076589" w:rsidRPr="00DC5278" w:rsidRDefault="00455DE8" w:rsidP="0085547B">
      <w:pPr>
        <w:keepNext/>
        <w:suppressAutoHyphens/>
        <w:spacing w:after="120"/>
        <w:rPr>
          <w:rFonts w:eastAsia="Times New Roman"/>
        </w:rPr>
      </w:pPr>
      <w:r w:rsidRPr="00DC5278">
        <w:rPr>
          <w:b/>
          <w:bCs/>
          <w:i/>
          <w:iCs/>
        </w:rPr>
        <w:t xml:space="preserve">Multilateral </w:t>
      </w:r>
      <w:r w:rsidR="00C85B2E">
        <w:rPr>
          <w:b/>
          <w:bCs/>
          <w:i/>
          <w:iCs/>
        </w:rPr>
        <w:t>t</w:t>
      </w:r>
      <w:r w:rsidR="00076589" w:rsidRPr="00DC5278">
        <w:rPr>
          <w:b/>
          <w:bCs/>
          <w:i/>
          <w:iCs/>
        </w:rPr>
        <w:t xml:space="preserve">rade </w:t>
      </w:r>
      <w:r w:rsidR="00C85B2E">
        <w:rPr>
          <w:b/>
          <w:bCs/>
          <w:i/>
          <w:iCs/>
        </w:rPr>
        <w:t>n</w:t>
      </w:r>
      <w:r w:rsidR="00076589" w:rsidRPr="00DC5278">
        <w:rPr>
          <w:b/>
          <w:bCs/>
          <w:i/>
          <w:iCs/>
        </w:rPr>
        <w:t>egotiations</w:t>
      </w:r>
    </w:p>
    <w:p w14:paraId="74037B7C" w14:textId="04246477" w:rsidR="00076589" w:rsidRPr="00DC5278" w:rsidRDefault="00455DE8" w:rsidP="0085547B">
      <w:pPr>
        <w:pStyle w:val="ListParagraph"/>
        <w:keepNext/>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As outlined in the ‘Problem I</w:t>
      </w:r>
      <w:r w:rsidR="00076589" w:rsidRPr="00DC5278">
        <w:rPr>
          <w:rFonts w:ascii="Times New Roman" w:hAnsi="Times New Roman" w:cs="Times New Roman"/>
          <w:sz w:val="24"/>
          <w:szCs w:val="24"/>
        </w:rPr>
        <w:t xml:space="preserve">dentification’ section of this </w:t>
      </w:r>
      <w:r w:rsidR="00B65E49">
        <w:rPr>
          <w:rFonts w:ascii="Times New Roman" w:hAnsi="Times New Roman" w:cs="Times New Roman"/>
          <w:sz w:val="24"/>
          <w:szCs w:val="24"/>
        </w:rPr>
        <w:t>ARIA</w:t>
      </w:r>
      <w:r w:rsidR="00076589" w:rsidRPr="00DC5278">
        <w:rPr>
          <w:rFonts w:ascii="Times New Roman" w:hAnsi="Times New Roman" w:cs="Times New Roman"/>
          <w:sz w:val="24"/>
          <w:szCs w:val="24"/>
        </w:rPr>
        <w:t>, there</w:t>
      </w:r>
      <w:r w:rsidR="003F4666">
        <w:rPr>
          <w:rFonts w:ascii="Times New Roman" w:hAnsi="Times New Roman" w:cs="Times New Roman"/>
          <w:sz w:val="24"/>
          <w:szCs w:val="24"/>
        </w:rPr>
        <w:t xml:space="preserve"> has not been a significant multilateral</w:t>
      </w:r>
      <w:r w:rsidR="00076589" w:rsidRPr="00DC5278">
        <w:rPr>
          <w:rFonts w:ascii="Times New Roman" w:hAnsi="Times New Roman" w:cs="Times New Roman"/>
          <w:sz w:val="24"/>
          <w:szCs w:val="24"/>
        </w:rPr>
        <w:t xml:space="preserve"> trade agreement since 1994.  The WTO Doha Round has stalled.  A wide divergence of views between WTO members makes </w:t>
      </w:r>
      <w:r w:rsidR="00076589" w:rsidRPr="00DC5278">
        <w:rPr>
          <w:rFonts w:ascii="Times New Roman" w:hAnsi="Times New Roman" w:cs="Times New Roman"/>
          <w:sz w:val="24"/>
          <w:szCs w:val="24"/>
        </w:rPr>
        <w:lastRenderedPageBreak/>
        <w:t xml:space="preserve">conclusion of the Doha Round unlikely in the short term, nor is it likely that any concluded Doha Round would fulfil </w:t>
      </w:r>
      <w:proofErr w:type="gramStart"/>
      <w:r w:rsidR="00076589" w:rsidRPr="00DC5278">
        <w:rPr>
          <w:rFonts w:ascii="Times New Roman" w:hAnsi="Times New Roman" w:cs="Times New Roman"/>
          <w:sz w:val="24"/>
          <w:szCs w:val="24"/>
        </w:rPr>
        <w:t>all of</w:t>
      </w:r>
      <w:proofErr w:type="gramEnd"/>
      <w:r w:rsidR="00076589" w:rsidRPr="00DC5278">
        <w:rPr>
          <w:rFonts w:ascii="Times New Roman" w:hAnsi="Times New Roman" w:cs="Times New Roman"/>
          <w:sz w:val="24"/>
          <w:szCs w:val="24"/>
        </w:rPr>
        <w:t xml:space="preserve"> its Ministerial Declaration mandate</w:t>
      </w:r>
      <w:r w:rsidRPr="00DC5278">
        <w:rPr>
          <w:rStyle w:val="FootnoteReference"/>
          <w:rFonts w:ascii="Times New Roman" w:hAnsi="Times New Roman" w:cs="Times New Roman"/>
          <w:color w:val="auto"/>
          <w:sz w:val="24"/>
          <w:szCs w:val="24"/>
          <w:lang w:val="en-AU"/>
        </w:rPr>
        <w:footnoteReference w:id="4"/>
      </w:r>
      <w:r w:rsidR="00076589" w:rsidRPr="00DC5278">
        <w:rPr>
          <w:rFonts w:ascii="Times New Roman" w:hAnsi="Times New Roman" w:cs="Times New Roman"/>
          <w:sz w:val="24"/>
          <w:szCs w:val="24"/>
        </w:rPr>
        <w:t xml:space="preserve">.  </w:t>
      </w:r>
      <w:r w:rsidR="00011D34" w:rsidRPr="00DC5278">
        <w:rPr>
          <w:rFonts w:ascii="Times New Roman" w:hAnsi="Times New Roman" w:cs="Times New Roman"/>
          <w:sz w:val="24"/>
          <w:szCs w:val="24"/>
        </w:rPr>
        <w:t xml:space="preserve">Moreover, given the Doha Round Mandate, concluding the Doha Round would not </w:t>
      </w:r>
      <w:r w:rsidR="00076589" w:rsidRPr="00DC5278">
        <w:rPr>
          <w:rFonts w:ascii="Times New Roman" w:hAnsi="Times New Roman" w:cs="Times New Roman"/>
          <w:sz w:val="24"/>
          <w:szCs w:val="24"/>
        </w:rPr>
        <w:t xml:space="preserve">address Australia’s priority trade and investment interests as extensively, or in as timely a way, as is possible under the </w:t>
      </w:r>
      <w:r w:rsidR="006A55AF">
        <w:rPr>
          <w:rFonts w:ascii="Times New Roman" w:hAnsi="Times New Roman" w:cs="Times New Roman"/>
          <w:sz w:val="24"/>
          <w:szCs w:val="24"/>
        </w:rPr>
        <w:t>TPP</w:t>
      </w:r>
      <w:r w:rsidR="0039341D">
        <w:rPr>
          <w:rFonts w:ascii="Times New Roman" w:hAnsi="Times New Roman" w:cs="Times New Roman"/>
          <w:sz w:val="24"/>
          <w:szCs w:val="24"/>
        </w:rPr>
        <w:t>-11</w:t>
      </w:r>
      <w:r w:rsidR="00076589" w:rsidRPr="00DC5278">
        <w:rPr>
          <w:rFonts w:ascii="Times New Roman" w:hAnsi="Times New Roman" w:cs="Times New Roman"/>
          <w:sz w:val="24"/>
          <w:szCs w:val="24"/>
        </w:rPr>
        <w:t>.</w:t>
      </w:r>
      <w:r w:rsidR="00011D34" w:rsidRPr="00DC5278">
        <w:rPr>
          <w:rFonts w:ascii="Times New Roman" w:hAnsi="Times New Roman" w:cs="Times New Roman"/>
          <w:sz w:val="24"/>
          <w:szCs w:val="24"/>
        </w:rPr>
        <w:t xml:space="preserve">  </w:t>
      </w:r>
      <w:r w:rsidR="00531EB3" w:rsidRPr="00DC5278">
        <w:rPr>
          <w:rFonts w:ascii="Times New Roman" w:hAnsi="Times New Roman" w:cs="Times New Roman"/>
          <w:sz w:val="24"/>
          <w:szCs w:val="24"/>
        </w:rPr>
        <w:t xml:space="preserve">Tariff cuts in agriculture, for example, may not have gone further than existing applied tariffs in many markets, which would mean no new commercially meaningful access. </w:t>
      </w:r>
    </w:p>
    <w:p w14:paraId="74037B7D" w14:textId="77777777" w:rsidR="00531EB3" w:rsidRPr="00DC5278" w:rsidRDefault="00531EB3" w:rsidP="0085547B">
      <w:pPr>
        <w:keepNext/>
        <w:suppressAutoHyphens/>
        <w:spacing w:after="120"/>
        <w:rPr>
          <w:rFonts w:eastAsia="Times New Roman"/>
          <w:b/>
          <w:bCs/>
          <w:i/>
          <w:iCs/>
        </w:rPr>
      </w:pPr>
      <w:r w:rsidRPr="00DC5278">
        <w:rPr>
          <w:b/>
          <w:bCs/>
          <w:i/>
          <w:iCs/>
        </w:rPr>
        <w:t>Regional Comprehensive Economic Partnership (RCEP)</w:t>
      </w:r>
    </w:p>
    <w:p w14:paraId="74037B7E" w14:textId="0BCB9C3D" w:rsidR="00531EB3" w:rsidRPr="00DC5278" w:rsidRDefault="00531EB3" w:rsidP="0085547B">
      <w:pPr>
        <w:pStyle w:val="ListParagraph"/>
        <w:keepNext/>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Australia and six other </w:t>
      </w:r>
      <w:r w:rsidR="006A55AF">
        <w:rPr>
          <w:rFonts w:ascii="Times New Roman" w:hAnsi="Times New Roman" w:cs="Times New Roman"/>
          <w:color w:val="auto"/>
          <w:sz w:val="24"/>
          <w:szCs w:val="24"/>
          <w:lang w:val="en-AU"/>
        </w:rPr>
        <w:t>TPP</w:t>
      </w:r>
      <w:r w:rsidR="008A7073">
        <w:rPr>
          <w:rFonts w:ascii="Times New Roman" w:hAnsi="Times New Roman" w:cs="Times New Roman"/>
          <w:color w:val="auto"/>
          <w:sz w:val="24"/>
          <w:szCs w:val="24"/>
          <w:lang w:val="en-AU"/>
        </w:rPr>
        <w:t>-11</w:t>
      </w:r>
      <w:r w:rsidRPr="00DC5278">
        <w:rPr>
          <w:rFonts w:ascii="Times New Roman" w:hAnsi="Times New Roman" w:cs="Times New Roman"/>
          <w:color w:val="auto"/>
          <w:sz w:val="24"/>
          <w:szCs w:val="24"/>
          <w:lang w:val="en-AU"/>
        </w:rPr>
        <w:t xml:space="preserve"> countries are also participating in another regional trade agreement negotiation, the Regional Comprehensive Economic Partners</w:t>
      </w:r>
      <w:r w:rsidR="00AA273B">
        <w:rPr>
          <w:rFonts w:ascii="Times New Roman" w:hAnsi="Times New Roman" w:cs="Times New Roman"/>
          <w:color w:val="auto"/>
          <w:sz w:val="24"/>
          <w:szCs w:val="24"/>
          <w:lang w:val="en-AU"/>
        </w:rPr>
        <w:t xml:space="preserve">hip (RCEP).  </w:t>
      </w:r>
      <w:r w:rsidRPr="00DC5278">
        <w:rPr>
          <w:rFonts w:ascii="Times New Roman" w:hAnsi="Times New Roman" w:cs="Times New Roman"/>
          <w:color w:val="auto"/>
          <w:sz w:val="24"/>
          <w:szCs w:val="24"/>
          <w:lang w:val="en-AU"/>
        </w:rPr>
        <w:t>RCEP is an ASEAN initiative that seeks to build on ASEAN’s FTAs with Australia, China, India, Japan, Korea and New Zealand.  Australia is working closely with all RCEP countries to conclude a comprehensive and quality outcome.</w:t>
      </w:r>
    </w:p>
    <w:p w14:paraId="74037B7F" w14:textId="309CEA98" w:rsidR="00531EB3" w:rsidRPr="001A1A9E" w:rsidRDefault="001A1A9E" w:rsidP="0085547B">
      <w:pPr>
        <w:pStyle w:val="ListParagraph"/>
        <w:keepNex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660"/>
        </w:tabs>
        <w:suppressAutoHyphens/>
        <w:spacing w:after="120"/>
        <w:rPr>
          <w:rFonts w:ascii="Times New Roman" w:hAnsi="Times New Roman" w:cs="Times New Roman"/>
          <w:color w:val="auto"/>
          <w:sz w:val="24"/>
          <w:szCs w:val="24"/>
        </w:rPr>
      </w:pPr>
      <w:r w:rsidRPr="001A1A9E">
        <w:rPr>
          <w:rFonts w:ascii="Times New Roman" w:hAnsi="Times New Roman"/>
          <w:color w:val="auto"/>
          <w:sz w:val="24"/>
          <w:szCs w:val="24"/>
        </w:rPr>
        <w:t>RCEP does not provide an alternative option for delivering the same outcomes.  First, the TPP-11, a landmark trade and integration agreement for our region, is more ambitious than RCEP, which has a large range of diverse participating countries</w:t>
      </w:r>
      <w:r w:rsidR="00AA273B">
        <w:rPr>
          <w:rFonts w:ascii="Times New Roman" w:hAnsi="Times New Roman"/>
          <w:color w:val="auto"/>
          <w:sz w:val="24"/>
          <w:szCs w:val="24"/>
        </w:rPr>
        <w:t xml:space="preserve">.  </w:t>
      </w:r>
      <w:r w:rsidR="008E21C4" w:rsidRPr="001A1A9E">
        <w:rPr>
          <w:rFonts w:ascii="Times New Roman" w:hAnsi="Times New Roman" w:cs="Times New Roman"/>
          <w:color w:val="auto"/>
          <w:sz w:val="24"/>
          <w:szCs w:val="24"/>
          <w:lang w:val="en-AU"/>
        </w:rPr>
        <w:t xml:space="preserve">Second, </w:t>
      </w:r>
      <w:r w:rsidR="00531EB3" w:rsidRPr="001A1A9E">
        <w:rPr>
          <w:rFonts w:ascii="Times New Roman" w:hAnsi="Times New Roman" w:cs="Times New Roman"/>
          <w:color w:val="auto"/>
          <w:sz w:val="24"/>
          <w:szCs w:val="24"/>
          <w:lang w:val="en-AU"/>
        </w:rPr>
        <w:t xml:space="preserve">although there is some overlap in membership, there are important differences that make the two regional FTAs complementary.  In particular, the </w:t>
      </w:r>
      <w:r w:rsidR="006A55AF" w:rsidRPr="001A1A9E">
        <w:rPr>
          <w:rFonts w:ascii="Times New Roman" w:hAnsi="Times New Roman" w:cs="Times New Roman"/>
          <w:color w:val="auto"/>
          <w:sz w:val="24"/>
          <w:szCs w:val="24"/>
          <w:lang w:val="en-AU"/>
        </w:rPr>
        <w:t>TPP</w:t>
      </w:r>
      <w:r w:rsidR="00903FF8" w:rsidRPr="001A1A9E">
        <w:rPr>
          <w:rFonts w:ascii="Times New Roman" w:hAnsi="Times New Roman" w:cs="Times New Roman"/>
          <w:color w:val="auto"/>
          <w:sz w:val="24"/>
          <w:szCs w:val="24"/>
          <w:lang w:val="en-AU"/>
        </w:rPr>
        <w:t>-11</w:t>
      </w:r>
      <w:r w:rsidR="00531EB3" w:rsidRPr="001A1A9E">
        <w:rPr>
          <w:rFonts w:ascii="Times New Roman" w:hAnsi="Times New Roman" w:cs="Times New Roman"/>
          <w:color w:val="auto"/>
          <w:sz w:val="24"/>
          <w:szCs w:val="24"/>
          <w:lang w:val="en-AU"/>
        </w:rPr>
        <w:t xml:space="preserve"> brings in </w:t>
      </w:r>
      <w:r w:rsidR="00EB1CFE" w:rsidRPr="001A1A9E">
        <w:rPr>
          <w:rFonts w:ascii="Times New Roman" w:hAnsi="Times New Roman" w:cs="Times New Roman"/>
          <w:color w:val="auto"/>
          <w:sz w:val="24"/>
          <w:szCs w:val="24"/>
          <w:lang w:val="en-AU"/>
        </w:rPr>
        <w:t xml:space="preserve">Canada and Mexico from North </w:t>
      </w:r>
      <w:proofErr w:type="gramStart"/>
      <w:r w:rsidR="00EB1CFE" w:rsidRPr="001A1A9E">
        <w:rPr>
          <w:rFonts w:ascii="Times New Roman" w:hAnsi="Times New Roman" w:cs="Times New Roman"/>
          <w:color w:val="auto"/>
          <w:sz w:val="24"/>
          <w:szCs w:val="24"/>
          <w:lang w:val="en-AU"/>
        </w:rPr>
        <w:t>America, and</w:t>
      </w:r>
      <w:proofErr w:type="gramEnd"/>
      <w:r w:rsidR="00531EB3" w:rsidRPr="001A1A9E">
        <w:rPr>
          <w:rFonts w:ascii="Times New Roman" w:hAnsi="Times New Roman" w:cs="Times New Roman"/>
          <w:color w:val="auto"/>
          <w:sz w:val="24"/>
          <w:szCs w:val="24"/>
          <w:lang w:val="en-AU"/>
        </w:rPr>
        <w:t xml:space="preserve"> gives Australia access to supply chains in that region that would not be addressed by RCEP. </w:t>
      </w:r>
      <w:r w:rsidR="0085547B" w:rsidRPr="001A1A9E">
        <w:rPr>
          <w:rFonts w:ascii="Times New Roman" w:hAnsi="Times New Roman" w:cs="Times New Roman"/>
          <w:color w:val="auto"/>
          <w:sz w:val="24"/>
          <w:szCs w:val="24"/>
          <w:lang w:val="en-AU"/>
        </w:rPr>
        <w:t xml:space="preserve"> </w:t>
      </w:r>
      <w:r w:rsidR="00531EB3" w:rsidRPr="001A1A9E">
        <w:rPr>
          <w:rFonts w:ascii="Times New Roman" w:hAnsi="Times New Roman" w:cs="Times New Roman"/>
          <w:color w:val="auto"/>
          <w:sz w:val="24"/>
          <w:szCs w:val="24"/>
          <w:lang w:val="en-AU"/>
        </w:rPr>
        <w:t xml:space="preserve">RCEP can complement the </w:t>
      </w:r>
      <w:r w:rsidR="006A55AF" w:rsidRPr="001A1A9E">
        <w:rPr>
          <w:rFonts w:ascii="Times New Roman" w:hAnsi="Times New Roman" w:cs="Times New Roman"/>
          <w:color w:val="auto"/>
          <w:sz w:val="24"/>
          <w:szCs w:val="24"/>
          <w:lang w:val="en-AU"/>
        </w:rPr>
        <w:t>TPP</w:t>
      </w:r>
      <w:r w:rsidR="00903FF8" w:rsidRPr="001A1A9E">
        <w:rPr>
          <w:rFonts w:ascii="Times New Roman" w:hAnsi="Times New Roman" w:cs="Times New Roman"/>
          <w:color w:val="auto"/>
          <w:sz w:val="24"/>
          <w:szCs w:val="24"/>
          <w:lang w:val="en-AU"/>
        </w:rPr>
        <w:t>-11</w:t>
      </w:r>
      <w:r w:rsidR="00531EB3" w:rsidRPr="001A1A9E">
        <w:rPr>
          <w:rFonts w:ascii="Times New Roman" w:hAnsi="Times New Roman" w:cs="Times New Roman"/>
          <w:color w:val="auto"/>
          <w:sz w:val="24"/>
          <w:szCs w:val="24"/>
          <w:lang w:val="en-AU"/>
        </w:rPr>
        <w:t xml:space="preserve"> by its inclusion of all ASEAN countries, as well as China and India. </w:t>
      </w:r>
      <w:r w:rsidR="0085547B" w:rsidRPr="001A1A9E">
        <w:rPr>
          <w:rFonts w:ascii="Times New Roman" w:hAnsi="Times New Roman" w:cs="Times New Roman"/>
          <w:color w:val="auto"/>
          <w:sz w:val="24"/>
          <w:szCs w:val="24"/>
          <w:lang w:val="en-AU"/>
        </w:rPr>
        <w:t xml:space="preserve"> </w:t>
      </w:r>
    </w:p>
    <w:p w14:paraId="651CD294" w14:textId="65C9E52F" w:rsidR="00B61BE8" w:rsidRPr="00B61BE8" w:rsidRDefault="00B61BE8" w:rsidP="00B61BE8">
      <w:pPr>
        <w:pStyle w:val="ListParagraph"/>
        <w:keepNext/>
        <w:numPr>
          <w:ilvl w:val="0"/>
          <w:numId w:val="68"/>
        </w:numPr>
        <w:tabs>
          <w:tab w:val="left" w:pos="660"/>
        </w:tabs>
        <w:suppressAutoHyphens/>
        <w:spacing w:after="120"/>
        <w:rPr>
          <w:rFonts w:ascii="Times New Roman" w:eastAsia="Times New Roman" w:hAnsi="Times New Roman" w:cs="Times New Roman"/>
          <w:color w:val="auto"/>
          <w:sz w:val="24"/>
          <w:szCs w:val="24"/>
        </w:rPr>
      </w:pPr>
      <w:r w:rsidRPr="00B61BE8">
        <w:rPr>
          <w:rFonts w:ascii="Times New Roman" w:hAnsi="Times New Roman"/>
          <w:color w:val="auto"/>
          <w:sz w:val="24"/>
          <w:szCs w:val="24"/>
        </w:rPr>
        <w:t xml:space="preserve">Together with a concluded RCEP, the TPP-11 is a pathway to further economic integration across the Indo-Pacific region. </w:t>
      </w:r>
    </w:p>
    <w:p w14:paraId="74037B81" w14:textId="77777777" w:rsidR="00656337" w:rsidRPr="00DC5278" w:rsidRDefault="00656337" w:rsidP="0085547B">
      <w:pPr>
        <w:tabs>
          <w:tab w:val="left" w:pos="660"/>
        </w:tabs>
        <w:suppressAutoHyphens/>
        <w:spacing w:after="120"/>
        <w:rPr>
          <w:rFonts w:eastAsia="Times New Roman"/>
        </w:rPr>
      </w:pPr>
      <w:r w:rsidRPr="00DC5278">
        <w:rPr>
          <w:b/>
          <w:bCs/>
          <w:i/>
          <w:iCs/>
        </w:rPr>
        <w:t>Bilateral FTAs</w:t>
      </w:r>
    </w:p>
    <w:p w14:paraId="74037B82" w14:textId="0B011B79" w:rsidR="00656337" w:rsidRPr="00DC5278" w:rsidRDefault="00656337"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Australia could </w:t>
      </w:r>
      <w:proofErr w:type="gramStart"/>
      <w:r w:rsidRPr="00DC5278">
        <w:rPr>
          <w:rFonts w:ascii="Times New Roman" w:hAnsi="Times New Roman" w:cs="Times New Roman"/>
          <w:sz w:val="24"/>
          <w:szCs w:val="24"/>
        </w:rPr>
        <w:t>enter into</w:t>
      </w:r>
      <w:proofErr w:type="gramEnd"/>
      <w:r w:rsidRPr="00DC5278">
        <w:rPr>
          <w:rFonts w:ascii="Times New Roman" w:hAnsi="Times New Roman" w:cs="Times New Roman"/>
          <w:sz w:val="24"/>
          <w:szCs w:val="24"/>
        </w:rPr>
        <w:t xml:space="preserve"> separate bilateral FTA negotiations with</w:t>
      </w:r>
      <w:r w:rsidR="00432FB8" w:rsidRPr="00DC5278">
        <w:rPr>
          <w:rFonts w:ascii="Times New Roman" w:hAnsi="Times New Roman" w:cs="Times New Roman"/>
          <w:sz w:val="24"/>
          <w:szCs w:val="24"/>
        </w:rPr>
        <w:t xml:space="preserve"> the </w:t>
      </w:r>
      <w:r w:rsidR="006A55AF">
        <w:rPr>
          <w:rFonts w:ascii="Times New Roman" w:hAnsi="Times New Roman" w:cs="Times New Roman"/>
          <w:sz w:val="24"/>
          <w:szCs w:val="24"/>
        </w:rPr>
        <w:t>TPP</w:t>
      </w:r>
      <w:r w:rsidR="00E22235">
        <w:rPr>
          <w:rFonts w:ascii="Times New Roman" w:hAnsi="Times New Roman" w:cs="Times New Roman"/>
          <w:sz w:val="24"/>
          <w:szCs w:val="24"/>
        </w:rPr>
        <w:t>-11</w:t>
      </w:r>
      <w:r w:rsidR="00432FB8" w:rsidRPr="00DC5278">
        <w:rPr>
          <w:rFonts w:ascii="Times New Roman" w:hAnsi="Times New Roman" w:cs="Times New Roman"/>
          <w:sz w:val="24"/>
          <w:szCs w:val="24"/>
        </w:rPr>
        <w:t xml:space="preserve"> negotiating countries with which </w:t>
      </w:r>
      <w:r w:rsidR="00304E92" w:rsidRPr="00DC5278">
        <w:rPr>
          <w:rFonts w:ascii="Times New Roman" w:hAnsi="Times New Roman" w:cs="Times New Roman"/>
          <w:sz w:val="24"/>
          <w:szCs w:val="24"/>
        </w:rPr>
        <w:t>Austral</w:t>
      </w:r>
      <w:r w:rsidR="00432FB8" w:rsidRPr="00DC5278">
        <w:rPr>
          <w:rFonts w:ascii="Times New Roman" w:hAnsi="Times New Roman" w:cs="Times New Roman"/>
          <w:sz w:val="24"/>
          <w:szCs w:val="24"/>
        </w:rPr>
        <w:t>ia does not have existing FTAs,</w:t>
      </w:r>
      <w:r w:rsidR="00304E92" w:rsidRPr="00DC5278">
        <w:rPr>
          <w:rStyle w:val="FootnoteReference"/>
          <w:rFonts w:ascii="Times New Roman" w:hAnsi="Times New Roman" w:cs="Times New Roman"/>
          <w:color w:val="auto"/>
          <w:sz w:val="24"/>
          <w:szCs w:val="24"/>
          <w:lang w:val="en-AU"/>
        </w:rPr>
        <w:footnoteReference w:id="5"/>
      </w:r>
      <w:r w:rsidR="00432FB8" w:rsidRPr="00DC5278">
        <w:rPr>
          <w:rFonts w:ascii="Times New Roman" w:hAnsi="Times New Roman" w:cs="Times New Roman"/>
          <w:sz w:val="24"/>
          <w:szCs w:val="24"/>
        </w:rPr>
        <w:t xml:space="preserve"> and seek to amend and enhance the existing eight FTAs</w:t>
      </w:r>
      <w:r w:rsidR="00304E92" w:rsidRPr="00DC5278">
        <w:rPr>
          <w:rFonts w:ascii="Times New Roman" w:hAnsi="Times New Roman" w:cs="Times New Roman"/>
          <w:sz w:val="24"/>
          <w:szCs w:val="24"/>
        </w:rPr>
        <w:t xml:space="preserve">. </w:t>
      </w:r>
      <w:r w:rsidR="00C85B2E">
        <w:rPr>
          <w:rFonts w:ascii="Times New Roman" w:hAnsi="Times New Roman" w:cs="Times New Roman"/>
          <w:sz w:val="24"/>
          <w:szCs w:val="24"/>
        </w:rPr>
        <w:t xml:space="preserve"> </w:t>
      </w:r>
      <w:r w:rsidR="00304E92" w:rsidRPr="00DC5278">
        <w:rPr>
          <w:rFonts w:ascii="Times New Roman" w:hAnsi="Times New Roman" w:cs="Times New Roman"/>
          <w:sz w:val="24"/>
          <w:szCs w:val="24"/>
        </w:rPr>
        <w:t xml:space="preserve">Nonetheless, it is not certain whether Australia alone could have been able to persuade these countries to lower their longstanding trade barriers in sensitive sectors such as agriculture.  </w:t>
      </w:r>
      <w:r w:rsidR="008E21C4" w:rsidRPr="00DC5278">
        <w:rPr>
          <w:rFonts w:ascii="Times New Roman" w:hAnsi="Times New Roman" w:cs="Times New Roman"/>
          <w:sz w:val="24"/>
          <w:szCs w:val="24"/>
        </w:rPr>
        <w:t xml:space="preserve">Moreover, bilateral agreements cannot deliver the supply chain benefits that the </w:t>
      </w:r>
      <w:r w:rsidR="006A55AF">
        <w:rPr>
          <w:rFonts w:ascii="Times New Roman" w:hAnsi="Times New Roman" w:cs="Times New Roman"/>
          <w:sz w:val="24"/>
          <w:szCs w:val="24"/>
        </w:rPr>
        <w:t>TPP</w:t>
      </w:r>
      <w:r w:rsidR="00E22235">
        <w:rPr>
          <w:rFonts w:ascii="Times New Roman" w:hAnsi="Times New Roman" w:cs="Times New Roman"/>
          <w:sz w:val="24"/>
          <w:szCs w:val="24"/>
        </w:rPr>
        <w:t>-11</w:t>
      </w:r>
      <w:r w:rsidR="008E21C4" w:rsidRPr="00DC5278">
        <w:rPr>
          <w:rFonts w:ascii="Times New Roman" w:hAnsi="Times New Roman" w:cs="Times New Roman"/>
          <w:sz w:val="24"/>
          <w:szCs w:val="24"/>
        </w:rPr>
        <w:t>, as a preferential regional deal, can deliver</w:t>
      </w:r>
      <w:r w:rsidR="00304E92" w:rsidRPr="00DC5278">
        <w:rPr>
          <w:rFonts w:ascii="Times New Roman" w:hAnsi="Times New Roman" w:cs="Times New Roman"/>
          <w:sz w:val="24"/>
          <w:szCs w:val="24"/>
        </w:rPr>
        <w:t>.</w:t>
      </w:r>
    </w:p>
    <w:p w14:paraId="74037B83" w14:textId="6552E2DB" w:rsidR="00076589" w:rsidRPr="00DC5278" w:rsidRDefault="00C85B2E" w:rsidP="0085547B">
      <w:pPr>
        <w:tabs>
          <w:tab w:val="left" w:pos="660"/>
        </w:tabs>
        <w:suppressAutoHyphens/>
        <w:spacing w:after="120"/>
        <w:rPr>
          <w:rFonts w:eastAsia="Times New Roman"/>
        </w:rPr>
      </w:pPr>
      <w:r>
        <w:rPr>
          <w:b/>
          <w:bCs/>
          <w:i/>
          <w:iCs/>
        </w:rPr>
        <w:t>No a</w:t>
      </w:r>
      <w:r w:rsidR="00076589" w:rsidRPr="00DC5278">
        <w:rPr>
          <w:b/>
          <w:bCs/>
          <w:i/>
          <w:iCs/>
        </w:rPr>
        <w:t>ction</w:t>
      </w:r>
    </w:p>
    <w:p w14:paraId="74037B84" w14:textId="4DA98CE0" w:rsidR="0039578A" w:rsidRPr="00DC5278" w:rsidRDefault="00076589"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N</w:t>
      </w:r>
      <w:r w:rsidR="005B6B31" w:rsidRPr="00DC5278">
        <w:rPr>
          <w:rFonts w:ascii="Times New Roman" w:hAnsi="Times New Roman" w:cs="Times New Roman"/>
          <w:sz w:val="24"/>
          <w:szCs w:val="24"/>
        </w:rPr>
        <w:t xml:space="preserve">ot joining the </w:t>
      </w:r>
      <w:r w:rsidR="006A55AF">
        <w:rPr>
          <w:rFonts w:ascii="Times New Roman" w:hAnsi="Times New Roman" w:cs="Times New Roman"/>
          <w:sz w:val="24"/>
          <w:szCs w:val="24"/>
        </w:rPr>
        <w:t>TPP</w:t>
      </w:r>
      <w:r w:rsidR="00E22235">
        <w:rPr>
          <w:rFonts w:ascii="Times New Roman" w:hAnsi="Times New Roman" w:cs="Times New Roman"/>
          <w:sz w:val="24"/>
          <w:szCs w:val="24"/>
        </w:rPr>
        <w:t>-11</w:t>
      </w:r>
      <w:r w:rsidR="005B6B31" w:rsidRPr="00DC5278">
        <w:rPr>
          <w:rFonts w:ascii="Times New Roman" w:hAnsi="Times New Roman" w:cs="Times New Roman"/>
          <w:sz w:val="24"/>
          <w:szCs w:val="24"/>
        </w:rPr>
        <w:t xml:space="preserve"> </w:t>
      </w:r>
      <w:r w:rsidR="004C5760" w:rsidRPr="00DC5278">
        <w:rPr>
          <w:rFonts w:ascii="Times New Roman" w:hAnsi="Times New Roman" w:cs="Times New Roman"/>
          <w:sz w:val="24"/>
          <w:szCs w:val="24"/>
        </w:rPr>
        <w:t xml:space="preserve">risks </w:t>
      </w:r>
      <w:r w:rsidR="005B6B31" w:rsidRPr="00DC5278">
        <w:rPr>
          <w:rFonts w:ascii="Times New Roman" w:hAnsi="Times New Roman" w:cs="Times New Roman"/>
          <w:sz w:val="24"/>
          <w:szCs w:val="24"/>
        </w:rPr>
        <w:t>Australia</w:t>
      </w:r>
      <w:r w:rsidR="004C5760" w:rsidRPr="00DC5278">
        <w:rPr>
          <w:rFonts w:ascii="Times New Roman" w:hAnsi="Times New Roman" w:cs="Times New Roman"/>
          <w:sz w:val="24"/>
          <w:szCs w:val="24"/>
        </w:rPr>
        <w:t>’s</w:t>
      </w:r>
      <w:r w:rsidR="005B6B31" w:rsidRPr="00DC5278">
        <w:rPr>
          <w:rFonts w:ascii="Times New Roman" w:hAnsi="Times New Roman" w:cs="Times New Roman"/>
          <w:sz w:val="24"/>
          <w:szCs w:val="24"/>
        </w:rPr>
        <w:t xml:space="preserve"> competitiveness in the region.  Taking no action would deny Australian exporters and investors the opportunity to take advantage of new </w:t>
      </w:r>
      <w:r w:rsidR="004C5760" w:rsidRPr="00DC5278">
        <w:rPr>
          <w:rFonts w:ascii="Times New Roman" w:hAnsi="Times New Roman" w:cs="Times New Roman"/>
          <w:sz w:val="24"/>
          <w:szCs w:val="24"/>
        </w:rPr>
        <w:t xml:space="preserve">market access and rules </w:t>
      </w:r>
      <w:r w:rsidR="005B6B31" w:rsidRPr="00DC5278">
        <w:rPr>
          <w:rFonts w:ascii="Times New Roman" w:hAnsi="Times New Roman" w:cs="Times New Roman"/>
          <w:sz w:val="24"/>
          <w:szCs w:val="24"/>
        </w:rPr>
        <w:t xml:space="preserve">that will facilitate </w:t>
      </w:r>
      <w:r w:rsidR="0085547B" w:rsidRPr="00DC5278">
        <w:rPr>
          <w:rFonts w:ascii="Times New Roman" w:hAnsi="Times New Roman" w:cs="Times New Roman"/>
          <w:sz w:val="24"/>
          <w:szCs w:val="24"/>
        </w:rPr>
        <w:t>GVCs</w:t>
      </w:r>
      <w:r w:rsidR="005B6B31" w:rsidRPr="00DC5278">
        <w:rPr>
          <w:rFonts w:ascii="Times New Roman" w:hAnsi="Times New Roman" w:cs="Times New Roman"/>
          <w:sz w:val="24"/>
          <w:szCs w:val="24"/>
        </w:rPr>
        <w:t xml:space="preserve"> </w:t>
      </w:r>
      <w:r w:rsidR="004C5760" w:rsidRPr="00DC5278">
        <w:rPr>
          <w:rFonts w:ascii="Times New Roman" w:hAnsi="Times New Roman" w:cs="Times New Roman"/>
          <w:sz w:val="24"/>
          <w:szCs w:val="24"/>
        </w:rPr>
        <w:t xml:space="preserve">and would put them at a competitive disadvantage in relation to their competitors from </w:t>
      </w:r>
      <w:r w:rsidR="006A55AF">
        <w:rPr>
          <w:rFonts w:ascii="Times New Roman" w:hAnsi="Times New Roman" w:cs="Times New Roman"/>
          <w:sz w:val="24"/>
          <w:szCs w:val="24"/>
        </w:rPr>
        <w:t>TPP</w:t>
      </w:r>
      <w:r w:rsidR="00E22235">
        <w:rPr>
          <w:rFonts w:ascii="Times New Roman" w:hAnsi="Times New Roman" w:cs="Times New Roman"/>
          <w:sz w:val="24"/>
          <w:szCs w:val="24"/>
        </w:rPr>
        <w:t>-11</w:t>
      </w:r>
      <w:r w:rsidR="004C5760" w:rsidRPr="00DC5278">
        <w:rPr>
          <w:rFonts w:ascii="Times New Roman" w:hAnsi="Times New Roman" w:cs="Times New Roman"/>
          <w:sz w:val="24"/>
          <w:szCs w:val="24"/>
        </w:rPr>
        <w:t xml:space="preserve"> countries</w:t>
      </w:r>
      <w:r w:rsidR="005B6B31" w:rsidRPr="00DC5278">
        <w:rPr>
          <w:rFonts w:ascii="Times New Roman" w:hAnsi="Times New Roman" w:cs="Times New Roman"/>
          <w:sz w:val="24"/>
          <w:szCs w:val="24"/>
        </w:rPr>
        <w:t xml:space="preserve">. </w:t>
      </w:r>
    </w:p>
    <w:p w14:paraId="74037B85" w14:textId="00929BDF" w:rsidR="0039578A"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The </w:t>
      </w:r>
      <w:r w:rsidR="006A55AF">
        <w:rPr>
          <w:rFonts w:ascii="Times New Roman" w:hAnsi="Times New Roman" w:cs="Times New Roman"/>
          <w:color w:val="auto"/>
          <w:sz w:val="24"/>
          <w:szCs w:val="24"/>
          <w:lang w:val="en-AU"/>
        </w:rPr>
        <w:t>TPP</w:t>
      </w:r>
      <w:r w:rsidR="00E22235">
        <w:rPr>
          <w:rFonts w:ascii="Times New Roman" w:hAnsi="Times New Roman" w:cs="Times New Roman"/>
          <w:color w:val="auto"/>
          <w:sz w:val="24"/>
          <w:szCs w:val="24"/>
          <w:lang w:val="en-AU"/>
        </w:rPr>
        <w:t>-11</w:t>
      </w:r>
      <w:r w:rsidRPr="00DC5278">
        <w:rPr>
          <w:rFonts w:ascii="Times New Roman" w:hAnsi="Times New Roman" w:cs="Times New Roman"/>
          <w:color w:val="auto"/>
          <w:sz w:val="24"/>
          <w:szCs w:val="24"/>
          <w:lang w:val="en-AU"/>
        </w:rPr>
        <w:t xml:space="preserve"> allows Australia to take an active role in encouraging competitive liberalisation and eventual consolidation of the various FTAs in the region in a manner that advances Australia’s trade, economic and foreign policy objectives.  </w:t>
      </w:r>
    </w:p>
    <w:p w14:paraId="3D1B0F29" w14:textId="364EC1F5" w:rsidR="00C3161D" w:rsidRPr="00C85B2E" w:rsidRDefault="00432FB8" w:rsidP="00C3161D">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lastRenderedPageBreak/>
        <w:t>T</w:t>
      </w:r>
      <w:r w:rsidR="005B6B31" w:rsidRPr="00DC5278">
        <w:rPr>
          <w:rFonts w:ascii="Times New Roman" w:hAnsi="Times New Roman" w:cs="Times New Roman"/>
          <w:color w:val="auto"/>
          <w:sz w:val="24"/>
          <w:szCs w:val="24"/>
          <w:lang w:val="en-AU"/>
        </w:rPr>
        <w:t xml:space="preserve">he </w:t>
      </w:r>
      <w:r w:rsidR="006A55AF">
        <w:rPr>
          <w:rFonts w:ascii="Times New Roman" w:hAnsi="Times New Roman" w:cs="Times New Roman"/>
          <w:color w:val="auto"/>
          <w:sz w:val="24"/>
          <w:szCs w:val="24"/>
          <w:lang w:val="en-AU"/>
        </w:rPr>
        <w:t>TPP</w:t>
      </w:r>
      <w:r w:rsidR="00E22235">
        <w:rPr>
          <w:rFonts w:ascii="Times New Roman" w:hAnsi="Times New Roman" w:cs="Times New Roman"/>
          <w:color w:val="auto"/>
          <w:sz w:val="24"/>
          <w:szCs w:val="24"/>
          <w:lang w:val="en-AU"/>
        </w:rPr>
        <w:t>-11</w:t>
      </w:r>
      <w:r w:rsidR="005B6B31" w:rsidRPr="00DC5278">
        <w:rPr>
          <w:rFonts w:ascii="Times New Roman" w:hAnsi="Times New Roman" w:cs="Times New Roman"/>
          <w:color w:val="auto"/>
          <w:sz w:val="24"/>
          <w:szCs w:val="24"/>
          <w:lang w:val="en-AU"/>
        </w:rPr>
        <w:t xml:space="preserve"> sends a much-needed signal </w:t>
      </w:r>
      <w:r w:rsidR="004C5760" w:rsidRPr="00DC5278">
        <w:rPr>
          <w:rFonts w:ascii="Times New Roman" w:hAnsi="Times New Roman" w:cs="Times New Roman"/>
          <w:color w:val="auto"/>
          <w:sz w:val="24"/>
          <w:szCs w:val="24"/>
          <w:lang w:val="en-AU"/>
        </w:rPr>
        <w:t>to</w:t>
      </w:r>
      <w:r w:rsidR="005B6B31" w:rsidRPr="00DC5278">
        <w:rPr>
          <w:rFonts w:ascii="Times New Roman" w:hAnsi="Times New Roman" w:cs="Times New Roman"/>
          <w:color w:val="auto"/>
          <w:sz w:val="24"/>
          <w:szCs w:val="24"/>
          <w:lang w:val="en-AU"/>
        </w:rPr>
        <w:t xml:space="preserve"> the international community </w:t>
      </w:r>
      <w:r w:rsidR="004C5760" w:rsidRPr="00DC5278">
        <w:rPr>
          <w:rFonts w:ascii="Times New Roman" w:hAnsi="Times New Roman" w:cs="Times New Roman"/>
          <w:color w:val="auto"/>
          <w:sz w:val="24"/>
          <w:szCs w:val="24"/>
          <w:lang w:val="en-AU"/>
        </w:rPr>
        <w:t xml:space="preserve">that diverse economies can agree historic reductions in trade barriers to grow and </w:t>
      </w:r>
      <w:r w:rsidR="005B6B31" w:rsidRPr="00DC5278">
        <w:rPr>
          <w:rFonts w:ascii="Times New Roman" w:hAnsi="Times New Roman" w:cs="Times New Roman"/>
          <w:color w:val="auto"/>
          <w:sz w:val="24"/>
          <w:szCs w:val="24"/>
          <w:lang w:val="en-AU"/>
        </w:rPr>
        <w:t>support cross-border trade and investment in the 21</w:t>
      </w:r>
      <w:r w:rsidR="005B6B31" w:rsidRPr="00DC5278">
        <w:rPr>
          <w:rFonts w:ascii="Times New Roman" w:hAnsi="Times New Roman" w:cs="Times New Roman"/>
          <w:color w:val="auto"/>
          <w:sz w:val="24"/>
          <w:szCs w:val="24"/>
          <w:vertAlign w:val="superscript"/>
          <w:lang w:val="en-AU"/>
        </w:rPr>
        <w:t>st</w:t>
      </w:r>
      <w:r w:rsidR="005B6B31" w:rsidRPr="00DC5278">
        <w:rPr>
          <w:rFonts w:ascii="Times New Roman" w:hAnsi="Times New Roman" w:cs="Times New Roman"/>
          <w:color w:val="auto"/>
          <w:sz w:val="24"/>
          <w:szCs w:val="24"/>
          <w:lang w:val="en-AU"/>
        </w:rPr>
        <w:t xml:space="preserve"> century.</w:t>
      </w:r>
    </w:p>
    <w:p w14:paraId="74037B87" w14:textId="4C57B8CF" w:rsidR="00076589" w:rsidRPr="00DC5278" w:rsidRDefault="006A55AF" w:rsidP="0085547B">
      <w:pPr>
        <w:suppressAutoHyphens/>
        <w:spacing w:after="120"/>
        <w:rPr>
          <w:rFonts w:eastAsia="Times New Roman"/>
          <w:b/>
          <w:bCs/>
          <w:i/>
          <w:iCs/>
        </w:rPr>
      </w:pPr>
      <w:r>
        <w:rPr>
          <w:b/>
          <w:bCs/>
          <w:i/>
          <w:iCs/>
        </w:rPr>
        <w:t>TPP</w:t>
      </w:r>
      <w:r w:rsidR="00E75F58">
        <w:rPr>
          <w:b/>
          <w:bCs/>
          <w:i/>
          <w:iCs/>
        </w:rPr>
        <w:t>-11</w:t>
      </w:r>
    </w:p>
    <w:p w14:paraId="74037B88" w14:textId="77777777" w:rsidR="004C5760" w:rsidRPr="00DC5278" w:rsidRDefault="004C5760"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The</w:t>
      </w:r>
      <w:r w:rsidR="005B6B31" w:rsidRPr="00DC5278">
        <w:rPr>
          <w:rFonts w:ascii="Times New Roman" w:hAnsi="Times New Roman" w:cs="Times New Roman"/>
          <w:sz w:val="24"/>
          <w:szCs w:val="24"/>
        </w:rPr>
        <w:t xml:space="preserve"> </w:t>
      </w:r>
      <w:r w:rsidRPr="00DC5278">
        <w:rPr>
          <w:rFonts w:ascii="Times New Roman" w:hAnsi="Times New Roman" w:cs="Times New Roman"/>
          <w:sz w:val="24"/>
          <w:szCs w:val="24"/>
        </w:rPr>
        <w:t>WTO system allows for bilateral and regional FTAs as a way of reducing trade barriers among a subset of WTO Members so long as</w:t>
      </w:r>
      <w:r w:rsidR="0085547B" w:rsidRPr="00DC5278">
        <w:rPr>
          <w:rFonts w:ascii="Times New Roman" w:hAnsi="Times New Roman" w:cs="Times New Roman"/>
          <w:sz w:val="24"/>
          <w:szCs w:val="24"/>
        </w:rPr>
        <w:t xml:space="preserve"> the FTA substantially </w:t>
      </w:r>
      <w:proofErr w:type="spellStart"/>
      <w:r w:rsidR="0085547B" w:rsidRPr="00DC5278">
        <w:rPr>
          <w:rFonts w:ascii="Times New Roman" w:hAnsi="Times New Roman" w:cs="Times New Roman"/>
          <w:sz w:val="24"/>
          <w:szCs w:val="24"/>
        </w:rPr>
        <w:t>liberalis</w:t>
      </w:r>
      <w:r w:rsidRPr="00DC5278">
        <w:rPr>
          <w:rFonts w:ascii="Times New Roman" w:hAnsi="Times New Roman" w:cs="Times New Roman"/>
          <w:sz w:val="24"/>
          <w:szCs w:val="24"/>
        </w:rPr>
        <w:t>es</w:t>
      </w:r>
      <w:proofErr w:type="spellEnd"/>
      <w:r w:rsidRPr="00DC5278">
        <w:rPr>
          <w:rFonts w:ascii="Times New Roman" w:hAnsi="Times New Roman" w:cs="Times New Roman"/>
          <w:sz w:val="24"/>
          <w:szCs w:val="24"/>
        </w:rPr>
        <w:t xml:space="preserve"> trade between the FTA parties.  </w:t>
      </w:r>
    </w:p>
    <w:p w14:paraId="74037B89" w14:textId="3DA80E66" w:rsidR="00BC1E8B" w:rsidRPr="00DC5278" w:rsidRDefault="0085547B"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A </w:t>
      </w:r>
      <w:r w:rsidR="005B6B31" w:rsidRPr="00DC5278">
        <w:rPr>
          <w:rFonts w:ascii="Times New Roman" w:hAnsi="Times New Roman" w:cs="Times New Roman"/>
          <w:sz w:val="24"/>
          <w:szCs w:val="24"/>
        </w:rPr>
        <w:t>WTO-consistent FTA with the 1</w:t>
      </w:r>
      <w:r w:rsidR="00C3161D">
        <w:rPr>
          <w:rFonts w:ascii="Times New Roman" w:hAnsi="Times New Roman" w:cs="Times New Roman"/>
          <w:sz w:val="24"/>
          <w:szCs w:val="24"/>
        </w:rPr>
        <w:t>0</w:t>
      </w:r>
      <w:r w:rsidR="005B6B31" w:rsidRPr="00DC5278">
        <w:rPr>
          <w:rFonts w:ascii="Times New Roman" w:hAnsi="Times New Roman" w:cs="Times New Roman"/>
          <w:sz w:val="24"/>
          <w:szCs w:val="24"/>
        </w:rPr>
        <w:t xml:space="preserve"> other </w:t>
      </w:r>
      <w:r w:rsidR="006A55AF">
        <w:rPr>
          <w:rFonts w:ascii="Times New Roman" w:hAnsi="Times New Roman" w:cs="Times New Roman"/>
          <w:sz w:val="24"/>
          <w:szCs w:val="24"/>
        </w:rPr>
        <w:t>TPP</w:t>
      </w:r>
      <w:r w:rsidR="00C033C7">
        <w:rPr>
          <w:rFonts w:ascii="Times New Roman" w:hAnsi="Times New Roman" w:cs="Times New Roman"/>
          <w:sz w:val="24"/>
          <w:szCs w:val="24"/>
        </w:rPr>
        <w:t>-11</w:t>
      </w:r>
      <w:r w:rsidR="005B6B31" w:rsidRPr="00DC5278">
        <w:rPr>
          <w:rFonts w:ascii="Times New Roman" w:hAnsi="Times New Roman" w:cs="Times New Roman"/>
          <w:sz w:val="24"/>
          <w:szCs w:val="24"/>
        </w:rPr>
        <w:t xml:space="preserve"> countries achieve</w:t>
      </w:r>
      <w:r w:rsidR="008E21C4" w:rsidRPr="00DC5278">
        <w:rPr>
          <w:rFonts w:ascii="Times New Roman" w:hAnsi="Times New Roman" w:cs="Times New Roman"/>
          <w:sz w:val="24"/>
          <w:szCs w:val="24"/>
        </w:rPr>
        <w:t>s</w:t>
      </w:r>
      <w:r w:rsidR="005B6B31" w:rsidRPr="00DC5278">
        <w:rPr>
          <w:rFonts w:ascii="Times New Roman" w:hAnsi="Times New Roman" w:cs="Times New Roman"/>
          <w:sz w:val="24"/>
          <w:szCs w:val="24"/>
        </w:rPr>
        <w:t xml:space="preserve"> the Government’s objective in a timely manner.</w:t>
      </w:r>
    </w:p>
    <w:p w14:paraId="74037B8A" w14:textId="77777777" w:rsidR="00076589" w:rsidRPr="00DC5278" w:rsidRDefault="00DE462F" w:rsidP="0085547B">
      <w:pPr>
        <w:pStyle w:val="Heading"/>
        <w:suppressAutoHyphens/>
        <w:rPr>
          <w:color w:val="auto"/>
        </w:rPr>
      </w:pPr>
      <w:bookmarkStart w:id="4" w:name="_Toc508810489"/>
      <w:r>
        <w:rPr>
          <w:rFonts w:eastAsia="Arial Unicode MS"/>
          <w:color w:val="auto"/>
        </w:rPr>
        <w:t xml:space="preserve">PART 5: </w:t>
      </w:r>
      <w:r w:rsidR="00076589" w:rsidRPr="00DC5278">
        <w:rPr>
          <w:rFonts w:eastAsia="Arial Unicode MS"/>
          <w:color w:val="auto"/>
        </w:rPr>
        <w:t>IMPACT ANALYSIS</w:t>
      </w:r>
      <w:bookmarkEnd w:id="4"/>
      <w:r w:rsidR="00076589" w:rsidRPr="00DC5278">
        <w:rPr>
          <w:rFonts w:eastAsia="Arial Unicode MS"/>
          <w:color w:val="auto"/>
        </w:rPr>
        <w:t xml:space="preserve"> </w:t>
      </w:r>
    </w:p>
    <w:p w14:paraId="74037B8B" w14:textId="1801FFF9" w:rsidR="00076589" w:rsidRPr="00DC5278" w:rsidRDefault="00304E92" w:rsidP="0085547B">
      <w:pPr>
        <w:pStyle w:val="BodyA"/>
        <w:suppressAutoHyphens/>
        <w:spacing w:after="120"/>
        <w:rPr>
          <w:rFonts w:ascii="Times New Roman" w:eastAsia="Times New Roman" w:hAnsi="Times New Roman" w:cs="Times New Roman"/>
          <w:b/>
          <w:bCs/>
          <w:i/>
          <w:iCs/>
          <w:color w:val="auto"/>
          <w:sz w:val="24"/>
          <w:szCs w:val="24"/>
          <w:lang w:val="en-AU"/>
        </w:rPr>
      </w:pPr>
      <w:r w:rsidRPr="00DC5278">
        <w:rPr>
          <w:rFonts w:ascii="Times New Roman" w:hAnsi="Times New Roman" w:cs="Times New Roman"/>
          <w:b/>
          <w:bCs/>
          <w:i/>
          <w:iCs/>
          <w:color w:val="auto"/>
          <w:sz w:val="24"/>
          <w:szCs w:val="24"/>
          <w:lang w:val="en-AU"/>
        </w:rPr>
        <w:t xml:space="preserve">Benefits to the Australian </w:t>
      </w:r>
      <w:r w:rsidR="00BC0C1C">
        <w:rPr>
          <w:rFonts w:ascii="Times New Roman" w:hAnsi="Times New Roman" w:cs="Times New Roman"/>
          <w:b/>
          <w:bCs/>
          <w:i/>
          <w:iCs/>
          <w:color w:val="auto"/>
          <w:sz w:val="24"/>
          <w:szCs w:val="24"/>
          <w:lang w:val="en-AU"/>
        </w:rPr>
        <w:t>e</w:t>
      </w:r>
      <w:r w:rsidR="00076589" w:rsidRPr="00DC5278">
        <w:rPr>
          <w:rFonts w:ascii="Times New Roman" w:hAnsi="Times New Roman" w:cs="Times New Roman"/>
          <w:b/>
          <w:bCs/>
          <w:i/>
          <w:iCs/>
          <w:color w:val="auto"/>
          <w:sz w:val="24"/>
          <w:szCs w:val="24"/>
          <w:lang w:val="en-AU"/>
        </w:rPr>
        <w:t>conomy</w:t>
      </w:r>
    </w:p>
    <w:p w14:paraId="74037B8C" w14:textId="3FB3CD4F" w:rsidR="00076589" w:rsidRPr="00DC5278" w:rsidRDefault="00076589" w:rsidP="0085547B">
      <w:pPr>
        <w:pStyle w:val="ListParagraph"/>
        <w:numPr>
          <w:ilvl w:val="0"/>
          <w:numId w:val="68"/>
        </w:numPr>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w:t>
      </w:r>
      <w:r w:rsidR="006A55AF">
        <w:rPr>
          <w:rFonts w:ascii="Times New Roman" w:hAnsi="Times New Roman" w:cs="Times New Roman"/>
          <w:sz w:val="24"/>
          <w:szCs w:val="24"/>
        </w:rPr>
        <w:t>TPP</w:t>
      </w:r>
      <w:r w:rsidR="0024487D">
        <w:rPr>
          <w:rFonts w:ascii="Times New Roman" w:hAnsi="Times New Roman" w:cs="Times New Roman"/>
          <w:sz w:val="24"/>
          <w:szCs w:val="24"/>
        </w:rPr>
        <w:t>-11</w:t>
      </w:r>
      <w:r w:rsidRPr="00DC5278">
        <w:rPr>
          <w:rFonts w:ascii="Times New Roman" w:hAnsi="Times New Roman" w:cs="Times New Roman"/>
          <w:sz w:val="24"/>
          <w:szCs w:val="24"/>
        </w:rPr>
        <w:t xml:space="preserve"> has delivered high quality outcomes that will open substantial new trade and investment opportunities for Australia.  It will promote job-creating growth, further integrate our economy </w:t>
      </w:r>
      <w:proofErr w:type="gramStart"/>
      <w:r w:rsidRPr="00DC5278">
        <w:rPr>
          <w:rFonts w:ascii="Times New Roman" w:hAnsi="Times New Roman" w:cs="Times New Roman"/>
          <w:sz w:val="24"/>
          <w:szCs w:val="24"/>
        </w:rPr>
        <w:t>in</w:t>
      </w:r>
      <w:proofErr w:type="gramEnd"/>
      <w:r w:rsidRPr="00DC5278">
        <w:rPr>
          <w:rFonts w:ascii="Times New Roman" w:hAnsi="Times New Roman" w:cs="Times New Roman"/>
          <w:sz w:val="24"/>
          <w:szCs w:val="24"/>
        </w:rPr>
        <w:t xml:space="preserve"> the fast-growing Asia-Pacific region, and promote and facilitate regional supply chains.  </w:t>
      </w:r>
      <w:proofErr w:type="gramStart"/>
      <w:r w:rsidRPr="00DC5278">
        <w:rPr>
          <w:rFonts w:ascii="Times New Roman" w:hAnsi="Times New Roman" w:cs="Times New Roman"/>
          <w:sz w:val="24"/>
          <w:szCs w:val="24"/>
        </w:rPr>
        <w:t xml:space="preserve">The </w:t>
      </w:r>
      <w:r w:rsidR="006A55AF">
        <w:rPr>
          <w:rFonts w:ascii="Times New Roman" w:hAnsi="Times New Roman" w:cs="Times New Roman"/>
          <w:sz w:val="24"/>
          <w:szCs w:val="24"/>
        </w:rPr>
        <w:t>TPP</w:t>
      </w:r>
      <w:proofErr w:type="gramEnd"/>
      <w:r w:rsidR="0024487D">
        <w:rPr>
          <w:rFonts w:ascii="Times New Roman" w:hAnsi="Times New Roman" w:cs="Times New Roman"/>
          <w:sz w:val="24"/>
          <w:szCs w:val="24"/>
        </w:rPr>
        <w:t>-11</w:t>
      </w:r>
      <w:r w:rsidRPr="00DC5278">
        <w:rPr>
          <w:rFonts w:ascii="Times New Roman" w:hAnsi="Times New Roman" w:cs="Times New Roman"/>
          <w:sz w:val="24"/>
          <w:szCs w:val="24"/>
        </w:rPr>
        <w:t xml:space="preserve"> forms part of the </w:t>
      </w:r>
      <w:r w:rsidR="00BC0C1C">
        <w:rPr>
          <w:rFonts w:ascii="Times New Roman" w:hAnsi="Times New Roman" w:cs="Times New Roman"/>
          <w:sz w:val="24"/>
          <w:szCs w:val="24"/>
        </w:rPr>
        <w:t>G</w:t>
      </w:r>
      <w:r w:rsidRPr="00DC5278">
        <w:rPr>
          <w:rFonts w:ascii="Times New Roman" w:hAnsi="Times New Roman" w:cs="Times New Roman"/>
          <w:sz w:val="24"/>
          <w:szCs w:val="24"/>
        </w:rPr>
        <w:t>overnment’s microeconomic reform strategy to support diversification of our economy in th</w:t>
      </w:r>
      <w:r w:rsidR="00FE6B72" w:rsidRPr="00DC5278">
        <w:rPr>
          <w:rFonts w:ascii="Times New Roman" w:hAnsi="Times New Roman" w:cs="Times New Roman"/>
          <w:sz w:val="24"/>
          <w:szCs w:val="24"/>
        </w:rPr>
        <w:t>e</w:t>
      </w:r>
      <w:r w:rsidRPr="00DC5278">
        <w:rPr>
          <w:rFonts w:ascii="Times New Roman" w:hAnsi="Times New Roman" w:cs="Times New Roman"/>
          <w:sz w:val="24"/>
          <w:szCs w:val="24"/>
        </w:rPr>
        <w:t xml:space="preserve"> post-mining boom phase.  </w:t>
      </w:r>
    </w:p>
    <w:p w14:paraId="74037B8D" w14:textId="39AA767C" w:rsidR="0039578A" w:rsidRPr="00DC5278" w:rsidRDefault="00076589"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By setting common international trade and investment standards between member countries, the </w:t>
      </w:r>
      <w:r w:rsidR="006A55AF">
        <w:rPr>
          <w:rFonts w:ascii="Times New Roman" w:hAnsi="Times New Roman" w:cs="Times New Roman"/>
          <w:sz w:val="24"/>
          <w:szCs w:val="24"/>
        </w:rPr>
        <w:t>TPP</w:t>
      </w:r>
      <w:r w:rsidR="0024487D">
        <w:rPr>
          <w:rFonts w:ascii="Times New Roman" w:hAnsi="Times New Roman" w:cs="Times New Roman"/>
          <w:sz w:val="24"/>
          <w:szCs w:val="24"/>
        </w:rPr>
        <w:t>-11</w:t>
      </w:r>
      <w:r w:rsidRPr="00DC5278">
        <w:rPr>
          <w:rFonts w:ascii="Times New Roman" w:hAnsi="Times New Roman" w:cs="Times New Roman"/>
          <w:sz w:val="24"/>
          <w:szCs w:val="24"/>
        </w:rPr>
        <w:t xml:space="preserve"> will make doing business across the region easier, reducing red tape and business costs. </w:t>
      </w:r>
    </w:p>
    <w:p w14:paraId="74037B8E" w14:textId="77777777" w:rsidR="00725B8E" w:rsidRPr="00DC5278" w:rsidRDefault="005B6B31"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lang w:val="en-AU"/>
        </w:rPr>
        <w:t xml:space="preserve">Increased and more efficient trade and investment in the region will benefit the Australian economy.  Improved market access for Australian goods and services </w:t>
      </w:r>
      <w:r w:rsidR="0085547B" w:rsidRPr="00DC5278">
        <w:rPr>
          <w:rFonts w:ascii="Times New Roman" w:hAnsi="Times New Roman" w:cs="Times New Roman"/>
          <w:color w:val="auto"/>
          <w:sz w:val="24"/>
          <w:szCs w:val="24"/>
          <w:lang w:val="en-AU"/>
        </w:rPr>
        <w:t>exports and lower import prices will</w:t>
      </w:r>
      <w:r w:rsidRPr="00DC5278">
        <w:rPr>
          <w:rFonts w:ascii="Times New Roman" w:hAnsi="Times New Roman" w:cs="Times New Roman"/>
          <w:color w:val="auto"/>
          <w:sz w:val="24"/>
          <w:szCs w:val="24"/>
          <w:lang w:val="en-AU"/>
        </w:rPr>
        <w:t xml:space="preserve"> increase capital accumulation, raise productivities and improve utilisation of resources.  </w:t>
      </w:r>
    </w:p>
    <w:p w14:paraId="74037B8F" w14:textId="22C514B9" w:rsidR="00725B8E" w:rsidRPr="00DC5278" w:rsidRDefault="00725B8E" w:rsidP="0085547B">
      <w:pPr>
        <w:pStyle w:val="Body"/>
        <w:suppressAutoHyphens/>
        <w:spacing w:after="120"/>
        <w:rPr>
          <w:rFonts w:hAnsi="Times New Roman" w:cs="Times New Roman"/>
          <w:b/>
          <w:bCs/>
          <w:i/>
          <w:iCs/>
          <w:color w:val="auto"/>
          <w:u w:color="414042"/>
          <w:lang w:val="en-AU"/>
        </w:rPr>
      </w:pPr>
      <w:r w:rsidRPr="00DC5278">
        <w:rPr>
          <w:rFonts w:hAnsi="Times New Roman" w:cs="Times New Roman"/>
          <w:b/>
          <w:bCs/>
          <w:i/>
          <w:iCs/>
          <w:color w:val="auto"/>
          <w:u w:color="414042"/>
          <w:lang w:val="en-AU"/>
        </w:rPr>
        <w:t xml:space="preserve">Key </w:t>
      </w:r>
      <w:r w:rsidR="00BC0C1C">
        <w:rPr>
          <w:rFonts w:hAnsi="Times New Roman" w:cs="Times New Roman"/>
          <w:b/>
          <w:bCs/>
          <w:i/>
          <w:iCs/>
          <w:color w:val="auto"/>
          <w:u w:color="414042"/>
          <w:lang w:val="en-AU"/>
        </w:rPr>
        <w:t>g</w:t>
      </w:r>
      <w:r w:rsidRPr="00DC5278">
        <w:rPr>
          <w:rFonts w:hAnsi="Times New Roman" w:cs="Times New Roman"/>
          <w:b/>
          <w:bCs/>
          <w:i/>
          <w:iCs/>
          <w:color w:val="auto"/>
          <w:u w:color="414042"/>
          <w:lang w:val="en-AU"/>
        </w:rPr>
        <w:t xml:space="preserve">oods </w:t>
      </w:r>
      <w:r w:rsidR="00BC0C1C">
        <w:rPr>
          <w:rFonts w:hAnsi="Times New Roman" w:cs="Times New Roman"/>
          <w:b/>
          <w:bCs/>
          <w:i/>
          <w:iCs/>
          <w:color w:val="auto"/>
          <w:u w:color="414042"/>
          <w:lang w:val="en-AU"/>
        </w:rPr>
        <w:t>m</w:t>
      </w:r>
      <w:r w:rsidRPr="00DC5278">
        <w:rPr>
          <w:rFonts w:hAnsi="Times New Roman" w:cs="Times New Roman"/>
          <w:b/>
          <w:bCs/>
          <w:i/>
          <w:iCs/>
          <w:color w:val="auto"/>
          <w:u w:color="414042"/>
          <w:lang w:val="en-AU"/>
        </w:rPr>
        <w:t xml:space="preserve">arket </w:t>
      </w:r>
      <w:r w:rsidR="00BC0C1C">
        <w:rPr>
          <w:rFonts w:hAnsi="Times New Roman" w:cs="Times New Roman"/>
          <w:b/>
          <w:bCs/>
          <w:i/>
          <w:iCs/>
          <w:color w:val="auto"/>
          <w:u w:color="414042"/>
          <w:lang w:val="en-AU"/>
        </w:rPr>
        <w:t>a</w:t>
      </w:r>
      <w:r w:rsidRPr="00DC5278">
        <w:rPr>
          <w:rFonts w:hAnsi="Times New Roman" w:cs="Times New Roman"/>
          <w:b/>
          <w:bCs/>
          <w:i/>
          <w:iCs/>
          <w:color w:val="auto"/>
          <w:u w:color="414042"/>
          <w:lang w:val="en-AU"/>
        </w:rPr>
        <w:t xml:space="preserve">ccess </w:t>
      </w:r>
      <w:r w:rsidR="00BC0C1C">
        <w:rPr>
          <w:rFonts w:hAnsi="Times New Roman" w:cs="Times New Roman"/>
          <w:b/>
          <w:bCs/>
          <w:i/>
          <w:iCs/>
          <w:color w:val="auto"/>
          <w:u w:color="414042"/>
          <w:lang w:val="en-AU"/>
        </w:rPr>
        <w:t>o</w:t>
      </w:r>
      <w:r w:rsidRPr="00DC5278">
        <w:rPr>
          <w:rFonts w:hAnsi="Times New Roman" w:cs="Times New Roman"/>
          <w:b/>
          <w:bCs/>
          <w:i/>
          <w:iCs/>
          <w:color w:val="auto"/>
          <w:u w:color="414042"/>
          <w:lang w:val="en-AU"/>
        </w:rPr>
        <w:t>utcomes</w:t>
      </w:r>
    </w:p>
    <w:p w14:paraId="74037B90" w14:textId="50B93403" w:rsidR="0039578A" w:rsidRPr="00307077" w:rsidRDefault="00725B8E"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307077">
        <w:rPr>
          <w:rFonts w:ascii="Times New Roman" w:hAnsi="Times New Roman" w:cs="Times New Roman"/>
          <w:sz w:val="24"/>
          <w:szCs w:val="24"/>
          <w:u w:color="414042"/>
        </w:rPr>
        <w:t xml:space="preserve">Australia’s goods exports to </w:t>
      </w:r>
      <w:r w:rsidR="006A55AF" w:rsidRPr="00307077">
        <w:rPr>
          <w:rFonts w:ascii="Times New Roman" w:hAnsi="Times New Roman" w:cs="Times New Roman"/>
          <w:sz w:val="24"/>
          <w:szCs w:val="24"/>
          <w:u w:color="414042"/>
        </w:rPr>
        <w:t>TPP</w:t>
      </w:r>
      <w:r w:rsidR="00FA297B" w:rsidRPr="00307077">
        <w:rPr>
          <w:rFonts w:ascii="Times New Roman" w:hAnsi="Times New Roman" w:cs="Times New Roman"/>
          <w:sz w:val="24"/>
          <w:szCs w:val="24"/>
          <w:u w:color="414042"/>
        </w:rPr>
        <w:t>-11</w:t>
      </w:r>
      <w:r w:rsidR="00036501" w:rsidRPr="00307077">
        <w:rPr>
          <w:rFonts w:ascii="Times New Roman" w:hAnsi="Times New Roman" w:cs="Times New Roman"/>
          <w:sz w:val="24"/>
          <w:szCs w:val="24"/>
          <w:u w:color="414042"/>
        </w:rPr>
        <w:t xml:space="preserve"> Parties were worth around $69.6</w:t>
      </w:r>
      <w:r w:rsidRPr="00307077">
        <w:rPr>
          <w:rFonts w:ascii="Times New Roman" w:hAnsi="Times New Roman" w:cs="Times New Roman"/>
          <w:sz w:val="24"/>
          <w:szCs w:val="24"/>
          <w:u w:color="414042"/>
        </w:rPr>
        <w:t xml:space="preserve"> billion in 201</w:t>
      </w:r>
      <w:r w:rsidR="00036501" w:rsidRPr="00307077">
        <w:rPr>
          <w:rFonts w:ascii="Times New Roman" w:hAnsi="Times New Roman" w:cs="Times New Roman"/>
          <w:sz w:val="24"/>
          <w:szCs w:val="24"/>
          <w:u w:color="414042"/>
        </w:rPr>
        <w:t>6-17</w:t>
      </w:r>
      <w:r w:rsidRPr="00307077">
        <w:rPr>
          <w:rFonts w:ascii="Times New Roman" w:hAnsi="Times New Roman" w:cs="Times New Roman"/>
          <w:sz w:val="24"/>
          <w:szCs w:val="24"/>
          <w:u w:color="414042"/>
        </w:rPr>
        <w:t xml:space="preserve"> –</w:t>
      </w:r>
      <w:r w:rsidR="00036501" w:rsidRPr="00307077">
        <w:rPr>
          <w:rFonts w:ascii="Times New Roman" w:hAnsi="Times New Roman" w:cs="Times New Roman"/>
          <w:sz w:val="24"/>
          <w:szCs w:val="24"/>
          <w:u w:color="414042"/>
        </w:rPr>
        <w:t xml:space="preserve"> or 23.9</w:t>
      </w:r>
      <w:r w:rsidRPr="00307077">
        <w:rPr>
          <w:rFonts w:ascii="Times New Roman" w:hAnsi="Times New Roman" w:cs="Times New Roman"/>
          <w:sz w:val="24"/>
          <w:szCs w:val="24"/>
          <w:u w:color="414042"/>
        </w:rPr>
        <w:t xml:space="preserve"> per cent of Australia’s total goods exports. </w:t>
      </w:r>
    </w:p>
    <w:p w14:paraId="3481BAC5" w14:textId="364164BB" w:rsidR="008A574F" w:rsidRPr="00CC6458" w:rsidRDefault="00725B8E" w:rsidP="003F5199">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CC6458">
        <w:rPr>
          <w:rFonts w:ascii="Times New Roman" w:hAnsi="Times New Roman" w:cs="Times New Roman"/>
          <w:color w:val="auto"/>
          <w:sz w:val="24"/>
          <w:szCs w:val="24"/>
          <w:u w:color="414042"/>
          <w:lang w:val="en-AU"/>
        </w:rPr>
        <w:t xml:space="preserve">The </w:t>
      </w:r>
      <w:r w:rsidR="006A55AF" w:rsidRPr="00CC6458">
        <w:rPr>
          <w:rFonts w:ascii="Times New Roman" w:hAnsi="Times New Roman" w:cs="Times New Roman"/>
          <w:color w:val="auto"/>
          <w:sz w:val="24"/>
          <w:szCs w:val="24"/>
          <w:u w:color="414042"/>
          <w:lang w:val="en-AU"/>
        </w:rPr>
        <w:t>TPP</w:t>
      </w:r>
      <w:r w:rsidR="00244EA2" w:rsidRPr="00CC6458">
        <w:rPr>
          <w:rFonts w:ascii="Times New Roman" w:hAnsi="Times New Roman" w:cs="Times New Roman"/>
          <w:color w:val="auto"/>
          <w:sz w:val="24"/>
          <w:szCs w:val="24"/>
          <w:u w:color="414042"/>
          <w:lang w:val="en-AU"/>
        </w:rPr>
        <w:t>-11</w:t>
      </w:r>
      <w:r w:rsidRPr="00CC6458">
        <w:rPr>
          <w:rFonts w:ascii="Times New Roman" w:hAnsi="Times New Roman" w:cs="Times New Roman"/>
          <w:color w:val="auto"/>
          <w:sz w:val="24"/>
          <w:szCs w:val="24"/>
          <w:u w:color="414042"/>
          <w:lang w:val="en-AU"/>
        </w:rPr>
        <w:t xml:space="preserve"> will eliminate 98 per cent of tariffs in the </w:t>
      </w:r>
      <w:r w:rsidR="00240F08" w:rsidRPr="00CC6458">
        <w:rPr>
          <w:rFonts w:ascii="Times New Roman" w:hAnsi="Times New Roman" w:cs="Times New Roman"/>
          <w:color w:val="auto"/>
          <w:sz w:val="24"/>
          <w:szCs w:val="24"/>
          <w:u w:color="414042"/>
          <w:lang w:val="en-AU"/>
        </w:rPr>
        <w:t>TPP-11</w:t>
      </w:r>
      <w:r w:rsidRPr="00CC6458">
        <w:rPr>
          <w:rFonts w:ascii="Times New Roman" w:hAnsi="Times New Roman" w:cs="Times New Roman"/>
          <w:color w:val="auto"/>
          <w:sz w:val="24"/>
          <w:szCs w:val="24"/>
          <w:u w:color="414042"/>
          <w:lang w:val="en-AU"/>
        </w:rPr>
        <w:t xml:space="preserve"> region. </w:t>
      </w:r>
      <w:r w:rsidR="00146552" w:rsidRPr="00CC6458">
        <w:rPr>
          <w:rFonts w:ascii="Times New Roman" w:hAnsi="Times New Roman" w:cs="Times New Roman"/>
          <w:color w:val="auto"/>
          <w:sz w:val="24"/>
          <w:szCs w:val="24"/>
          <w:u w:color="414042"/>
          <w:lang w:val="en-AU"/>
        </w:rPr>
        <w:t xml:space="preserve"> </w:t>
      </w:r>
      <w:r w:rsidR="00CC6458">
        <w:rPr>
          <w:rFonts w:ascii="Times New Roman" w:hAnsi="Times New Roman" w:cs="Times New Roman"/>
          <w:color w:val="auto"/>
          <w:sz w:val="24"/>
          <w:szCs w:val="24"/>
          <w:u w:color="414042"/>
          <w:lang w:val="en-AU"/>
        </w:rPr>
        <w:t>T</w:t>
      </w:r>
      <w:r w:rsidR="00090664" w:rsidRPr="00CC6458">
        <w:rPr>
          <w:rFonts w:ascii="Times New Roman" w:hAnsi="Times New Roman" w:cs="Times New Roman"/>
          <w:color w:val="auto"/>
          <w:sz w:val="24"/>
          <w:szCs w:val="24"/>
          <w:u w:color="414042"/>
          <w:lang w:val="en-AU"/>
        </w:rPr>
        <w:t xml:space="preserve">he TPP-11 market access outcomes build on existing levels of market access Australia has with its FTA partners, namely Japan, Chile, New Zealand, Malaysia, Singapore, Peru, Brunei and Vietnam.  The TPP-11 also </w:t>
      </w:r>
      <w:proofErr w:type="gramStart"/>
      <w:r w:rsidR="00090664" w:rsidRPr="00CC6458">
        <w:rPr>
          <w:rFonts w:ascii="Times New Roman" w:hAnsi="Times New Roman" w:cs="Times New Roman"/>
          <w:color w:val="auto"/>
          <w:sz w:val="24"/>
          <w:szCs w:val="24"/>
          <w:u w:color="414042"/>
          <w:lang w:val="en-AU"/>
        </w:rPr>
        <w:t>opens up</w:t>
      </w:r>
      <w:proofErr w:type="gramEnd"/>
      <w:r w:rsidR="00090664" w:rsidRPr="00CC6458">
        <w:rPr>
          <w:rFonts w:ascii="Times New Roman" w:hAnsi="Times New Roman" w:cs="Times New Roman"/>
          <w:color w:val="auto"/>
          <w:sz w:val="24"/>
          <w:szCs w:val="24"/>
          <w:u w:color="414042"/>
          <w:lang w:val="en-AU"/>
        </w:rPr>
        <w:t xml:space="preserve"> valuable new market access opportunities for Australian exporters in the two TPP-11 </w:t>
      </w:r>
      <w:r w:rsidR="00CC6458">
        <w:rPr>
          <w:rFonts w:ascii="Times New Roman" w:hAnsi="Times New Roman" w:cs="Times New Roman"/>
          <w:color w:val="auto"/>
          <w:sz w:val="24"/>
          <w:szCs w:val="24"/>
          <w:u w:color="414042"/>
          <w:lang w:val="en-AU"/>
        </w:rPr>
        <w:t xml:space="preserve">countries </w:t>
      </w:r>
      <w:r w:rsidR="00090664" w:rsidRPr="00CC6458">
        <w:rPr>
          <w:rFonts w:ascii="Times New Roman" w:hAnsi="Times New Roman" w:cs="Times New Roman"/>
          <w:color w:val="auto"/>
          <w:sz w:val="24"/>
          <w:szCs w:val="24"/>
          <w:u w:color="414042"/>
          <w:lang w:val="en-AU"/>
        </w:rPr>
        <w:t xml:space="preserve">where Australia does not have a FTA, namely, Canada and Mexico.  </w:t>
      </w:r>
    </w:p>
    <w:p w14:paraId="74037B93" w14:textId="0533F502" w:rsidR="0039578A" w:rsidRPr="00090664" w:rsidRDefault="00725B8E" w:rsidP="00090664">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090664">
        <w:rPr>
          <w:rFonts w:ascii="Times New Roman" w:hAnsi="Times New Roman" w:cs="Times New Roman"/>
          <w:color w:val="auto"/>
          <w:sz w:val="24"/>
          <w:szCs w:val="24"/>
          <w:u w:color="414042"/>
          <w:lang w:val="en-AU"/>
        </w:rPr>
        <w:t xml:space="preserve">As a regional </w:t>
      </w:r>
      <w:r w:rsidR="0094419B">
        <w:rPr>
          <w:rFonts w:ascii="Times New Roman" w:hAnsi="Times New Roman" w:cs="Times New Roman"/>
          <w:color w:val="auto"/>
          <w:sz w:val="24"/>
          <w:szCs w:val="24"/>
          <w:u w:color="414042"/>
          <w:lang w:val="en-AU"/>
        </w:rPr>
        <w:t>FTA</w:t>
      </w:r>
      <w:r w:rsidRPr="00090664">
        <w:rPr>
          <w:rFonts w:ascii="Times New Roman" w:hAnsi="Times New Roman" w:cs="Times New Roman"/>
          <w:color w:val="auto"/>
          <w:sz w:val="24"/>
          <w:szCs w:val="24"/>
          <w:u w:color="414042"/>
          <w:lang w:val="en-AU"/>
        </w:rPr>
        <w:t xml:space="preserve">, the </w:t>
      </w:r>
      <w:r w:rsidR="00240F08" w:rsidRPr="00090664">
        <w:rPr>
          <w:rFonts w:ascii="Times New Roman" w:hAnsi="Times New Roman" w:cs="Times New Roman"/>
          <w:color w:val="auto"/>
          <w:sz w:val="24"/>
          <w:szCs w:val="24"/>
          <w:u w:color="414042"/>
          <w:lang w:val="en-AU"/>
        </w:rPr>
        <w:t>TPP-11</w:t>
      </w:r>
      <w:r w:rsidRPr="00090664">
        <w:rPr>
          <w:rFonts w:ascii="Times New Roman" w:hAnsi="Times New Roman" w:cs="Times New Roman"/>
          <w:color w:val="auto"/>
          <w:sz w:val="24"/>
          <w:szCs w:val="24"/>
          <w:u w:color="414042"/>
          <w:lang w:val="en-AU"/>
        </w:rPr>
        <w:t xml:space="preserve"> will create additional benefits.  The combined effect of new market access and common rules will make it easier for Australian businesses, exporters and consumers to participate in, and benefit from, regional value chains (also known as global value chains).</w:t>
      </w:r>
    </w:p>
    <w:p w14:paraId="74037B94" w14:textId="00E8625B" w:rsidR="00725B8E" w:rsidRPr="00DC5278" w:rsidRDefault="00725B8E" w:rsidP="0085547B">
      <w:pPr>
        <w:pStyle w:val="ListParagraph"/>
        <w:numPr>
          <w:ilvl w:val="0"/>
          <w:numId w:val="68"/>
        </w:numPr>
        <w:tabs>
          <w:tab w:val="left" w:pos="660"/>
        </w:tabs>
        <w:suppressAutoHyphens/>
        <w:spacing w:after="120"/>
        <w:rPr>
          <w:rFonts w:ascii="Times New Roman" w:eastAsia="Times New Roman" w:hAnsi="Times New Roman" w:cs="Times New Roman"/>
          <w:sz w:val="24"/>
          <w:szCs w:val="24"/>
        </w:rPr>
      </w:pPr>
      <w:r w:rsidRPr="00DC5278">
        <w:rPr>
          <w:rFonts w:ascii="Times New Roman" w:hAnsi="Times New Roman" w:cs="Times New Roman"/>
          <w:color w:val="auto"/>
          <w:sz w:val="24"/>
          <w:szCs w:val="24"/>
          <w:u w:color="414042"/>
          <w:lang w:val="en-AU"/>
        </w:rPr>
        <w:t xml:space="preserve">Table </w:t>
      </w:r>
      <w:r w:rsidR="00E009F5" w:rsidRPr="00DC5278">
        <w:rPr>
          <w:rFonts w:ascii="Times New Roman" w:hAnsi="Times New Roman" w:cs="Times New Roman"/>
          <w:color w:val="auto"/>
          <w:sz w:val="24"/>
          <w:szCs w:val="24"/>
          <w:u w:color="414042"/>
          <w:lang w:val="en-AU"/>
        </w:rPr>
        <w:t>2</w:t>
      </w:r>
      <w:r w:rsidRPr="00DC5278">
        <w:rPr>
          <w:rFonts w:ascii="Times New Roman" w:hAnsi="Times New Roman" w:cs="Times New Roman"/>
          <w:color w:val="auto"/>
          <w:sz w:val="24"/>
          <w:szCs w:val="24"/>
          <w:u w:color="414042"/>
          <w:lang w:val="en-AU"/>
        </w:rPr>
        <w:t xml:space="preserve"> summari</w:t>
      </w:r>
      <w:r w:rsidR="00304E92" w:rsidRPr="00DC5278">
        <w:rPr>
          <w:rFonts w:ascii="Times New Roman" w:hAnsi="Times New Roman" w:cs="Times New Roman"/>
          <w:color w:val="auto"/>
          <w:sz w:val="24"/>
          <w:szCs w:val="24"/>
          <w:u w:color="414042"/>
          <w:lang w:val="en-AU"/>
        </w:rPr>
        <w:t>s</w:t>
      </w:r>
      <w:r w:rsidRPr="00DC5278">
        <w:rPr>
          <w:rFonts w:ascii="Times New Roman" w:hAnsi="Times New Roman" w:cs="Times New Roman"/>
          <w:color w:val="auto"/>
          <w:sz w:val="24"/>
          <w:szCs w:val="24"/>
          <w:u w:color="414042"/>
          <w:lang w:val="en-AU"/>
        </w:rPr>
        <w:t>es the agreed tariff elimination schedule</w:t>
      </w:r>
      <w:r w:rsidR="005029DC" w:rsidRPr="00DC5278">
        <w:rPr>
          <w:rFonts w:ascii="Times New Roman" w:hAnsi="Times New Roman" w:cs="Times New Roman"/>
          <w:color w:val="auto"/>
          <w:sz w:val="24"/>
          <w:szCs w:val="24"/>
          <w:u w:color="414042"/>
          <w:lang w:val="en-AU"/>
        </w:rPr>
        <w:t>s</w:t>
      </w:r>
      <w:r w:rsidRPr="00DC5278">
        <w:rPr>
          <w:rFonts w:ascii="Times New Roman" w:hAnsi="Times New Roman" w:cs="Times New Roman"/>
          <w:color w:val="auto"/>
          <w:sz w:val="24"/>
          <w:szCs w:val="24"/>
          <w:u w:color="414042"/>
          <w:lang w:val="en-AU"/>
        </w:rPr>
        <w:t xml:space="preserve"> that will apply to Australia’s goods exports to the other </w:t>
      </w:r>
      <w:r w:rsidR="00240F08">
        <w:rPr>
          <w:rFonts w:ascii="Times New Roman" w:hAnsi="Times New Roman" w:cs="Times New Roman"/>
          <w:color w:val="auto"/>
          <w:sz w:val="24"/>
          <w:szCs w:val="24"/>
          <w:u w:color="414042"/>
          <w:lang w:val="en-AU"/>
        </w:rPr>
        <w:t>TPP-11</w:t>
      </w:r>
      <w:r w:rsidRPr="00DC5278">
        <w:rPr>
          <w:rFonts w:ascii="Times New Roman" w:hAnsi="Times New Roman" w:cs="Times New Roman"/>
          <w:color w:val="auto"/>
          <w:sz w:val="24"/>
          <w:szCs w:val="24"/>
          <w:u w:color="414042"/>
          <w:lang w:val="en-AU"/>
        </w:rPr>
        <w:t xml:space="preserve"> markets.  Table </w:t>
      </w:r>
      <w:r w:rsidR="00E009F5" w:rsidRPr="00DC5278">
        <w:rPr>
          <w:rFonts w:ascii="Times New Roman" w:hAnsi="Times New Roman" w:cs="Times New Roman"/>
          <w:color w:val="auto"/>
          <w:sz w:val="24"/>
          <w:szCs w:val="24"/>
          <w:u w:color="414042"/>
          <w:lang w:val="en-AU"/>
        </w:rPr>
        <w:t>3</w:t>
      </w:r>
      <w:r w:rsidRPr="00DC5278">
        <w:rPr>
          <w:rFonts w:ascii="Times New Roman" w:hAnsi="Times New Roman" w:cs="Times New Roman"/>
          <w:color w:val="auto"/>
          <w:sz w:val="24"/>
          <w:szCs w:val="24"/>
          <w:u w:color="414042"/>
          <w:lang w:val="en-AU"/>
        </w:rPr>
        <w:t xml:space="preserve"> outlines the key market access outcomes for Australia for agriculture.</w:t>
      </w:r>
    </w:p>
    <w:p w14:paraId="74037B95" w14:textId="77777777" w:rsidR="00BC1E8B" w:rsidRPr="00DC5278" w:rsidRDefault="00E009F5" w:rsidP="0085547B">
      <w:pPr>
        <w:pStyle w:val="Body"/>
        <w:keepNext/>
        <w:suppressAutoHyphens/>
        <w:spacing w:after="120"/>
        <w:rPr>
          <w:rFonts w:hAnsi="Times New Roman" w:cs="Times New Roman"/>
          <w:b/>
          <w:bCs/>
          <w:color w:val="auto"/>
          <w:u w:color="414042"/>
          <w:lang w:val="en-AU"/>
        </w:rPr>
      </w:pPr>
      <w:r w:rsidRPr="00090664">
        <w:rPr>
          <w:rFonts w:hAnsi="Times New Roman" w:cs="Times New Roman"/>
          <w:b/>
          <w:bCs/>
          <w:color w:val="auto"/>
          <w:u w:color="414042"/>
          <w:lang w:val="en-AU"/>
        </w:rPr>
        <w:lastRenderedPageBreak/>
        <w:t>Table 2</w:t>
      </w:r>
      <w:r w:rsidR="00751E59" w:rsidRPr="00090664">
        <w:rPr>
          <w:rFonts w:hAnsi="Times New Roman" w:cs="Times New Roman"/>
          <w:b/>
          <w:bCs/>
          <w:color w:val="auto"/>
          <w:u w:color="414042"/>
          <w:lang w:val="en-AU"/>
        </w:rPr>
        <w:t>: Tariff Elimination S</w:t>
      </w:r>
      <w:r w:rsidR="005B6B31" w:rsidRPr="00090664">
        <w:rPr>
          <w:rFonts w:hAnsi="Times New Roman" w:cs="Times New Roman"/>
          <w:b/>
          <w:bCs/>
          <w:color w:val="auto"/>
          <w:u w:color="414042"/>
          <w:lang w:val="en-AU"/>
        </w:rPr>
        <w:t>chedules</w:t>
      </w:r>
    </w:p>
    <w:p w14:paraId="74037B96" w14:textId="77777777" w:rsidR="00751E59" w:rsidRPr="00DC5278" w:rsidRDefault="00751E59" w:rsidP="0085547B">
      <w:pPr>
        <w:keepNext/>
        <w:suppressAutoHyphens/>
      </w:pPr>
      <w:r w:rsidRPr="00DC5278">
        <w:rPr>
          <w:b/>
          <w:u w:val="single"/>
        </w:rPr>
        <w:t>Elimination schedule for Brunei Darussalam’s tariffs on imports of Australian goods</w:t>
      </w:r>
      <w:r w:rsidRPr="00DC5278">
        <w:t xml:space="preserve"> </w:t>
      </w:r>
    </w:p>
    <w:p w14:paraId="74037B97" w14:textId="77777777" w:rsidR="00751E59" w:rsidRPr="00DC5278" w:rsidRDefault="00751E59" w:rsidP="0085547B">
      <w:pPr>
        <w:keepNext/>
        <w:suppressAutoHyphens/>
      </w:pPr>
    </w:p>
    <w:tbl>
      <w:tblPr>
        <w:tblW w:w="8979" w:type="dxa"/>
        <w:tblInd w:w="93" w:type="dxa"/>
        <w:tblLook w:val="04A0" w:firstRow="1" w:lastRow="0" w:firstColumn="1" w:lastColumn="0" w:noHBand="0" w:noVBand="1"/>
      </w:tblPr>
      <w:tblGrid>
        <w:gridCol w:w="1768"/>
        <w:gridCol w:w="756"/>
        <w:gridCol w:w="956"/>
        <w:gridCol w:w="1336"/>
        <w:gridCol w:w="276"/>
        <w:gridCol w:w="1305"/>
        <w:gridCol w:w="956"/>
        <w:gridCol w:w="1626"/>
      </w:tblGrid>
      <w:tr w:rsidR="00751E59" w:rsidRPr="00DC5278" w14:paraId="74037B9C" w14:textId="77777777" w:rsidTr="00CD3ADA">
        <w:trPr>
          <w:trHeight w:val="315"/>
        </w:trPr>
        <w:tc>
          <w:tcPr>
            <w:tcW w:w="1768" w:type="dxa"/>
            <w:vMerge w:val="restart"/>
            <w:tcBorders>
              <w:top w:val="nil"/>
              <w:left w:val="nil"/>
              <w:bottom w:val="single" w:sz="8" w:space="0" w:color="000000"/>
              <w:right w:val="nil"/>
            </w:tcBorders>
            <w:shd w:val="clear" w:color="000000" w:fill="D8D8D8"/>
            <w:vAlign w:val="center"/>
            <w:hideMark/>
          </w:tcPr>
          <w:p w14:paraId="74037B98"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3048" w:type="dxa"/>
            <w:gridSpan w:val="3"/>
            <w:tcBorders>
              <w:top w:val="nil"/>
              <w:left w:val="nil"/>
              <w:bottom w:val="single" w:sz="8" w:space="0" w:color="auto"/>
              <w:right w:val="nil"/>
            </w:tcBorders>
            <w:shd w:val="clear" w:color="000000" w:fill="D8D8D8"/>
            <w:vAlign w:val="center"/>
            <w:hideMark/>
          </w:tcPr>
          <w:p w14:paraId="74037B99"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76" w:type="dxa"/>
            <w:tcBorders>
              <w:top w:val="nil"/>
              <w:left w:val="nil"/>
              <w:bottom w:val="nil"/>
              <w:right w:val="nil"/>
            </w:tcBorders>
            <w:shd w:val="clear" w:color="000000" w:fill="D8D8D8"/>
            <w:vAlign w:val="center"/>
            <w:hideMark/>
          </w:tcPr>
          <w:p w14:paraId="74037B9A" w14:textId="77777777" w:rsidR="00751E59" w:rsidRPr="00DC5278" w:rsidRDefault="00751E59" w:rsidP="0085547B">
            <w:pPr>
              <w:keepNext/>
              <w:suppressAutoHyphens/>
              <w:jc w:val="center"/>
              <w:rPr>
                <w:b/>
                <w:bCs/>
                <w:color w:val="000000"/>
              </w:rPr>
            </w:pPr>
            <w:r w:rsidRPr="00DC5278">
              <w:rPr>
                <w:b/>
                <w:bCs/>
                <w:color w:val="000000"/>
              </w:rPr>
              <w:t> </w:t>
            </w:r>
          </w:p>
        </w:tc>
        <w:tc>
          <w:tcPr>
            <w:tcW w:w="3887" w:type="dxa"/>
            <w:gridSpan w:val="3"/>
            <w:tcBorders>
              <w:top w:val="nil"/>
              <w:left w:val="nil"/>
              <w:bottom w:val="single" w:sz="8" w:space="0" w:color="auto"/>
              <w:right w:val="nil"/>
            </w:tcBorders>
            <w:shd w:val="clear" w:color="000000" w:fill="D8D8D8"/>
            <w:noWrap/>
            <w:vAlign w:val="center"/>
            <w:hideMark/>
          </w:tcPr>
          <w:p w14:paraId="74037B9B" w14:textId="77777777" w:rsidR="00751E59" w:rsidRPr="00DC5278" w:rsidRDefault="00751E59" w:rsidP="0085547B">
            <w:pPr>
              <w:keepNext/>
              <w:suppressAutoHyphens/>
              <w:jc w:val="center"/>
              <w:rPr>
                <w:b/>
                <w:bCs/>
                <w:color w:val="000000"/>
              </w:rPr>
            </w:pPr>
            <w:r w:rsidRPr="00DC5278">
              <w:rPr>
                <w:b/>
                <w:bCs/>
                <w:color w:val="000000"/>
              </w:rPr>
              <w:t xml:space="preserve"> Brunei's imports from Australia </w:t>
            </w:r>
          </w:p>
        </w:tc>
      </w:tr>
      <w:tr w:rsidR="00751E59" w:rsidRPr="00DC5278" w14:paraId="74037BA5" w14:textId="77777777" w:rsidTr="00CD3ADA">
        <w:trPr>
          <w:trHeight w:val="525"/>
        </w:trPr>
        <w:tc>
          <w:tcPr>
            <w:tcW w:w="1768" w:type="dxa"/>
            <w:vMerge/>
            <w:tcBorders>
              <w:top w:val="nil"/>
              <w:left w:val="nil"/>
              <w:bottom w:val="single" w:sz="8" w:space="0" w:color="000000"/>
              <w:right w:val="nil"/>
            </w:tcBorders>
            <w:vAlign w:val="center"/>
            <w:hideMark/>
          </w:tcPr>
          <w:p w14:paraId="74037B9D" w14:textId="77777777" w:rsidR="00751E59" w:rsidRPr="00DC5278" w:rsidRDefault="00751E59" w:rsidP="0085547B">
            <w:pPr>
              <w:keepNext/>
              <w:suppressAutoHyphens/>
              <w:rPr>
                <w:b/>
                <w:bCs/>
                <w:color w:val="000000"/>
              </w:rPr>
            </w:pPr>
          </w:p>
        </w:tc>
        <w:tc>
          <w:tcPr>
            <w:tcW w:w="756" w:type="dxa"/>
            <w:tcBorders>
              <w:top w:val="nil"/>
              <w:left w:val="nil"/>
              <w:bottom w:val="single" w:sz="8" w:space="0" w:color="auto"/>
              <w:right w:val="nil"/>
            </w:tcBorders>
            <w:shd w:val="clear" w:color="000000" w:fill="D8D8D8"/>
            <w:noWrap/>
            <w:vAlign w:val="center"/>
            <w:hideMark/>
          </w:tcPr>
          <w:p w14:paraId="74037B9E" w14:textId="77777777" w:rsidR="00751E59" w:rsidRPr="00DC5278" w:rsidRDefault="00751E59" w:rsidP="0085547B">
            <w:pPr>
              <w:keepNext/>
              <w:suppressAutoHyphens/>
              <w:jc w:val="center"/>
              <w:rPr>
                <w:color w:val="000000"/>
              </w:rPr>
            </w:pPr>
            <w:r w:rsidRPr="00DC5278">
              <w:rPr>
                <w:color w:val="000000"/>
              </w:rPr>
              <w:t xml:space="preserve"> No. </w:t>
            </w:r>
          </w:p>
        </w:tc>
        <w:tc>
          <w:tcPr>
            <w:tcW w:w="956" w:type="dxa"/>
            <w:tcBorders>
              <w:top w:val="nil"/>
              <w:left w:val="nil"/>
              <w:bottom w:val="single" w:sz="8" w:space="0" w:color="auto"/>
              <w:right w:val="nil"/>
            </w:tcBorders>
            <w:shd w:val="clear" w:color="000000" w:fill="D8D8D8"/>
            <w:vAlign w:val="center"/>
            <w:hideMark/>
          </w:tcPr>
          <w:p w14:paraId="74037B9F"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336" w:type="dxa"/>
            <w:tcBorders>
              <w:top w:val="nil"/>
              <w:left w:val="nil"/>
              <w:bottom w:val="single" w:sz="8" w:space="0" w:color="auto"/>
              <w:right w:val="nil"/>
            </w:tcBorders>
            <w:shd w:val="clear" w:color="000000" w:fill="D8D8D8"/>
            <w:vAlign w:val="center"/>
            <w:hideMark/>
          </w:tcPr>
          <w:p w14:paraId="74037BA0"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76" w:type="dxa"/>
            <w:tcBorders>
              <w:top w:val="nil"/>
              <w:left w:val="nil"/>
              <w:bottom w:val="single" w:sz="8" w:space="0" w:color="auto"/>
              <w:right w:val="nil"/>
            </w:tcBorders>
            <w:shd w:val="clear" w:color="000000" w:fill="D8D8D8"/>
            <w:vAlign w:val="center"/>
            <w:hideMark/>
          </w:tcPr>
          <w:p w14:paraId="74037BA1" w14:textId="77777777" w:rsidR="00751E59" w:rsidRPr="00DC5278" w:rsidRDefault="00751E59" w:rsidP="0085547B">
            <w:pPr>
              <w:keepNext/>
              <w:suppressAutoHyphens/>
              <w:jc w:val="center"/>
              <w:rPr>
                <w:color w:val="000000"/>
              </w:rPr>
            </w:pPr>
            <w:r w:rsidRPr="00DC5278">
              <w:rPr>
                <w:color w:val="000000"/>
              </w:rPr>
              <w:t> </w:t>
            </w:r>
          </w:p>
        </w:tc>
        <w:tc>
          <w:tcPr>
            <w:tcW w:w="1305" w:type="dxa"/>
            <w:tcBorders>
              <w:top w:val="nil"/>
              <w:left w:val="nil"/>
              <w:bottom w:val="single" w:sz="8" w:space="0" w:color="auto"/>
              <w:right w:val="nil"/>
            </w:tcBorders>
            <w:shd w:val="clear" w:color="000000" w:fill="D8D8D8"/>
            <w:vAlign w:val="center"/>
            <w:hideMark/>
          </w:tcPr>
          <w:p w14:paraId="74037BA2"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956" w:type="dxa"/>
            <w:tcBorders>
              <w:top w:val="nil"/>
              <w:left w:val="nil"/>
              <w:bottom w:val="single" w:sz="8" w:space="0" w:color="auto"/>
              <w:right w:val="nil"/>
            </w:tcBorders>
            <w:shd w:val="clear" w:color="000000" w:fill="D8D8D8"/>
            <w:vAlign w:val="center"/>
            <w:hideMark/>
          </w:tcPr>
          <w:p w14:paraId="74037BA3"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626" w:type="dxa"/>
            <w:tcBorders>
              <w:top w:val="nil"/>
              <w:left w:val="nil"/>
              <w:bottom w:val="single" w:sz="8" w:space="0" w:color="auto"/>
              <w:right w:val="nil"/>
            </w:tcBorders>
            <w:shd w:val="clear" w:color="000000" w:fill="D8D8D8"/>
            <w:vAlign w:val="center"/>
            <w:hideMark/>
          </w:tcPr>
          <w:p w14:paraId="74037BA4"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BAE" w14:textId="77777777" w:rsidTr="00CD3ADA">
        <w:trPr>
          <w:trHeight w:val="255"/>
        </w:trPr>
        <w:tc>
          <w:tcPr>
            <w:tcW w:w="1768" w:type="dxa"/>
            <w:tcBorders>
              <w:top w:val="nil"/>
              <w:left w:val="nil"/>
              <w:bottom w:val="nil"/>
              <w:right w:val="nil"/>
            </w:tcBorders>
            <w:shd w:val="clear" w:color="000000" w:fill="FFFFFF"/>
            <w:noWrap/>
            <w:vAlign w:val="center"/>
            <w:hideMark/>
          </w:tcPr>
          <w:p w14:paraId="74037BA6" w14:textId="77777777" w:rsidR="00751E59" w:rsidRPr="00DC5278" w:rsidRDefault="00751E59" w:rsidP="0085547B">
            <w:pPr>
              <w:keepNext/>
              <w:suppressAutoHyphens/>
              <w:rPr>
                <w:color w:val="000000"/>
              </w:rPr>
            </w:pPr>
            <w:r w:rsidRPr="00DC5278">
              <w:rPr>
                <w:color w:val="000000"/>
              </w:rPr>
              <w:t>MFN 0%</w:t>
            </w:r>
          </w:p>
        </w:tc>
        <w:tc>
          <w:tcPr>
            <w:tcW w:w="756" w:type="dxa"/>
            <w:tcBorders>
              <w:top w:val="nil"/>
              <w:left w:val="nil"/>
              <w:bottom w:val="nil"/>
              <w:right w:val="nil"/>
            </w:tcBorders>
            <w:shd w:val="clear" w:color="000000" w:fill="FFFFFF"/>
            <w:noWrap/>
            <w:vAlign w:val="center"/>
            <w:hideMark/>
          </w:tcPr>
          <w:p w14:paraId="74037BA7" w14:textId="77777777" w:rsidR="00751E59" w:rsidRPr="00DC5278" w:rsidRDefault="00751E59" w:rsidP="0085547B">
            <w:pPr>
              <w:keepNext/>
              <w:suppressAutoHyphens/>
              <w:jc w:val="right"/>
              <w:rPr>
                <w:color w:val="000000"/>
              </w:rPr>
            </w:pPr>
            <w:r w:rsidRPr="00DC5278">
              <w:rPr>
                <w:color w:val="000000"/>
              </w:rPr>
              <w:t>6,258</w:t>
            </w:r>
          </w:p>
        </w:tc>
        <w:tc>
          <w:tcPr>
            <w:tcW w:w="956" w:type="dxa"/>
            <w:tcBorders>
              <w:top w:val="nil"/>
              <w:left w:val="nil"/>
              <w:bottom w:val="nil"/>
              <w:right w:val="nil"/>
            </w:tcBorders>
            <w:shd w:val="clear" w:color="000000" w:fill="FFFFFF"/>
            <w:noWrap/>
            <w:vAlign w:val="center"/>
            <w:hideMark/>
          </w:tcPr>
          <w:p w14:paraId="74037BA8" w14:textId="77777777" w:rsidR="00751E59" w:rsidRPr="00DC5278" w:rsidRDefault="00751E59" w:rsidP="0085547B">
            <w:pPr>
              <w:keepNext/>
              <w:suppressAutoHyphens/>
              <w:jc w:val="right"/>
              <w:rPr>
                <w:color w:val="000000"/>
              </w:rPr>
            </w:pPr>
            <w:r w:rsidRPr="00DC5278">
              <w:rPr>
                <w:color w:val="000000"/>
              </w:rPr>
              <w:t>75.4%</w:t>
            </w:r>
          </w:p>
        </w:tc>
        <w:tc>
          <w:tcPr>
            <w:tcW w:w="1336" w:type="dxa"/>
            <w:tcBorders>
              <w:top w:val="nil"/>
              <w:left w:val="nil"/>
              <w:bottom w:val="nil"/>
              <w:right w:val="nil"/>
            </w:tcBorders>
            <w:shd w:val="clear" w:color="000000" w:fill="FFFFFF"/>
            <w:noWrap/>
            <w:vAlign w:val="center"/>
            <w:hideMark/>
          </w:tcPr>
          <w:p w14:paraId="74037BA9" w14:textId="77777777" w:rsidR="00751E59" w:rsidRPr="00DC5278" w:rsidRDefault="00751E59" w:rsidP="0085547B">
            <w:pPr>
              <w:keepNext/>
              <w:suppressAutoHyphens/>
              <w:jc w:val="right"/>
              <w:rPr>
                <w:color w:val="000000"/>
              </w:rPr>
            </w:pPr>
            <w:r w:rsidRPr="00DC5278">
              <w:rPr>
                <w:color w:val="000000"/>
              </w:rPr>
              <w:t>75.4%</w:t>
            </w:r>
          </w:p>
        </w:tc>
        <w:tc>
          <w:tcPr>
            <w:tcW w:w="276" w:type="dxa"/>
            <w:tcBorders>
              <w:top w:val="nil"/>
              <w:left w:val="nil"/>
              <w:bottom w:val="nil"/>
              <w:right w:val="nil"/>
            </w:tcBorders>
            <w:shd w:val="clear" w:color="000000" w:fill="FFFFFF"/>
            <w:noWrap/>
            <w:vAlign w:val="center"/>
            <w:hideMark/>
          </w:tcPr>
          <w:p w14:paraId="74037BAA" w14:textId="77777777" w:rsidR="00751E59" w:rsidRPr="00DC5278" w:rsidRDefault="00751E59" w:rsidP="0085547B">
            <w:pPr>
              <w:keepNext/>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BAB" w14:textId="77777777" w:rsidR="00751E59" w:rsidRPr="00DC5278" w:rsidRDefault="00751E59" w:rsidP="0085547B">
            <w:pPr>
              <w:keepNext/>
              <w:suppressAutoHyphens/>
              <w:jc w:val="right"/>
              <w:rPr>
                <w:color w:val="000000"/>
              </w:rPr>
            </w:pPr>
            <w:r w:rsidRPr="00DC5278">
              <w:rPr>
                <w:color w:val="000000"/>
              </w:rPr>
              <w:t>49.3</w:t>
            </w:r>
          </w:p>
        </w:tc>
        <w:tc>
          <w:tcPr>
            <w:tcW w:w="956" w:type="dxa"/>
            <w:tcBorders>
              <w:top w:val="nil"/>
              <w:left w:val="nil"/>
              <w:bottom w:val="nil"/>
              <w:right w:val="nil"/>
            </w:tcBorders>
            <w:shd w:val="clear" w:color="000000" w:fill="FFFFFF"/>
            <w:noWrap/>
            <w:vAlign w:val="center"/>
            <w:hideMark/>
          </w:tcPr>
          <w:p w14:paraId="74037BAC" w14:textId="77777777" w:rsidR="00751E59" w:rsidRPr="00DC5278" w:rsidRDefault="00751E59" w:rsidP="0085547B">
            <w:pPr>
              <w:keepNext/>
              <w:suppressAutoHyphens/>
              <w:jc w:val="right"/>
              <w:rPr>
                <w:color w:val="000000"/>
              </w:rPr>
            </w:pPr>
            <w:r w:rsidRPr="00DC5278">
              <w:rPr>
                <w:color w:val="000000"/>
              </w:rPr>
              <w:t>94.1%</w:t>
            </w:r>
          </w:p>
        </w:tc>
        <w:tc>
          <w:tcPr>
            <w:tcW w:w="1626" w:type="dxa"/>
            <w:tcBorders>
              <w:top w:val="nil"/>
              <w:left w:val="nil"/>
              <w:bottom w:val="nil"/>
              <w:right w:val="nil"/>
            </w:tcBorders>
            <w:shd w:val="clear" w:color="000000" w:fill="FFFFFF"/>
            <w:noWrap/>
            <w:vAlign w:val="center"/>
            <w:hideMark/>
          </w:tcPr>
          <w:p w14:paraId="74037BAD" w14:textId="77777777" w:rsidR="00751E59" w:rsidRPr="00DC5278" w:rsidRDefault="00751E59" w:rsidP="0085547B">
            <w:pPr>
              <w:keepNext/>
              <w:suppressAutoHyphens/>
              <w:jc w:val="right"/>
              <w:rPr>
                <w:color w:val="000000"/>
              </w:rPr>
            </w:pPr>
            <w:r w:rsidRPr="00DC5278">
              <w:rPr>
                <w:color w:val="000000"/>
              </w:rPr>
              <w:t>94.1%</w:t>
            </w:r>
          </w:p>
        </w:tc>
      </w:tr>
      <w:tr w:rsidR="00751E59" w:rsidRPr="00DC5278" w14:paraId="74037BB7" w14:textId="77777777" w:rsidTr="00CD3ADA">
        <w:trPr>
          <w:trHeight w:val="255"/>
        </w:trPr>
        <w:tc>
          <w:tcPr>
            <w:tcW w:w="1768" w:type="dxa"/>
            <w:tcBorders>
              <w:top w:val="nil"/>
              <w:left w:val="nil"/>
              <w:bottom w:val="nil"/>
              <w:right w:val="nil"/>
            </w:tcBorders>
            <w:shd w:val="clear" w:color="000000" w:fill="FFFFFF"/>
            <w:noWrap/>
            <w:vAlign w:val="center"/>
            <w:hideMark/>
          </w:tcPr>
          <w:p w14:paraId="74037BAF" w14:textId="77777777" w:rsidR="00751E59" w:rsidRPr="00DC5278" w:rsidRDefault="00751E59" w:rsidP="0085547B">
            <w:pPr>
              <w:suppressAutoHyphens/>
              <w:rPr>
                <w:color w:val="000000"/>
              </w:rPr>
            </w:pPr>
            <w:r w:rsidRPr="00DC5278">
              <w:rPr>
                <w:color w:val="000000"/>
              </w:rPr>
              <w:t>A: 0% tariff on EIF</w:t>
            </w:r>
          </w:p>
        </w:tc>
        <w:tc>
          <w:tcPr>
            <w:tcW w:w="756" w:type="dxa"/>
            <w:tcBorders>
              <w:top w:val="nil"/>
              <w:left w:val="nil"/>
              <w:bottom w:val="nil"/>
              <w:right w:val="nil"/>
            </w:tcBorders>
            <w:shd w:val="clear" w:color="000000" w:fill="FFFFFF"/>
            <w:noWrap/>
            <w:vAlign w:val="center"/>
            <w:hideMark/>
          </w:tcPr>
          <w:p w14:paraId="74037BB0" w14:textId="77777777" w:rsidR="00751E59" w:rsidRPr="00DC5278" w:rsidRDefault="00751E59" w:rsidP="0085547B">
            <w:pPr>
              <w:suppressAutoHyphens/>
              <w:jc w:val="right"/>
              <w:rPr>
                <w:color w:val="000000"/>
              </w:rPr>
            </w:pPr>
            <w:r w:rsidRPr="00DC5278">
              <w:rPr>
                <w:color w:val="000000"/>
              </w:rPr>
              <w:t>1,385</w:t>
            </w:r>
          </w:p>
        </w:tc>
        <w:tc>
          <w:tcPr>
            <w:tcW w:w="956" w:type="dxa"/>
            <w:tcBorders>
              <w:top w:val="nil"/>
              <w:left w:val="nil"/>
              <w:bottom w:val="nil"/>
              <w:right w:val="nil"/>
            </w:tcBorders>
            <w:shd w:val="clear" w:color="000000" w:fill="FFFFFF"/>
            <w:noWrap/>
            <w:vAlign w:val="center"/>
            <w:hideMark/>
          </w:tcPr>
          <w:p w14:paraId="74037BB1" w14:textId="77777777" w:rsidR="00751E59" w:rsidRPr="00DC5278" w:rsidRDefault="00751E59" w:rsidP="0085547B">
            <w:pPr>
              <w:suppressAutoHyphens/>
              <w:jc w:val="right"/>
              <w:rPr>
                <w:color w:val="000000"/>
              </w:rPr>
            </w:pPr>
            <w:r w:rsidRPr="00DC5278">
              <w:rPr>
                <w:color w:val="000000"/>
              </w:rPr>
              <w:t>16.7%</w:t>
            </w:r>
          </w:p>
        </w:tc>
        <w:tc>
          <w:tcPr>
            <w:tcW w:w="1336" w:type="dxa"/>
            <w:tcBorders>
              <w:top w:val="nil"/>
              <w:left w:val="nil"/>
              <w:bottom w:val="nil"/>
              <w:right w:val="nil"/>
            </w:tcBorders>
            <w:shd w:val="clear" w:color="000000" w:fill="FFFFFF"/>
            <w:noWrap/>
            <w:vAlign w:val="center"/>
            <w:hideMark/>
          </w:tcPr>
          <w:p w14:paraId="74037BB2" w14:textId="77777777" w:rsidR="00751E59" w:rsidRPr="00DC5278" w:rsidRDefault="00751E59" w:rsidP="0085547B">
            <w:pPr>
              <w:suppressAutoHyphens/>
              <w:jc w:val="right"/>
              <w:rPr>
                <w:color w:val="000000"/>
              </w:rPr>
            </w:pPr>
            <w:r w:rsidRPr="00DC5278">
              <w:rPr>
                <w:color w:val="000000"/>
              </w:rPr>
              <w:t>92.0%</w:t>
            </w:r>
          </w:p>
        </w:tc>
        <w:tc>
          <w:tcPr>
            <w:tcW w:w="276" w:type="dxa"/>
            <w:tcBorders>
              <w:top w:val="nil"/>
              <w:left w:val="nil"/>
              <w:bottom w:val="nil"/>
              <w:right w:val="nil"/>
            </w:tcBorders>
            <w:shd w:val="clear" w:color="000000" w:fill="FFFFFF"/>
            <w:noWrap/>
            <w:vAlign w:val="center"/>
            <w:hideMark/>
          </w:tcPr>
          <w:p w14:paraId="74037BB3"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BB4" w14:textId="77777777" w:rsidR="00751E59" w:rsidRPr="00DC5278" w:rsidRDefault="00751E59" w:rsidP="0085547B">
            <w:pPr>
              <w:suppressAutoHyphens/>
              <w:jc w:val="right"/>
              <w:rPr>
                <w:color w:val="000000"/>
              </w:rPr>
            </w:pPr>
            <w:r w:rsidRPr="00DC5278">
              <w:rPr>
                <w:color w:val="000000"/>
              </w:rPr>
              <w:t>1.3</w:t>
            </w:r>
          </w:p>
        </w:tc>
        <w:tc>
          <w:tcPr>
            <w:tcW w:w="956" w:type="dxa"/>
            <w:tcBorders>
              <w:top w:val="nil"/>
              <w:left w:val="nil"/>
              <w:bottom w:val="nil"/>
              <w:right w:val="nil"/>
            </w:tcBorders>
            <w:shd w:val="clear" w:color="000000" w:fill="FFFFFF"/>
            <w:noWrap/>
            <w:vAlign w:val="center"/>
            <w:hideMark/>
          </w:tcPr>
          <w:p w14:paraId="74037BB5" w14:textId="77777777" w:rsidR="00751E59" w:rsidRPr="00DC5278" w:rsidRDefault="00751E59" w:rsidP="0085547B">
            <w:pPr>
              <w:suppressAutoHyphens/>
              <w:jc w:val="right"/>
              <w:rPr>
                <w:color w:val="000000"/>
              </w:rPr>
            </w:pPr>
            <w:r w:rsidRPr="00DC5278">
              <w:rPr>
                <w:color w:val="000000"/>
              </w:rPr>
              <w:t>2.4%</w:t>
            </w:r>
          </w:p>
        </w:tc>
        <w:tc>
          <w:tcPr>
            <w:tcW w:w="1626" w:type="dxa"/>
            <w:tcBorders>
              <w:top w:val="nil"/>
              <w:left w:val="nil"/>
              <w:bottom w:val="nil"/>
              <w:right w:val="nil"/>
            </w:tcBorders>
            <w:shd w:val="clear" w:color="000000" w:fill="FFFFFF"/>
            <w:noWrap/>
            <w:vAlign w:val="center"/>
            <w:hideMark/>
          </w:tcPr>
          <w:p w14:paraId="74037BB6" w14:textId="77777777" w:rsidR="00751E59" w:rsidRPr="00DC5278" w:rsidRDefault="00751E59" w:rsidP="0085547B">
            <w:pPr>
              <w:suppressAutoHyphens/>
              <w:jc w:val="right"/>
              <w:rPr>
                <w:color w:val="000000"/>
              </w:rPr>
            </w:pPr>
            <w:r w:rsidRPr="00DC5278">
              <w:rPr>
                <w:color w:val="000000"/>
              </w:rPr>
              <w:t>96.4%</w:t>
            </w:r>
          </w:p>
        </w:tc>
      </w:tr>
      <w:tr w:rsidR="00751E59" w:rsidRPr="00DC5278" w14:paraId="74037BC0" w14:textId="77777777" w:rsidTr="00CD3ADA">
        <w:trPr>
          <w:trHeight w:val="255"/>
        </w:trPr>
        <w:tc>
          <w:tcPr>
            <w:tcW w:w="1768" w:type="dxa"/>
            <w:tcBorders>
              <w:top w:val="nil"/>
              <w:left w:val="nil"/>
              <w:bottom w:val="nil"/>
              <w:right w:val="nil"/>
            </w:tcBorders>
            <w:shd w:val="clear" w:color="000000" w:fill="FFFFFF"/>
            <w:noWrap/>
            <w:vAlign w:val="center"/>
            <w:hideMark/>
          </w:tcPr>
          <w:p w14:paraId="74037BB8"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56" w:type="dxa"/>
            <w:tcBorders>
              <w:top w:val="nil"/>
              <w:left w:val="nil"/>
              <w:bottom w:val="nil"/>
              <w:right w:val="nil"/>
            </w:tcBorders>
            <w:shd w:val="clear" w:color="000000" w:fill="FFFFFF"/>
            <w:noWrap/>
            <w:vAlign w:val="center"/>
            <w:hideMark/>
          </w:tcPr>
          <w:p w14:paraId="74037BB9" w14:textId="77777777" w:rsidR="00751E59" w:rsidRPr="00DC5278" w:rsidRDefault="00751E59" w:rsidP="0085547B">
            <w:pPr>
              <w:suppressAutoHyphens/>
              <w:jc w:val="right"/>
              <w:rPr>
                <w:color w:val="000000"/>
              </w:rPr>
            </w:pPr>
            <w:r w:rsidRPr="00DC5278">
              <w:rPr>
                <w:color w:val="000000"/>
              </w:rPr>
              <w:t>29</w:t>
            </w:r>
          </w:p>
        </w:tc>
        <w:tc>
          <w:tcPr>
            <w:tcW w:w="956" w:type="dxa"/>
            <w:tcBorders>
              <w:top w:val="nil"/>
              <w:left w:val="nil"/>
              <w:bottom w:val="nil"/>
              <w:right w:val="nil"/>
            </w:tcBorders>
            <w:shd w:val="clear" w:color="000000" w:fill="FFFFFF"/>
            <w:noWrap/>
            <w:vAlign w:val="center"/>
            <w:hideMark/>
          </w:tcPr>
          <w:p w14:paraId="74037BBA" w14:textId="77777777" w:rsidR="00751E59" w:rsidRPr="00DC5278" w:rsidRDefault="00751E59" w:rsidP="0085547B">
            <w:pPr>
              <w:suppressAutoHyphens/>
              <w:jc w:val="right"/>
              <w:rPr>
                <w:color w:val="000000"/>
              </w:rPr>
            </w:pPr>
            <w:r w:rsidRPr="00DC5278">
              <w:rPr>
                <w:color w:val="000000"/>
              </w:rPr>
              <w:t>0.3%</w:t>
            </w:r>
          </w:p>
        </w:tc>
        <w:tc>
          <w:tcPr>
            <w:tcW w:w="1336" w:type="dxa"/>
            <w:tcBorders>
              <w:top w:val="nil"/>
              <w:left w:val="nil"/>
              <w:bottom w:val="nil"/>
              <w:right w:val="nil"/>
            </w:tcBorders>
            <w:shd w:val="clear" w:color="000000" w:fill="FFFFFF"/>
            <w:noWrap/>
            <w:vAlign w:val="center"/>
            <w:hideMark/>
          </w:tcPr>
          <w:p w14:paraId="74037BBB" w14:textId="77777777" w:rsidR="00751E59" w:rsidRPr="00DC5278" w:rsidRDefault="00751E59" w:rsidP="0085547B">
            <w:pPr>
              <w:suppressAutoHyphens/>
              <w:jc w:val="right"/>
              <w:rPr>
                <w:color w:val="000000"/>
              </w:rPr>
            </w:pPr>
            <w:r w:rsidRPr="00DC5278">
              <w:rPr>
                <w:color w:val="000000"/>
              </w:rPr>
              <w:t>92.4%</w:t>
            </w:r>
          </w:p>
        </w:tc>
        <w:tc>
          <w:tcPr>
            <w:tcW w:w="276" w:type="dxa"/>
            <w:tcBorders>
              <w:top w:val="nil"/>
              <w:left w:val="nil"/>
              <w:bottom w:val="nil"/>
              <w:right w:val="nil"/>
            </w:tcBorders>
            <w:shd w:val="clear" w:color="000000" w:fill="FFFFFF"/>
            <w:noWrap/>
            <w:vAlign w:val="center"/>
            <w:hideMark/>
          </w:tcPr>
          <w:p w14:paraId="74037BBC"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BBD" w14:textId="77777777" w:rsidR="00751E59" w:rsidRPr="00DC5278" w:rsidRDefault="00751E59" w:rsidP="0085547B">
            <w:pPr>
              <w:suppressAutoHyphens/>
              <w:jc w:val="right"/>
              <w:rPr>
                <w:color w:val="000000"/>
              </w:rPr>
            </w:pPr>
            <w:r w:rsidRPr="00DC5278">
              <w:rPr>
                <w:color w:val="000000"/>
              </w:rPr>
              <w:t>0.0</w:t>
            </w:r>
          </w:p>
        </w:tc>
        <w:tc>
          <w:tcPr>
            <w:tcW w:w="956" w:type="dxa"/>
            <w:tcBorders>
              <w:top w:val="nil"/>
              <w:left w:val="nil"/>
              <w:bottom w:val="nil"/>
              <w:right w:val="nil"/>
            </w:tcBorders>
            <w:shd w:val="clear" w:color="000000" w:fill="FFFFFF"/>
            <w:noWrap/>
            <w:vAlign w:val="center"/>
            <w:hideMark/>
          </w:tcPr>
          <w:p w14:paraId="74037BBE" w14:textId="77777777" w:rsidR="00751E59" w:rsidRPr="00DC5278" w:rsidRDefault="00751E59" w:rsidP="0085547B">
            <w:pPr>
              <w:suppressAutoHyphens/>
              <w:jc w:val="right"/>
              <w:rPr>
                <w:color w:val="000000"/>
              </w:rPr>
            </w:pPr>
            <w:r w:rsidRPr="00DC5278">
              <w:rPr>
                <w:color w:val="000000"/>
              </w:rPr>
              <w:t>0.0%</w:t>
            </w:r>
          </w:p>
        </w:tc>
        <w:tc>
          <w:tcPr>
            <w:tcW w:w="1626" w:type="dxa"/>
            <w:tcBorders>
              <w:top w:val="nil"/>
              <w:left w:val="nil"/>
              <w:bottom w:val="nil"/>
              <w:right w:val="nil"/>
            </w:tcBorders>
            <w:shd w:val="clear" w:color="000000" w:fill="FFFFFF"/>
            <w:noWrap/>
            <w:vAlign w:val="center"/>
            <w:hideMark/>
          </w:tcPr>
          <w:p w14:paraId="74037BBF" w14:textId="77777777" w:rsidR="00751E59" w:rsidRPr="00DC5278" w:rsidRDefault="00751E59" w:rsidP="0085547B">
            <w:pPr>
              <w:suppressAutoHyphens/>
              <w:jc w:val="right"/>
              <w:rPr>
                <w:color w:val="000000"/>
              </w:rPr>
            </w:pPr>
            <w:r w:rsidRPr="00DC5278">
              <w:rPr>
                <w:color w:val="000000"/>
              </w:rPr>
              <w:t>96.5%</w:t>
            </w:r>
          </w:p>
        </w:tc>
      </w:tr>
      <w:tr w:rsidR="00751E59" w:rsidRPr="00DC5278" w14:paraId="74037BC9" w14:textId="77777777" w:rsidTr="00CD3ADA">
        <w:trPr>
          <w:trHeight w:val="255"/>
        </w:trPr>
        <w:tc>
          <w:tcPr>
            <w:tcW w:w="1768" w:type="dxa"/>
            <w:tcBorders>
              <w:top w:val="nil"/>
              <w:left w:val="nil"/>
              <w:bottom w:val="nil"/>
              <w:right w:val="nil"/>
            </w:tcBorders>
            <w:shd w:val="clear" w:color="000000" w:fill="FFFFFF"/>
            <w:noWrap/>
            <w:vAlign w:val="center"/>
            <w:hideMark/>
          </w:tcPr>
          <w:p w14:paraId="74037BC1"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56" w:type="dxa"/>
            <w:tcBorders>
              <w:top w:val="nil"/>
              <w:left w:val="nil"/>
              <w:bottom w:val="nil"/>
              <w:right w:val="nil"/>
            </w:tcBorders>
            <w:shd w:val="clear" w:color="000000" w:fill="FFFFFF"/>
            <w:noWrap/>
            <w:vAlign w:val="center"/>
            <w:hideMark/>
          </w:tcPr>
          <w:p w14:paraId="74037BC2" w14:textId="77777777" w:rsidR="00751E59" w:rsidRPr="00DC5278" w:rsidRDefault="00751E59" w:rsidP="0085547B">
            <w:pPr>
              <w:suppressAutoHyphens/>
              <w:jc w:val="right"/>
              <w:rPr>
                <w:color w:val="000000"/>
              </w:rPr>
            </w:pPr>
            <w:r w:rsidRPr="00DC5278">
              <w:rPr>
                <w:color w:val="000000"/>
              </w:rPr>
              <w:t>624</w:t>
            </w:r>
          </w:p>
        </w:tc>
        <w:tc>
          <w:tcPr>
            <w:tcW w:w="956" w:type="dxa"/>
            <w:tcBorders>
              <w:top w:val="nil"/>
              <w:left w:val="nil"/>
              <w:bottom w:val="nil"/>
              <w:right w:val="nil"/>
            </w:tcBorders>
            <w:shd w:val="clear" w:color="000000" w:fill="FFFFFF"/>
            <w:noWrap/>
            <w:vAlign w:val="center"/>
            <w:hideMark/>
          </w:tcPr>
          <w:p w14:paraId="74037BC3" w14:textId="77777777" w:rsidR="00751E59" w:rsidRPr="00DC5278" w:rsidRDefault="00751E59" w:rsidP="0085547B">
            <w:pPr>
              <w:suppressAutoHyphens/>
              <w:jc w:val="right"/>
              <w:rPr>
                <w:color w:val="000000"/>
              </w:rPr>
            </w:pPr>
            <w:r w:rsidRPr="00DC5278">
              <w:rPr>
                <w:color w:val="000000"/>
              </w:rPr>
              <w:t>7.5%</w:t>
            </w:r>
          </w:p>
        </w:tc>
        <w:tc>
          <w:tcPr>
            <w:tcW w:w="1336" w:type="dxa"/>
            <w:tcBorders>
              <w:top w:val="nil"/>
              <w:left w:val="nil"/>
              <w:bottom w:val="nil"/>
              <w:right w:val="nil"/>
            </w:tcBorders>
            <w:shd w:val="clear" w:color="000000" w:fill="FFFFFF"/>
            <w:noWrap/>
            <w:vAlign w:val="center"/>
            <w:hideMark/>
          </w:tcPr>
          <w:p w14:paraId="74037BC4" w14:textId="77777777" w:rsidR="00751E59" w:rsidRPr="00DC5278" w:rsidRDefault="00751E59" w:rsidP="0085547B">
            <w:pPr>
              <w:suppressAutoHyphens/>
              <w:jc w:val="right"/>
              <w:rPr>
                <w:color w:val="000000"/>
              </w:rPr>
            </w:pPr>
            <w:r w:rsidRPr="00DC5278">
              <w:rPr>
                <w:color w:val="000000"/>
              </w:rPr>
              <w:t>99.9%</w:t>
            </w:r>
          </w:p>
        </w:tc>
        <w:tc>
          <w:tcPr>
            <w:tcW w:w="276" w:type="dxa"/>
            <w:tcBorders>
              <w:top w:val="nil"/>
              <w:left w:val="nil"/>
              <w:bottom w:val="nil"/>
              <w:right w:val="nil"/>
            </w:tcBorders>
            <w:shd w:val="clear" w:color="000000" w:fill="FFFFFF"/>
            <w:noWrap/>
            <w:vAlign w:val="center"/>
            <w:hideMark/>
          </w:tcPr>
          <w:p w14:paraId="74037BC5"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BC6" w14:textId="77777777" w:rsidR="00751E59" w:rsidRPr="00DC5278" w:rsidRDefault="00751E59" w:rsidP="0085547B">
            <w:pPr>
              <w:suppressAutoHyphens/>
              <w:jc w:val="right"/>
              <w:rPr>
                <w:color w:val="000000"/>
              </w:rPr>
            </w:pPr>
            <w:r w:rsidRPr="00DC5278">
              <w:rPr>
                <w:color w:val="000000"/>
              </w:rPr>
              <w:t>1.8</w:t>
            </w:r>
          </w:p>
        </w:tc>
        <w:tc>
          <w:tcPr>
            <w:tcW w:w="956" w:type="dxa"/>
            <w:tcBorders>
              <w:top w:val="nil"/>
              <w:left w:val="nil"/>
              <w:bottom w:val="nil"/>
              <w:right w:val="nil"/>
            </w:tcBorders>
            <w:shd w:val="clear" w:color="000000" w:fill="FFFFFF"/>
            <w:noWrap/>
            <w:vAlign w:val="center"/>
            <w:hideMark/>
          </w:tcPr>
          <w:p w14:paraId="74037BC7" w14:textId="77777777" w:rsidR="00751E59" w:rsidRPr="00DC5278" w:rsidRDefault="00751E59" w:rsidP="0085547B">
            <w:pPr>
              <w:suppressAutoHyphens/>
              <w:jc w:val="right"/>
              <w:rPr>
                <w:color w:val="000000"/>
              </w:rPr>
            </w:pPr>
            <w:r w:rsidRPr="00DC5278">
              <w:rPr>
                <w:color w:val="000000"/>
              </w:rPr>
              <w:t>3.5%</w:t>
            </w:r>
          </w:p>
        </w:tc>
        <w:tc>
          <w:tcPr>
            <w:tcW w:w="1626" w:type="dxa"/>
            <w:tcBorders>
              <w:top w:val="nil"/>
              <w:left w:val="nil"/>
              <w:bottom w:val="nil"/>
              <w:right w:val="nil"/>
            </w:tcBorders>
            <w:shd w:val="clear" w:color="000000" w:fill="FFFFFF"/>
            <w:noWrap/>
            <w:vAlign w:val="center"/>
            <w:hideMark/>
          </w:tcPr>
          <w:p w14:paraId="74037BC8"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BD2" w14:textId="77777777" w:rsidTr="00CD3ADA">
        <w:trPr>
          <w:trHeight w:val="255"/>
        </w:trPr>
        <w:tc>
          <w:tcPr>
            <w:tcW w:w="1768" w:type="dxa"/>
            <w:tcBorders>
              <w:top w:val="nil"/>
              <w:left w:val="nil"/>
              <w:bottom w:val="nil"/>
              <w:right w:val="nil"/>
            </w:tcBorders>
            <w:shd w:val="clear" w:color="000000" w:fill="FFFFFF"/>
            <w:noWrap/>
            <w:vAlign w:val="center"/>
            <w:hideMark/>
          </w:tcPr>
          <w:p w14:paraId="74037BCA" w14:textId="77777777" w:rsidR="00751E59" w:rsidRPr="00DC5278" w:rsidRDefault="00751E59" w:rsidP="0085547B">
            <w:pPr>
              <w:suppressAutoHyphens/>
              <w:rPr>
                <w:color w:val="000000"/>
              </w:rPr>
            </w:pPr>
            <w:r w:rsidRPr="00DC5278">
              <w:rPr>
                <w:color w:val="000000"/>
              </w:rPr>
              <w:t>D: 11+ year phasing</w:t>
            </w:r>
          </w:p>
        </w:tc>
        <w:tc>
          <w:tcPr>
            <w:tcW w:w="756" w:type="dxa"/>
            <w:tcBorders>
              <w:top w:val="nil"/>
              <w:left w:val="nil"/>
              <w:bottom w:val="nil"/>
              <w:right w:val="nil"/>
            </w:tcBorders>
            <w:shd w:val="clear" w:color="000000" w:fill="FFFFFF"/>
            <w:noWrap/>
            <w:vAlign w:val="center"/>
            <w:hideMark/>
          </w:tcPr>
          <w:p w14:paraId="74037BCB" w14:textId="77777777" w:rsidR="00751E59" w:rsidRPr="00DC5278" w:rsidRDefault="00751E59" w:rsidP="0085547B">
            <w:pPr>
              <w:suppressAutoHyphens/>
              <w:jc w:val="right"/>
              <w:rPr>
                <w:color w:val="000000"/>
              </w:rPr>
            </w:pPr>
            <w:r w:rsidRPr="00DC5278">
              <w:rPr>
                <w:color w:val="000000"/>
              </w:rPr>
              <w:t>8</w:t>
            </w:r>
          </w:p>
        </w:tc>
        <w:tc>
          <w:tcPr>
            <w:tcW w:w="956" w:type="dxa"/>
            <w:tcBorders>
              <w:top w:val="nil"/>
              <w:left w:val="nil"/>
              <w:bottom w:val="nil"/>
              <w:right w:val="nil"/>
            </w:tcBorders>
            <w:shd w:val="clear" w:color="000000" w:fill="FFFFFF"/>
            <w:noWrap/>
            <w:vAlign w:val="center"/>
            <w:hideMark/>
          </w:tcPr>
          <w:p w14:paraId="74037BCC" w14:textId="77777777" w:rsidR="00751E59" w:rsidRPr="00DC5278" w:rsidRDefault="00751E59" w:rsidP="0085547B">
            <w:pPr>
              <w:suppressAutoHyphens/>
              <w:jc w:val="right"/>
              <w:rPr>
                <w:color w:val="000000"/>
              </w:rPr>
            </w:pPr>
            <w:r w:rsidRPr="00DC5278">
              <w:rPr>
                <w:color w:val="000000"/>
              </w:rPr>
              <w:t>0.1%</w:t>
            </w:r>
          </w:p>
        </w:tc>
        <w:tc>
          <w:tcPr>
            <w:tcW w:w="1336" w:type="dxa"/>
            <w:tcBorders>
              <w:top w:val="nil"/>
              <w:left w:val="nil"/>
              <w:bottom w:val="nil"/>
              <w:right w:val="nil"/>
            </w:tcBorders>
            <w:shd w:val="clear" w:color="000000" w:fill="FFFFFF"/>
            <w:noWrap/>
            <w:vAlign w:val="center"/>
            <w:hideMark/>
          </w:tcPr>
          <w:p w14:paraId="74037BCD" w14:textId="77777777" w:rsidR="00751E59" w:rsidRPr="00DC5278" w:rsidRDefault="00751E59" w:rsidP="0085547B">
            <w:pPr>
              <w:suppressAutoHyphens/>
              <w:jc w:val="right"/>
              <w:rPr>
                <w:color w:val="000000"/>
              </w:rPr>
            </w:pPr>
            <w:r w:rsidRPr="00DC5278">
              <w:rPr>
                <w:color w:val="000000"/>
              </w:rPr>
              <w:t>100.0%</w:t>
            </w:r>
          </w:p>
        </w:tc>
        <w:tc>
          <w:tcPr>
            <w:tcW w:w="276" w:type="dxa"/>
            <w:tcBorders>
              <w:top w:val="nil"/>
              <w:left w:val="nil"/>
              <w:bottom w:val="nil"/>
              <w:right w:val="nil"/>
            </w:tcBorders>
            <w:shd w:val="clear" w:color="000000" w:fill="FFFFFF"/>
            <w:noWrap/>
            <w:vAlign w:val="center"/>
            <w:hideMark/>
          </w:tcPr>
          <w:p w14:paraId="74037BCE"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BCF" w14:textId="77777777" w:rsidR="00751E59" w:rsidRPr="00DC5278" w:rsidRDefault="00751E59" w:rsidP="0085547B">
            <w:pPr>
              <w:suppressAutoHyphens/>
              <w:jc w:val="right"/>
              <w:rPr>
                <w:color w:val="000000"/>
              </w:rPr>
            </w:pPr>
            <w:r w:rsidRPr="00DC5278">
              <w:rPr>
                <w:color w:val="000000"/>
              </w:rPr>
              <w:t>0.0</w:t>
            </w:r>
          </w:p>
        </w:tc>
        <w:tc>
          <w:tcPr>
            <w:tcW w:w="956" w:type="dxa"/>
            <w:tcBorders>
              <w:top w:val="nil"/>
              <w:left w:val="nil"/>
              <w:bottom w:val="nil"/>
              <w:right w:val="nil"/>
            </w:tcBorders>
            <w:shd w:val="clear" w:color="000000" w:fill="FFFFFF"/>
            <w:noWrap/>
            <w:vAlign w:val="center"/>
            <w:hideMark/>
          </w:tcPr>
          <w:p w14:paraId="74037BD0" w14:textId="77777777" w:rsidR="00751E59" w:rsidRPr="00DC5278" w:rsidRDefault="00751E59" w:rsidP="0085547B">
            <w:pPr>
              <w:suppressAutoHyphens/>
              <w:jc w:val="right"/>
              <w:rPr>
                <w:color w:val="000000"/>
              </w:rPr>
            </w:pPr>
            <w:r w:rsidRPr="00DC5278">
              <w:rPr>
                <w:color w:val="000000"/>
              </w:rPr>
              <w:t>0.0%</w:t>
            </w:r>
          </w:p>
        </w:tc>
        <w:tc>
          <w:tcPr>
            <w:tcW w:w="1626" w:type="dxa"/>
            <w:tcBorders>
              <w:top w:val="nil"/>
              <w:left w:val="nil"/>
              <w:bottom w:val="nil"/>
              <w:right w:val="nil"/>
            </w:tcBorders>
            <w:shd w:val="clear" w:color="000000" w:fill="FFFFFF"/>
            <w:noWrap/>
            <w:vAlign w:val="center"/>
            <w:hideMark/>
          </w:tcPr>
          <w:p w14:paraId="74037BD1"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BDB" w14:textId="77777777" w:rsidTr="00CD3ADA">
        <w:trPr>
          <w:trHeight w:val="567"/>
        </w:trPr>
        <w:tc>
          <w:tcPr>
            <w:tcW w:w="1768" w:type="dxa"/>
            <w:tcBorders>
              <w:top w:val="nil"/>
              <w:left w:val="nil"/>
              <w:bottom w:val="nil"/>
              <w:right w:val="nil"/>
            </w:tcBorders>
            <w:shd w:val="clear" w:color="000000" w:fill="FFFFFF"/>
            <w:noWrap/>
            <w:vAlign w:val="center"/>
            <w:hideMark/>
          </w:tcPr>
          <w:p w14:paraId="74037BD3" w14:textId="77777777" w:rsidR="00751E59" w:rsidRPr="00DC5278" w:rsidRDefault="00751E59" w:rsidP="0085547B">
            <w:pPr>
              <w:suppressAutoHyphens/>
              <w:rPr>
                <w:color w:val="000000"/>
              </w:rPr>
            </w:pPr>
            <w:r w:rsidRPr="00DC5278">
              <w:rPr>
                <w:color w:val="000000"/>
              </w:rPr>
              <w:t>Tariff reduction</w:t>
            </w:r>
          </w:p>
        </w:tc>
        <w:tc>
          <w:tcPr>
            <w:tcW w:w="756" w:type="dxa"/>
            <w:tcBorders>
              <w:top w:val="nil"/>
              <w:left w:val="nil"/>
              <w:bottom w:val="nil"/>
              <w:right w:val="nil"/>
            </w:tcBorders>
            <w:shd w:val="clear" w:color="000000" w:fill="FFFFFF"/>
            <w:noWrap/>
            <w:vAlign w:val="center"/>
            <w:hideMark/>
          </w:tcPr>
          <w:p w14:paraId="74037BD4" w14:textId="16278E1C" w:rsidR="00751E59" w:rsidRPr="00DC5278" w:rsidRDefault="00751E59" w:rsidP="0036201B">
            <w:pPr>
              <w:suppressAutoHyphens/>
              <w:jc w:val="right"/>
              <w:rPr>
                <w:color w:val="000000"/>
              </w:rPr>
            </w:pPr>
            <w:r w:rsidRPr="00DC5278">
              <w:rPr>
                <w:color w:val="000000"/>
              </w:rPr>
              <w:t xml:space="preserve">-   </w:t>
            </w:r>
          </w:p>
        </w:tc>
        <w:tc>
          <w:tcPr>
            <w:tcW w:w="956" w:type="dxa"/>
            <w:tcBorders>
              <w:top w:val="nil"/>
              <w:left w:val="nil"/>
              <w:bottom w:val="nil"/>
              <w:right w:val="nil"/>
            </w:tcBorders>
            <w:shd w:val="clear" w:color="000000" w:fill="FFFFFF"/>
            <w:noWrap/>
            <w:vAlign w:val="center"/>
            <w:hideMark/>
          </w:tcPr>
          <w:p w14:paraId="74037BD5" w14:textId="0683938E" w:rsidR="00751E59" w:rsidRPr="00DC5278" w:rsidRDefault="00751E59" w:rsidP="0036201B">
            <w:pPr>
              <w:suppressAutoHyphens/>
              <w:jc w:val="right"/>
              <w:rPr>
                <w:color w:val="000000"/>
              </w:rPr>
            </w:pPr>
            <w:r w:rsidRPr="00DC5278">
              <w:rPr>
                <w:color w:val="000000"/>
              </w:rPr>
              <w:t xml:space="preserve">-   </w:t>
            </w:r>
          </w:p>
        </w:tc>
        <w:tc>
          <w:tcPr>
            <w:tcW w:w="1336" w:type="dxa"/>
            <w:tcBorders>
              <w:top w:val="nil"/>
              <w:left w:val="nil"/>
              <w:bottom w:val="nil"/>
              <w:right w:val="nil"/>
            </w:tcBorders>
            <w:shd w:val="clear" w:color="000000" w:fill="FFFFFF"/>
            <w:noWrap/>
            <w:vAlign w:val="center"/>
            <w:hideMark/>
          </w:tcPr>
          <w:p w14:paraId="74037BD6" w14:textId="77777777" w:rsidR="00751E59" w:rsidRPr="00DC5278" w:rsidRDefault="00751E59" w:rsidP="0085547B">
            <w:pPr>
              <w:suppressAutoHyphens/>
              <w:jc w:val="right"/>
              <w:rPr>
                <w:color w:val="000000"/>
              </w:rPr>
            </w:pPr>
            <w:r w:rsidRPr="00DC5278">
              <w:rPr>
                <w:color w:val="000000"/>
              </w:rPr>
              <w:t>100.0%</w:t>
            </w:r>
          </w:p>
        </w:tc>
        <w:tc>
          <w:tcPr>
            <w:tcW w:w="276" w:type="dxa"/>
            <w:tcBorders>
              <w:top w:val="nil"/>
              <w:left w:val="nil"/>
              <w:bottom w:val="nil"/>
              <w:right w:val="nil"/>
            </w:tcBorders>
            <w:shd w:val="clear" w:color="000000" w:fill="FFFFFF"/>
            <w:noWrap/>
            <w:vAlign w:val="center"/>
            <w:hideMark/>
          </w:tcPr>
          <w:p w14:paraId="74037BD7"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BD8" w14:textId="77777777" w:rsidR="00751E59" w:rsidRPr="00DC5278" w:rsidRDefault="00751E59" w:rsidP="0085547B">
            <w:pPr>
              <w:suppressAutoHyphens/>
              <w:jc w:val="right"/>
              <w:rPr>
                <w:color w:val="000000"/>
              </w:rPr>
            </w:pPr>
            <w:r w:rsidRPr="00DC5278">
              <w:rPr>
                <w:color w:val="000000"/>
              </w:rPr>
              <w:t>0.0</w:t>
            </w:r>
          </w:p>
        </w:tc>
        <w:tc>
          <w:tcPr>
            <w:tcW w:w="956" w:type="dxa"/>
            <w:tcBorders>
              <w:top w:val="nil"/>
              <w:left w:val="nil"/>
              <w:bottom w:val="nil"/>
              <w:right w:val="nil"/>
            </w:tcBorders>
            <w:shd w:val="clear" w:color="000000" w:fill="FFFFFF"/>
            <w:noWrap/>
            <w:vAlign w:val="center"/>
            <w:hideMark/>
          </w:tcPr>
          <w:p w14:paraId="74037BD9" w14:textId="00C057BA" w:rsidR="00751E59" w:rsidRPr="00DC5278" w:rsidRDefault="00751E59" w:rsidP="0036201B">
            <w:pPr>
              <w:suppressAutoHyphens/>
              <w:jc w:val="right"/>
              <w:rPr>
                <w:color w:val="000000"/>
              </w:rPr>
            </w:pPr>
            <w:r w:rsidRPr="00DC5278">
              <w:rPr>
                <w:color w:val="000000"/>
              </w:rPr>
              <w:t xml:space="preserve">-   </w:t>
            </w:r>
          </w:p>
        </w:tc>
        <w:tc>
          <w:tcPr>
            <w:tcW w:w="1626" w:type="dxa"/>
            <w:tcBorders>
              <w:top w:val="nil"/>
              <w:left w:val="nil"/>
              <w:bottom w:val="nil"/>
              <w:right w:val="nil"/>
            </w:tcBorders>
            <w:shd w:val="clear" w:color="000000" w:fill="FFFFFF"/>
            <w:noWrap/>
            <w:vAlign w:val="center"/>
            <w:hideMark/>
          </w:tcPr>
          <w:p w14:paraId="74037BDA" w14:textId="6DF22354" w:rsidR="00751E59" w:rsidRPr="00DC5278" w:rsidRDefault="00751E59" w:rsidP="0036201B">
            <w:pPr>
              <w:suppressAutoHyphens/>
              <w:jc w:val="right"/>
              <w:rPr>
                <w:color w:val="000000"/>
              </w:rPr>
            </w:pPr>
            <w:r w:rsidRPr="00DC5278">
              <w:rPr>
                <w:color w:val="000000"/>
              </w:rPr>
              <w:t xml:space="preserve">-   </w:t>
            </w:r>
          </w:p>
        </w:tc>
      </w:tr>
      <w:tr w:rsidR="00751E59" w:rsidRPr="00DC5278" w14:paraId="74037BE4" w14:textId="77777777" w:rsidTr="00CD3ADA">
        <w:trPr>
          <w:trHeight w:val="567"/>
        </w:trPr>
        <w:tc>
          <w:tcPr>
            <w:tcW w:w="1768" w:type="dxa"/>
            <w:tcBorders>
              <w:top w:val="nil"/>
              <w:left w:val="nil"/>
              <w:bottom w:val="nil"/>
              <w:right w:val="nil"/>
            </w:tcBorders>
            <w:shd w:val="clear" w:color="000000" w:fill="FFFFFF"/>
            <w:noWrap/>
            <w:vAlign w:val="center"/>
            <w:hideMark/>
          </w:tcPr>
          <w:p w14:paraId="74037BDC" w14:textId="77777777" w:rsidR="00751E59" w:rsidRPr="00DC5278" w:rsidRDefault="00751E59" w:rsidP="0085547B">
            <w:pPr>
              <w:suppressAutoHyphens/>
              <w:rPr>
                <w:color w:val="000000"/>
              </w:rPr>
            </w:pPr>
            <w:r w:rsidRPr="00DC5278">
              <w:rPr>
                <w:color w:val="000000"/>
              </w:rPr>
              <w:t>Quota</w:t>
            </w:r>
          </w:p>
        </w:tc>
        <w:tc>
          <w:tcPr>
            <w:tcW w:w="756" w:type="dxa"/>
            <w:tcBorders>
              <w:top w:val="nil"/>
              <w:left w:val="nil"/>
              <w:bottom w:val="nil"/>
              <w:right w:val="nil"/>
            </w:tcBorders>
            <w:shd w:val="clear" w:color="000000" w:fill="FFFFFF"/>
            <w:noWrap/>
            <w:vAlign w:val="center"/>
            <w:hideMark/>
          </w:tcPr>
          <w:p w14:paraId="74037BDD" w14:textId="7D424686" w:rsidR="00751E59" w:rsidRPr="00DC5278" w:rsidRDefault="00751E59" w:rsidP="0036201B">
            <w:pPr>
              <w:suppressAutoHyphens/>
              <w:jc w:val="right"/>
              <w:rPr>
                <w:color w:val="000000"/>
              </w:rPr>
            </w:pPr>
            <w:r w:rsidRPr="00DC5278">
              <w:rPr>
                <w:color w:val="000000"/>
              </w:rPr>
              <w:t xml:space="preserve">-   </w:t>
            </w:r>
          </w:p>
        </w:tc>
        <w:tc>
          <w:tcPr>
            <w:tcW w:w="956" w:type="dxa"/>
            <w:tcBorders>
              <w:top w:val="nil"/>
              <w:left w:val="nil"/>
              <w:bottom w:val="nil"/>
              <w:right w:val="nil"/>
            </w:tcBorders>
            <w:shd w:val="clear" w:color="000000" w:fill="FFFFFF"/>
            <w:noWrap/>
            <w:vAlign w:val="center"/>
            <w:hideMark/>
          </w:tcPr>
          <w:p w14:paraId="74037BDE" w14:textId="72987564" w:rsidR="00751E59" w:rsidRPr="00DC5278" w:rsidRDefault="00751E59" w:rsidP="0036201B">
            <w:pPr>
              <w:suppressAutoHyphens/>
              <w:jc w:val="right"/>
              <w:rPr>
                <w:color w:val="000000"/>
              </w:rPr>
            </w:pPr>
            <w:r w:rsidRPr="00DC5278">
              <w:rPr>
                <w:color w:val="000000"/>
              </w:rPr>
              <w:t xml:space="preserve">-   </w:t>
            </w:r>
          </w:p>
        </w:tc>
        <w:tc>
          <w:tcPr>
            <w:tcW w:w="1336" w:type="dxa"/>
            <w:tcBorders>
              <w:top w:val="nil"/>
              <w:left w:val="nil"/>
              <w:bottom w:val="nil"/>
              <w:right w:val="nil"/>
            </w:tcBorders>
            <w:shd w:val="clear" w:color="000000" w:fill="FFFFFF"/>
            <w:noWrap/>
            <w:vAlign w:val="center"/>
            <w:hideMark/>
          </w:tcPr>
          <w:p w14:paraId="74037BDF" w14:textId="77777777" w:rsidR="00751E59" w:rsidRPr="00DC5278" w:rsidRDefault="00751E59" w:rsidP="0085547B">
            <w:pPr>
              <w:suppressAutoHyphens/>
              <w:jc w:val="right"/>
              <w:rPr>
                <w:color w:val="000000"/>
              </w:rPr>
            </w:pPr>
            <w:r w:rsidRPr="00DC5278">
              <w:rPr>
                <w:color w:val="000000"/>
              </w:rPr>
              <w:t>100.0%</w:t>
            </w:r>
          </w:p>
        </w:tc>
        <w:tc>
          <w:tcPr>
            <w:tcW w:w="276" w:type="dxa"/>
            <w:tcBorders>
              <w:top w:val="nil"/>
              <w:left w:val="nil"/>
              <w:bottom w:val="nil"/>
              <w:right w:val="nil"/>
            </w:tcBorders>
            <w:shd w:val="clear" w:color="000000" w:fill="FFFFFF"/>
            <w:noWrap/>
            <w:vAlign w:val="center"/>
            <w:hideMark/>
          </w:tcPr>
          <w:p w14:paraId="74037BE0"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BE1" w14:textId="77777777" w:rsidR="00751E59" w:rsidRPr="00DC5278" w:rsidRDefault="00751E59" w:rsidP="0085547B">
            <w:pPr>
              <w:suppressAutoHyphens/>
              <w:jc w:val="right"/>
              <w:rPr>
                <w:color w:val="000000"/>
              </w:rPr>
            </w:pPr>
            <w:r w:rsidRPr="00DC5278">
              <w:rPr>
                <w:color w:val="000000"/>
              </w:rPr>
              <w:t>0.0</w:t>
            </w:r>
          </w:p>
        </w:tc>
        <w:tc>
          <w:tcPr>
            <w:tcW w:w="956" w:type="dxa"/>
            <w:tcBorders>
              <w:top w:val="nil"/>
              <w:left w:val="nil"/>
              <w:bottom w:val="nil"/>
              <w:right w:val="nil"/>
            </w:tcBorders>
            <w:shd w:val="clear" w:color="000000" w:fill="FFFFFF"/>
            <w:noWrap/>
            <w:vAlign w:val="center"/>
            <w:hideMark/>
          </w:tcPr>
          <w:p w14:paraId="74037BE2" w14:textId="5DDC8120" w:rsidR="00751E59" w:rsidRPr="00DC5278" w:rsidRDefault="00751E59" w:rsidP="0036201B">
            <w:pPr>
              <w:suppressAutoHyphens/>
              <w:jc w:val="right"/>
              <w:rPr>
                <w:color w:val="000000"/>
              </w:rPr>
            </w:pPr>
            <w:r w:rsidRPr="00DC5278">
              <w:rPr>
                <w:color w:val="000000"/>
              </w:rPr>
              <w:t xml:space="preserve">-   </w:t>
            </w:r>
          </w:p>
        </w:tc>
        <w:tc>
          <w:tcPr>
            <w:tcW w:w="1626" w:type="dxa"/>
            <w:tcBorders>
              <w:top w:val="nil"/>
              <w:left w:val="nil"/>
              <w:bottom w:val="nil"/>
              <w:right w:val="nil"/>
            </w:tcBorders>
            <w:shd w:val="clear" w:color="000000" w:fill="FFFFFF"/>
            <w:noWrap/>
            <w:vAlign w:val="center"/>
            <w:hideMark/>
          </w:tcPr>
          <w:p w14:paraId="74037BE3" w14:textId="6F5295F1" w:rsidR="00751E59" w:rsidRPr="00DC5278" w:rsidRDefault="00751E59" w:rsidP="0036201B">
            <w:pPr>
              <w:suppressAutoHyphens/>
              <w:jc w:val="right"/>
              <w:rPr>
                <w:color w:val="000000"/>
              </w:rPr>
            </w:pPr>
            <w:r w:rsidRPr="00DC5278">
              <w:rPr>
                <w:color w:val="000000"/>
              </w:rPr>
              <w:t xml:space="preserve">-   </w:t>
            </w:r>
          </w:p>
        </w:tc>
      </w:tr>
      <w:tr w:rsidR="00751E59" w:rsidRPr="00DC5278" w14:paraId="74037BED" w14:textId="77777777" w:rsidTr="00CD3ADA">
        <w:trPr>
          <w:trHeight w:val="270"/>
        </w:trPr>
        <w:tc>
          <w:tcPr>
            <w:tcW w:w="1768" w:type="dxa"/>
            <w:tcBorders>
              <w:top w:val="nil"/>
              <w:left w:val="nil"/>
              <w:bottom w:val="single" w:sz="8" w:space="0" w:color="auto"/>
              <w:right w:val="nil"/>
            </w:tcBorders>
            <w:noWrap/>
            <w:vAlign w:val="bottom"/>
            <w:hideMark/>
          </w:tcPr>
          <w:p w14:paraId="74037BE5" w14:textId="77777777" w:rsidR="00751E59" w:rsidRPr="00DC5278" w:rsidRDefault="00751E59" w:rsidP="0085547B">
            <w:pPr>
              <w:suppressAutoHyphens/>
              <w:rPr>
                <w:color w:val="000000"/>
              </w:rPr>
            </w:pPr>
            <w:r w:rsidRPr="00DC5278">
              <w:rPr>
                <w:color w:val="000000"/>
              </w:rPr>
              <w:t>Total</w:t>
            </w:r>
          </w:p>
        </w:tc>
        <w:tc>
          <w:tcPr>
            <w:tcW w:w="756" w:type="dxa"/>
            <w:tcBorders>
              <w:top w:val="nil"/>
              <w:left w:val="nil"/>
              <w:bottom w:val="single" w:sz="8" w:space="0" w:color="auto"/>
              <w:right w:val="nil"/>
            </w:tcBorders>
            <w:shd w:val="clear" w:color="000000" w:fill="FFFFFF"/>
            <w:noWrap/>
            <w:vAlign w:val="center"/>
            <w:hideMark/>
          </w:tcPr>
          <w:p w14:paraId="74037BE6" w14:textId="77777777" w:rsidR="00751E59" w:rsidRPr="00DC5278" w:rsidRDefault="00751E59" w:rsidP="0085547B">
            <w:pPr>
              <w:suppressAutoHyphens/>
              <w:jc w:val="right"/>
              <w:rPr>
                <w:color w:val="000000"/>
              </w:rPr>
            </w:pPr>
            <w:r w:rsidRPr="00DC5278">
              <w:rPr>
                <w:color w:val="000000"/>
              </w:rPr>
              <w:t>8,304</w:t>
            </w:r>
          </w:p>
        </w:tc>
        <w:tc>
          <w:tcPr>
            <w:tcW w:w="956" w:type="dxa"/>
            <w:tcBorders>
              <w:top w:val="nil"/>
              <w:left w:val="nil"/>
              <w:bottom w:val="single" w:sz="8" w:space="0" w:color="auto"/>
              <w:right w:val="nil"/>
            </w:tcBorders>
            <w:shd w:val="clear" w:color="000000" w:fill="FFFFFF"/>
            <w:noWrap/>
            <w:vAlign w:val="center"/>
            <w:hideMark/>
          </w:tcPr>
          <w:p w14:paraId="74037BE7" w14:textId="77777777" w:rsidR="00751E59" w:rsidRPr="00DC5278" w:rsidRDefault="00751E59" w:rsidP="0085547B">
            <w:pPr>
              <w:suppressAutoHyphens/>
              <w:jc w:val="right"/>
              <w:rPr>
                <w:color w:val="000000"/>
              </w:rPr>
            </w:pPr>
            <w:r w:rsidRPr="00DC5278">
              <w:rPr>
                <w:color w:val="000000"/>
              </w:rPr>
              <w:t>100.0%</w:t>
            </w:r>
          </w:p>
        </w:tc>
        <w:tc>
          <w:tcPr>
            <w:tcW w:w="1336" w:type="dxa"/>
            <w:tcBorders>
              <w:top w:val="nil"/>
              <w:left w:val="nil"/>
              <w:bottom w:val="single" w:sz="8" w:space="0" w:color="auto"/>
              <w:right w:val="nil"/>
            </w:tcBorders>
            <w:shd w:val="clear" w:color="000000" w:fill="FFFFFF"/>
            <w:noWrap/>
            <w:vAlign w:val="center"/>
            <w:hideMark/>
          </w:tcPr>
          <w:p w14:paraId="74037BE8" w14:textId="77777777" w:rsidR="00751E59" w:rsidRPr="00DC5278" w:rsidRDefault="00751E59" w:rsidP="0085547B">
            <w:pPr>
              <w:suppressAutoHyphens/>
              <w:jc w:val="right"/>
              <w:rPr>
                <w:color w:val="000000"/>
              </w:rPr>
            </w:pPr>
            <w:r w:rsidRPr="00DC5278">
              <w:rPr>
                <w:color w:val="000000"/>
              </w:rPr>
              <w:t>100.0%</w:t>
            </w:r>
          </w:p>
        </w:tc>
        <w:tc>
          <w:tcPr>
            <w:tcW w:w="276" w:type="dxa"/>
            <w:tcBorders>
              <w:top w:val="nil"/>
              <w:left w:val="nil"/>
              <w:bottom w:val="single" w:sz="8" w:space="0" w:color="auto"/>
              <w:right w:val="nil"/>
            </w:tcBorders>
            <w:shd w:val="clear" w:color="000000" w:fill="FFFFFF"/>
            <w:noWrap/>
            <w:vAlign w:val="center"/>
            <w:hideMark/>
          </w:tcPr>
          <w:p w14:paraId="74037BE9"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single" w:sz="8" w:space="0" w:color="auto"/>
              <w:right w:val="nil"/>
            </w:tcBorders>
            <w:shd w:val="clear" w:color="000000" w:fill="FFFFFF"/>
            <w:noWrap/>
            <w:vAlign w:val="center"/>
            <w:hideMark/>
          </w:tcPr>
          <w:p w14:paraId="74037BEA" w14:textId="77777777" w:rsidR="00751E59" w:rsidRPr="00DC5278" w:rsidRDefault="00751E59" w:rsidP="0085547B">
            <w:pPr>
              <w:suppressAutoHyphens/>
              <w:jc w:val="right"/>
              <w:rPr>
                <w:color w:val="000000"/>
              </w:rPr>
            </w:pPr>
            <w:r w:rsidRPr="00DC5278">
              <w:rPr>
                <w:color w:val="000000"/>
              </w:rPr>
              <w:t>52.5</w:t>
            </w:r>
          </w:p>
        </w:tc>
        <w:tc>
          <w:tcPr>
            <w:tcW w:w="956" w:type="dxa"/>
            <w:tcBorders>
              <w:top w:val="nil"/>
              <w:left w:val="nil"/>
              <w:bottom w:val="single" w:sz="8" w:space="0" w:color="auto"/>
              <w:right w:val="nil"/>
            </w:tcBorders>
            <w:shd w:val="clear" w:color="000000" w:fill="FFFFFF"/>
            <w:noWrap/>
            <w:vAlign w:val="center"/>
            <w:hideMark/>
          </w:tcPr>
          <w:p w14:paraId="74037BEB" w14:textId="77777777" w:rsidR="00751E59" w:rsidRPr="00DC5278" w:rsidRDefault="00751E59" w:rsidP="0085547B">
            <w:pPr>
              <w:suppressAutoHyphens/>
              <w:jc w:val="right"/>
              <w:rPr>
                <w:color w:val="000000"/>
              </w:rPr>
            </w:pPr>
            <w:r w:rsidRPr="00DC5278">
              <w:rPr>
                <w:color w:val="000000"/>
              </w:rPr>
              <w:t>100.0%</w:t>
            </w:r>
          </w:p>
        </w:tc>
        <w:tc>
          <w:tcPr>
            <w:tcW w:w="1626" w:type="dxa"/>
            <w:tcBorders>
              <w:top w:val="nil"/>
              <w:left w:val="nil"/>
              <w:bottom w:val="single" w:sz="8" w:space="0" w:color="auto"/>
              <w:right w:val="nil"/>
            </w:tcBorders>
            <w:shd w:val="clear" w:color="000000" w:fill="FFFFFF"/>
            <w:noWrap/>
            <w:vAlign w:val="center"/>
            <w:hideMark/>
          </w:tcPr>
          <w:p w14:paraId="74037BEC" w14:textId="77777777" w:rsidR="00751E59" w:rsidRPr="00DC5278" w:rsidRDefault="00751E59" w:rsidP="0085547B">
            <w:pPr>
              <w:suppressAutoHyphens/>
              <w:jc w:val="right"/>
              <w:rPr>
                <w:color w:val="000000"/>
              </w:rPr>
            </w:pPr>
            <w:r w:rsidRPr="00DC5278">
              <w:rPr>
                <w:color w:val="000000"/>
              </w:rPr>
              <w:t>0.0%</w:t>
            </w:r>
          </w:p>
        </w:tc>
      </w:tr>
    </w:tbl>
    <w:p w14:paraId="74037BEE" w14:textId="77777777" w:rsidR="00751E59" w:rsidRPr="00DC5278" w:rsidRDefault="00751E59" w:rsidP="0085547B">
      <w:pPr>
        <w:suppressAutoHyphens/>
        <w:rPr>
          <w:b/>
          <w:u w:val="single"/>
        </w:rPr>
      </w:pPr>
    </w:p>
    <w:p w14:paraId="74037BEF" w14:textId="77777777" w:rsidR="00751E59" w:rsidRPr="00DC5278" w:rsidRDefault="00751E59" w:rsidP="0085547B">
      <w:pPr>
        <w:suppressAutoHyphens/>
        <w:rPr>
          <w:b/>
          <w:u w:val="single"/>
        </w:rPr>
      </w:pPr>
      <w:r w:rsidRPr="00DC5278">
        <w:rPr>
          <w:b/>
          <w:u w:val="single"/>
        </w:rPr>
        <w:t>Elimination schedule for Canada’s tariffs on imports of Australian goods</w:t>
      </w:r>
    </w:p>
    <w:p w14:paraId="74037BF0" w14:textId="77777777" w:rsidR="00751E59" w:rsidRPr="00DC5278" w:rsidRDefault="00751E59" w:rsidP="0085547B">
      <w:pPr>
        <w:suppressAutoHyphens/>
        <w:rPr>
          <w:b/>
          <w:u w:val="single"/>
        </w:rPr>
      </w:pPr>
    </w:p>
    <w:tbl>
      <w:tblPr>
        <w:tblW w:w="8398" w:type="dxa"/>
        <w:tblInd w:w="93" w:type="dxa"/>
        <w:tblLook w:val="04A0" w:firstRow="1" w:lastRow="0" w:firstColumn="1" w:lastColumn="0" w:noHBand="0" w:noVBand="1"/>
      </w:tblPr>
      <w:tblGrid>
        <w:gridCol w:w="1960"/>
        <w:gridCol w:w="766"/>
        <w:gridCol w:w="956"/>
        <w:gridCol w:w="1336"/>
        <w:gridCol w:w="276"/>
        <w:gridCol w:w="1440"/>
        <w:gridCol w:w="956"/>
        <w:gridCol w:w="1336"/>
      </w:tblGrid>
      <w:tr w:rsidR="00751E59" w:rsidRPr="00DC5278" w14:paraId="74037BF5" w14:textId="77777777" w:rsidTr="000740C4">
        <w:trPr>
          <w:trHeight w:val="315"/>
        </w:trPr>
        <w:tc>
          <w:tcPr>
            <w:tcW w:w="1960" w:type="dxa"/>
            <w:vMerge w:val="restart"/>
            <w:tcBorders>
              <w:top w:val="single" w:sz="8" w:space="0" w:color="auto"/>
              <w:left w:val="nil"/>
              <w:bottom w:val="single" w:sz="8" w:space="0" w:color="000000"/>
              <w:right w:val="nil"/>
            </w:tcBorders>
            <w:shd w:val="clear" w:color="000000" w:fill="D8D8D8"/>
            <w:vAlign w:val="center"/>
            <w:hideMark/>
          </w:tcPr>
          <w:p w14:paraId="74037BF1" w14:textId="77777777" w:rsidR="00751E59" w:rsidRPr="00DC5278" w:rsidRDefault="00751E59" w:rsidP="0085547B">
            <w:pPr>
              <w:suppressAutoHyphens/>
              <w:jc w:val="center"/>
              <w:rPr>
                <w:b/>
                <w:bCs/>
                <w:color w:val="000000"/>
              </w:rPr>
            </w:pPr>
            <w:r w:rsidRPr="00DC5278">
              <w:rPr>
                <w:b/>
                <w:bCs/>
                <w:color w:val="000000"/>
              </w:rPr>
              <w:t>Staging category</w:t>
            </w:r>
          </w:p>
        </w:tc>
        <w:tc>
          <w:tcPr>
            <w:tcW w:w="2749" w:type="dxa"/>
            <w:gridSpan w:val="3"/>
            <w:tcBorders>
              <w:top w:val="single" w:sz="8" w:space="0" w:color="auto"/>
              <w:left w:val="nil"/>
              <w:bottom w:val="single" w:sz="8" w:space="0" w:color="auto"/>
              <w:right w:val="nil"/>
            </w:tcBorders>
            <w:shd w:val="clear" w:color="000000" w:fill="D8D8D8"/>
            <w:vAlign w:val="center"/>
            <w:hideMark/>
          </w:tcPr>
          <w:p w14:paraId="74037BF2" w14:textId="77777777" w:rsidR="00751E59" w:rsidRPr="00DC5278" w:rsidRDefault="00751E59" w:rsidP="0085547B">
            <w:pPr>
              <w:suppressAutoHyphens/>
              <w:jc w:val="center"/>
              <w:rPr>
                <w:b/>
                <w:bCs/>
                <w:color w:val="000000"/>
              </w:rPr>
            </w:pPr>
            <w:r w:rsidRPr="00DC5278">
              <w:rPr>
                <w:b/>
                <w:bCs/>
                <w:color w:val="000000"/>
              </w:rPr>
              <w:t xml:space="preserve"> Tariff lines </w:t>
            </w:r>
          </w:p>
        </w:tc>
        <w:tc>
          <w:tcPr>
            <w:tcW w:w="266" w:type="dxa"/>
            <w:tcBorders>
              <w:top w:val="single" w:sz="8" w:space="0" w:color="auto"/>
              <w:left w:val="nil"/>
              <w:bottom w:val="nil"/>
              <w:right w:val="nil"/>
            </w:tcBorders>
            <w:shd w:val="clear" w:color="000000" w:fill="D8D8D8"/>
            <w:vAlign w:val="center"/>
            <w:hideMark/>
          </w:tcPr>
          <w:p w14:paraId="74037BF3" w14:textId="77777777" w:rsidR="00751E59" w:rsidRPr="00DC5278" w:rsidRDefault="00751E59" w:rsidP="0085547B">
            <w:pPr>
              <w:suppressAutoHyphens/>
              <w:jc w:val="center"/>
              <w:rPr>
                <w:b/>
                <w:bCs/>
                <w:color w:val="000000"/>
              </w:rPr>
            </w:pPr>
            <w:r w:rsidRPr="00DC5278">
              <w:rPr>
                <w:b/>
                <w:bCs/>
                <w:color w:val="000000"/>
              </w:rPr>
              <w:t> </w:t>
            </w:r>
          </w:p>
        </w:tc>
        <w:tc>
          <w:tcPr>
            <w:tcW w:w="3423" w:type="dxa"/>
            <w:gridSpan w:val="3"/>
            <w:tcBorders>
              <w:top w:val="single" w:sz="8" w:space="0" w:color="auto"/>
              <w:left w:val="nil"/>
              <w:bottom w:val="single" w:sz="8" w:space="0" w:color="auto"/>
              <w:right w:val="nil"/>
            </w:tcBorders>
            <w:shd w:val="clear" w:color="000000" w:fill="D8D8D8"/>
            <w:noWrap/>
            <w:vAlign w:val="center"/>
            <w:hideMark/>
          </w:tcPr>
          <w:p w14:paraId="74037BF4" w14:textId="77777777" w:rsidR="00751E59" w:rsidRPr="00DC5278" w:rsidRDefault="00751E59" w:rsidP="0085547B">
            <w:pPr>
              <w:suppressAutoHyphens/>
              <w:jc w:val="center"/>
              <w:rPr>
                <w:b/>
                <w:bCs/>
                <w:color w:val="000000"/>
              </w:rPr>
            </w:pPr>
            <w:r w:rsidRPr="00DC5278">
              <w:rPr>
                <w:b/>
                <w:bCs/>
                <w:color w:val="000000"/>
              </w:rPr>
              <w:t xml:space="preserve"> Canada's imports from Australia </w:t>
            </w:r>
          </w:p>
        </w:tc>
      </w:tr>
      <w:tr w:rsidR="00751E59" w:rsidRPr="00DC5278" w14:paraId="74037BFE" w14:textId="77777777" w:rsidTr="000740C4">
        <w:trPr>
          <w:trHeight w:val="720"/>
        </w:trPr>
        <w:tc>
          <w:tcPr>
            <w:tcW w:w="1960" w:type="dxa"/>
            <w:vMerge/>
            <w:tcBorders>
              <w:top w:val="single" w:sz="8" w:space="0" w:color="auto"/>
              <w:left w:val="nil"/>
              <w:bottom w:val="single" w:sz="8" w:space="0" w:color="000000"/>
              <w:right w:val="nil"/>
            </w:tcBorders>
            <w:vAlign w:val="center"/>
            <w:hideMark/>
          </w:tcPr>
          <w:p w14:paraId="74037BF6" w14:textId="77777777" w:rsidR="00751E59" w:rsidRPr="00DC5278" w:rsidRDefault="00751E59" w:rsidP="0085547B">
            <w:pPr>
              <w:suppressAutoHyphens/>
              <w:rPr>
                <w:b/>
                <w:bCs/>
                <w:color w:val="000000"/>
              </w:rPr>
            </w:pPr>
          </w:p>
        </w:tc>
        <w:tc>
          <w:tcPr>
            <w:tcW w:w="766" w:type="dxa"/>
            <w:tcBorders>
              <w:top w:val="nil"/>
              <w:left w:val="nil"/>
              <w:bottom w:val="single" w:sz="8" w:space="0" w:color="auto"/>
              <w:right w:val="nil"/>
            </w:tcBorders>
            <w:shd w:val="clear" w:color="000000" w:fill="D8D8D8"/>
            <w:noWrap/>
            <w:vAlign w:val="center"/>
            <w:hideMark/>
          </w:tcPr>
          <w:p w14:paraId="74037BF7" w14:textId="77777777" w:rsidR="00751E59" w:rsidRPr="00DC5278" w:rsidRDefault="00751E59" w:rsidP="0085547B">
            <w:pPr>
              <w:suppressAutoHyphens/>
              <w:jc w:val="center"/>
              <w:rPr>
                <w:color w:val="000000"/>
              </w:rPr>
            </w:pPr>
            <w:r w:rsidRPr="00DC5278">
              <w:rPr>
                <w:color w:val="000000"/>
              </w:rPr>
              <w:t xml:space="preserve"> No. </w:t>
            </w:r>
          </w:p>
        </w:tc>
        <w:tc>
          <w:tcPr>
            <w:tcW w:w="833" w:type="dxa"/>
            <w:tcBorders>
              <w:top w:val="nil"/>
              <w:left w:val="nil"/>
              <w:bottom w:val="single" w:sz="8" w:space="0" w:color="auto"/>
              <w:right w:val="nil"/>
            </w:tcBorders>
            <w:shd w:val="clear" w:color="000000" w:fill="D8D8D8"/>
            <w:vAlign w:val="center"/>
            <w:hideMark/>
          </w:tcPr>
          <w:p w14:paraId="74037BF8" w14:textId="77777777" w:rsidR="00751E59" w:rsidRPr="00DC5278" w:rsidRDefault="00751E59" w:rsidP="0085547B">
            <w:pPr>
              <w:suppressAutoHyphens/>
              <w:jc w:val="center"/>
              <w:rPr>
                <w:color w:val="000000"/>
              </w:rPr>
            </w:pPr>
            <w:r w:rsidRPr="00DC5278">
              <w:rPr>
                <w:color w:val="000000"/>
              </w:rPr>
              <w:t xml:space="preserve">  % of total </w:t>
            </w:r>
          </w:p>
        </w:tc>
        <w:tc>
          <w:tcPr>
            <w:tcW w:w="1150" w:type="dxa"/>
            <w:tcBorders>
              <w:top w:val="nil"/>
              <w:left w:val="nil"/>
              <w:bottom w:val="single" w:sz="8" w:space="0" w:color="auto"/>
              <w:right w:val="nil"/>
            </w:tcBorders>
            <w:shd w:val="clear" w:color="000000" w:fill="D8D8D8"/>
            <w:vAlign w:val="center"/>
            <w:hideMark/>
          </w:tcPr>
          <w:p w14:paraId="74037BF9" w14:textId="77777777" w:rsidR="00751E59" w:rsidRPr="00DC5278" w:rsidRDefault="00751E59" w:rsidP="0085547B">
            <w:pPr>
              <w:suppressAutoHyphens/>
              <w:jc w:val="center"/>
              <w:rPr>
                <w:color w:val="000000"/>
              </w:rPr>
            </w:pPr>
            <w:r w:rsidRPr="00DC5278">
              <w:rPr>
                <w:color w:val="000000"/>
              </w:rPr>
              <w:t xml:space="preserve"> Cumulative (%) </w:t>
            </w:r>
          </w:p>
        </w:tc>
        <w:tc>
          <w:tcPr>
            <w:tcW w:w="266" w:type="dxa"/>
            <w:tcBorders>
              <w:top w:val="nil"/>
              <w:left w:val="nil"/>
              <w:bottom w:val="single" w:sz="8" w:space="0" w:color="auto"/>
              <w:right w:val="nil"/>
            </w:tcBorders>
            <w:shd w:val="clear" w:color="000000" w:fill="D8D8D8"/>
            <w:vAlign w:val="center"/>
            <w:hideMark/>
          </w:tcPr>
          <w:p w14:paraId="74037BFA" w14:textId="77777777" w:rsidR="00751E59" w:rsidRPr="00DC5278" w:rsidRDefault="00751E59" w:rsidP="0085547B">
            <w:pPr>
              <w:suppressAutoHyphens/>
              <w:jc w:val="center"/>
              <w:rPr>
                <w:color w:val="000000"/>
              </w:rPr>
            </w:pPr>
            <w:r w:rsidRPr="00DC5278">
              <w:rPr>
                <w:color w:val="000000"/>
              </w:rPr>
              <w:t> </w:t>
            </w:r>
          </w:p>
        </w:tc>
        <w:tc>
          <w:tcPr>
            <w:tcW w:w="1440" w:type="dxa"/>
            <w:tcBorders>
              <w:top w:val="nil"/>
              <w:left w:val="nil"/>
              <w:bottom w:val="single" w:sz="8" w:space="0" w:color="auto"/>
              <w:right w:val="nil"/>
            </w:tcBorders>
            <w:shd w:val="clear" w:color="000000" w:fill="D8D8D8"/>
            <w:vAlign w:val="center"/>
            <w:hideMark/>
          </w:tcPr>
          <w:p w14:paraId="74037BFB"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833" w:type="dxa"/>
            <w:tcBorders>
              <w:top w:val="nil"/>
              <w:left w:val="nil"/>
              <w:bottom w:val="single" w:sz="8" w:space="0" w:color="auto"/>
              <w:right w:val="nil"/>
            </w:tcBorders>
            <w:shd w:val="clear" w:color="000000" w:fill="D8D8D8"/>
            <w:vAlign w:val="center"/>
            <w:hideMark/>
          </w:tcPr>
          <w:p w14:paraId="74037BFC" w14:textId="77777777" w:rsidR="00751E59" w:rsidRPr="00DC5278" w:rsidRDefault="00751E59" w:rsidP="0085547B">
            <w:pPr>
              <w:suppressAutoHyphens/>
              <w:jc w:val="center"/>
              <w:rPr>
                <w:color w:val="000000"/>
              </w:rPr>
            </w:pPr>
            <w:r w:rsidRPr="00DC5278">
              <w:rPr>
                <w:color w:val="000000"/>
              </w:rPr>
              <w:t xml:space="preserve">  % of total </w:t>
            </w:r>
          </w:p>
        </w:tc>
        <w:tc>
          <w:tcPr>
            <w:tcW w:w="1150" w:type="dxa"/>
            <w:tcBorders>
              <w:top w:val="nil"/>
              <w:left w:val="nil"/>
              <w:bottom w:val="single" w:sz="8" w:space="0" w:color="auto"/>
              <w:right w:val="nil"/>
            </w:tcBorders>
            <w:shd w:val="clear" w:color="000000" w:fill="D8D8D8"/>
            <w:vAlign w:val="center"/>
            <w:hideMark/>
          </w:tcPr>
          <w:p w14:paraId="74037BFD"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C07" w14:textId="77777777" w:rsidTr="000740C4">
        <w:trPr>
          <w:trHeight w:val="255"/>
        </w:trPr>
        <w:tc>
          <w:tcPr>
            <w:tcW w:w="1960" w:type="dxa"/>
            <w:tcBorders>
              <w:top w:val="nil"/>
              <w:left w:val="nil"/>
              <w:bottom w:val="nil"/>
              <w:right w:val="nil"/>
            </w:tcBorders>
            <w:shd w:val="clear" w:color="000000" w:fill="FFFFFF"/>
            <w:noWrap/>
            <w:vAlign w:val="center"/>
            <w:hideMark/>
          </w:tcPr>
          <w:p w14:paraId="74037BFF" w14:textId="77777777" w:rsidR="00751E59" w:rsidRPr="00DC5278" w:rsidRDefault="00751E59" w:rsidP="0085547B">
            <w:pPr>
              <w:suppressAutoHyphens/>
              <w:rPr>
                <w:color w:val="000000"/>
              </w:rPr>
            </w:pPr>
            <w:r w:rsidRPr="00DC5278">
              <w:rPr>
                <w:color w:val="000000"/>
              </w:rPr>
              <w:t>MFN 0%</w:t>
            </w:r>
          </w:p>
        </w:tc>
        <w:tc>
          <w:tcPr>
            <w:tcW w:w="766" w:type="dxa"/>
            <w:tcBorders>
              <w:top w:val="nil"/>
              <w:left w:val="nil"/>
              <w:bottom w:val="nil"/>
              <w:right w:val="nil"/>
            </w:tcBorders>
            <w:shd w:val="clear" w:color="000000" w:fill="FFFFFF"/>
            <w:noWrap/>
            <w:vAlign w:val="center"/>
            <w:hideMark/>
          </w:tcPr>
          <w:p w14:paraId="74037C00" w14:textId="77777777" w:rsidR="00751E59" w:rsidRPr="00DC5278" w:rsidRDefault="00751E59" w:rsidP="0085547B">
            <w:pPr>
              <w:suppressAutoHyphens/>
              <w:jc w:val="right"/>
              <w:rPr>
                <w:color w:val="000000"/>
              </w:rPr>
            </w:pPr>
            <w:r w:rsidRPr="00DC5278">
              <w:rPr>
                <w:color w:val="000000"/>
              </w:rPr>
              <w:t>4,470</w:t>
            </w:r>
          </w:p>
        </w:tc>
        <w:tc>
          <w:tcPr>
            <w:tcW w:w="833" w:type="dxa"/>
            <w:tcBorders>
              <w:top w:val="nil"/>
              <w:left w:val="nil"/>
              <w:bottom w:val="nil"/>
              <w:right w:val="nil"/>
            </w:tcBorders>
            <w:shd w:val="clear" w:color="000000" w:fill="FFFFFF"/>
            <w:noWrap/>
            <w:vAlign w:val="center"/>
            <w:hideMark/>
          </w:tcPr>
          <w:p w14:paraId="74037C01" w14:textId="77777777" w:rsidR="00751E59" w:rsidRPr="00DC5278" w:rsidRDefault="00751E59" w:rsidP="0085547B">
            <w:pPr>
              <w:suppressAutoHyphens/>
              <w:jc w:val="right"/>
              <w:rPr>
                <w:color w:val="000000"/>
              </w:rPr>
            </w:pPr>
            <w:r w:rsidRPr="00DC5278">
              <w:rPr>
                <w:color w:val="000000"/>
              </w:rPr>
              <w:t>53.6%</w:t>
            </w:r>
          </w:p>
        </w:tc>
        <w:tc>
          <w:tcPr>
            <w:tcW w:w="1150" w:type="dxa"/>
            <w:tcBorders>
              <w:top w:val="nil"/>
              <w:left w:val="nil"/>
              <w:bottom w:val="nil"/>
              <w:right w:val="nil"/>
            </w:tcBorders>
            <w:shd w:val="clear" w:color="000000" w:fill="FFFFFF"/>
            <w:noWrap/>
            <w:vAlign w:val="center"/>
            <w:hideMark/>
          </w:tcPr>
          <w:p w14:paraId="74037C02" w14:textId="77777777" w:rsidR="00751E59" w:rsidRPr="00DC5278" w:rsidRDefault="00751E59" w:rsidP="0085547B">
            <w:pPr>
              <w:suppressAutoHyphens/>
              <w:jc w:val="right"/>
              <w:rPr>
                <w:color w:val="000000"/>
              </w:rPr>
            </w:pPr>
            <w:r w:rsidRPr="00DC5278">
              <w:rPr>
                <w:color w:val="000000"/>
              </w:rPr>
              <w:t>53.6%</w:t>
            </w:r>
          </w:p>
        </w:tc>
        <w:tc>
          <w:tcPr>
            <w:tcW w:w="266" w:type="dxa"/>
            <w:tcBorders>
              <w:top w:val="nil"/>
              <w:left w:val="nil"/>
              <w:bottom w:val="nil"/>
              <w:right w:val="nil"/>
            </w:tcBorders>
            <w:shd w:val="clear" w:color="000000" w:fill="FFFFFF"/>
            <w:noWrap/>
            <w:vAlign w:val="center"/>
            <w:hideMark/>
          </w:tcPr>
          <w:p w14:paraId="74037C03"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04" w14:textId="77777777" w:rsidR="00751E59" w:rsidRPr="00DC5278" w:rsidRDefault="00751E59" w:rsidP="0085547B">
            <w:pPr>
              <w:suppressAutoHyphens/>
              <w:jc w:val="right"/>
              <w:rPr>
                <w:color w:val="000000"/>
              </w:rPr>
            </w:pPr>
            <w:r w:rsidRPr="00DC5278">
              <w:rPr>
                <w:color w:val="000000"/>
              </w:rPr>
              <w:t>1,272.3</w:t>
            </w:r>
          </w:p>
        </w:tc>
        <w:tc>
          <w:tcPr>
            <w:tcW w:w="833" w:type="dxa"/>
            <w:tcBorders>
              <w:top w:val="nil"/>
              <w:left w:val="nil"/>
              <w:bottom w:val="nil"/>
              <w:right w:val="nil"/>
            </w:tcBorders>
            <w:shd w:val="clear" w:color="000000" w:fill="FFFFFF"/>
            <w:noWrap/>
            <w:vAlign w:val="center"/>
            <w:hideMark/>
          </w:tcPr>
          <w:p w14:paraId="74037C05" w14:textId="77777777" w:rsidR="00751E59" w:rsidRPr="00DC5278" w:rsidRDefault="00751E59" w:rsidP="0085547B">
            <w:pPr>
              <w:suppressAutoHyphens/>
              <w:jc w:val="right"/>
              <w:rPr>
                <w:color w:val="000000"/>
              </w:rPr>
            </w:pPr>
            <w:r w:rsidRPr="00DC5278">
              <w:rPr>
                <w:color w:val="000000"/>
              </w:rPr>
              <w:t>79.7%</w:t>
            </w:r>
          </w:p>
        </w:tc>
        <w:tc>
          <w:tcPr>
            <w:tcW w:w="1150" w:type="dxa"/>
            <w:tcBorders>
              <w:top w:val="nil"/>
              <w:left w:val="nil"/>
              <w:bottom w:val="nil"/>
              <w:right w:val="nil"/>
            </w:tcBorders>
            <w:shd w:val="clear" w:color="000000" w:fill="FFFFFF"/>
            <w:noWrap/>
            <w:vAlign w:val="center"/>
            <w:hideMark/>
          </w:tcPr>
          <w:p w14:paraId="74037C06" w14:textId="77777777" w:rsidR="00751E59" w:rsidRPr="00DC5278" w:rsidRDefault="00751E59" w:rsidP="0085547B">
            <w:pPr>
              <w:suppressAutoHyphens/>
              <w:jc w:val="right"/>
              <w:rPr>
                <w:color w:val="000000"/>
              </w:rPr>
            </w:pPr>
            <w:r w:rsidRPr="00DC5278">
              <w:rPr>
                <w:color w:val="000000"/>
              </w:rPr>
              <w:t>79.7%</w:t>
            </w:r>
          </w:p>
        </w:tc>
      </w:tr>
      <w:tr w:rsidR="00751E59" w:rsidRPr="00DC5278" w14:paraId="74037C10" w14:textId="77777777" w:rsidTr="000740C4">
        <w:trPr>
          <w:trHeight w:val="255"/>
        </w:trPr>
        <w:tc>
          <w:tcPr>
            <w:tcW w:w="1960" w:type="dxa"/>
            <w:tcBorders>
              <w:top w:val="nil"/>
              <w:left w:val="nil"/>
              <w:bottom w:val="nil"/>
              <w:right w:val="nil"/>
            </w:tcBorders>
            <w:shd w:val="clear" w:color="000000" w:fill="FFFFFF"/>
            <w:noWrap/>
            <w:vAlign w:val="center"/>
            <w:hideMark/>
          </w:tcPr>
          <w:p w14:paraId="74037C08" w14:textId="77777777" w:rsidR="00751E59" w:rsidRPr="00DC5278" w:rsidRDefault="00751E59" w:rsidP="0085547B">
            <w:pPr>
              <w:suppressAutoHyphens/>
              <w:rPr>
                <w:color w:val="000000"/>
              </w:rPr>
            </w:pPr>
            <w:r w:rsidRPr="00DC5278">
              <w:rPr>
                <w:color w:val="000000"/>
              </w:rPr>
              <w:t>A: 0% tariff on EIF</w:t>
            </w:r>
          </w:p>
        </w:tc>
        <w:tc>
          <w:tcPr>
            <w:tcW w:w="766" w:type="dxa"/>
            <w:tcBorders>
              <w:top w:val="nil"/>
              <w:left w:val="nil"/>
              <w:bottom w:val="nil"/>
              <w:right w:val="nil"/>
            </w:tcBorders>
            <w:shd w:val="clear" w:color="000000" w:fill="FFFFFF"/>
            <w:noWrap/>
            <w:vAlign w:val="center"/>
            <w:hideMark/>
          </w:tcPr>
          <w:p w14:paraId="74037C09" w14:textId="77777777" w:rsidR="00751E59" w:rsidRPr="00DC5278" w:rsidRDefault="00751E59" w:rsidP="0085547B">
            <w:pPr>
              <w:suppressAutoHyphens/>
              <w:jc w:val="right"/>
              <w:rPr>
                <w:color w:val="000000"/>
              </w:rPr>
            </w:pPr>
            <w:r w:rsidRPr="00DC5278">
              <w:rPr>
                <w:color w:val="000000"/>
              </w:rPr>
              <w:t>3,433</w:t>
            </w:r>
          </w:p>
        </w:tc>
        <w:tc>
          <w:tcPr>
            <w:tcW w:w="833" w:type="dxa"/>
            <w:tcBorders>
              <w:top w:val="nil"/>
              <w:left w:val="nil"/>
              <w:bottom w:val="nil"/>
              <w:right w:val="nil"/>
            </w:tcBorders>
            <w:shd w:val="clear" w:color="000000" w:fill="FFFFFF"/>
            <w:noWrap/>
            <w:vAlign w:val="center"/>
            <w:hideMark/>
          </w:tcPr>
          <w:p w14:paraId="74037C0A" w14:textId="77777777" w:rsidR="00751E59" w:rsidRPr="00DC5278" w:rsidRDefault="00751E59" w:rsidP="0085547B">
            <w:pPr>
              <w:suppressAutoHyphens/>
              <w:jc w:val="right"/>
              <w:rPr>
                <w:color w:val="000000"/>
              </w:rPr>
            </w:pPr>
            <w:r w:rsidRPr="00DC5278">
              <w:rPr>
                <w:color w:val="000000"/>
              </w:rPr>
              <w:t>41.2%</w:t>
            </w:r>
          </w:p>
        </w:tc>
        <w:tc>
          <w:tcPr>
            <w:tcW w:w="1150" w:type="dxa"/>
            <w:tcBorders>
              <w:top w:val="nil"/>
              <w:left w:val="nil"/>
              <w:bottom w:val="nil"/>
              <w:right w:val="nil"/>
            </w:tcBorders>
            <w:shd w:val="clear" w:color="000000" w:fill="FFFFFF"/>
            <w:noWrap/>
            <w:vAlign w:val="center"/>
            <w:hideMark/>
          </w:tcPr>
          <w:p w14:paraId="74037C0B" w14:textId="77777777" w:rsidR="00751E59" w:rsidRPr="00DC5278" w:rsidRDefault="00751E59" w:rsidP="0085547B">
            <w:pPr>
              <w:suppressAutoHyphens/>
              <w:jc w:val="right"/>
              <w:rPr>
                <w:color w:val="000000"/>
              </w:rPr>
            </w:pPr>
            <w:r w:rsidRPr="00DC5278">
              <w:rPr>
                <w:color w:val="000000"/>
              </w:rPr>
              <w:t>94.8%</w:t>
            </w:r>
          </w:p>
        </w:tc>
        <w:tc>
          <w:tcPr>
            <w:tcW w:w="266" w:type="dxa"/>
            <w:tcBorders>
              <w:top w:val="nil"/>
              <w:left w:val="nil"/>
              <w:bottom w:val="nil"/>
              <w:right w:val="nil"/>
            </w:tcBorders>
            <w:shd w:val="clear" w:color="000000" w:fill="FFFFFF"/>
            <w:noWrap/>
            <w:vAlign w:val="center"/>
            <w:hideMark/>
          </w:tcPr>
          <w:p w14:paraId="74037C0C"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0D" w14:textId="77777777" w:rsidR="00751E59" w:rsidRPr="00DC5278" w:rsidRDefault="00751E59" w:rsidP="0085547B">
            <w:pPr>
              <w:suppressAutoHyphens/>
              <w:jc w:val="right"/>
              <w:rPr>
                <w:color w:val="000000"/>
              </w:rPr>
            </w:pPr>
            <w:r w:rsidRPr="00DC5278">
              <w:rPr>
                <w:color w:val="000000"/>
              </w:rPr>
              <w:t>312.2</w:t>
            </w:r>
          </w:p>
        </w:tc>
        <w:tc>
          <w:tcPr>
            <w:tcW w:w="833" w:type="dxa"/>
            <w:tcBorders>
              <w:top w:val="nil"/>
              <w:left w:val="nil"/>
              <w:bottom w:val="nil"/>
              <w:right w:val="nil"/>
            </w:tcBorders>
            <w:shd w:val="clear" w:color="000000" w:fill="FFFFFF"/>
            <w:noWrap/>
            <w:vAlign w:val="center"/>
            <w:hideMark/>
          </w:tcPr>
          <w:p w14:paraId="74037C0E" w14:textId="77777777" w:rsidR="00751E59" w:rsidRPr="00DC5278" w:rsidRDefault="00751E59" w:rsidP="0085547B">
            <w:pPr>
              <w:suppressAutoHyphens/>
              <w:jc w:val="right"/>
              <w:rPr>
                <w:color w:val="000000"/>
              </w:rPr>
            </w:pPr>
            <w:r w:rsidRPr="00DC5278">
              <w:rPr>
                <w:color w:val="000000"/>
              </w:rPr>
              <w:t>19.5%</w:t>
            </w:r>
          </w:p>
        </w:tc>
        <w:tc>
          <w:tcPr>
            <w:tcW w:w="1150" w:type="dxa"/>
            <w:tcBorders>
              <w:top w:val="nil"/>
              <w:left w:val="nil"/>
              <w:bottom w:val="nil"/>
              <w:right w:val="nil"/>
            </w:tcBorders>
            <w:shd w:val="clear" w:color="000000" w:fill="FFFFFF"/>
            <w:noWrap/>
            <w:vAlign w:val="center"/>
            <w:hideMark/>
          </w:tcPr>
          <w:p w14:paraId="74037C0F" w14:textId="77777777" w:rsidR="00751E59" w:rsidRPr="00DC5278" w:rsidRDefault="00751E59" w:rsidP="0085547B">
            <w:pPr>
              <w:suppressAutoHyphens/>
              <w:jc w:val="right"/>
              <w:rPr>
                <w:color w:val="000000"/>
              </w:rPr>
            </w:pPr>
            <w:r w:rsidRPr="00DC5278">
              <w:rPr>
                <w:color w:val="000000"/>
              </w:rPr>
              <w:t>99.2%</w:t>
            </w:r>
          </w:p>
        </w:tc>
      </w:tr>
      <w:tr w:rsidR="00751E59" w:rsidRPr="00DC5278" w14:paraId="74037C19" w14:textId="77777777" w:rsidTr="000740C4">
        <w:trPr>
          <w:trHeight w:val="255"/>
        </w:trPr>
        <w:tc>
          <w:tcPr>
            <w:tcW w:w="1960" w:type="dxa"/>
            <w:tcBorders>
              <w:top w:val="nil"/>
              <w:left w:val="nil"/>
              <w:bottom w:val="nil"/>
              <w:right w:val="nil"/>
            </w:tcBorders>
            <w:shd w:val="clear" w:color="000000" w:fill="FFFFFF"/>
            <w:noWrap/>
            <w:vAlign w:val="center"/>
            <w:hideMark/>
          </w:tcPr>
          <w:p w14:paraId="74037C11"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66" w:type="dxa"/>
            <w:tcBorders>
              <w:top w:val="nil"/>
              <w:left w:val="nil"/>
              <w:bottom w:val="nil"/>
              <w:right w:val="nil"/>
            </w:tcBorders>
            <w:shd w:val="clear" w:color="000000" w:fill="FFFFFF"/>
            <w:noWrap/>
            <w:vAlign w:val="center"/>
            <w:hideMark/>
          </w:tcPr>
          <w:p w14:paraId="74037C12" w14:textId="77777777" w:rsidR="00751E59" w:rsidRPr="00DC5278" w:rsidRDefault="00751E59" w:rsidP="0085547B">
            <w:pPr>
              <w:suppressAutoHyphens/>
              <w:jc w:val="right"/>
              <w:rPr>
                <w:color w:val="000000"/>
              </w:rPr>
            </w:pPr>
            <w:r w:rsidRPr="00DC5278">
              <w:rPr>
                <w:color w:val="000000"/>
              </w:rPr>
              <w:t>124</w:t>
            </w:r>
          </w:p>
        </w:tc>
        <w:tc>
          <w:tcPr>
            <w:tcW w:w="833" w:type="dxa"/>
            <w:tcBorders>
              <w:top w:val="nil"/>
              <w:left w:val="nil"/>
              <w:bottom w:val="nil"/>
              <w:right w:val="nil"/>
            </w:tcBorders>
            <w:shd w:val="clear" w:color="000000" w:fill="FFFFFF"/>
            <w:noWrap/>
            <w:vAlign w:val="center"/>
            <w:hideMark/>
          </w:tcPr>
          <w:p w14:paraId="74037C13" w14:textId="77777777" w:rsidR="00751E59" w:rsidRPr="00DC5278" w:rsidRDefault="00751E59" w:rsidP="0085547B">
            <w:pPr>
              <w:suppressAutoHyphens/>
              <w:jc w:val="right"/>
              <w:rPr>
                <w:color w:val="000000"/>
              </w:rPr>
            </w:pPr>
            <w:r w:rsidRPr="00DC5278">
              <w:rPr>
                <w:color w:val="000000"/>
              </w:rPr>
              <w:t>1.5%</w:t>
            </w:r>
          </w:p>
        </w:tc>
        <w:tc>
          <w:tcPr>
            <w:tcW w:w="1150" w:type="dxa"/>
            <w:tcBorders>
              <w:top w:val="nil"/>
              <w:left w:val="nil"/>
              <w:bottom w:val="nil"/>
              <w:right w:val="nil"/>
            </w:tcBorders>
            <w:shd w:val="clear" w:color="000000" w:fill="FFFFFF"/>
            <w:noWrap/>
            <w:vAlign w:val="center"/>
            <w:hideMark/>
          </w:tcPr>
          <w:p w14:paraId="74037C14" w14:textId="77777777" w:rsidR="00751E59" w:rsidRPr="00DC5278" w:rsidRDefault="00751E59" w:rsidP="0085547B">
            <w:pPr>
              <w:suppressAutoHyphens/>
              <w:jc w:val="right"/>
              <w:rPr>
                <w:color w:val="000000"/>
              </w:rPr>
            </w:pPr>
            <w:r w:rsidRPr="00DC5278">
              <w:rPr>
                <w:color w:val="000000"/>
              </w:rPr>
              <w:t>96.3%</w:t>
            </w:r>
          </w:p>
        </w:tc>
        <w:tc>
          <w:tcPr>
            <w:tcW w:w="266" w:type="dxa"/>
            <w:tcBorders>
              <w:top w:val="nil"/>
              <w:left w:val="nil"/>
              <w:bottom w:val="nil"/>
              <w:right w:val="nil"/>
            </w:tcBorders>
            <w:shd w:val="clear" w:color="000000" w:fill="FFFFFF"/>
            <w:noWrap/>
            <w:vAlign w:val="center"/>
            <w:hideMark/>
          </w:tcPr>
          <w:p w14:paraId="74037C15"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16" w14:textId="77777777" w:rsidR="00751E59" w:rsidRPr="00DC5278" w:rsidRDefault="00751E59" w:rsidP="0085547B">
            <w:pPr>
              <w:suppressAutoHyphens/>
              <w:jc w:val="right"/>
              <w:rPr>
                <w:color w:val="000000"/>
              </w:rPr>
            </w:pPr>
            <w:r w:rsidRPr="00DC5278">
              <w:rPr>
                <w:color w:val="000000"/>
              </w:rPr>
              <w:t>4.0</w:t>
            </w:r>
          </w:p>
        </w:tc>
        <w:tc>
          <w:tcPr>
            <w:tcW w:w="833" w:type="dxa"/>
            <w:tcBorders>
              <w:top w:val="nil"/>
              <w:left w:val="nil"/>
              <w:bottom w:val="nil"/>
              <w:right w:val="nil"/>
            </w:tcBorders>
            <w:shd w:val="clear" w:color="000000" w:fill="FFFFFF"/>
            <w:noWrap/>
            <w:vAlign w:val="center"/>
            <w:hideMark/>
          </w:tcPr>
          <w:p w14:paraId="74037C17" w14:textId="77777777" w:rsidR="00751E59" w:rsidRPr="00DC5278" w:rsidRDefault="00751E59" w:rsidP="0085547B">
            <w:pPr>
              <w:suppressAutoHyphens/>
              <w:jc w:val="right"/>
              <w:rPr>
                <w:color w:val="000000"/>
              </w:rPr>
            </w:pPr>
            <w:r w:rsidRPr="00DC5278">
              <w:rPr>
                <w:color w:val="000000"/>
              </w:rPr>
              <w:t>0.3%</w:t>
            </w:r>
          </w:p>
        </w:tc>
        <w:tc>
          <w:tcPr>
            <w:tcW w:w="1150" w:type="dxa"/>
            <w:tcBorders>
              <w:top w:val="nil"/>
              <w:left w:val="nil"/>
              <w:bottom w:val="nil"/>
              <w:right w:val="nil"/>
            </w:tcBorders>
            <w:shd w:val="clear" w:color="000000" w:fill="FFFFFF"/>
            <w:noWrap/>
            <w:vAlign w:val="center"/>
            <w:hideMark/>
          </w:tcPr>
          <w:p w14:paraId="74037C18" w14:textId="77777777" w:rsidR="00751E59" w:rsidRPr="00DC5278" w:rsidRDefault="00751E59" w:rsidP="0085547B">
            <w:pPr>
              <w:suppressAutoHyphens/>
              <w:jc w:val="right"/>
              <w:rPr>
                <w:color w:val="000000"/>
              </w:rPr>
            </w:pPr>
            <w:r w:rsidRPr="00DC5278">
              <w:rPr>
                <w:color w:val="000000"/>
              </w:rPr>
              <w:t>99.5%</w:t>
            </w:r>
          </w:p>
        </w:tc>
      </w:tr>
      <w:tr w:rsidR="00751E59" w:rsidRPr="00DC5278" w14:paraId="74037C22" w14:textId="77777777" w:rsidTr="000740C4">
        <w:trPr>
          <w:trHeight w:val="255"/>
        </w:trPr>
        <w:tc>
          <w:tcPr>
            <w:tcW w:w="1960" w:type="dxa"/>
            <w:tcBorders>
              <w:top w:val="nil"/>
              <w:left w:val="nil"/>
              <w:bottom w:val="nil"/>
              <w:right w:val="nil"/>
            </w:tcBorders>
            <w:shd w:val="clear" w:color="000000" w:fill="FFFFFF"/>
            <w:noWrap/>
            <w:vAlign w:val="center"/>
            <w:hideMark/>
          </w:tcPr>
          <w:p w14:paraId="74037C1A"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66" w:type="dxa"/>
            <w:tcBorders>
              <w:top w:val="nil"/>
              <w:left w:val="nil"/>
              <w:bottom w:val="nil"/>
              <w:right w:val="nil"/>
            </w:tcBorders>
            <w:shd w:val="clear" w:color="000000" w:fill="FFFFFF"/>
            <w:noWrap/>
            <w:vAlign w:val="center"/>
            <w:hideMark/>
          </w:tcPr>
          <w:p w14:paraId="74037C1B" w14:textId="77777777" w:rsidR="00751E59" w:rsidRPr="00DC5278" w:rsidRDefault="00751E59" w:rsidP="0085547B">
            <w:pPr>
              <w:suppressAutoHyphens/>
              <w:jc w:val="right"/>
              <w:rPr>
                <w:color w:val="000000"/>
              </w:rPr>
            </w:pPr>
            <w:r w:rsidRPr="00DC5278">
              <w:rPr>
                <w:color w:val="000000"/>
              </w:rPr>
              <w:t>74</w:t>
            </w:r>
          </w:p>
        </w:tc>
        <w:tc>
          <w:tcPr>
            <w:tcW w:w="833" w:type="dxa"/>
            <w:tcBorders>
              <w:top w:val="nil"/>
              <w:left w:val="nil"/>
              <w:bottom w:val="nil"/>
              <w:right w:val="nil"/>
            </w:tcBorders>
            <w:shd w:val="clear" w:color="000000" w:fill="FFFFFF"/>
            <w:noWrap/>
            <w:vAlign w:val="center"/>
            <w:hideMark/>
          </w:tcPr>
          <w:p w14:paraId="74037C1C" w14:textId="77777777" w:rsidR="00751E59" w:rsidRPr="00DC5278" w:rsidRDefault="00751E59" w:rsidP="0085547B">
            <w:pPr>
              <w:suppressAutoHyphens/>
              <w:jc w:val="right"/>
              <w:rPr>
                <w:color w:val="000000"/>
              </w:rPr>
            </w:pPr>
            <w:r w:rsidRPr="00DC5278">
              <w:rPr>
                <w:color w:val="000000"/>
              </w:rPr>
              <w:t>0.9%</w:t>
            </w:r>
          </w:p>
        </w:tc>
        <w:tc>
          <w:tcPr>
            <w:tcW w:w="1150" w:type="dxa"/>
            <w:tcBorders>
              <w:top w:val="nil"/>
              <w:left w:val="nil"/>
              <w:bottom w:val="nil"/>
              <w:right w:val="nil"/>
            </w:tcBorders>
            <w:shd w:val="clear" w:color="000000" w:fill="FFFFFF"/>
            <w:noWrap/>
            <w:vAlign w:val="center"/>
            <w:hideMark/>
          </w:tcPr>
          <w:p w14:paraId="74037C1D" w14:textId="77777777" w:rsidR="00751E59" w:rsidRPr="00DC5278" w:rsidRDefault="00751E59" w:rsidP="0085547B">
            <w:pPr>
              <w:suppressAutoHyphens/>
              <w:jc w:val="right"/>
              <w:rPr>
                <w:color w:val="000000"/>
              </w:rPr>
            </w:pPr>
            <w:r w:rsidRPr="00DC5278">
              <w:rPr>
                <w:color w:val="000000"/>
              </w:rPr>
              <w:t>97.2%</w:t>
            </w:r>
          </w:p>
        </w:tc>
        <w:tc>
          <w:tcPr>
            <w:tcW w:w="266" w:type="dxa"/>
            <w:tcBorders>
              <w:top w:val="nil"/>
              <w:left w:val="nil"/>
              <w:bottom w:val="nil"/>
              <w:right w:val="nil"/>
            </w:tcBorders>
            <w:shd w:val="clear" w:color="000000" w:fill="FFFFFF"/>
            <w:noWrap/>
            <w:vAlign w:val="center"/>
            <w:hideMark/>
          </w:tcPr>
          <w:p w14:paraId="74037C1E"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1F" w14:textId="77777777" w:rsidR="00751E59" w:rsidRPr="00DC5278" w:rsidRDefault="00751E59" w:rsidP="0085547B">
            <w:pPr>
              <w:suppressAutoHyphens/>
              <w:jc w:val="right"/>
              <w:rPr>
                <w:color w:val="000000"/>
              </w:rPr>
            </w:pPr>
            <w:r w:rsidRPr="00DC5278">
              <w:rPr>
                <w:color w:val="000000"/>
              </w:rPr>
              <w:t>5.4</w:t>
            </w:r>
          </w:p>
        </w:tc>
        <w:tc>
          <w:tcPr>
            <w:tcW w:w="833" w:type="dxa"/>
            <w:tcBorders>
              <w:top w:val="nil"/>
              <w:left w:val="nil"/>
              <w:bottom w:val="nil"/>
              <w:right w:val="nil"/>
            </w:tcBorders>
            <w:shd w:val="clear" w:color="000000" w:fill="FFFFFF"/>
            <w:noWrap/>
            <w:vAlign w:val="center"/>
            <w:hideMark/>
          </w:tcPr>
          <w:p w14:paraId="74037C20" w14:textId="77777777" w:rsidR="00751E59" w:rsidRPr="00DC5278" w:rsidRDefault="00751E59" w:rsidP="0085547B">
            <w:pPr>
              <w:suppressAutoHyphens/>
              <w:jc w:val="right"/>
              <w:rPr>
                <w:color w:val="000000"/>
              </w:rPr>
            </w:pPr>
            <w:r w:rsidRPr="00DC5278">
              <w:rPr>
                <w:color w:val="000000"/>
              </w:rPr>
              <w:t>0.3%</w:t>
            </w:r>
          </w:p>
        </w:tc>
        <w:tc>
          <w:tcPr>
            <w:tcW w:w="1150" w:type="dxa"/>
            <w:tcBorders>
              <w:top w:val="nil"/>
              <w:left w:val="nil"/>
              <w:bottom w:val="nil"/>
              <w:right w:val="nil"/>
            </w:tcBorders>
            <w:shd w:val="clear" w:color="000000" w:fill="FFFFFF"/>
            <w:noWrap/>
            <w:vAlign w:val="center"/>
            <w:hideMark/>
          </w:tcPr>
          <w:p w14:paraId="74037C21" w14:textId="77777777" w:rsidR="00751E59" w:rsidRPr="00DC5278" w:rsidRDefault="00751E59" w:rsidP="0085547B">
            <w:pPr>
              <w:suppressAutoHyphens/>
              <w:jc w:val="right"/>
              <w:rPr>
                <w:color w:val="000000"/>
              </w:rPr>
            </w:pPr>
            <w:r w:rsidRPr="00DC5278">
              <w:rPr>
                <w:color w:val="000000"/>
              </w:rPr>
              <w:t>99.8%</w:t>
            </w:r>
          </w:p>
        </w:tc>
      </w:tr>
      <w:tr w:rsidR="00751E59" w:rsidRPr="00DC5278" w14:paraId="74037C2B" w14:textId="77777777" w:rsidTr="000740C4">
        <w:trPr>
          <w:trHeight w:val="255"/>
        </w:trPr>
        <w:tc>
          <w:tcPr>
            <w:tcW w:w="1960" w:type="dxa"/>
            <w:tcBorders>
              <w:top w:val="nil"/>
              <w:left w:val="nil"/>
              <w:bottom w:val="nil"/>
              <w:right w:val="nil"/>
            </w:tcBorders>
            <w:shd w:val="clear" w:color="000000" w:fill="FFFFFF"/>
            <w:noWrap/>
            <w:vAlign w:val="center"/>
            <w:hideMark/>
          </w:tcPr>
          <w:p w14:paraId="74037C23" w14:textId="77777777" w:rsidR="00751E59" w:rsidRPr="00DC5278" w:rsidRDefault="00751E59" w:rsidP="0085547B">
            <w:pPr>
              <w:suppressAutoHyphens/>
              <w:rPr>
                <w:color w:val="000000"/>
              </w:rPr>
            </w:pPr>
            <w:r w:rsidRPr="00DC5278">
              <w:rPr>
                <w:color w:val="000000"/>
              </w:rPr>
              <w:t>D: 11+ year phasing</w:t>
            </w:r>
          </w:p>
        </w:tc>
        <w:tc>
          <w:tcPr>
            <w:tcW w:w="766" w:type="dxa"/>
            <w:tcBorders>
              <w:top w:val="nil"/>
              <w:left w:val="nil"/>
              <w:bottom w:val="nil"/>
              <w:right w:val="nil"/>
            </w:tcBorders>
            <w:shd w:val="clear" w:color="000000" w:fill="FFFFFF"/>
            <w:noWrap/>
            <w:vAlign w:val="center"/>
            <w:hideMark/>
          </w:tcPr>
          <w:p w14:paraId="74037C24" w14:textId="77777777" w:rsidR="00751E59" w:rsidRPr="00DC5278" w:rsidRDefault="00751E59" w:rsidP="0085547B">
            <w:pPr>
              <w:suppressAutoHyphens/>
              <w:jc w:val="right"/>
              <w:rPr>
                <w:color w:val="000000"/>
              </w:rPr>
            </w:pPr>
            <w:r w:rsidRPr="00DC5278">
              <w:rPr>
                <w:color w:val="000000"/>
              </w:rPr>
              <w:t>142</w:t>
            </w:r>
          </w:p>
        </w:tc>
        <w:tc>
          <w:tcPr>
            <w:tcW w:w="833" w:type="dxa"/>
            <w:tcBorders>
              <w:top w:val="nil"/>
              <w:left w:val="nil"/>
              <w:bottom w:val="nil"/>
              <w:right w:val="nil"/>
            </w:tcBorders>
            <w:shd w:val="clear" w:color="000000" w:fill="FFFFFF"/>
            <w:noWrap/>
            <w:vAlign w:val="center"/>
            <w:hideMark/>
          </w:tcPr>
          <w:p w14:paraId="74037C25" w14:textId="77777777" w:rsidR="00751E59" w:rsidRPr="00DC5278" w:rsidRDefault="00751E59" w:rsidP="0085547B">
            <w:pPr>
              <w:suppressAutoHyphens/>
              <w:jc w:val="right"/>
              <w:rPr>
                <w:color w:val="000000"/>
              </w:rPr>
            </w:pPr>
            <w:r w:rsidRPr="00DC5278">
              <w:rPr>
                <w:color w:val="000000"/>
              </w:rPr>
              <w:t>1.7%</w:t>
            </w:r>
          </w:p>
        </w:tc>
        <w:tc>
          <w:tcPr>
            <w:tcW w:w="1150" w:type="dxa"/>
            <w:tcBorders>
              <w:top w:val="nil"/>
              <w:left w:val="nil"/>
              <w:bottom w:val="nil"/>
              <w:right w:val="nil"/>
            </w:tcBorders>
            <w:shd w:val="clear" w:color="000000" w:fill="FFFFFF"/>
            <w:noWrap/>
            <w:vAlign w:val="center"/>
            <w:hideMark/>
          </w:tcPr>
          <w:p w14:paraId="74037C26" w14:textId="77777777" w:rsidR="00751E59" w:rsidRPr="00DC5278" w:rsidRDefault="00751E59" w:rsidP="0085547B">
            <w:pPr>
              <w:suppressAutoHyphens/>
              <w:jc w:val="right"/>
              <w:rPr>
                <w:color w:val="000000"/>
              </w:rPr>
            </w:pPr>
            <w:r w:rsidRPr="00DC5278">
              <w:rPr>
                <w:color w:val="000000"/>
              </w:rPr>
              <w:t>98.9%</w:t>
            </w:r>
          </w:p>
        </w:tc>
        <w:tc>
          <w:tcPr>
            <w:tcW w:w="266" w:type="dxa"/>
            <w:tcBorders>
              <w:top w:val="nil"/>
              <w:left w:val="nil"/>
              <w:bottom w:val="nil"/>
              <w:right w:val="nil"/>
            </w:tcBorders>
            <w:shd w:val="clear" w:color="000000" w:fill="FFFFFF"/>
            <w:noWrap/>
            <w:vAlign w:val="center"/>
            <w:hideMark/>
          </w:tcPr>
          <w:p w14:paraId="74037C27"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28" w14:textId="77777777" w:rsidR="00751E59" w:rsidRPr="00DC5278" w:rsidRDefault="00751E59" w:rsidP="0085547B">
            <w:pPr>
              <w:suppressAutoHyphens/>
              <w:jc w:val="right"/>
              <w:rPr>
                <w:color w:val="000000"/>
              </w:rPr>
            </w:pPr>
            <w:r w:rsidRPr="00DC5278">
              <w:rPr>
                <w:color w:val="000000"/>
              </w:rPr>
              <w:t>2.9</w:t>
            </w:r>
          </w:p>
        </w:tc>
        <w:tc>
          <w:tcPr>
            <w:tcW w:w="833" w:type="dxa"/>
            <w:tcBorders>
              <w:top w:val="nil"/>
              <w:left w:val="nil"/>
              <w:bottom w:val="nil"/>
              <w:right w:val="nil"/>
            </w:tcBorders>
            <w:shd w:val="clear" w:color="000000" w:fill="FFFFFF"/>
            <w:noWrap/>
            <w:vAlign w:val="center"/>
            <w:hideMark/>
          </w:tcPr>
          <w:p w14:paraId="74037C29" w14:textId="77777777" w:rsidR="00751E59" w:rsidRPr="00DC5278" w:rsidRDefault="00751E59" w:rsidP="0085547B">
            <w:pPr>
              <w:suppressAutoHyphens/>
              <w:jc w:val="right"/>
              <w:rPr>
                <w:color w:val="000000"/>
              </w:rPr>
            </w:pPr>
            <w:r w:rsidRPr="00DC5278">
              <w:rPr>
                <w:color w:val="000000"/>
              </w:rPr>
              <w:t>0.2%</w:t>
            </w:r>
          </w:p>
        </w:tc>
        <w:tc>
          <w:tcPr>
            <w:tcW w:w="1150" w:type="dxa"/>
            <w:tcBorders>
              <w:top w:val="nil"/>
              <w:left w:val="nil"/>
              <w:bottom w:val="nil"/>
              <w:right w:val="nil"/>
            </w:tcBorders>
            <w:shd w:val="clear" w:color="000000" w:fill="FFFFFF"/>
            <w:noWrap/>
            <w:vAlign w:val="center"/>
            <w:hideMark/>
          </w:tcPr>
          <w:p w14:paraId="74037C2A"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34" w14:textId="77777777" w:rsidTr="0036201B">
        <w:trPr>
          <w:trHeight w:val="255"/>
        </w:trPr>
        <w:tc>
          <w:tcPr>
            <w:tcW w:w="1960" w:type="dxa"/>
            <w:tcBorders>
              <w:top w:val="nil"/>
              <w:left w:val="nil"/>
              <w:bottom w:val="nil"/>
              <w:right w:val="nil"/>
            </w:tcBorders>
            <w:shd w:val="clear" w:color="000000" w:fill="FFFFFF"/>
            <w:noWrap/>
            <w:vAlign w:val="center"/>
            <w:hideMark/>
          </w:tcPr>
          <w:p w14:paraId="74037C2C" w14:textId="77777777" w:rsidR="00751E59" w:rsidRPr="00DC5278" w:rsidRDefault="00751E59" w:rsidP="0085547B">
            <w:pPr>
              <w:suppressAutoHyphens/>
              <w:rPr>
                <w:color w:val="000000"/>
              </w:rPr>
            </w:pPr>
            <w:r w:rsidRPr="00DC5278">
              <w:rPr>
                <w:color w:val="000000"/>
              </w:rPr>
              <w:t>Tariff reduction</w:t>
            </w:r>
          </w:p>
        </w:tc>
        <w:tc>
          <w:tcPr>
            <w:tcW w:w="766" w:type="dxa"/>
            <w:tcBorders>
              <w:top w:val="nil"/>
              <w:left w:val="nil"/>
              <w:bottom w:val="nil"/>
              <w:right w:val="nil"/>
            </w:tcBorders>
            <w:shd w:val="clear" w:color="000000" w:fill="FFFFFF"/>
            <w:noWrap/>
            <w:vAlign w:val="center"/>
            <w:hideMark/>
          </w:tcPr>
          <w:p w14:paraId="74037C2D" w14:textId="77777777" w:rsidR="00751E59" w:rsidRPr="00DC5278" w:rsidRDefault="00751E59" w:rsidP="0036201B">
            <w:pPr>
              <w:suppressAutoHyphens/>
              <w:jc w:val="right"/>
              <w:rPr>
                <w:color w:val="000000"/>
              </w:rPr>
            </w:pPr>
            <w:r w:rsidRPr="00DC5278">
              <w:rPr>
                <w:color w:val="000000"/>
              </w:rPr>
              <w:t xml:space="preserve">  -   </w:t>
            </w:r>
          </w:p>
        </w:tc>
        <w:tc>
          <w:tcPr>
            <w:tcW w:w="833" w:type="dxa"/>
            <w:tcBorders>
              <w:top w:val="nil"/>
              <w:left w:val="nil"/>
              <w:bottom w:val="nil"/>
              <w:right w:val="nil"/>
            </w:tcBorders>
            <w:shd w:val="clear" w:color="000000" w:fill="FFFFFF"/>
            <w:noWrap/>
            <w:vAlign w:val="center"/>
            <w:hideMark/>
          </w:tcPr>
          <w:p w14:paraId="74037C2E" w14:textId="4E4F3F47" w:rsidR="00751E59" w:rsidRPr="00DC5278" w:rsidRDefault="00751E59" w:rsidP="0036201B">
            <w:pPr>
              <w:suppressAutoHyphens/>
              <w:jc w:val="right"/>
              <w:rPr>
                <w:color w:val="000000"/>
              </w:rPr>
            </w:pPr>
            <w:r w:rsidRPr="00DC5278">
              <w:rPr>
                <w:color w:val="000000"/>
              </w:rPr>
              <w:t xml:space="preserve">-   </w:t>
            </w:r>
          </w:p>
        </w:tc>
        <w:tc>
          <w:tcPr>
            <w:tcW w:w="1150" w:type="dxa"/>
            <w:tcBorders>
              <w:top w:val="nil"/>
              <w:left w:val="nil"/>
              <w:bottom w:val="nil"/>
              <w:right w:val="nil"/>
            </w:tcBorders>
            <w:shd w:val="clear" w:color="000000" w:fill="FFFFFF"/>
            <w:noWrap/>
            <w:vAlign w:val="center"/>
            <w:hideMark/>
          </w:tcPr>
          <w:p w14:paraId="74037C2F" w14:textId="77777777" w:rsidR="00751E59" w:rsidRPr="00DC5278" w:rsidRDefault="00751E59" w:rsidP="0085547B">
            <w:pPr>
              <w:suppressAutoHyphens/>
              <w:jc w:val="right"/>
              <w:rPr>
                <w:color w:val="000000"/>
              </w:rPr>
            </w:pPr>
            <w:r w:rsidRPr="00DC5278">
              <w:rPr>
                <w:color w:val="000000"/>
              </w:rPr>
              <w:t>98.9%</w:t>
            </w:r>
          </w:p>
        </w:tc>
        <w:tc>
          <w:tcPr>
            <w:tcW w:w="266" w:type="dxa"/>
            <w:tcBorders>
              <w:top w:val="nil"/>
              <w:left w:val="nil"/>
              <w:bottom w:val="nil"/>
              <w:right w:val="nil"/>
            </w:tcBorders>
            <w:shd w:val="clear" w:color="000000" w:fill="FFFFFF"/>
            <w:noWrap/>
            <w:vAlign w:val="center"/>
            <w:hideMark/>
          </w:tcPr>
          <w:p w14:paraId="74037C30"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31" w14:textId="77777777" w:rsidR="00751E59" w:rsidRPr="00DC5278" w:rsidRDefault="00751E59" w:rsidP="0036201B">
            <w:pPr>
              <w:suppressAutoHyphens/>
              <w:jc w:val="right"/>
              <w:rPr>
                <w:color w:val="000000"/>
              </w:rPr>
            </w:pPr>
            <w:r w:rsidRPr="00DC5278">
              <w:rPr>
                <w:color w:val="000000"/>
              </w:rPr>
              <w:t>0.0</w:t>
            </w:r>
          </w:p>
        </w:tc>
        <w:tc>
          <w:tcPr>
            <w:tcW w:w="833" w:type="dxa"/>
            <w:tcBorders>
              <w:top w:val="nil"/>
              <w:left w:val="nil"/>
              <w:bottom w:val="nil"/>
              <w:right w:val="nil"/>
            </w:tcBorders>
            <w:shd w:val="clear" w:color="000000" w:fill="FFFFFF"/>
            <w:noWrap/>
            <w:vAlign w:val="center"/>
            <w:hideMark/>
          </w:tcPr>
          <w:p w14:paraId="74037C32" w14:textId="513B62E1" w:rsidR="00751E59" w:rsidRPr="00DC5278" w:rsidRDefault="00751E59" w:rsidP="0036201B">
            <w:pPr>
              <w:suppressAutoHyphens/>
              <w:jc w:val="right"/>
              <w:rPr>
                <w:color w:val="000000"/>
              </w:rPr>
            </w:pPr>
            <w:r w:rsidRPr="00DC5278">
              <w:rPr>
                <w:color w:val="000000"/>
              </w:rPr>
              <w:t xml:space="preserve">-   </w:t>
            </w:r>
          </w:p>
        </w:tc>
        <w:tc>
          <w:tcPr>
            <w:tcW w:w="1150" w:type="dxa"/>
            <w:tcBorders>
              <w:top w:val="nil"/>
              <w:left w:val="nil"/>
              <w:bottom w:val="nil"/>
              <w:right w:val="nil"/>
            </w:tcBorders>
            <w:shd w:val="clear" w:color="000000" w:fill="FFFFFF"/>
            <w:noWrap/>
            <w:vAlign w:val="center"/>
            <w:hideMark/>
          </w:tcPr>
          <w:p w14:paraId="74037C33"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3D" w14:textId="77777777" w:rsidTr="000740C4">
        <w:trPr>
          <w:trHeight w:val="255"/>
        </w:trPr>
        <w:tc>
          <w:tcPr>
            <w:tcW w:w="1960" w:type="dxa"/>
            <w:tcBorders>
              <w:top w:val="nil"/>
              <w:left w:val="nil"/>
              <w:bottom w:val="nil"/>
              <w:right w:val="nil"/>
            </w:tcBorders>
            <w:shd w:val="clear" w:color="000000" w:fill="FFFFFF"/>
            <w:noWrap/>
            <w:vAlign w:val="center"/>
            <w:hideMark/>
          </w:tcPr>
          <w:p w14:paraId="74037C35" w14:textId="77777777" w:rsidR="00751E59" w:rsidRPr="00DC5278" w:rsidRDefault="00751E59" w:rsidP="0085547B">
            <w:pPr>
              <w:suppressAutoHyphens/>
              <w:rPr>
                <w:color w:val="000000"/>
              </w:rPr>
            </w:pPr>
            <w:r w:rsidRPr="00DC5278">
              <w:rPr>
                <w:color w:val="000000"/>
              </w:rPr>
              <w:t>Quota</w:t>
            </w:r>
          </w:p>
        </w:tc>
        <w:tc>
          <w:tcPr>
            <w:tcW w:w="766" w:type="dxa"/>
            <w:tcBorders>
              <w:top w:val="nil"/>
              <w:left w:val="nil"/>
              <w:bottom w:val="nil"/>
              <w:right w:val="nil"/>
            </w:tcBorders>
            <w:shd w:val="clear" w:color="000000" w:fill="FFFFFF"/>
            <w:noWrap/>
            <w:vAlign w:val="center"/>
            <w:hideMark/>
          </w:tcPr>
          <w:p w14:paraId="74037C36" w14:textId="77777777" w:rsidR="00751E59" w:rsidRPr="00DC5278" w:rsidRDefault="00751E59" w:rsidP="0085547B">
            <w:pPr>
              <w:suppressAutoHyphens/>
              <w:jc w:val="right"/>
              <w:rPr>
                <w:color w:val="000000"/>
              </w:rPr>
            </w:pPr>
            <w:r w:rsidRPr="00DC5278">
              <w:rPr>
                <w:color w:val="000000"/>
              </w:rPr>
              <w:t>94</w:t>
            </w:r>
          </w:p>
        </w:tc>
        <w:tc>
          <w:tcPr>
            <w:tcW w:w="833" w:type="dxa"/>
            <w:tcBorders>
              <w:top w:val="nil"/>
              <w:left w:val="nil"/>
              <w:bottom w:val="nil"/>
              <w:right w:val="nil"/>
            </w:tcBorders>
            <w:shd w:val="clear" w:color="000000" w:fill="FFFFFF"/>
            <w:noWrap/>
            <w:vAlign w:val="center"/>
            <w:hideMark/>
          </w:tcPr>
          <w:p w14:paraId="74037C37" w14:textId="77777777" w:rsidR="00751E59" w:rsidRPr="00DC5278" w:rsidRDefault="00751E59" w:rsidP="0085547B">
            <w:pPr>
              <w:suppressAutoHyphens/>
              <w:jc w:val="right"/>
              <w:rPr>
                <w:color w:val="000000"/>
              </w:rPr>
            </w:pPr>
            <w:r w:rsidRPr="00DC5278">
              <w:rPr>
                <w:color w:val="000000"/>
              </w:rPr>
              <w:t>1.1%</w:t>
            </w:r>
          </w:p>
        </w:tc>
        <w:tc>
          <w:tcPr>
            <w:tcW w:w="1150" w:type="dxa"/>
            <w:tcBorders>
              <w:top w:val="nil"/>
              <w:left w:val="nil"/>
              <w:bottom w:val="nil"/>
              <w:right w:val="nil"/>
            </w:tcBorders>
            <w:shd w:val="clear" w:color="000000" w:fill="FFFFFF"/>
            <w:noWrap/>
            <w:vAlign w:val="center"/>
            <w:hideMark/>
          </w:tcPr>
          <w:p w14:paraId="74037C38" w14:textId="77777777" w:rsidR="00751E59" w:rsidRPr="00DC5278" w:rsidRDefault="00751E59" w:rsidP="0085547B">
            <w:pPr>
              <w:suppressAutoHyphens/>
              <w:jc w:val="right"/>
              <w:rPr>
                <w:color w:val="000000"/>
              </w:rPr>
            </w:pPr>
            <w:r w:rsidRPr="00DC5278">
              <w:rPr>
                <w:color w:val="000000"/>
              </w:rPr>
              <w:t>100.0%</w:t>
            </w:r>
          </w:p>
        </w:tc>
        <w:tc>
          <w:tcPr>
            <w:tcW w:w="266" w:type="dxa"/>
            <w:tcBorders>
              <w:top w:val="nil"/>
              <w:left w:val="nil"/>
              <w:bottom w:val="nil"/>
              <w:right w:val="nil"/>
            </w:tcBorders>
            <w:shd w:val="clear" w:color="000000" w:fill="FFFFFF"/>
            <w:noWrap/>
            <w:vAlign w:val="center"/>
            <w:hideMark/>
          </w:tcPr>
          <w:p w14:paraId="74037C39"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nil"/>
              <w:right w:val="nil"/>
            </w:tcBorders>
            <w:shd w:val="clear" w:color="000000" w:fill="FFFFFF"/>
            <w:noWrap/>
            <w:vAlign w:val="center"/>
            <w:hideMark/>
          </w:tcPr>
          <w:p w14:paraId="74037C3A" w14:textId="77777777" w:rsidR="00751E59" w:rsidRPr="00DC5278" w:rsidRDefault="00751E59" w:rsidP="0085547B">
            <w:pPr>
              <w:suppressAutoHyphens/>
              <w:jc w:val="right"/>
              <w:rPr>
                <w:color w:val="000000"/>
              </w:rPr>
            </w:pPr>
            <w:r w:rsidRPr="00DC5278">
              <w:rPr>
                <w:color w:val="000000"/>
              </w:rPr>
              <w:t>0.0</w:t>
            </w:r>
          </w:p>
        </w:tc>
        <w:tc>
          <w:tcPr>
            <w:tcW w:w="833" w:type="dxa"/>
            <w:tcBorders>
              <w:top w:val="nil"/>
              <w:left w:val="nil"/>
              <w:bottom w:val="nil"/>
              <w:right w:val="nil"/>
            </w:tcBorders>
            <w:shd w:val="clear" w:color="000000" w:fill="FFFFFF"/>
            <w:noWrap/>
            <w:vAlign w:val="center"/>
            <w:hideMark/>
          </w:tcPr>
          <w:p w14:paraId="74037C3B" w14:textId="77777777" w:rsidR="00751E59" w:rsidRPr="00DC5278" w:rsidRDefault="00751E59" w:rsidP="0085547B">
            <w:pPr>
              <w:suppressAutoHyphens/>
              <w:jc w:val="right"/>
              <w:rPr>
                <w:color w:val="000000"/>
              </w:rPr>
            </w:pPr>
            <w:r w:rsidRPr="00DC5278">
              <w:rPr>
                <w:color w:val="000000"/>
              </w:rPr>
              <w:t>0.0%</w:t>
            </w:r>
          </w:p>
        </w:tc>
        <w:tc>
          <w:tcPr>
            <w:tcW w:w="1150" w:type="dxa"/>
            <w:tcBorders>
              <w:top w:val="nil"/>
              <w:left w:val="nil"/>
              <w:bottom w:val="nil"/>
              <w:right w:val="nil"/>
            </w:tcBorders>
            <w:shd w:val="clear" w:color="000000" w:fill="FFFFFF"/>
            <w:noWrap/>
            <w:vAlign w:val="center"/>
            <w:hideMark/>
          </w:tcPr>
          <w:p w14:paraId="74037C3C"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46" w14:textId="77777777" w:rsidTr="000740C4">
        <w:trPr>
          <w:trHeight w:val="270"/>
        </w:trPr>
        <w:tc>
          <w:tcPr>
            <w:tcW w:w="1960" w:type="dxa"/>
            <w:tcBorders>
              <w:top w:val="nil"/>
              <w:left w:val="nil"/>
              <w:bottom w:val="single" w:sz="8" w:space="0" w:color="auto"/>
              <w:right w:val="nil"/>
            </w:tcBorders>
            <w:noWrap/>
            <w:vAlign w:val="bottom"/>
            <w:hideMark/>
          </w:tcPr>
          <w:p w14:paraId="74037C3E" w14:textId="77777777" w:rsidR="00751E59" w:rsidRPr="00DC5278" w:rsidRDefault="00751E59" w:rsidP="0085547B">
            <w:pPr>
              <w:suppressAutoHyphens/>
              <w:rPr>
                <w:color w:val="000000"/>
              </w:rPr>
            </w:pPr>
            <w:r w:rsidRPr="00DC5278">
              <w:rPr>
                <w:color w:val="000000"/>
              </w:rPr>
              <w:t>Total</w:t>
            </w:r>
          </w:p>
        </w:tc>
        <w:tc>
          <w:tcPr>
            <w:tcW w:w="766" w:type="dxa"/>
            <w:tcBorders>
              <w:top w:val="nil"/>
              <w:left w:val="nil"/>
              <w:bottom w:val="single" w:sz="8" w:space="0" w:color="auto"/>
              <w:right w:val="nil"/>
            </w:tcBorders>
            <w:shd w:val="clear" w:color="000000" w:fill="FFFFFF"/>
            <w:noWrap/>
            <w:vAlign w:val="center"/>
            <w:hideMark/>
          </w:tcPr>
          <w:p w14:paraId="74037C3F" w14:textId="77777777" w:rsidR="00751E59" w:rsidRPr="00DC5278" w:rsidRDefault="00751E59" w:rsidP="0085547B">
            <w:pPr>
              <w:suppressAutoHyphens/>
              <w:jc w:val="right"/>
              <w:rPr>
                <w:color w:val="000000"/>
              </w:rPr>
            </w:pPr>
            <w:r w:rsidRPr="00DC5278">
              <w:rPr>
                <w:color w:val="000000"/>
              </w:rPr>
              <w:t>8,337</w:t>
            </w:r>
          </w:p>
        </w:tc>
        <w:tc>
          <w:tcPr>
            <w:tcW w:w="833" w:type="dxa"/>
            <w:tcBorders>
              <w:top w:val="nil"/>
              <w:left w:val="nil"/>
              <w:bottom w:val="single" w:sz="8" w:space="0" w:color="auto"/>
              <w:right w:val="nil"/>
            </w:tcBorders>
            <w:shd w:val="clear" w:color="000000" w:fill="FFFFFF"/>
            <w:noWrap/>
            <w:vAlign w:val="center"/>
            <w:hideMark/>
          </w:tcPr>
          <w:p w14:paraId="74037C40" w14:textId="77777777" w:rsidR="00751E59" w:rsidRPr="00DC5278" w:rsidRDefault="00751E59" w:rsidP="0085547B">
            <w:pPr>
              <w:suppressAutoHyphens/>
              <w:jc w:val="right"/>
              <w:rPr>
                <w:color w:val="000000"/>
              </w:rPr>
            </w:pPr>
            <w:r w:rsidRPr="00DC5278">
              <w:rPr>
                <w:color w:val="000000"/>
              </w:rPr>
              <w:t>100.0%</w:t>
            </w:r>
          </w:p>
        </w:tc>
        <w:tc>
          <w:tcPr>
            <w:tcW w:w="1150" w:type="dxa"/>
            <w:tcBorders>
              <w:top w:val="nil"/>
              <w:left w:val="nil"/>
              <w:bottom w:val="single" w:sz="8" w:space="0" w:color="auto"/>
              <w:right w:val="nil"/>
            </w:tcBorders>
            <w:shd w:val="clear" w:color="000000" w:fill="FFFFFF"/>
            <w:noWrap/>
            <w:vAlign w:val="center"/>
            <w:hideMark/>
          </w:tcPr>
          <w:p w14:paraId="74037C41" w14:textId="77777777" w:rsidR="00751E59" w:rsidRPr="00DC5278" w:rsidRDefault="00751E59" w:rsidP="0085547B">
            <w:pPr>
              <w:suppressAutoHyphens/>
              <w:jc w:val="right"/>
              <w:rPr>
                <w:color w:val="000000"/>
              </w:rPr>
            </w:pPr>
            <w:r w:rsidRPr="00DC5278">
              <w:rPr>
                <w:color w:val="000000"/>
              </w:rPr>
              <w:t>100.0%</w:t>
            </w:r>
          </w:p>
        </w:tc>
        <w:tc>
          <w:tcPr>
            <w:tcW w:w="266" w:type="dxa"/>
            <w:tcBorders>
              <w:top w:val="nil"/>
              <w:left w:val="nil"/>
              <w:bottom w:val="single" w:sz="8" w:space="0" w:color="auto"/>
              <w:right w:val="nil"/>
            </w:tcBorders>
            <w:shd w:val="clear" w:color="000000" w:fill="FFFFFF"/>
            <w:noWrap/>
            <w:vAlign w:val="center"/>
            <w:hideMark/>
          </w:tcPr>
          <w:p w14:paraId="74037C42" w14:textId="77777777" w:rsidR="00751E59" w:rsidRPr="00DC5278" w:rsidRDefault="00751E59" w:rsidP="0085547B">
            <w:pPr>
              <w:suppressAutoHyphens/>
              <w:rPr>
                <w:color w:val="000000"/>
              </w:rPr>
            </w:pPr>
            <w:r w:rsidRPr="00DC5278">
              <w:rPr>
                <w:color w:val="000000"/>
              </w:rPr>
              <w:t> </w:t>
            </w:r>
          </w:p>
        </w:tc>
        <w:tc>
          <w:tcPr>
            <w:tcW w:w="1440" w:type="dxa"/>
            <w:tcBorders>
              <w:top w:val="nil"/>
              <w:left w:val="nil"/>
              <w:bottom w:val="single" w:sz="8" w:space="0" w:color="auto"/>
              <w:right w:val="nil"/>
            </w:tcBorders>
            <w:shd w:val="clear" w:color="000000" w:fill="FFFFFF"/>
            <w:noWrap/>
            <w:vAlign w:val="center"/>
            <w:hideMark/>
          </w:tcPr>
          <w:p w14:paraId="74037C43" w14:textId="77777777" w:rsidR="00751E59" w:rsidRPr="00DC5278" w:rsidRDefault="00751E59" w:rsidP="0085547B">
            <w:pPr>
              <w:suppressAutoHyphens/>
              <w:jc w:val="right"/>
              <w:rPr>
                <w:color w:val="000000"/>
              </w:rPr>
            </w:pPr>
            <w:r w:rsidRPr="00DC5278">
              <w:rPr>
                <w:color w:val="000000"/>
              </w:rPr>
              <w:t>1,596.8</w:t>
            </w:r>
          </w:p>
        </w:tc>
        <w:tc>
          <w:tcPr>
            <w:tcW w:w="833" w:type="dxa"/>
            <w:tcBorders>
              <w:top w:val="nil"/>
              <w:left w:val="nil"/>
              <w:bottom w:val="single" w:sz="8" w:space="0" w:color="auto"/>
              <w:right w:val="nil"/>
            </w:tcBorders>
            <w:shd w:val="clear" w:color="000000" w:fill="FFFFFF"/>
            <w:noWrap/>
            <w:vAlign w:val="center"/>
            <w:hideMark/>
          </w:tcPr>
          <w:p w14:paraId="74037C44" w14:textId="77777777" w:rsidR="00751E59" w:rsidRPr="00DC5278" w:rsidRDefault="00751E59" w:rsidP="0085547B">
            <w:pPr>
              <w:suppressAutoHyphens/>
              <w:jc w:val="right"/>
              <w:rPr>
                <w:color w:val="000000"/>
              </w:rPr>
            </w:pPr>
            <w:r w:rsidRPr="00DC5278">
              <w:rPr>
                <w:color w:val="000000"/>
              </w:rPr>
              <w:t>100.0%</w:t>
            </w:r>
          </w:p>
        </w:tc>
        <w:tc>
          <w:tcPr>
            <w:tcW w:w="1150" w:type="dxa"/>
            <w:tcBorders>
              <w:top w:val="nil"/>
              <w:left w:val="nil"/>
              <w:bottom w:val="single" w:sz="8" w:space="0" w:color="auto"/>
              <w:right w:val="nil"/>
            </w:tcBorders>
            <w:shd w:val="clear" w:color="000000" w:fill="FFFFFF"/>
            <w:noWrap/>
            <w:vAlign w:val="center"/>
            <w:hideMark/>
          </w:tcPr>
          <w:p w14:paraId="74037C45" w14:textId="77777777" w:rsidR="00751E59" w:rsidRPr="00DC5278" w:rsidRDefault="00751E59" w:rsidP="0085547B">
            <w:pPr>
              <w:suppressAutoHyphens/>
              <w:jc w:val="right"/>
              <w:rPr>
                <w:color w:val="000000"/>
              </w:rPr>
            </w:pPr>
            <w:r w:rsidRPr="00DC5278">
              <w:rPr>
                <w:color w:val="000000"/>
              </w:rPr>
              <w:t>100.0%</w:t>
            </w:r>
          </w:p>
        </w:tc>
      </w:tr>
    </w:tbl>
    <w:p w14:paraId="16033FEE" w14:textId="77777777" w:rsidR="00F978C8" w:rsidRDefault="00F978C8" w:rsidP="0085547B">
      <w:pPr>
        <w:keepNext/>
        <w:suppressAutoHyphens/>
        <w:rPr>
          <w:b/>
          <w:u w:val="single"/>
        </w:rPr>
      </w:pPr>
    </w:p>
    <w:p w14:paraId="5A0D186F" w14:textId="77777777" w:rsidR="00F978C8" w:rsidRDefault="00F978C8">
      <w:pPr>
        <w:rPr>
          <w:b/>
          <w:u w:val="single"/>
        </w:rPr>
      </w:pPr>
      <w:r>
        <w:rPr>
          <w:b/>
          <w:u w:val="single"/>
        </w:rPr>
        <w:br w:type="page"/>
      </w:r>
    </w:p>
    <w:p w14:paraId="74037C48" w14:textId="15B84A75" w:rsidR="00751E59" w:rsidRPr="00DC5278" w:rsidRDefault="00751E59" w:rsidP="0085547B">
      <w:pPr>
        <w:keepNext/>
        <w:suppressAutoHyphens/>
      </w:pPr>
      <w:r w:rsidRPr="00DC5278">
        <w:rPr>
          <w:b/>
          <w:u w:val="single"/>
        </w:rPr>
        <w:lastRenderedPageBreak/>
        <w:t>Elimination schedule for Chile’s tariffs on imports of Australian goods</w:t>
      </w:r>
    </w:p>
    <w:p w14:paraId="74037C49" w14:textId="77777777" w:rsidR="00751E59" w:rsidRPr="00DC5278" w:rsidRDefault="00751E59" w:rsidP="0085547B">
      <w:pPr>
        <w:keepNext/>
        <w:suppressAutoHyphens/>
      </w:pPr>
    </w:p>
    <w:tbl>
      <w:tblPr>
        <w:tblW w:w="9121" w:type="dxa"/>
        <w:tblInd w:w="93" w:type="dxa"/>
        <w:tblLayout w:type="fixed"/>
        <w:tblLook w:val="04A0" w:firstRow="1" w:lastRow="0" w:firstColumn="1" w:lastColumn="0" w:noHBand="0" w:noVBand="1"/>
      </w:tblPr>
      <w:tblGrid>
        <w:gridCol w:w="1935"/>
        <w:gridCol w:w="766"/>
        <w:gridCol w:w="858"/>
        <w:gridCol w:w="1400"/>
        <w:gridCol w:w="236"/>
        <w:gridCol w:w="1059"/>
        <w:gridCol w:w="851"/>
        <w:gridCol w:w="2016"/>
      </w:tblGrid>
      <w:tr w:rsidR="00751E59" w:rsidRPr="00DC5278" w14:paraId="74037C4E" w14:textId="77777777" w:rsidTr="00CD3ADA">
        <w:trPr>
          <w:trHeight w:val="285"/>
        </w:trPr>
        <w:tc>
          <w:tcPr>
            <w:tcW w:w="1935" w:type="dxa"/>
            <w:vMerge w:val="restart"/>
            <w:tcBorders>
              <w:top w:val="single" w:sz="12" w:space="0" w:color="auto"/>
              <w:left w:val="nil"/>
              <w:bottom w:val="single" w:sz="8" w:space="0" w:color="000000"/>
              <w:right w:val="nil"/>
            </w:tcBorders>
            <w:shd w:val="clear" w:color="000000" w:fill="D8D8D8"/>
            <w:vAlign w:val="center"/>
            <w:hideMark/>
          </w:tcPr>
          <w:p w14:paraId="74037C4A"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3024" w:type="dxa"/>
            <w:gridSpan w:val="3"/>
            <w:tcBorders>
              <w:top w:val="single" w:sz="12" w:space="0" w:color="auto"/>
              <w:left w:val="nil"/>
              <w:bottom w:val="single" w:sz="8" w:space="0" w:color="auto"/>
              <w:right w:val="nil"/>
            </w:tcBorders>
            <w:shd w:val="clear" w:color="000000" w:fill="D8D8D8"/>
            <w:vAlign w:val="center"/>
            <w:hideMark/>
          </w:tcPr>
          <w:p w14:paraId="74037C4B"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36" w:type="dxa"/>
            <w:tcBorders>
              <w:top w:val="single" w:sz="12" w:space="0" w:color="auto"/>
              <w:left w:val="nil"/>
              <w:bottom w:val="nil"/>
              <w:right w:val="nil"/>
            </w:tcBorders>
            <w:shd w:val="clear" w:color="000000" w:fill="D8D8D8"/>
            <w:vAlign w:val="center"/>
            <w:hideMark/>
          </w:tcPr>
          <w:p w14:paraId="74037C4C" w14:textId="77777777" w:rsidR="00751E59" w:rsidRPr="00DC5278" w:rsidRDefault="00751E59" w:rsidP="0085547B">
            <w:pPr>
              <w:keepNext/>
              <w:suppressAutoHyphens/>
              <w:jc w:val="center"/>
              <w:rPr>
                <w:b/>
                <w:bCs/>
                <w:color w:val="000000"/>
              </w:rPr>
            </w:pPr>
            <w:r w:rsidRPr="00DC5278">
              <w:rPr>
                <w:b/>
                <w:bCs/>
                <w:color w:val="000000"/>
              </w:rPr>
              <w:t> </w:t>
            </w:r>
          </w:p>
        </w:tc>
        <w:tc>
          <w:tcPr>
            <w:tcW w:w="3926" w:type="dxa"/>
            <w:gridSpan w:val="3"/>
            <w:tcBorders>
              <w:top w:val="single" w:sz="12" w:space="0" w:color="auto"/>
              <w:left w:val="nil"/>
              <w:bottom w:val="single" w:sz="8" w:space="0" w:color="auto"/>
              <w:right w:val="nil"/>
            </w:tcBorders>
            <w:shd w:val="clear" w:color="000000" w:fill="D8D8D8"/>
            <w:noWrap/>
            <w:vAlign w:val="center"/>
            <w:hideMark/>
          </w:tcPr>
          <w:p w14:paraId="74037C4D" w14:textId="77777777" w:rsidR="00751E59" w:rsidRPr="00DC5278" w:rsidRDefault="00751E59" w:rsidP="0085547B">
            <w:pPr>
              <w:keepNext/>
              <w:suppressAutoHyphens/>
              <w:jc w:val="center"/>
              <w:rPr>
                <w:b/>
                <w:bCs/>
                <w:color w:val="000000"/>
              </w:rPr>
            </w:pPr>
            <w:r w:rsidRPr="00DC5278">
              <w:rPr>
                <w:b/>
                <w:bCs/>
                <w:color w:val="000000"/>
              </w:rPr>
              <w:t xml:space="preserve">Chile's imports from Australia </w:t>
            </w:r>
          </w:p>
        </w:tc>
      </w:tr>
      <w:tr w:rsidR="00751E59" w:rsidRPr="00DC5278" w14:paraId="74037C57" w14:textId="77777777" w:rsidTr="00CD3ADA">
        <w:trPr>
          <w:trHeight w:val="525"/>
        </w:trPr>
        <w:tc>
          <w:tcPr>
            <w:tcW w:w="1935" w:type="dxa"/>
            <w:vMerge/>
            <w:tcBorders>
              <w:top w:val="single" w:sz="12" w:space="0" w:color="auto"/>
              <w:left w:val="nil"/>
              <w:bottom w:val="single" w:sz="8" w:space="0" w:color="000000"/>
              <w:right w:val="nil"/>
            </w:tcBorders>
            <w:vAlign w:val="center"/>
            <w:hideMark/>
          </w:tcPr>
          <w:p w14:paraId="74037C4F" w14:textId="77777777" w:rsidR="00751E59" w:rsidRPr="00DC5278" w:rsidRDefault="00751E59" w:rsidP="0085547B">
            <w:pPr>
              <w:suppressAutoHyphens/>
              <w:rPr>
                <w:b/>
                <w:bCs/>
                <w:color w:val="000000"/>
              </w:rPr>
            </w:pPr>
          </w:p>
        </w:tc>
        <w:tc>
          <w:tcPr>
            <w:tcW w:w="766" w:type="dxa"/>
            <w:tcBorders>
              <w:top w:val="nil"/>
              <w:left w:val="nil"/>
              <w:bottom w:val="single" w:sz="8" w:space="0" w:color="auto"/>
              <w:right w:val="nil"/>
            </w:tcBorders>
            <w:shd w:val="clear" w:color="000000" w:fill="D8D8D8"/>
            <w:noWrap/>
            <w:vAlign w:val="center"/>
            <w:hideMark/>
          </w:tcPr>
          <w:p w14:paraId="74037C50" w14:textId="77777777" w:rsidR="00751E59" w:rsidRPr="00DC5278" w:rsidRDefault="00751E59" w:rsidP="0085547B">
            <w:pPr>
              <w:suppressAutoHyphens/>
              <w:jc w:val="center"/>
              <w:rPr>
                <w:color w:val="000000"/>
              </w:rPr>
            </w:pPr>
            <w:r w:rsidRPr="00DC5278">
              <w:rPr>
                <w:color w:val="000000"/>
              </w:rPr>
              <w:t xml:space="preserve"> No. </w:t>
            </w:r>
          </w:p>
        </w:tc>
        <w:tc>
          <w:tcPr>
            <w:tcW w:w="858" w:type="dxa"/>
            <w:tcBorders>
              <w:top w:val="nil"/>
              <w:left w:val="nil"/>
              <w:bottom w:val="single" w:sz="8" w:space="0" w:color="auto"/>
              <w:right w:val="nil"/>
            </w:tcBorders>
            <w:shd w:val="clear" w:color="000000" w:fill="D8D8D8"/>
            <w:vAlign w:val="center"/>
            <w:hideMark/>
          </w:tcPr>
          <w:p w14:paraId="74037C51" w14:textId="77777777" w:rsidR="00751E59" w:rsidRPr="00DC5278" w:rsidRDefault="00751E59" w:rsidP="0085547B">
            <w:pPr>
              <w:suppressAutoHyphens/>
              <w:jc w:val="center"/>
              <w:rPr>
                <w:color w:val="000000"/>
              </w:rPr>
            </w:pPr>
            <w:r w:rsidRPr="00DC5278">
              <w:rPr>
                <w:color w:val="000000"/>
              </w:rPr>
              <w:t xml:space="preserve">  % of total </w:t>
            </w:r>
          </w:p>
        </w:tc>
        <w:tc>
          <w:tcPr>
            <w:tcW w:w="1400" w:type="dxa"/>
            <w:tcBorders>
              <w:top w:val="nil"/>
              <w:left w:val="nil"/>
              <w:bottom w:val="single" w:sz="8" w:space="0" w:color="auto"/>
              <w:right w:val="nil"/>
            </w:tcBorders>
            <w:shd w:val="clear" w:color="000000" w:fill="D8D8D8"/>
            <w:vAlign w:val="center"/>
            <w:hideMark/>
          </w:tcPr>
          <w:p w14:paraId="74037C52" w14:textId="77777777" w:rsidR="00751E59" w:rsidRPr="00DC5278" w:rsidRDefault="00751E59" w:rsidP="0085547B">
            <w:pPr>
              <w:suppressAutoHyphens/>
              <w:jc w:val="center"/>
              <w:rPr>
                <w:color w:val="000000"/>
              </w:rPr>
            </w:pPr>
            <w:r w:rsidRPr="00DC5278">
              <w:rPr>
                <w:color w:val="000000"/>
              </w:rPr>
              <w:t xml:space="preserve"> Cumulative (%) </w:t>
            </w:r>
          </w:p>
        </w:tc>
        <w:tc>
          <w:tcPr>
            <w:tcW w:w="236" w:type="dxa"/>
            <w:tcBorders>
              <w:top w:val="nil"/>
              <w:left w:val="nil"/>
              <w:bottom w:val="single" w:sz="8" w:space="0" w:color="auto"/>
              <w:right w:val="nil"/>
            </w:tcBorders>
            <w:shd w:val="clear" w:color="000000" w:fill="D8D8D8"/>
            <w:vAlign w:val="center"/>
            <w:hideMark/>
          </w:tcPr>
          <w:p w14:paraId="74037C53" w14:textId="77777777" w:rsidR="00751E59" w:rsidRPr="00DC5278" w:rsidRDefault="00751E59" w:rsidP="0085547B">
            <w:pPr>
              <w:suppressAutoHyphens/>
              <w:jc w:val="center"/>
              <w:rPr>
                <w:color w:val="000000"/>
              </w:rPr>
            </w:pPr>
            <w:r w:rsidRPr="00DC5278">
              <w:rPr>
                <w:color w:val="000000"/>
              </w:rPr>
              <w:t> </w:t>
            </w:r>
          </w:p>
        </w:tc>
        <w:tc>
          <w:tcPr>
            <w:tcW w:w="1059" w:type="dxa"/>
            <w:tcBorders>
              <w:top w:val="nil"/>
              <w:left w:val="nil"/>
              <w:bottom w:val="single" w:sz="8" w:space="0" w:color="auto"/>
              <w:right w:val="nil"/>
            </w:tcBorders>
            <w:shd w:val="clear" w:color="000000" w:fill="D8D8D8"/>
            <w:vAlign w:val="center"/>
            <w:hideMark/>
          </w:tcPr>
          <w:p w14:paraId="74037C54"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851" w:type="dxa"/>
            <w:tcBorders>
              <w:top w:val="nil"/>
              <w:left w:val="nil"/>
              <w:bottom w:val="single" w:sz="8" w:space="0" w:color="auto"/>
              <w:right w:val="nil"/>
            </w:tcBorders>
            <w:shd w:val="clear" w:color="000000" w:fill="D8D8D8"/>
            <w:vAlign w:val="center"/>
            <w:hideMark/>
          </w:tcPr>
          <w:p w14:paraId="74037C55" w14:textId="77777777" w:rsidR="00751E59" w:rsidRPr="00DC5278" w:rsidRDefault="00751E59" w:rsidP="0085547B">
            <w:pPr>
              <w:suppressAutoHyphens/>
              <w:jc w:val="center"/>
              <w:rPr>
                <w:color w:val="000000"/>
              </w:rPr>
            </w:pPr>
            <w:r w:rsidRPr="00DC5278">
              <w:rPr>
                <w:color w:val="000000"/>
              </w:rPr>
              <w:t xml:space="preserve">  % of total </w:t>
            </w:r>
          </w:p>
        </w:tc>
        <w:tc>
          <w:tcPr>
            <w:tcW w:w="2016" w:type="dxa"/>
            <w:tcBorders>
              <w:top w:val="nil"/>
              <w:left w:val="nil"/>
              <w:bottom w:val="single" w:sz="8" w:space="0" w:color="auto"/>
              <w:right w:val="nil"/>
            </w:tcBorders>
            <w:shd w:val="clear" w:color="000000" w:fill="D8D8D8"/>
            <w:vAlign w:val="center"/>
            <w:hideMark/>
          </w:tcPr>
          <w:p w14:paraId="74037C56"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C60" w14:textId="77777777" w:rsidTr="00CD3ADA">
        <w:trPr>
          <w:trHeight w:val="255"/>
        </w:trPr>
        <w:tc>
          <w:tcPr>
            <w:tcW w:w="1935" w:type="dxa"/>
            <w:tcBorders>
              <w:top w:val="nil"/>
              <w:left w:val="nil"/>
              <w:bottom w:val="nil"/>
              <w:right w:val="nil"/>
            </w:tcBorders>
            <w:shd w:val="clear" w:color="000000" w:fill="FFFFFF"/>
            <w:noWrap/>
            <w:vAlign w:val="center"/>
            <w:hideMark/>
          </w:tcPr>
          <w:p w14:paraId="74037C58" w14:textId="77777777" w:rsidR="00751E59" w:rsidRPr="00DC5278" w:rsidRDefault="00751E59" w:rsidP="0085547B">
            <w:pPr>
              <w:suppressAutoHyphens/>
              <w:rPr>
                <w:color w:val="000000"/>
              </w:rPr>
            </w:pPr>
            <w:r w:rsidRPr="00DC5278">
              <w:rPr>
                <w:color w:val="000000"/>
              </w:rPr>
              <w:t>MFN 0%</w:t>
            </w:r>
          </w:p>
        </w:tc>
        <w:tc>
          <w:tcPr>
            <w:tcW w:w="766" w:type="dxa"/>
            <w:tcBorders>
              <w:top w:val="nil"/>
              <w:left w:val="nil"/>
              <w:bottom w:val="nil"/>
              <w:right w:val="nil"/>
            </w:tcBorders>
            <w:shd w:val="clear" w:color="000000" w:fill="FFFFFF"/>
            <w:noWrap/>
            <w:vAlign w:val="center"/>
            <w:hideMark/>
          </w:tcPr>
          <w:p w14:paraId="74037C59" w14:textId="77777777" w:rsidR="00751E59" w:rsidRPr="00DC5278" w:rsidRDefault="00751E59" w:rsidP="0085547B">
            <w:pPr>
              <w:suppressAutoHyphens/>
              <w:jc w:val="right"/>
              <w:rPr>
                <w:color w:val="000000"/>
              </w:rPr>
            </w:pPr>
            <w:r w:rsidRPr="00DC5278">
              <w:rPr>
                <w:color w:val="000000"/>
              </w:rPr>
              <w:t>36</w:t>
            </w:r>
          </w:p>
        </w:tc>
        <w:tc>
          <w:tcPr>
            <w:tcW w:w="858" w:type="dxa"/>
            <w:tcBorders>
              <w:top w:val="nil"/>
              <w:left w:val="nil"/>
              <w:bottom w:val="nil"/>
              <w:right w:val="nil"/>
            </w:tcBorders>
            <w:shd w:val="clear" w:color="000000" w:fill="FFFFFF"/>
            <w:noWrap/>
            <w:vAlign w:val="center"/>
            <w:hideMark/>
          </w:tcPr>
          <w:p w14:paraId="74037C5A" w14:textId="77777777" w:rsidR="00751E59" w:rsidRPr="00DC5278" w:rsidRDefault="00751E59" w:rsidP="0085547B">
            <w:pPr>
              <w:suppressAutoHyphens/>
              <w:jc w:val="right"/>
              <w:rPr>
                <w:color w:val="000000"/>
              </w:rPr>
            </w:pPr>
            <w:r w:rsidRPr="00DC5278">
              <w:rPr>
                <w:color w:val="000000"/>
              </w:rPr>
              <w:t>0.5%</w:t>
            </w:r>
          </w:p>
        </w:tc>
        <w:tc>
          <w:tcPr>
            <w:tcW w:w="1400" w:type="dxa"/>
            <w:tcBorders>
              <w:top w:val="nil"/>
              <w:left w:val="nil"/>
              <w:bottom w:val="nil"/>
              <w:right w:val="nil"/>
            </w:tcBorders>
            <w:shd w:val="clear" w:color="000000" w:fill="FFFFFF"/>
            <w:noWrap/>
            <w:vAlign w:val="center"/>
            <w:hideMark/>
          </w:tcPr>
          <w:p w14:paraId="74037C5B" w14:textId="77777777" w:rsidR="00751E59" w:rsidRPr="00DC5278" w:rsidRDefault="00751E59" w:rsidP="0085547B">
            <w:pPr>
              <w:suppressAutoHyphens/>
              <w:jc w:val="right"/>
              <w:rPr>
                <w:color w:val="000000"/>
              </w:rPr>
            </w:pPr>
            <w:r w:rsidRPr="00DC5278">
              <w:rPr>
                <w:color w:val="000000"/>
              </w:rPr>
              <w:t>0.5%</w:t>
            </w:r>
          </w:p>
        </w:tc>
        <w:tc>
          <w:tcPr>
            <w:tcW w:w="236" w:type="dxa"/>
            <w:tcBorders>
              <w:top w:val="nil"/>
              <w:left w:val="nil"/>
              <w:bottom w:val="nil"/>
              <w:right w:val="nil"/>
            </w:tcBorders>
            <w:shd w:val="clear" w:color="000000" w:fill="FFFFFF"/>
            <w:noWrap/>
            <w:vAlign w:val="center"/>
            <w:hideMark/>
          </w:tcPr>
          <w:p w14:paraId="74037C5C"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5D" w14:textId="77777777" w:rsidR="00751E59" w:rsidRPr="00DC5278" w:rsidRDefault="00751E59" w:rsidP="0085547B">
            <w:pPr>
              <w:suppressAutoHyphens/>
              <w:jc w:val="right"/>
              <w:rPr>
                <w:color w:val="000000"/>
              </w:rPr>
            </w:pPr>
            <w:r w:rsidRPr="00DC5278">
              <w:rPr>
                <w:color w:val="000000"/>
              </w:rPr>
              <w:t>4.5</w:t>
            </w:r>
          </w:p>
        </w:tc>
        <w:tc>
          <w:tcPr>
            <w:tcW w:w="851" w:type="dxa"/>
            <w:tcBorders>
              <w:top w:val="nil"/>
              <w:left w:val="nil"/>
              <w:bottom w:val="nil"/>
              <w:right w:val="nil"/>
            </w:tcBorders>
            <w:shd w:val="clear" w:color="000000" w:fill="FFFFFF"/>
            <w:noWrap/>
            <w:vAlign w:val="center"/>
            <w:hideMark/>
          </w:tcPr>
          <w:p w14:paraId="74037C5E" w14:textId="77777777" w:rsidR="00751E59" w:rsidRPr="00DC5278" w:rsidRDefault="00751E59" w:rsidP="0085547B">
            <w:pPr>
              <w:suppressAutoHyphens/>
              <w:jc w:val="right"/>
              <w:rPr>
                <w:color w:val="000000"/>
              </w:rPr>
            </w:pPr>
            <w:r w:rsidRPr="00DC5278">
              <w:rPr>
                <w:color w:val="000000"/>
              </w:rPr>
              <w:t>1.8%</w:t>
            </w:r>
          </w:p>
        </w:tc>
        <w:tc>
          <w:tcPr>
            <w:tcW w:w="2016" w:type="dxa"/>
            <w:tcBorders>
              <w:top w:val="nil"/>
              <w:left w:val="nil"/>
              <w:bottom w:val="nil"/>
              <w:right w:val="nil"/>
            </w:tcBorders>
            <w:shd w:val="clear" w:color="000000" w:fill="FFFFFF"/>
            <w:noWrap/>
            <w:vAlign w:val="center"/>
            <w:hideMark/>
          </w:tcPr>
          <w:p w14:paraId="74037C5F" w14:textId="77777777" w:rsidR="00751E59" w:rsidRPr="00DC5278" w:rsidRDefault="00751E59" w:rsidP="0085547B">
            <w:pPr>
              <w:suppressAutoHyphens/>
              <w:jc w:val="right"/>
              <w:rPr>
                <w:color w:val="000000"/>
              </w:rPr>
            </w:pPr>
            <w:r w:rsidRPr="00DC5278">
              <w:rPr>
                <w:color w:val="000000"/>
              </w:rPr>
              <w:t>1.8%</w:t>
            </w:r>
          </w:p>
        </w:tc>
      </w:tr>
      <w:tr w:rsidR="00751E59" w:rsidRPr="00DC5278" w14:paraId="74037C69" w14:textId="77777777" w:rsidTr="00CD3ADA">
        <w:trPr>
          <w:trHeight w:val="255"/>
        </w:trPr>
        <w:tc>
          <w:tcPr>
            <w:tcW w:w="1935" w:type="dxa"/>
            <w:tcBorders>
              <w:top w:val="nil"/>
              <w:left w:val="nil"/>
              <w:bottom w:val="nil"/>
              <w:right w:val="nil"/>
            </w:tcBorders>
            <w:shd w:val="clear" w:color="000000" w:fill="FFFFFF"/>
            <w:noWrap/>
            <w:vAlign w:val="center"/>
            <w:hideMark/>
          </w:tcPr>
          <w:p w14:paraId="74037C61" w14:textId="77777777" w:rsidR="00751E59" w:rsidRPr="00DC5278" w:rsidRDefault="00751E59" w:rsidP="0085547B">
            <w:pPr>
              <w:suppressAutoHyphens/>
              <w:rPr>
                <w:color w:val="000000"/>
              </w:rPr>
            </w:pPr>
            <w:r w:rsidRPr="00DC5278">
              <w:rPr>
                <w:color w:val="000000"/>
              </w:rPr>
              <w:t>A: 0% tariff on EIF</w:t>
            </w:r>
          </w:p>
        </w:tc>
        <w:tc>
          <w:tcPr>
            <w:tcW w:w="766" w:type="dxa"/>
            <w:tcBorders>
              <w:top w:val="nil"/>
              <w:left w:val="nil"/>
              <w:bottom w:val="nil"/>
              <w:right w:val="nil"/>
            </w:tcBorders>
            <w:shd w:val="clear" w:color="000000" w:fill="FFFFFF"/>
            <w:noWrap/>
            <w:vAlign w:val="center"/>
            <w:hideMark/>
          </w:tcPr>
          <w:p w14:paraId="74037C62" w14:textId="77777777" w:rsidR="00751E59" w:rsidRPr="00DC5278" w:rsidRDefault="00751E59" w:rsidP="0085547B">
            <w:pPr>
              <w:suppressAutoHyphens/>
              <w:jc w:val="right"/>
              <w:rPr>
                <w:color w:val="000000"/>
              </w:rPr>
            </w:pPr>
            <w:r w:rsidRPr="00DC5278">
              <w:rPr>
                <w:color w:val="000000"/>
              </w:rPr>
              <w:t>7,299</w:t>
            </w:r>
          </w:p>
        </w:tc>
        <w:tc>
          <w:tcPr>
            <w:tcW w:w="858" w:type="dxa"/>
            <w:tcBorders>
              <w:top w:val="nil"/>
              <w:left w:val="nil"/>
              <w:bottom w:val="nil"/>
              <w:right w:val="nil"/>
            </w:tcBorders>
            <w:shd w:val="clear" w:color="000000" w:fill="FFFFFF"/>
            <w:noWrap/>
            <w:vAlign w:val="center"/>
            <w:hideMark/>
          </w:tcPr>
          <w:p w14:paraId="74037C63" w14:textId="77777777" w:rsidR="00751E59" w:rsidRPr="00DC5278" w:rsidRDefault="00751E59" w:rsidP="0085547B">
            <w:pPr>
              <w:suppressAutoHyphens/>
              <w:jc w:val="right"/>
              <w:rPr>
                <w:color w:val="000000"/>
              </w:rPr>
            </w:pPr>
            <w:r w:rsidRPr="00DC5278">
              <w:rPr>
                <w:color w:val="000000"/>
              </w:rPr>
              <w:t>94.6%</w:t>
            </w:r>
          </w:p>
        </w:tc>
        <w:tc>
          <w:tcPr>
            <w:tcW w:w="1400" w:type="dxa"/>
            <w:tcBorders>
              <w:top w:val="nil"/>
              <w:left w:val="nil"/>
              <w:bottom w:val="nil"/>
              <w:right w:val="nil"/>
            </w:tcBorders>
            <w:shd w:val="clear" w:color="000000" w:fill="FFFFFF"/>
            <w:noWrap/>
            <w:vAlign w:val="center"/>
            <w:hideMark/>
          </w:tcPr>
          <w:p w14:paraId="74037C64" w14:textId="77777777" w:rsidR="00751E59" w:rsidRPr="00DC5278" w:rsidRDefault="00751E59" w:rsidP="0085547B">
            <w:pPr>
              <w:suppressAutoHyphens/>
              <w:jc w:val="right"/>
              <w:rPr>
                <w:color w:val="000000"/>
              </w:rPr>
            </w:pPr>
            <w:r w:rsidRPr="00DC5278">
              <w:rPr>
                <w:color w:val="000000"/>
              </w:rPr>
              <w:t>95.1%</w:t>
            </w:r>
          </w:p>
        </w:tc>
        <w:tc>
          <w:tcPr>
            <w:tcW w:w="236" w:type="dxa"/>
            <w:tcBorders>
              <w:top w:val="nil"/>
              <w:left w:val="nil"/>
              <w:bottom w:val="nil"/>
              <w:right w:val="nil"/>
            </w:tcBorders>
            <w:shd w:val="clear" w:color="000000" w:fill="FFFFFF"/>
            <w:noWrap/>
            <w:vAlign w:val="center"/>
            <w:hideMark/>
          </w:tcPr>
          <w:p w14:paraId="74037C65"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66" w14:textId="77777777" w:rsidR="00751E59" w:rsidRPr="00DC5278" w:rsidRDefault="00751E59" w:rsidP="0085547B">
            <w:pPr>
              <w:suppressAutoHyphens/>
              <w:jc w:val="right"/>
              <w:rPr>
                <w:color w:val="000000"/>
              </w:rPr>
            </w:pPr>
            <w:r w:rsidRPr="00DC5278">
              <w:rPr>
                <w:color w:val="000000"/>
              </w:rPr>
              <w:t>235.0</w:t>
            </w:r>
          </w:p>
        </w:tc>
        <w:tc>
          <w:tcPr>
            <w:tcW w:w="851" w:type="dxa"/>
            <w:tcBorders>
              <w:top w:val="nil"/>
              <w:left w:val="nil"/>
              <w:bottom w:val="nil"/>
              <w:right w:val="nil"/>
            </w:tcBorders>
            <w:shd w:val="clear" w:color="000000" w:fill="FFFFFF"/>
            <w:noWrap/>
            <w:vAlign w:val="center"/>
            <w:hideMark/>
          </w:tcPr>
          <w:p w14:paraId="74037C67" w14:textId="77777777" w:rsidR="00751E59" w:rsidRPr="00DC5278" w:rsidRDefault="00751E59" w:rsidP="0085547B">
            <w:pPr>
              <w:suppressAutoHyphens/>
              <w:jc w:val="right"/>
              <w:rPr>
                <w:color w:val="000000"/>
              </w:rPr>
            </w:pPr>
            <w:r w:rsidRPr="00DC5278">
              <w:rPr>
                <w:color w:val="000000"/>
              </w:rPr>
              <w:t>95.2%</w:t>
            </w:r>
          </w:p>
        </w:tc>
        <w:tc>
          <w:tcPr>
            <w:tcW w:w="2016" w:type="dxa"/>
            <w:tcBorders>
              <w:top w:val="nil"/>
              <w:left w:val="nil"/>
              <w:bottom w:val="nil"/>
              <w:right w:val="nil"/>
            </w:tcBorders>
            <w:shd w:val="clear" w:color="000000" w:fill="FFFFFF"/>
            <w:noWrap/>
            <w:vAlign w:val="center"/>
            <w:hideMark/>
          </w:tcPr>
          <w:p w14:paraId="74037C68" w14:textId="77777777" w:rsidR="00751E59" w:rsidRPr="00DC5278" w:rsidRDefault="00751E59" w:rsidP="0085547B">
            <w:pPr>
              <w:suppressAutoHyphens/>
              <w:jc w:val="right"/>
              <w:rPr>
                <w:color w:val="000000"/>
              </w:rPr>
            </w:pPr>
            <w:r w:rsidRPr="00DC5278">
              <w:rPr>
                <w:color w:val="000000"/>
              </w:rPr>
              <w:t>97.0%</w:t>
            </w:r>
          </w:p>
        </w:tc>
      </w:tr>
      <w:tr w:rsidR="00751E59" w:rsidRPr="00DC5278" w14:paraId="74037C72" w14:textId="77777777" w:rsidTr="00CD3ADA">
        <w:trPr>
          <w:trHeight w:val="255"/>
        </w:trPr>
        <w:tc>
          <w:tcPr>
            <w:tcW w:w="1935" w:type="dxa"/>
            <w:tcBorders>
              <w:top w:val="nil"/>
              <w:left w:val="nil"/>
              <w:bottom w:val="nil"/>
              <w:right w:val="nil"/>
            </w:tcBorders>
            <w:shd w:val="clear" w:color="000000" w:fill="FFFFFF"/>
            <w:noWrap/>
            <w:vAlign w:val="center"/>
            <w:hideMark/>
          </w:tcPr>
          <w:p w14:paraId="74037C6A"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66" w:type="dxa"/>
            <w:tcBorders>
              <w:top w:val="nil"/>
              <w:left w:val="nil"/>
              <w:bottom w:val="nil"/>
              <w:right w:val="nil"/>
            </w:tcBorders>
            <w:shd w:val="clear" w:color="000000" w:fill="FFFFFF"/>
            <w:noWrap/>
            <w:vAlign w:val="center"/>
            <w:hideMark/>
          </w:tcPr>
          <w:p w14:paraId="74037C6B" w14:textId="77777777" w:rsidR="00751E59" w:rsidRPr="00DC5278" w:rsidRDefault="00751E59" w:rsidP="0085547B">
            <w:pPr>
              <w:suppressAutoHyphens/>
              <w:jc w:val="right"/>
              <w:rPr>
                <w:color w:val="000000"/>
              </w:rPr>
            </w:pPr>
            <w:r w:rsidRPr="00DC5278">
              <w:rPr>
                <w:color w:val="000000"/>
              </w:rPr>
              <w:t>169</w:t>
            </w:r>
          </w:p>
        </w:tc>
        <w:tc>
          <w:tcPr>
            <w:tcW w:w="858" w:type="dxa"/>
            <w:tcBorders>
              <w:top w:val="nil"/>
              <w:left w:val="nil"/>
              <w:bottom w:val="nil"/>
              <w:right w:val="nil"/>
            </w:tcBorders>
            <w:shd w:val="clear" w:color="000000" w:fill="FFFFFF"/>
            <w:noWrap/>
            <w:vAlign w:val="center"/>
            <w:hideMark/>
          </w:tcPr>
          <w:p w14:paraId="74037C6C" w14:textId="77777777" w:rsidR="00751E59" w:rsidRPr="00DC5278" w:rsidRDefault="00751E59" w:rsidP="0085547B">
            <w:pPr>
              <w:suppressAutoHyphens/>
              <w:jc w:val="right"/>
              <w:rPr>
                <w:color w:val="000000"/>
              </w:rPr>
            </w:pPr>
            <w:r w:rsidRPr="00DC5278">
              <w:rPr>
                <w:color w:val="000000"/>
              </w:rPr>
              <w:t>2.2%</w:t>
            </w:r>
          </w:p>
        </w:tc>
        <w:tc>
          <w:tcPr>
            <w:tcW w:w="1400" w:type="dxa"/>
            <w:tcBorders>
              <w:top w:val="nil"/>
              <w:left w:val="nil"/>
              <w:bottom w:val="nil"/>
              <w:right w:val="nil"/>
            </w:tcBorders>
            <w:shd w:val="clear" w:color="000000" w:fill="FFFFFF"/>
            <w:noWrap/>
            <w:vAlign w:val="center"/>
            <w:hideMark/>
          </w:tcPr>
          <w:p w14:paraId="74037C6D" w14:textId="77777777" w:rsidR="00751E59" w:rsidRPr="00DC5278" w:rsidRDefault="00751E59" w:rsidP="0085547B">
            <w:pPr>
              <w:suppressAutoHyphens/>
              <w:jc w:val="right"/>
              <w:rPr>
                <w:color w:val="000000"/>
              </w:rPr>
            </w:pPr>
            <w:r w:rsidRPr="00DC5278">
              <w:rPr>
                <w:color w:val="000000"/>
              </w:rPr>
              <w:t>97.3%</w:t>
            </w:r>
          </w:p>
        </w:tc>
        <w:tc>
          <w:tcPr>
            <w:tcW w:w="236" w:type="dxa"/>
            <w:tcBorders>
              <w:top w:val="nil"/>
              <w:left w:val="nil"/>
              <w:bottom w:val="nil"/>
              <w:right w:val="nil"/>
            </w:tcBorders>
            <w:shd w:val="clear" w:color="000000" w:fill="FFFFFF"/>
            <w:noWrap/>
            <w:vAlign w:val="center"/>
            <w:hideMark/>
          </w:tcPr>
          <w:p w14:paraId="74037C6E"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6F" w14:textId="77777777" w:rsidR="00751E59" w:rsidRPr="00DC5278" w:rsidRDefault="00751E59" w:rsidP="0085547B">
            <w:pPr>
              <w:suppressAutoHyphens/>
              <w:jc w:val="right"/>
              <w:rPr>
                <w:color w:val="000000"/>
              </w:rPr>
            </w:pPr>
            <w:r w:rsidRPr="00DC5278">
              <w:rPr>
                <w:color w:val="000000"/>
              </w:rPr>
              <w:t>0.7</w:t>
            </w:r>
          </w:p>
        </w:tc>
        <w:tc>
          <w:tcPr>
            <w:tcW w:w="851" w:type="dxa"/>
            <w:tcBorders>
              <w:top w:val="nil"/>
              <w:left w:val="nil"/>
              <w:bottom w:val="nil"/>
              <w:right w:val="nil"/>
            </w:tcBorders>
            <w:shd w:val="clear" w:color="000000" w:fill="FFFFFF"/>
            <w:noWrap/>
            <w:vAlign w:val="center"/>
            <w:hideMark/>
          </w:tcPr>
          <w:p w14:paraId="74037C70" w14:textId="77777777" w:rsidR="00751E59" w:rsidRPr="00DC5278" w:rsidRDefault="00751E59" w:rsidP="0085547B">
            <w:pPr>
              <w:suppressAutoHyphens/>
              <w:jc w:val="right"/>
              <w:rPr>
                <w:color w:val="000000"/>
              </w:rPr>
            </w:pPr>
            <w:r w:rsidRPr="00DC5278">
              <w:rPr>
                <w:color w:val="000000"/>
              </w:rPr>
              <w:t>0.3%</w:t>
            </w:r>
          </w:p>
        </w:tc>
        <w:tc>
          <w:tcPr>
            <w:tcW w:w="2016" w:type="dxa"/>
            <w:tcBorders>
              <w:top w:val="nil"/>
              <w:left w:val="nil"/>
              <w:bottom w:val="nil"/>
              <w:right w:val="nil"/>
            </w:tcBorders>
            <w:shd w:val="clear" w:color="000000" w:fill="FFFFFF"/>
            <w:noWrap/>
            <w:vAlign w:val="center"/>
            <w:hideMark/>
          </w:tcPr>
          <w:p w14:paraId="74037C71" w14:textId="77777777" w:rsidR="00751E59" w:rsidRPr="00DC5278" w:rsidRDefault="00751E59" w:rsidP="0085547B">
            <w:pPr>
              <w:suppressAutoHyphens/>
              <w:jc w:val="right"/>
              <w:rPr>
                <w:color w:val="000000"/>
              </w:rPr>
            </w:pPr>
            <w:r w:rsidRPr="00DC5278">
              <w:rPr>
                <w:color w:val="000000"/>
              </w:rPr>
              <w:t>97.3%</w:t>
            </w:r>
          </w:p>
        </w:tc>
      </w:tr>
      <w:tr w:rsidR="00751E59" w:rsidRPr="00DC5278" w14:paraId="74037C7B" w14:textId="77777777" w:rsidTr="00CD3ADA">
        <w:trPr>
          <w:trHeight w:val="255"/>
        </w:trPr>
        <w:tc>
          <w:tcPr>
            <w:tcW w:w="1935" w:type="dxa"/>
            <w:tcBorders>
              <w:top w:val="nil"/>
              <w:left w:val="nil"/>
              <w:bottom w:val="nil"/>
              <w:right w:val="nil"/>
            </w:tcBorders>
            <w:shd w:val="clear" w:color="000000" w:fill="FFFFFF"/>
            <w:noWrap/>
            <w:vAlign w:val="center"/>
            <w:hideMark/>
          </w:tcPr>
          <w:p w14:paraId="74037C73"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66" w:type="dxa"/>
            <w:tcBorders>
              <w:top w:val="nil"/>
              <w:left w:val="nil"/>
              <w:bottom w:val="nil"/>
              <w:right w:val="nil"/>
            </w:tcBorders>
            <w:shd w:val="clear" w:color="000000" w:fill="FFFFFF"/>
            <w:noWrap/>
            <w:vAlign w:val="center"/>
            <w:hideMark/>
          </w:tcPr>
          <w:p w14:paraId="74037C74" w14:textId="77777777" w:rsidR="00751E59" w:rsidRPr="00DC5278" w:rsidRDefault="00751E59" w:rsidP="0085547B">
            <w:pPr>
              <w:suppressAutoHyphens/>
              <w:jc w:val="right"/>
              <w:rPr>
                <w:color w:val="000000"/>
              </w:rPr>
            </w:pPr>
            <w:r w:rsidRPr="00DC5278">
              <w:rPr>
                <w:color w:val="000000"/>
              </w:rPr>
              <w:t>203</w:t>
            </w:r>
          </w:p>
        </w:tc>
        <w:tc>
          <w:tcPr>
            <w:tcW w:w="858" w:type="dxa"/>
            <w:tcBorders>
              <w:top w:val="nil"/>
              <w:left w:val="nil"/>
              <w:bottom w:val="nil"/>
              <w:right w:val="nil"/>
            </w:tcBorders>
            <w:shd w:val="clear" w:color="000000" w:fill="FFFFFF"/>
            <w:noWrap/>
            <w:vAlign w:val="center"/>
            <w:hideMark/>
          </w:tcPr>
          <w:p w14:paraId="74037C75" w14:textId="77777777" w:rsidR="00751E59" w:rsidRPr="00DC5278" w:rsidRDefault="00751E59" w:rsidP="0085547B">
            <w:pPr>
              <w:suppressAutoHyphens/>
              <w:jc w:val="right"/>
              <w:rPr>
                <w:color w:val="000000"/>
              </w:rPr>
            </w:pPr>
            <w:r w:rsidRPr="00DC5278">
              <w:rPr>
                <w:color w:val="000000"/>
              </w:rPr>
              <w:t>2.6%</w:t>
            </w:r>
          </w:p>
        </w:tc>
        <w:tc>
          <w:tcPr>
            <w:tcW w:w="1400" w:type="dxa"/>
            <w:tcBorders>
              <w:top w:val="nil"/>
              <w:left w:val="nil"/>
              <w:bottom w:val="nil"/>
              <w:right w:val="nil"/>
            </w:tcBorders>
            <w:shd w:val="clear" w:color="000000" w:fill="FFFFFF"/>
            <w:noWrap/>
            <w:vAlign w:val="center"/>
            <w:hideMark/>
          </w:tcPr>
          <w:p w14:paraId="74037C76" w14:textId="77777777" w:rsidR="00751E59" w:rsidRPr="00DC5278" w:rsidRDefault="00751E59" w:rsidP="0085547B">
            <w:pPr>
              <w:suppressAutoHyphens/>
              <w:jc w:val="right"/>
              <w:rPr>
                <w:color w:val="000000"/>
              </w:rPr>
            </w:pPr>
            <w:r w:rsidRPr="00DC5278">
              <w:rPr>
                <w:color w:val="000000"/>
              </w:rPr>
              <w:t>99.9%</w:t>
            </w:r>
          </w:p>
        </w:tc>
        <w:tc>
          <w:tcPr>
            <w:tcW w:w="236" w:type="dxa"/>
            <w:tcBorders>
              <w:top w:val="nil"/>
              <w:left w:val="nil"/>
              <w:bottom w:val="nil"/>
              <w:right w:val="nil"/>
            </w:tcBorders>
            <w:shd w:val="clear" w:color="000000" w:fill="FFFFFF"/>
            <w:noWrap/>
            <w:vAlign w:val="center"/>
            <w:hideMark/>
          </w:tcPr>
          <w:p w14:paraId="74037C77"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78" w14:textId="77777777" w:rsidR="00751E59" w:rsidRPr="00DC5278" w:rsidRDefault="00751E59" w:rsidP="0085547B">
            <w:pPr>
              <w:suppressAutoHyphens/>
              <w:jc w:val="right"/>
              <w:rPr>
                <w:color w:val="000000"/>
              </w:rPr>
            </w:pPr>
            <w:r w:rsidRPr="00DC5278">
              <w:rPr>
                <w:color w:val="000000"/>
              </w:rPr>
              <w:t>6.6</w:t>
            </w:r>
          </w:p>
        </w:tc>
        <w:tc>
          <w:tcPr>
            <w:tcW w:w="851" w:type="dxa"/>
            <w:tcBorders>
              <w:top w:val="nil"/>
              <w:left w:val="nil"/>
              <w:bottom w:val="nil"/>
              <w:right w:val="nil"/>
            </w:tcBorders>
            <w:shd w:val="clear" w:color="000000" w:fill="FFFFFF"/>
            <w:noWrap/>
            <w:vAlign w:val="center"/>
            <w:hideMark/>
          </w:tcPr>
          <w:p w14:paraId="74037C79" w14:textId="77777777" w:rsidR="00751E59" w:rsidRPr="00DC5278" w:rsidRDefault="00751E59" w:rsidP="0085547B">
            <w:pPr>
              <w:suppressAutoHyphens/>
              <w:jc w:val="right"/>
              <w:rPr>
                <w:color w:val="000000"/>
              </w:rPr>
            </w:pPr>
            <w:r w:rsidRPr="00DC5278">
              <w:rPr>
                <w:color w:val="000000"/>
              </w:rPr>
              <w:t>2.7%</w:t>
            </w:r>
          </w:p>
        </w:tc>
        <w:tc>
          <w:tcPr>
            <w:tcW w:w="2016" w:type="dxa"/>
            <w:tcBorders>
              <w:top w:val="nil"/>
              <w:left w:val="nil"/>
              <w:bottom w:val="nil"/>
              <w:right w:val="nil"/>
            </w:tcBorders>
            <w:shd w:val="clear" w:color="000000" w:fill="FFFFFF"/>
            <w:noWrap/>
            <w:vAlign w:val="center"/>
            <w:hideMark/>
          </w:tcPr>
          <w:p w14:paraId="74037C7A"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84" w14:textId="77777777" w:rsidTr="00CD3ADA">
        <w:trPr>
          <w:trHeight w:val="255"/>
        </w:trPr>
        <w:tc>
          <w:tcPr>
            <w:tcW w:w="1935" w:type="dxa"/>
            <w:tcBorders>
              <w:top w:val="nil"/>
              <w:left w:val="nil"/>
              <w:bottom w:val="nil"/>
              <w:right w:val="nil"/>
            </w:tcBorders>
            <w:shd w:val="clear" w:color="000000" w:fill="FFFFFF"/>
            <w:noWrap/>
            <w:vAlign w:val="center"/>
            <w:hideMark/>
          </w:tcPr>
          <w:p w14:paraId="74037C7C" w14:textId="77777777" w:rsidR="00751E59" w:rsidRPr="00DC5278" w:rsidRDefault="00751E59" w:rsidP="0085547B">
            <w:pPr>
              <w:suppressAutoHyphens/>
              <w:rPr>
                <w:color w:val="000000"/>
              </w:rPr>
            </w:pPr>
            <w:r w:rsidRPr="00DC5278">
              <w:rPr>
                <w:color w:val="000000"/>
              </w:rPr>
              <w:t>D: 11+ year phasing</w:t>
            </w:r>
          </w:p>
        </w:tc>
        <w:tc>
          <w:tcPr>
            <w:tcW w:w="766" w:type="dxa"/>
            <w:tcBorders>
              <w:top w:val="nil"/>
              <w:left w:val="nil"/>
              <w:bottom w:val="nil"/>
              <w:right w:val="nil"/>
            </w:tcBorders>
            <w:shd w:val="clear" w:color="000000" w:fill="FFFFFF"/>
            <w:noWrap/>
            <w:vAlign w:val="center"/>
            <w:hideMark/>
          </w:tcPr>
          <w:p w14:paraId="74037C7D" w14:textId="77777777" w:rsidR="00751E59" w:rsidRPr="00DC5278" w:rsidRDefault="00751E59" w:rsidP="0085547B">
            <w:pPr>
              <w:suppressAutoHyphens/>
              <w:rPr>
                <w:color w:val="000000"/>
              </w:rPr>
            </w:pPr>
            <w:r w:rsidRPr="00DC5278">
              <w:rPr>
                <w:color w:val="000000"/>
              </w:rPr>
              <w:t> </w:t>
            </w:r>
          </w:p>
        </w:tc>
        <w:tc>
          <w:tcPr>
            <w:tcW w:w="858" w:type="dxa"/>
            <w:tcBorders>
              <w:top w:val="nil"/>
              <w:left w:val="nil"/>
              <w:bottom w:val="nil"/>
              <w:right w:val="nil"/>
            </w:tcBorders>
            <w:shd w:val="clear" w:color="000000" w:fill="FFFFFF"/>
            <w:noWrap/>
            <w:vAlign w:val="center"/>
            <w:hideMark/>
          </w:tcPr>
          <w:p w14:paraId="74037C7E" w14:textId="77777777" w:rsidR="00751E59" w:rsidRPr="00DC5278" w:rsidRDefault="00751E59" w:rsidP="0085547B">
            <w:pPr>
              <w:suppressAutoHyphens/>
              <w:rPr>
                <w:color w:val="000000"/>
              </w:rPr>
            </w:pPr>
            <w:r w:rsidRPr="00DC5278">
              <w:rPr>
                <w:color w:val="000000"/>
              </w:rPr>
              <w:t> </w:t>
            </w:r>
          </w:p>
        </w:tc>
        <w:tc>
          <w:tcPr>
            <w:tcW w:w="1400" w:type="dxa"/>
            <w:tcBorders>
              <w:top w:val="nil"/>
              <w:left w:val="nil"/>
              <w:bottom w:val="nil"/>
              <w:right w:val="nil"/>
            </w:tcBorders>
            <w:shd w:val="clear" w:color="000000" w:fill="FFFFFF"/>
            <w:noWrap/>
            <w:vAlign w:val="center"/>
            <w:hideMark/>
          </w:tcPr>
          <w:p w14:paraId="74037C7F" w14:textId="77777777" w:rsidR="00751E59" w:rsidRPr="00DC5278" w:rsidRDefault="00751E59" w:rsidP="0085547B">
            <w:pPr>
              <w:suppressAutoHyphens/>
              <w:jc w:val="right"/>
              <w:rPr>
                <w:color w:val="000000"/>
              </w:rPr>
            </w:pPr>
            <w:r w:rsidRPr="00DC5278">
              <w:rPr>
                <w:color w:val="000000"/>
              </w:rPr>
              <w:t>99.9%</w:t>
            </w:r>
          </w:p>
        </w:tc>
        <w:tc>
          <w:tcPr>
            <w:tcW w:w="236" w:type="dxa"/>
            <w:tcBorders>
              <w:top w:val="nil"/>
              <w:left w:val="nil"/>
              <w:bottom w:val="nil"/>
              <w:right w:val="nil"/>
            </w:tcBorders>
            <w:shd w:val="clear" w:color="000000" w:fill="FFFFFF"/>
            <w:noWrap/>
            <w:vAlign w:val="center"/>
            <w:hideMark/>
          </w:tcPr>
          <w:p w14:paraId="74037C80"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81" w14:textId="77777777" w:rsidR="00751E59" w:rsidRPr="00DC5278" w:rsidRDefault="00751E59" w:rsidP="0085547B">
            <w:pPr>
              <w:suppressAutoHyphens/>
              <w:rPr>
                <w:color w:val="000000"/>
              </w:rPr>
            </w:pPr>
          </w:p>
        </w:tc>
        <w:tc>
          <w:tcPr>
            <w:tcW w:w="851" w:type="dxa"/>
            <w:tcBorders>
              <w:top w:val="nil"/>
              <w:left w:val="nil"/>
              <w:bottom w:val="nil"/>
              <w:right w:val="nil"/>
            </w:tcBorders>
            <w:shd w:val="clear" w:color="000000" w:fill="FFFFFF"/>
            <w:noWrap/>
            <w:vAlign w:val="center"/>
            <w:hideMark/>
          </w:tcPr>
          <w:p w14:paraId="74037C82" w14:textId="77777777" w:rsidR="00751E59" w:rsidRPr="00DC5278" w:rsidRDefault="00751E59" w:rsidP="0085547B">
            <w:pPr>
              <w:suppressAutoHyphens/>
              <w:rPr>
                <w:color w:val="000000"/>
              </w:rPr>
            </w:pPr>
            <w:r w:rsidRPr="00DC5278">
              <w:rPr>
                <w:color w:val="000000"/>
              </w:rPr>
              <w:t> </w:t>
            </w:r>
          </w:p>
        </w:tc>
        <w:tc>
          <w:tcPr>
            <w:tcW w:w="2016" w:type="dxa"/>
            <w:tcBorders>
              <w:top w:val="nil"/>
              <w:left w:val="nil"/>
              <w:bottom w:val="nil"/>
              <w:right w:val="nil"/>
            </w:tcBorders>
            <w:shd w:val="clear" w:color="000000" w:fill="FFFFFF"/>
            <w:noWrap/>
            <w:vAlign w:val="center"/>
            <w:hideMark/>
          </w:tcPr>
          <w:p w14:paraId="74037C83"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8D" w14:textId="77777777" w:rsidTr="00CD3ADA">
        <w:trPr>
          <w:trHeight w:val="510"/>
        </w:trPr>
        <w:tc>
          <w:tcPr>
            <w:tcW w:w="1935" w:type="dxa"/>
            <w:tcBorders>
              <w:top w:val="nil"/>
              <w:left w:val="nil"/>
              <w:bottom w:val="nil"/>
              <w:right w:val="nil"/>
            </w:tcBorders>
            <w:shd w:val="clear" w:color="000000" w:fill="FFFFFF"/>
            <w:noWrap/>
            <w:vAlign w:val="center"/>
            <w:hideMark/>
          </w:tcPr>
          <w:p w14:paraId="74037C85" w14:textId="77777777" w:rsidR="00751E59" w:rsidRPr="00DC5278" w:rsidRDefault="00751E59" w:rsidP="0085547B">
            <w:pPr>
              <w:suppressAutoHyphens/>
              <w:rPr>
                <w:color w:val="000000"/>
              </w:rPr>
            </w:pPr>
            <w:r w:rsidRPr="00DC5278">
              <w:rPr>
                <w:color w:val="000000"/>
              </w:rPr>
              <w:t>Tariff reduction</w:t>
            </w:r>
          </w:p>
        </w:tc>
        <w:tc>
          <w:tcPr>
            <w:tcW w:w="766" w:type="dxa"/>
            <w:tcBorders>
              <w:top w:val="nil"/>
              <w:left w:val="nil"/>
              <w:bottom w:val="nil"/>
              <w:right w:val="nil"/>
            </w:tcBorders>
            <w:shd w:val="clear" w:color="000000" w:fill="FFFFFF"/>
            <w:noWrap/>
            <w:vAlign w:val="center"/>
            <w:hideMark/>
          </w:tcPr>
          <w:p w14:paraId="74037C86" w14:textId="77777777" w:rsidR="00751E59" w:rsidRPr="00DC5278" w:rsidRDefault="00751E59" w:rsidP="0085547B">
            <w:pPr>
              <w:suppressAutoHyphens/>
              <w:jc w:val="right"/>
              <w:rPr>
                <w:color w:val="000000"/>
              </w:rPr>
            </w:pPr>
            <w:r w:rsidRPr="00DC5278">
              <w:rPr>
                <w:color w:val="000000"/>
              </w:rPr>
              <w:t>8</w:t>
            </w:r>
          </w:p>
        </w:tc>
        <w:tc>
          <w:tcPr>
            <w:tcW w:w="858" w:type="dxa"/>
            <w:tcBorders>
              <w:top w:val="nil"/>
              <w:left w:val="nil"/>
              <w:bottom w:val="nil"/>
              <w:right w:val="nil"/>
            </w:tcBorders>
            <w:shd w:val="clear" w:color="000000" w:fill="FFFFFF"/>
            <w:noWrap/>
            <w:vAlign w:val="center"/>
            <w:hideMark/>
          </w:tcPr>
          <w:p w14:paraId="74037C87" w14:textId="77777777" w:rsidR="00751E59" w:rsidRPr="00DC5278" w:rsidRDefault="00751E59" w:rsidP="0085547B">
            <w:pPr>
              <w:suppressAutoHyphens/>
              <w:jc w:val="right"/>
              <w:rPr>
                <w:color w:val="000000"/>
              </w:rPr>
            </w:pPr>
            <w:r w:rsidRPr="00DC5278">
              <w:rPr>
                <w:color w:val="000000"/>
              </w:rPr>
              <w:t xml:space="preserve">0.0 </w:t>
            </w:r>
          </w:p>
        </w:tc>
        <w:tc>
          <w:tcPr>
            <w:tcW w:w="1400" w:type="dxa"/>
            <w:tcBorders>
              <w:top w:val="nil"/>
              <w:left w:val="nil"/>
              <w:bottom w:val="nil"/>
              <w:right w:val="nil"/>
            </w:tcBorders>
            <w:shd w:val="clear" w:color="000000" w:fill="FFFFFF"/>
            <w:noWrap/>
            <w:vAlign w:val="center"/>
            <w:hideMark/>
          </w:tcPr>
          <w:p w14:paraId="74037C88" w14:textId="77777777" w:rsidR="00751E59" w:rsidRPr="00DC5278" w:rsidRDefault="00751E59" w:rsidP="0085547B">
            <w:pPr>
              <w:suppressAutoHyphens/>
              <w:jc w:val="right"/>
              <w:rPr>
                <w:color w:val="000000"/>
              </w:rPr>
            </w:pPr>
            <w:r w:rsidRPr="00DC5278">
              <w:rPr>
                <w:color w:val="000000"/>
              </w:rPr>
              <w:t>100.0%</w:t>
            </w:r>
          </w:p>
        </w:tc>
        <w:tc>
          <w:tcPr>
            <w:tcW w:w="236" w:type="dxa"/>
            <w:tcBorders>
              <w:top w:val="nil"/>
              <w:left w:val="nil"/>
              <w:bottom w:val="nil"/>
              <w:right w:val="nil"/>
            </w:tcBorders>
            <w:shd w:val="clear" w:color="000000" w:fill="FFFFFF"/>
            <w:noWrap/>
            <w:vAlign w:val="center"/>
            <w:hideMark/>
          </w:tcPr>
          <w:p w14:paraId="74037C89"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8A" w14:textId="77777777" w:rsidR="00751E59" w:rsidRPr="00DC5278" w:rsidRDefault="00751E59" w:rsidP="0085547B">
            <w:pPr>
              <w:suppressAutoHyphens/>
              <w:jc w:val="right"/>
              <w:rPr>
                <w:color w:val="000000"/>
              </w:rPr>
            </w:pPr>
            <w:r w:rsidRPr="00DC5278">
              <w:rPr>
                <w:color w:val="000000"/>
              </w:rPr>
              <w:t>0.0</w:t>
            </w:r>
          </w:p>
        </w:tc>
        <w:tc>
          <w:tcPr>
            <w:tcW w:w="851" w:type="dxa"/>
            <w:tcBorders>
              <w:top w:val="nil"/>
              <w:left w:val="nil"/>
              <w:bottom w:val="nil"/>
              <w:right w:val="nil"/>
            </w:tcBorders>
            <w:shd w:val="clear" w:color="000000" w:fill="FFFFFF"/>
            <w:noWrap/>
            <w:vAlign w:val="center"/>
            <w:hideMark/>
          </w:tcPr>
          <w:p w14:paraId="74037C8B" w14:textId="6E4D34A4" w:rsidR="00751E59" w:rsidRPr="00DC5278" w:rsidRDefault="00751E59" w:rsidP="0085547B">
            <w:pPr>
              <w:suppressAutoHyphens/>
              <w:jc w:val="right"/>
              <w:rPr>
                <w:color w:val="000000"/>
              </w:rPr>
            </w:pPr>
            <w:r w:rsidRPr="00DC5278">
              <w:rPr>
                <w:color w:val="000000"/>
              </w:rPr>
              <w:t xml:space="preserve">0.0 </w:t>
            </w:r>
          </w:p>
        </w:tc>
        <w:tc>
          <w:tcPr>
            <w:tcW w:w="2016" w:type="dxa"/>
            <w:tcBorders>
              <w:top w:val="nil"/>
              <w:left w:val="nil"/>
              <w:bottom w:val="nil"/>
              <w:right w:val="nil"/>
            </w:tcBorders>
            <w:shd w:val="clear" w:color="000000" w:fill="FFFFFF"/>
            <w:noWrap/>
            <w:vAlign w:val="center"/>
            <w:hideMark/>
          </w:tcPr>
          <w:p w14:paraId="74037C8C"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96" w14:textId="77777777" w:rsidTr="00CD3ADA">
        <w:trPr>
          <w:trHeight w:val="255"/>
        </w:trPr>
        <w:tc>
          <w:tcPr>
            <w:tcW w:w="1935" w:type="dxa"/>
            <w:tcBorders>
              <w:top w:val="nil"/>
              <w:left w:val="nil"/>
              <w:bottom w:val="nil"/>
              <w:right w:val="nil"/>
            </w:tcBorders>
            <w:shd w:val="clear" w:color="000000" w:fill="FFFFFF"/>
            <w:noWrap/>
            <w:vAlign w:val="center"/>
            <w:hideMark/>
          </w:tcPr>
          <w:p w14:paraId="74037C8E" w14:textId="77777777" w:rsidR="00751E59" w:rsidRPr="00DC5278" w:rsidRDefault="00751E59" w:rsidP="0085547B">
            <w:pPr>
              <w:suppressAutoHyphens/>
              <w:rPr>
                <w:color w:val="000000"/>
              </w:rPr>
            </w:pPr>
            <w:r w:rsidRPr="00DC5278">
              <w:rPr>
                <w:color w:val="000000"/>
              </w:rPr>
              <w:t>Quota</w:t>
            </w:r>
          </w:p>
        </w:tc>
        <w:tc>
          <w:tcPr>
            <w:tcW w:w="766" w:type="dxa"/>
            <w:tcBorders>
              <w:top w:val="nil"/>
              <w:left w:val="nil"/>
              <w:bottom w:val="nil"/>
              <w:right w:val="nil"/>
            </w:tcBorders>
            <w:shd w:val="clear" w:color="000000" w:fill="FFFFFF"/>
            <w:noWrap/>
            <w:vAlign w:val="center"/>
            <w:hideMark/>
          </w:tcPr>
          <w:p w14:paraId="74037C8F" w14:textId="77777777" w:rsidR="00751E59" w:rsidRPr="00DC5278" w:rsidRDefault="00751E59" w:rsidP="0085547B">
            <w:pPr>
              <w:suppressAutoHyphens/>
              <w:rPr>
                <w:color w:val="000000"/>
              </w:rPr>
            </w:pPr>
            <w:r w:rsidRPr="00DC5278">
              <w:rPr>
                <w:color w:val="000000"/>
              </w:rPr>
              <w:t> </w:t>
            </w:r>
          </w:p>
        </w:tc>
        <w:tc>
          <w:tcPr>
            <w:tcW w:w="858" w:type="dxa"/>
            <w:tcBorders>
              <w:top w:val="nil"/>
              <w:left w:val="nil"/>
              <w:bottom w:val="nil"/>
              <w:right w:val="nil"/>
            </w:tcBorders>
            <w:shd w:val="clear" w:color="000000" w:fill="FFFFFF"/>
            <w:noWrap/>
            <w:vAlign w:val="center"/>
            <w:hideMark/>
          </w:tcPr>
          <w:p w14:paraId="74037C90" w14:textId="77777777" w:rsidR="00751E59" w:rsidRPr="00DC5278" w:rsidRDefault="00751E59" w:rsidP="0085547B">
            <w:pPr>
              <w:suppressAutoHyphens/>
              <w:rPr>
                <w:color w:val="000000"/>
              </w:rPr>
            </w:pPr>
            <w:r w:rsidRPr="00DC5278">
              <w:rPr>
                <w:color w:val="000000"/>
              </w:rPr>
              <w:t> </w:t>
            </w:r>
          </w:p>
        </w:tc>
        <w:tc>
          <w:tcPr>
            <w:tcW w:w="1400" w:type="dxa"/>
            <w:tcBorders>
              <w:top w:val="nil"/>
              <w:left w:val="nil"/>
              <w:bottom w:val="nil"/>
              <w:right w:val="nil"/>
            </w:tcBorders>
            <w:shd w:val="clear" w:color="000000" w:fill="FFFFFF"/>
            <w:noWrap/>
            <w:vAlign w:val="center"/>
            <w:hideMark/>
          </w:tcPr>
          <w:p w14:paraId="74037C91" w14:textId="77777777" w:rsidR="00751E59" w:rsidRPr="00DC5278" w:rsidRDefault="00751E59" w:rsidP="0085547B">
            <w:pPr>
              <w:suppressAutoHyphens/>
              <w:jc w:val="right"/>
              <w:rPr>
                <w:color w:val="000000"/>
              </w:rPr>
            </w:pPr>
            <w:r w:rsidRPr="00DC5278">
              <w:rPr>
                <w:color w:val="000000"/>
              </w:rPr>
              <w:t>100.0%</w:t>
            </w:r>
          </w:p>
        </w:tc>
        <w:tc>
          <w:tcPr>
            <w:tcW w:w="236" w:type="dxa"/>
            <w:tcBorders>
              <w:top w:val="nil"/>
              <w:left w:val="nil"/>
              <w:bottom w:val="nil"/>
              <w:right w:val="nil"/>
            </w:tcBorders>
            <w:shd w:val="clear" w:color="000000" w:fill="FFFFFF"/>
            <w:noWrap/>
            <w:vAlign w:val="center"/>
            <w:hideMark/>
          </w:tcPr>
          <w:p w14:paraId="74037C92"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nil"/>
              <w:right w:val="nil"/>
            </w:tcBorders>
            <w:shd w:val="clear" w:color="000000" w:fill="FFFFFF"/>
            <w:noWrap/>
            <w:vAlign w:val="center"/>
            <w:hideMark/>
          </w:tcPr>
          <w:p w14:paraId="74037C93" w14:textId="77777777" w:rsidR="00751E59" w:rsidRPr="00DC5278" w:rsidRDefault="00751E59" w:rsidP="0085547B">
            <w:pPr>
              <w:suppressAutoHyphens/>
              <w:rPr>
                <w:color w:val="000000"/>
              </w:rPr>
            </w:pPr>
          </w:p>
        </w:tc>
        <w:tc>
          <w:tcPr>
            <w:tcW w:w="851" w:type="dxa"/>
            <w:tcBorders>
              <w:top w:val="nil"/>
              <w:left w:val="nil"/>
              <w:bottom w:val="nil"/>
              <w:right w:val="nil"/>
            </w:tcBorders>
            <w:shd w:val="clear" w:color="000000" w:fill="FFFFFF"/>
            <w:noWrap/>
            <w:vAlign w:val="center"/>
            <w:hideMark/>
          </w:tcPr>
          <w:p w14:paraId="74037C94" w14:textId="77777777" w:rsidR="00751E59" w:rsidRPr="00DC5278" w:rsidRDefault="00751E59" w:rsidP="0085547B">
            <w:pPr>
              <w:suppressAutoHyphens/>
              <w:rPr>
                <w:color w:val="000000"/>
              </w:rPr>
            </w:pPr>
            <w:r w:rsidRPr="00DC5278">
              <w:rPr>
                <w:color w:val="000000"/>
              </w:rPr>
              <w:t> </w:t>
            </w:r>
          </w:p>
        </w:tc>
        <w:tc>
          <w:tcPr>
            <w:tcW w:w="2016" w:type="dxa"/>
            <w:tcBorders>
              <w:top w:val="nil"/>
              <w:left w:val="nil"/>
              <w:bottom w:val="nil"/>
              <w:right w:val="nil"/>
            </w:tcBorders>
            <w:shd w:val="clear" w:color="000000" w:fill="FFFFFF"/>
            <w:noWrap/>
            <w:vAlign w:val="center"/>
            <w:hideMark/>
          </w:tcPr>
          <w:p w14:paraId="74037C95"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9F" w14:textId="77777777" w:rsidTr="00CD3ADA">
        <w:trPr>
          <w:trHeight w:val="270"/>
        </w:trPr>
        <w:tc>
          <w:tcPr>
            <w:tcW w:w="1935" w:type="dxa"/>
            <w:tcBorders>
              <w:top w:val="nil"/>
              <w:left w:val="nil"/>
              <w:bottom w:val="single" w:sz="8" w:space="0" w:color="auto"/>
              <w:right w:val="nil"/>
            </w:tcBorders>
            <w:noWrap/>
            <w:vAlign w:val="bottom"/>
            <w:hideMark/>
          </w:tcPr>
          <w:p w14:paraId="74037C97" w14:textId="77777777" w:rsidR="00751E59" w:rsidRPr="00DC5278" w:rsidRDefault="00751E59" w:rsidP="0085547B">
            <w:pPr>
              <w:suppressAutoHyphens/>
              <w:rPr>
                <w:color w:val="000000"/>
              </w:rPr>
            </w:pPr>
            <w:r w:rsidRPr="00DC5278">
              <w:rPr>
                <w:color w:val="000000"/>
              </w:rPr>
              <w:t>Total</w:t>
            </w:r>
          </w:p>
        </w:tc>
        <w:tc>
          <w:tcPr>
            <w:tcW w:w="766" w:type="dxa"/>
            <w:tcBorders>
              <w:top w:val="nil"/>
              <w:left w:val="nil"/>
              <w:bottom w:val="single" w:sz="8" w:space="0" w:color="auto"/>
              <w:right w:val="nil"/>
            </w:tcBorders>
            <w:shd w:val="clear" w:color="000000" w:fill="FFFFFF"/>
            <w:noWrap/>
            <w:vAlign w:val="center"/>
            <w:hideMark/>
          </w:tcPr>
          <w:p w14:paraId="74037C98" w14:textId="77777777" w:rsidR="00751E59" w:rsidRPr="00DC5278" w:rsidRDefault="00751E59" w:rsidP="0085547B">
            <w:pPr>
              <w:suppressAutoHyphens/>
              <w:jc w:val="right"/>
              <w:rPr>
                <w:color w:val="000000"/>
              </w:rPr>
            </w:pPr>
            <w:r w:rsidRPr="00DC5278">
              <w:rPr>
                <w:color w:val="000000"/>
              </w:rPr>
              <w:t>7,715</w:t>
            </w:r>
          </w:p>
        </w:tc>
        <w:tc>
          <w:tcPr>
            <w:tcW w:w="858" w:type="dxa"/>
            <w:tcBorders>
              <w:top w:val="nil"/>
              <w:left w:val="nil"/>
              <w:bottom w:val="single" w:sz="8" w:space="0" w:color="auto"/>
              <w:right w:val="nil"/>
            </w:tcBorders>
            <w:shd w:val="clear" w:color="000000" w:fill="FFFFFF"/>
            <w:noWrap/>
            <w:vAlign w:val="center"/>
            <w:hideMark/>
          </w:tcPr>
          <w:p w14:paraId="74037C99" w14:textId="77777777" w:rsidR="00751E59" w:rsidRPr="00DC5278" w:rsidRDefault="00751E59" w:rsidP="0085547B">
            <w:pPr>
              <w:suppressAutoHyphens/>
              <w:jc w:val="right"/>
              <w:rPr>
                <w:color w:val="000000"/>
              </w:rPr>
            </w:pPr>
            <w:r w:rsidRPr="00DC5278">
              <w:rPr>
                <w:color w:val="000000"/>
              </w:rPr>
              <w:t>100.0%</w:t>
            </w:r>
          </w:p>
        </w:tc>
        <w:tc>
          <w:tcPr>
            <w:tcW w:w="1400" w:type="dxa"/>
            <w:tcBorders>
              <w:top w:val="nil"/>
              <w:left w:val="nil"/>
              <w:bottom w:val="single" w:sz="8" w:space="0" w:color="auto"/>
              <w:right w:val="nil"/>
            </w:tcBorders>
            <w:shd w:val="clear" w:color="000000" w:fill="FFFFFF"/>
            <w:noWrap/>
            <w:vAlign w:val="center"/>
            <w:hideMark/>
          </w:tcPr>
          <w:p w14:paraId="74037C9A" w14:textId="77777777" w:rsidR="00751E59" w:rsidRPr="00DC5278" w:rsidRDefault="00751E59" w:rsidP="0085547B">
            <w:pPr>
              <w:suppressAutoHyphens/>
              <w:jc w:val="right"/>
              <w:rPr>
                <w:color w:val="000000"/>
              </w:rPr>
            </w:pPr>
            <w:r w:rsidRPr="00DC5278">
              <w:rPr>
                <w:color w:val="000000"/>
              </w:rPr>
              <w:t>100.0%</w:t>
            </w:r>
          </w:p>
        </w:tc>
        <w:tc>
          <w:tcPr>
            <w:tcW w:w="236" w:type="dxa"/>
            <w:tcBorders>
              <w:top w:val="nil"/>
              <w:left w:val="nil"/>
              <w:bottom w:val="single" w:sz="8" w:space="0" w:color="auto"/>
              <w:right w:val="nil"/>
            </w:tcBorders>
            <w:shd w:val="clear" w:color="000000" w:fill="FFFFFF"/>
            <w:noWrap/>
            <w:vAlign w:val="center"/>
            <w:hideMark/>
          </w:tcPr>
          <w:p w14:paraId="74037C9B" w14:textId="77777777" w:rsidR="00751E59" w:rsidRPr="00DC5278" w:rsidRDefault="00751E59" w:rsidP="0085547B">
            <w:pPr>
              <w:suppressAutoHyphens/>
              <w:rPr>
                <w:color w:val="000000"/>
              </w:rPr>
            </w:pPr>
            <w:r w:rsidRPr="00DC5278">
              <w:rPr>
                <w:color w:val="000000"/>
              </w:rPr>
              <w:t> </w:t>
            </w:r>
          </w:p>
        </w:tc>
        <w:tc>
          <w:tcPr>
            <w:tcW w:w="1059" w:type="dxa"/>
            <w:tcBorders>
              <w:top w:val="nil"/>
              <w:left w:val="nil"/>
              <w:bottom w:val="single" w:sz="8" w:space="0" w:color="auto"/>
              <w:right w:val="nil"/>
            </w:tcBorders>
            <w:shd w:val="clear" w:color="000000" w:fill="FFFFFF"/>
            <w:noWrap/>
            <w:vAlign w:val="center"/>
            <w:hideMark/>
          </w:tcPr>
          <w:p w14:paraId="74037C9C" w14:textId="77777777" w:rsidR="00751E59" w:rsidRPr="00DC5278" w:rsidRDefault="00751E59" w:rsidP="0085547B">
            <w:pPr>
              <w:suppressAutoHyphens/>
              <w:jc w:val="right"/>
              <w:rPr>
                <w:color w:val="000000"/>
              </w:rPr>
            </w:pPr>
            <w:r w:rsidRPr="00DC5278">
              <w:rPr>
                <w:color w:val="000000"/>
              </w:rPr>
              <w:t>1,538.4</w:t>
            </w:r>
          </w:p>
        </w:tc>
        <w:tc>
          <w:tcPr>
            <w:tcW w:w="851" w:type="dxa"/>
            <w:tcBorders>
              <w:top w:val="nil"/>
              <w:left w:val="nil"/>
              <w:bottom w:val="single" w:sz="8" w:space="0" w:color="auto"/>
              <w:right w:val="nil"/>
            </w:tcBorders>
            <w:shd w:val="clear" w:color="000000" w:fill="FFFFFF"/>
            <w:noWrap/>
            <w:vAlign w:val="center"/>
            <w:hideMark/>
          </w:tcPr>
          <w:p w14:paraId="74037C9D" w14:textId="77777777" w:rsidR="00751E59" w:rsidRPr="00DC5278" w:rsidRDefault="00751E59" w:rsidP="0085547B">
            <w:pPr>
              <w:suppressAutoHyphens/>
              <w:jc w:val="right"/>
              <w:rPr>
                <w:color w:val="000000"/>
              </w:rPr>
            </w:pPr>
            <w:r w:rsidRPr="00DC5278">
              <w:rPr>
                <w:color w:val="000000"/>
              </w:rPr>
              <w:t>100.0%</w:t>
            </w:r>
          </w:p>
        </w:tc>
        <w:tc>
          <w:tcPr>
            <w:tcW w:w="2016" w:type="dxa"/>
            <w:tcBorders>
              <w:top w:val="nil"/>
              <w:left w:val="nil"/>
              <w:bottom w:val="single" w:sz="8" w:space="0" w:color="auto"/>
              <w:right w:val="nil"/>
            </w:tcBorders>
            <w:shd w:val="clear" w:color="000000" w:fill="FFFFFF"/>
            <w:noWrap/>
            <w:vAlign w:val="center"/>
            <w:hideMark/>
          </w:tcPr>
          <w:p w14:paraId="74037C9E" w14:textId="77777777" w:rsidR="00751E59" w:rsidRPr="00DC5278" w:rsidRDefault="00751E59" w:rsidP="0085547B">
            <w:pPr>
              <w:suppressAutoHyphens/>
              <w:jc w:val="right"/>
              <w:rPr>
                <w:color w:val="000000"/>
              </w:rPr>
            </w:pPr>
            <w:r w:rsidRPr="00DC5278">
              <w:rPr>
                <w:color w:val="000000"/>
              </w:rPr>
              <w:t>100.0%</w:t>
            </w:r>
          </w:p>
        </w:tc>
      </w:tr>
    </w:tbl>
    <w:p w14:paraId="74037CA0" w14:textId="77777777" w:rsidR="00751E59" w:rsidRPr="00DC5278" w:rsidRDefault="00751E59" w:rsidP="0085547B">
      <w:pPr>
        <w:suppressAutoHyphens/>
      </w:pPr>
    </w:p>
    <w:p w14:paraId="74037CA1" w14:textId="77777777" w:rsidR="00751E59" w:rsidRPr="00DC5278" w:rsidRDefault="00751E59" w:rsidP="0085547B">
      <w:pPr>
        <w:suppressAutoHyphens/>
        <w:rPr>
          <w:b/>
          <w:u w:val="single"/>
        </w:rPr>
      </w:pPr>
      <w:r w:rsidRPr="00DC5278">
        <w:rPr>
          <w:b/>
          <w:u w:val="single"/>
        </w:rPr>
        <w:t>Elimination schedule for Japa</w:t>
      </w:r>
      <w:r w:rsidR="0085547B" w:rsidRPr="00DC5278">
        <w:rPr>
          <w:b/>
          <w:u w:val="single"/>
        </w:rPr>
        <w:t>n’s</w:t>
      </w:r>
      <w:r w:rsidRPr="00DC5278">
        <w:rPr>
          <w:b/>
          <w:u w:val="single"/>
        </w:rPr>
        <w:t xml:space="preserve"> tariffs on imports of Australian goods </w:t>
      </w:r>
    </w:p>
    <w:p w14:paraId="74037CA2" w14:textId="77777777" w:rsidR="00751E59" w:rsidRPr="00DC5278" w:rsidRDefault="00751E59" w:rsidP="0085547B">
      <w:pPr>
        <w:suppressAutoHyphens/>
      </w:pPr>
    </w:p>
    <w:tbl>
      <w:tblPr>
        <w:tblW w:w="8838" w:type="dxa"/>
        <w:tblInd w:w="93" w:type="dxa"/>
        <w:tblLook w:val="04A0" w:firstRow="1" w:lastRow="0" w:firstColumn="1" w:lastColumn="0" w:noHBand="0" w:noVBand="1"/>
      </w:tblPr>
      <w:tblGrid>
        <w:gridCol w:w="1768"/>
        <w:gridCol w:w="756"/>
        <w:gridCol w:w="956"/>
        <w:gridCol w:w="1336"/>
        <w:gridCol w:w="276"/>
        <w:gridCol w:w="1305"/>
        <w:gridCol w:w="956"/>
        <w:gridCol w:w="1838"/>
      </w:tblGrid>
      <w:tr w:rsidR="00751E59" w:rsidRPr="00DC5278" w14:paraId="74037CA7" w14:textId="77777777" w:rsidTr="00CD3ADA">
        <w:trPr>
          <w:trHeight w:val="270"/>
        </w:trPr>
        <w:tc>
          <w:tcPr>
            <w:tcW w:w="1768" w:type="dxa"/>
            <w:vMerge w:val="restart"/>
            <w:tcBorders>
              <w:top w:val="nil"/>
              <w:left w:val="nil"/>
              <w:bottom w:val="single" w:sz="8" w:space="0" w:color="000000"/>
              <w:right w:val="nil"/>
            </w:tcBorders>
            <w:shd w:val="clear" w:color="000000" w:fill="D8D8D8"/>
            <w:vAlign w:val="center"/>
            <w:hideMark/>
          </w:tcPr>
          <w:p w14:paraId="74037CA3" w14:textId="77777777" w:rsidR="00751E59" w:rsidRPr="00DC5278" w:rsidRDefault="00751E59" w:rsidP="0085547B">
            <w:pPr>
              <w:suppressAutoHyphens/>
              <w:jc w:val="center"/>
              <w:rPr>
                <w:b/>
                <w:bCs/>
                <w:color w:val="000000"/>
              </w:rPr>
            </w:pPr>
            <w:r w:rsidRPr="00DC5278">
              <w:rPr>
                <w:b/>
                <w:bCs/>
                <w:color w:val="000000"/>
              </w:rPr>
              <w:t>Staging category</w:t>
            </w:r>
          </w:p>
        </w:tc>
        <w:tc>
          <w:tcPr>
            <w:tcW w:w="2784" w:type="dxa"/>
            <w:gridSpan w:val="3"/>
            <w:tcBorders>
              <w:top w:val="nil"/>
              <w:left w:val="nil"/>
              <w:bottom w:val="single" w:sz="8" w:space="0" w:color="auto"/>
              <w:right w:val="nil"/>
            </w:tcBorders>
            <w:shd w:val="clear" w:color="000000" w:fill="D8D8D8"/>
            <w:vAlign w:val="center"/>
            <w:hideMark/>
          </w:tcPr>
          <w:p w14:paraId="74037CA4" w14:textId="77777777" w:rsidR="00751E59" w:rsidRPr="00DC5278" w:rsidRDefault="00751E59" w:rsidP="0085547B">
            <w:pPr>
              <w:suppressAutoHyphens/>
              <w:jc w:val="center"/>
              <w:rPr>
                <w:b/>
                <w:bCs/>
                <w:color w:val="000000"/>
              </w:rPr>
            </w:pPr>
            <w:r w:rsidRPr="00DC5278">
              <w:rPr>
                <w:b/>
                <w:bCs/>
                <w:color w:val="000000"/>
              </w:rPr>
              <w:t xml:space="preserve"> Tariff lines </w:t>
            </w:r>
          </w:p>
        </w:tc>
        <w:tc>
          <w:tcPr>
            <w:tcW w:w="269" w:type="dxa"/>
            <w:tcBorders>
              <w:top w:val="nil"/>
              <w:left w:val="nil"/>
              <w:bottom w:val="nil"/>
              <w:right w:val="nil"/>
            </w:tcBorders>
            <w:shd w:val="clear" w:color="000000" w:fill="D8D8D8"/>
            <w:vAlign w:val="center"/>
            <w:hideMark/>
          </w:tcPr>
          <w:p w14:paraId="74037CA5" w14:textId="77777777" w:rsidR="00751E59" w:rsidRPr="00DC5278" w:rsidRDefault="00751E59" w:rsidP="0085547B">
            <w:pPr>
              <w:suppressAutoHyphens/>
              <w:jc w:val="center"/>
              <w:rPr>
                <w:b/>
                <w:bCs/>
                <w:color w:val="000000"/>
              </w:rPr>
            </w:pPr>
            <w:r w:rsidRPr="00DC5278">
              <w:rPr>
                <w:b/>
                <w:bCs/>
                <w:color w:val="000000"/>
              </w:rPr>
              <w:t> </w:t>
            </w:r>
          </w:p>
        </w:tc>
        <w:tc>
          <w:tcPr>
            <w:tcW w:w="4017" w:type="dxa"/>
            <w:gridSpan w:val="3"/>
            <w:tcBorders>
              <w:top w:val="nil"/>
              <w:left w:val="nil"/>
              <w:bottom w:val="single" w:sz="8" w:space="0" w:color="auto"/>
              <w:right w:val="nil"/>
            </w:tcBorders>
            <w:shd w:val="clear" w:color="000000" w:fill="D8D8D8"/>
            <w:noWrap/>
            <w:vAlign w:val="center"/>
            <w:hideMark/>
          </w:tcPr>
          <w:p w14:paraId="74037CA6" w14:textId="77777777" w:rsidR="00751E59" w:rsidRPr="00DC5278" w:rsidRDefault="00751E59" w:rsidP="0085547B">
            <w:pPr>
              <w:suppressAutoHyphens/>
              <w:jc w:val="center"/>
              <w:rPr>
                <w:b/>
                <w:bCs/>
                <w:color w:val="000000"/>
              </w:rPr>
            </w:pPr>
            <w:r w:rsidRPr="00DC5278">
              <w:rPr>
                <w:b/>
                <w:bCs/>
                <w:color w:val="000000"/>
              </w:rPr>
              <w:t xml:space="preserve">Japan's imports from Australia </w:t>
            </w:r>
          </w:p>
        </w:tc>
      </w:tr>
      <w:tr w:rsidR="00751E59" w:rsidRPr="00DC5278" w14:paraId="74037CB0" w14:textId="77777777" w:rsidTr="00CD3ADA">
        <w:trPr>
          <w:trHeight w:val="525"/>
        </w:trPr>
        <w:tc>
          <w:tcPr>
            <w:tcW w:w="1768" w:type="dxa"/>
            <w:vMerge/>
            <w:tcBorders>
              <w:top w:val="nil"/>
              <w:left w:val="nil"/>
              <w:bottom w:val="single" w:sz="8" w:space="0" w:color="000000"/>
              <w:right w:val="nil"/>
            </w:tcBorders>
            <w:vAlign w:val="center"/>
            <w:hideMark/>
          </w:tcPr>
          <w:p w14:paraId="74037CA8" w14:textId="77777777" w:rsidR="00751E59" w:rsidRPr="00DC5278" w:rsidRDefault="00751E59" w:rsidP="0085547B">
            <w:pPr>
              <w:suppressAutoHyphens/>
              <w:rPr>
                <w:b/>
                <w:bCs/>
                <w:color w:val="000000"/>
              </w:rPr>
            </w:pPr>
          </w:p>
        </w:tc>
        <w:tc>
          <w:tcPr>
            <w:tcW w:w="697" w:type="dxa"/>
            <w:tcBorders>
              <w:top w:val="nil"/>
              <w:left w:val="nil"/>
              <w:bottom w:val="single" w:sz="8" w:space="0" w:color="auto"/>
              <w:right w:val="nil"/>
            </w:tcBorders>
            <w:shd w:val="clear" w:color="000000" w:fill="D8D8D8"/>
            <w:noWrap/>
            <w:vAlign w:val="center"/>
            <w:hideMark/>
          </w:tcPr>
          <w:p w14:paraId="74037CA9" w14:textId="77777777" w:rsidR="00751E59" w:rsidRPr="00DC5278" w:rsidRDefault="00751E59" w:rsidP="0085547B">
            <w:pPr>
              <w:suppressAutoHyphens/>
              <w:jc w:val="center"/>
              <w:rPr>
                <w:color w:val="000000"/>
              </w:rPr>
            </w:pPr>
            <w:r w:rsidRPr="00DC5278">
              <w:rPr>
                <w:color w:val="000000"/>
              </w:rPr>
              <w:t xml:space="preserve"> No. </w:t>
            </w:r>
          </w:p>
        </w:tc>
        <w:tc>
          <w:tcPr>
            <w:tcW w:w="874" w:type="dxa"/>
            <w:tcBorders>
              <w:top w:val="nil"/>
              <w:left w:val="nil"/>
              <w:bottom w:val="single" w:sz="8" w:space="0" w:color="auto"/>
              <w:right w:val="nil"/>
            </w:tcBorders>
            <w:shd w:val="clear" w:color="000000" w:fill="D8D8D8"/>
            <w:vAlign w:val="center"/>
            <w:hideMark/>
          </w:tcPr>
          <w:p w14:paraId="74037CAA" w14:textId="77777777" w:rsidR="00751E59" w:rsidRPr="00DC5278" w:rsidRDefault="00751E59" w:rsidP="0085547B">
            <w:pPr>
              <w:suppressAutoHyphens/>
              <w:jc w:val="center"/>
              <w:rPr>
                <w:color w:val="000000"/>
              </w:rPr>
            </w:pPr>
            <w:r w:rsidRPr="00DC5278">
              <w:rPr>
                <w:color w:val="000000"/>
              </w:rPr>
              <w:t xml:space="preserve">  % of total </w:t>
            </w:r>
          </w:p>
        </w:tc>
        <w:tc>
          <w:tcPr>
            <w:tcW w:w="1213" w:type="dxa"/>
            <w:tcBorders>
              <w:top w:val="nil"/>
              <w:left w:val="nil"/>
              <w:bottom w:val="single" w:sz="8" w:space="0" w:color="auto"/>
              <w:right w:val="nil"/>
            </w:tcBorders>
            <w:shd w:val="clear" w:color="000000" w:fill="D8D8D8"/>
            <w:vAlign w:val="center"/>
            <w:hideMark/>
          </w:tcPr>
          <w:p w14:paraId="74037CAB" w14:textId="77777777" w:rsidR="00751E59" w:rsidRPr="00DC5278" w:rsidRDefault="00751E59" w:rsidP="0085547B">
            <w:pPr>
              <w:suppressAutoHyphens/>
              <w:jc w:val="center"/>
              <w:rPr>
                <w:color w:val="000000"/>
              </w:rPr>
            </w:pPr>
            <w:r w:rsidRPr="00DC5278">
              <w:rPr>
                <w:color w:val="000000"/>
              </w:rPr>
              <w:t xml:space="preserve"> Cumulative (%) </w:t>
            </w:r>
          </w:p>
        </w:tc>
        <w:tc>
          <w:tcPr>
            <w:tcW w:w="269" w:type="dxa"/>
            <w:tcBorders>
              <w:top w:val="nil"/>
              <w:left w:val="nil"/>
              <w:bottom w:val="single" w:sz="8" w:space="0" w:color="auto"/>
              <w:right w:val="nil"/>
            </w:tcBorders>
            <w:shd w:val="clear" w:color="000000" w:fill="D8D8D8"/>
            <w:vAlign w:val="center"/>
            <w:hideMark/>
          </w:tcPr>
          <w:p w14:paraId="74037CAC" w14:textId="77777777" w:rsidR="00751E59" w:rsidRPr="00DC5278" w:rsidRDefault="00751E59" w:rsidP="0085547B">
            <w:pPr>
              <w:suppressAutoHyphens/>
              <w:jc w:val="center"/>
              <w:rPr>
                <w:color w:val="000000"/>
              </w:rPr>
            </w:pPr>
            <w:r w:rsidRPr="00DC5278">
              <w:rPr>
                <w:color w:val="000000"/>
              </w:rPr>
              <w:t> </w:t>
            </w:r>
          </w:p>
        </w:tc>
        <w:tc>
          <w:tcPr>
            <w:tcW w:w="1305" w:type="dxa"/>
            <w:tcBorders>
              <w:top w:val="nil"/>
              <w:left w:val="nil"/>
              <w:bottom w:val="single" w:sz="8" w:space="0" w:color="auto"/>
              <w:right w:val="nil"/>
            </w:tcBorders>
            <w:shd w:val="clear" w:color="000000" w:fill="D8D8D8"/>
            <w:vAlign w:val="center"/>
            <w:hideMark/>
          </w:tcPr>
          <w:p w14:paraId="74037CAD"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874" w:type="dxa"/>
            <w:tcBorders>
              <w:top w:val="nil"/>
              <w:left w:val="nil"/>
              <w:bottom w:val="single" w:sz="8" w:space="0" w:color="auto"/>
              <w:right w:val="nil"/>
            </w:tcBorders>
            <w:shd w:val="clear" w:color="000000" w:fill="D8D8D8"/>
            <w:vAlign w:val="center"/>
            <w:hideMark/>
          </w:tcPr>
          <w:p w14:paraId="74037CAE" w14:textId="77777777" w:rsidR="00751E59" w:rsidRPr="00DC5278" w:rsidRDefault="00751E59" w:rsidP="0085547B">
            <w:pPr>
              <w:suppressAutoHyphens/>
              <w:jc w:val="center"/>
              <w:rPr>
                <w:color w:val="000000"/>
              </w:rPr>
            </w:pPr>
            <w:r w:rsidRPr="00DC5278">
              <w:rPr>
                <w:color w:val="000000"/>
              </w:rPr>
              <w:t xml:space="preserve">  % of total </w:t>
            </w:r>
          </w:p>
        </w:tc>
        <w:tc>
          <w:tcPr>
            <w:tcW w:w="1838" w:type="dxa"/>
            <w:tcBorders>
              <w:top w:val="nil"/>
              <w:left w:val="nil"/>
              <w:bottom w:val="single" w:sz="8" w:space="0" w:color="auto"/>
              <w:right w:val="nil"/>
            </w:tcBorders>
            <w:shd w:val="clear" w:color="000000" w:fill="D8D8D8"/>
            <w:vAlign w:val="center"/>
            <w:hideMark/>
          </w:tcPr>
          <w:p w14:paraId="74037CAF"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CB9" w14:textId="77777777" w:rsidTr="00CD3ADA">
        <w:trPr>
          <w:trHeight w:val="255"/>
        </w:trPr>
        <w:tc>
          <w:tcPr>
            <w:tcW w:w="1768" w:type="dxa"/>
            <w:tcBorders>
              <w:top w:val="nil"/>
              <w:left w:val="nil"/>
              <w:bottom w:val="nil"/>
              <w:right w:val="nil"/>
            </w:tcBorders>
            <w:shd w:val="clear" w:color="000000" w:fill="FFFFFF"/>
            <w:noWrap/>
            <w:vAlign w:val="center"/>
            <w:hideMark/>
          </w:tcPr>
          <w:p w14:paraId="74037CB1" w14:textId="77777777" w:rsidR="00751E59" w:rsidRPr="00DC5278" w:rsidRDefault="00751E59" w:rsidP="0085547B">
            <w:pPr>
              <w:suppressAutoHyphens/>
              <w:rPr>
                <w:color w:val="000000"/>
              </w:rPr>
            </w:pPr>
            <w:r w:rsidRPr="00DC5278">
              <w:rPr>
                <w:color w:val="000000"/>
              </w:rPr>
              <w:t>MFN 0%</w:t>
            </w:r>
          </w:p>
        </w:tc>
        <w:tc>
          <w:tcPr>
            <w:tcW w:w="697" w:type="dxa"/>
            <w:tcBorders>
              <w:top w:val="nil"/>
              <w:left w:val="nil"/>
              <w:bottom w:val="nil"/>
              <w:right w:val="nil"/>
            </w:tcBorders>
            <w:shd w:val="clear" w:color="000000" w:fill="FFFFFF"/>
            <w:noWrap/>
            <w:vAlign w:val="center"/>
            <w:hideMark/>
          </w:tcPr>
          <w:p w14:paraId="74037CB2" w14:textId="77777777" w:rsidR="00751E59" w:rsidRPr="00DC5278" w:rsidRDefault="00751E59" w:rsidP="0085547B">
            <w:pPr>
              <w:suppressAutoHyphens/>
              <w:jc w:val="right"/>
              <w:rPr>
                <w:color w:val="000000"/>
              </w:rPr>
            </w:pPr>
            <w:r w:rsidRPr="00DC5278">
              <w:rPr>
                <w:color w:val="000000"/>
              </w:rPr>
              <w:t>3,685</w:t>
            </w:r>
          </w:p>
        </w:tc>
        <w:tc>
          <w:tcPr>
            <w:tcW w:w="874" w:type="dxa"/>
            <w:tcBorders>
              <w:top w:val="nil"/>
              <w:left w:val="nil"/>
              <w:bottom w:val="nil"/>
              <w:right w:val="nil"/>
            </w:tcBorders>
            <w:shd w:val="clear" w:color="000000" w:fill="FFFFFF"/>
            <w:noWrap/>
            <w:vAlign w:val="center"/>
            <w:hideMark/>
          </w:tcPr>
          <w:p w14:paraId="74037CB3" w14:textId="77777777" w:rsidR="00751E59" w:rsidRPr="00DC5278" w:rsidRDefault="00751E59" w:rsidP="0085547B">
            <w:pPr>
              <w:suppressAutoHyphens/>
              <w:jc w:val="right"/>
              <w:rPr>
                <w:color w:val="000000"/>
              </w:rPr>
            </w:pPr>
            <w:r w:rsidRPr="00DC5278">
              <w:rPr>
                <w:color w:val="000000"/>
              </w:rPr>
              <w:t>40.8%</w:t>
            </w:r>
          </w:p>
        </w:tc>
        <w:tc>
          <w:tcPr>
            <w:tcW w:w="1213" w:type="dxa"/>
            <w:tcBorders>
              <w:top w:val="nil"/>
              <w:left w:val="nil"/>
              <w:bottom w:val="nil"/>
              <w:right w:val="nil"/>
            </w:tcBorders>
            <w:shd w:val="clear" w:color="000000" w:fill="FFFFFF"/>
            <w:noWrap/>
            <w:vAlign w:val="center"/>
            <w:hideMark/>
          </w:tcPr>
          <w:p w14:paraId="74037CB4" w14:textId="77777777" w:rsidR="00751E59" w:rsidRPr="00DC5278" w:rsidRDefault="00751E59" w:rsidP="0085547B">
            <w:pPr>
              <w:suppressAutoHyphens/>
              <w:jc w:val="right"/>
              <w:rPr>
                <w:color w:val="000000"/>
              </w:rPr>
            </w:pPr>
            <w:r w:rsidRPr="00DC5278">
              <w:rPr>
                <w:color w:val="000000"/>
              </w:rPr>
              <w:t>40.8%</w:t>
            </w:r>
          </w:p>
        </w:tc>
        <w:tc>
          <w:tcPr>
            <w:tcW w:w="269" w:type="dxa"/>
            <w:tcBorders>
              <w:top w:val="nil"/>
              <w:left w:val="nil"/>
              <w:bottom w:val="nil"/>
              <w:right w:val="nil"/>
            </w:tcBorders>
            <w:shd w:val="clear" w:color="000000" w:fill="FFFFFF"/>
            <w:noWrap/>
            <w:vAlign w:val="center"/>
            <w:hideMark/>
          </w:tcPr>
          <w:p w14:paraId="74037CB5"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CB6" w14:textId="77777777" w:rsidR="00751E59" w:rsidRPr="00DC5278" w:rsidRDefault="00751E59" w:rsidP="0085547B">
            <w:pPr>
              <w:suppressAutoHyphens/>
              <w:jc w:val="right"/>
              <w:rPr>
                <w:color w:val="000000"/>
              </w:rPr>
            </w:pPr>
            <w:r w:rsidRPr="00DC5278">
              <w:rPr>
                <w:color w:val="000000"/>
              </w:rPr>
              <w:t>41,814.9</w:t>
            </w:r>
          </w:p>
        </w:tc>
        <w:tc>
          <w:tcPr>
            <w:tcW w:w="874" w:type="dxa"/>
            <w:tcBorders>
              <w:top w:val="nil"/>
              <w:left w:val="nil"/>
              <w:bottom w:val="nil"/>
              <w:right w:val="nil"/>
            </w:tcBorders>
            <w:shd w:val="clear" w:color="000000" w:fill="FFFFFF"/>
            <w:noWrap/>
            <w:vAlign w:val="center"/>
            <w:hideMark/>
          </w:tcPr>
          <w:p w14:paraId="74037CB7" w14:textId="77777777" w:rsidR="00751E59" w:rsidRPr="00DC5278" w:rsidRDefault="00751E59" w:rsidP="0085547B">
            <w:pPr>
              <w:suppressAutoHyphens/>
              <w:jc w:val="right"/>
              <w:rPr>
                <w:color w:val="000000"/>
              </w:rPr>
            </w:pPr>
            <w:r w:rsidRPr="00DC5278">
              <w:rPr>
                <w:color w:val="000000"/>
              </w:rPr>
              <w:t>92.3%</w:t>
            </w:r>
          </w:p>
        </w:tc>
        <w:tc>
          <w:tcPr>
            <w:tcW w:w="1838" w:type="dxa"/>
            <w:tcBorders>
              <w:top w:val="nil"/>
              <w:left w:val="nil"/>
              <w:bottom w:val="nil"/>
              <w:right w:val="nil"/>
            </w:tcBorders>
            <w:shd w:val="clear" w:color="000000" w:fill="FFFFFF"/>
            <w:noWrap/>
            <w:vAlign w:val="center"/>
            <w:hideMark/>
          </w:tcPr>
          <w:p w14:paraId="74037CB8" w14:textId="77777777" w:rsidR="00751E59" w:rsidRPr="00DC5278" w:rsidRDefault="00751E59" w:rsidP="0085547B">
            <w:pPr>
              <w:suppressAutoHyphens/>
              <w:jc w:val="right"/>
              <w:rPr>
                <w:color w:val="000000"/>
              </w:rPr>
            </w:pPr>
            <w:r w:rsidRPr="00DC5278">
              <w:rPr>
                <w:color w:val="000000"/>
              </w:rPr>
              <w:t>92.3%</w:t>
            </w:r>
          </w:p>
        </w:tc>
      </w:tr>
      <w:tr w:rsidR="00751E59" w:rsidRPr="00DC5278" w14:paraId="74037CC2" w14:textId="77777777" w:rsidTr="00CD3ADA">
        <w:trPr>
          <w:trHeight w:val="255"/>
        </w:trPr>
        <w:tc>
          <w:tcPr>
            <w:tcW w:w="1768" w:type="dxa"/>
            <w:tcBorders>
              <w:top w:val="nil"/>
              <w:left w:val="nil"/>
              <w:bottom w:val="nil"/>
              <w:right w:val="nil"/>
            </w:tcBorders>
            <w:shd w:val="clear" w:color="000000" w:fill="FFFFFF"/>
            <w:noWrap/>
            <w:vAlign w:val="center"/>
            <w:hideMark/>
          </w:tcPr>
          <w:p w14:paraId="74037CBA" w14:textId="77777777" w:rsidR="00751E59" w:rsidRPr="00DC5278" w:rsidRDefault="00751E59" w:rsidP="0085547B">
            <w:pPr>
              <w:suppressAutoHyphens/>
              <w:rPr>
                <w:color w:val="000000"/>
              </w:rPr>
            </w:pPr>
            <w:r w:rsidRPr="00DC5278">
              <w:rPr>
                <w:color w:val="000000"/>
              </w:rPr>
              <w:t>A: 0% tariff on EIF</w:t>
            </w:r>
          </w:p>
        </w:tc>
        <w:tc>
          <w:tcPr>
            <w:tcW w:w="697" w:type="dxa"/>
            <w:tcBorders>
              <w:top w:val="nil"/>
              <w:left w:val="nil"/>
              <w:bottom w:val="nil"/>
              <w:right w:val="nil"/>
            </w:tcBorders>
            <w:shd w:val="clear" w:color="000000" w:fill="FFFFFF"/>
            <w:noWrap/>
            <w:vAlign w:val="center"/>
            <w:hideMark/>
          </w:tcPr>
          <w:p w14:paraId="74037CBB" w14:textId="77777777" w:rsidR="00751E59" w:rsidRPr="00DC5278" w:rsidRDefault="00751E59" w:rsidP="0085547B">
            <w:pPr>
              <w:suppressAutoHyphens/>
              <w:jc w:val="right"/>
              <w:rPr>
                <w:color w:val="000000"/>
              </w:rPr>
            </w:pPr>
            <w:r w:rsidRPr="00DC5278">
              <w:rPr>
                <w:color w:val="000000"/>
              </w:rPr>
              <w:t>3,914</w:t>
            </w:r>
          </w:p>
        </w:tc>
        <w:tc>
          <w:tcPr>
            <w:tcW w:w="874" w:type="dxa"/>
            <w:tcBorders>
              <w:top w:val="nil"/>
              <w:left w:val="nil"/>
              <w:bottom w:val="nil"/>
              <w:right w:val="nil"/>
            </w:tcBorders>
            <w:shd w:val="clear" w:color="000000" w:fill="FFFFFF"/>
            <w:noWrap/>
            <w:vAlign w:val="center"/>
            <w:hideMark/>
          </w:tcPr>
          <w:p w14:paraId="74037CBC" w14:textId="77777777" w:rsidR="00751E59" w:rsidRPr="00DC5278" w:rsidRDefault="00751E59" w:rsidP="0085547B">
            <w:pPr>
              <w:suppressAutoHyphens/>
              <w:jc w:val="right"/>
              <w:rPr>
                <w:color w:val="000000"/>
              </w:rPr>
            </w:pPr>
            <w:r w:rsidRPr="00DC5278">
              <w:rPr>
                <w:color w:val="000000"/>
              </w:rPr>
              <w:t>43.4%</w:t>
            </w:r>
          </w:p>
        </w:tc>
        <w:tc>
          <w:tcPr>
            <w:tcW w:w="1213" w:type="dxa"/>
            <w:tcBorders>
              <w:top w:val="nil"/>
              <w:left w:val="nil"/>
              <w:bottom w:val="nil"/>
              <w:right w:val="nil"/>
            </w:tcBorders>
            <w:shd w:val="clear" w:color="000000" w:fill="FFFFFF"/>
            <w:noWrap/>
            <w:vAlign w:val="center"/>
            <w:hideMark/>
          </w:tcPr>
          <w:p w14:paraId="74037CBD" w14:textId="77777777" w:rsidR="00751E59" w:rsidRPr="00DC5278" w:rsidRDefault="00751E59" w:rsidP="0085547B">
            <w:pPr>
              <w:suppressAutoHyphens/>
              <w:jc w:val="right"/>
              <w:rPr>
                <w:color w:val="000000"/>
              </w:rPr>
            </w:pPr>
            <w:r w:rsidRPr="00DC5278">
              <w:rPr>
                <w:color w:val="000000"/>
              </w:rPr>
              <w:t>84.2%</w:t>
            </w:r>
          </w:p>
        </w:tc>
        <w:tc>
          <w:tcPr>
            <w:tcW w:w="269" w:type="dxa"/>
            <w:tcBorders>
              <w:top w:val="nil"/>
              <w:left w:val="nil"/>
              <w:bottom w:val="nil"/>
              <w:right w:val="nil"/>
            </w:tcBorders>
            <w:shd w:val="clear" w:color="000000" w:fill="FFFFFF"/>
            <w:noWrap/>
            <w:vAlign w:val="center"/>
            <w:hideMark/>
          </w:tcPr>
          <w:p w14:paraId="74037CBE"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CBF" w14:textId="77777777" w:rsidR="00751E59" w:rsidRPr="00DC5278" w:rsidRDefault="00751E59" w:rsidP="0085547B">
            <w:pPr>
              <w:suppressAutoHyphens/>
              <w:jc w:val="right"/>
              <w:rPr>
                <w:color w:val="000000"/>
              </w:rPr>
            </w:pPr>
            <w:r w:rsidRPr="00DC5278">
              <w:rPr>
                <w:color w:val="000000"/>
              </w:rPr>
              <w:t>520.6</w:t>
            </w:r>
          </w:p>
        </w:tc>
        <w:tc>
          <w:tcPr>
            <w:tcW w:w="874" w:type="dxa"/>
            <w:tcBorders>
              <w:top w:val="nil"/>
              <w:left w:val="nil"/>
              <w:bottom w:val="nil"/>
              <w:right w:val="nil"/>
            </w:tcBorders>
            <w:shd w:val="clear" w:color="000000" w:fill="FFFFFF"/>
            <w:noWrap/>
            <w:vAlign w:val="center"/>
            <w:hideMark/>
          </w:tcPr>
          <w:p w14:paraId="74037CC0" w14:textId="77777777" w:rsidR="00751E59" w:rsidRPr="00DC5278" w:rsidRDefault="00751E59" w:rsidP="0085547B">
            <w:pPr>
              <w:suppressAutoHyphens/>
              <w:jc w:val="right"/>
              <w:rPr>
                <w:color w:val="000000"/>
              </w:rPr>
            </w:pPr>
            <w:r w:rsidRPr="00DC5278">
              <w:rPr>
                <w:color w:val="000000"/>
              </w:rPr>
              <w:t>1.1%</w:t>
            </w:r>
          </w:p>
        </w:tc>
        <w:tc>
          <w:tcPr>
            <w:tcW w:w="1838" w:type="dxa"/>
            <w:tcBorders>
              <w:top w:val="nil"/>
              <w:left w:val="nil"/>
              <w:bottom w:val="nil"/>
              <w:right w:val="nil"/>
            </w:tcBorders>
            <w:shd w:val="clear" w:color="000000" w:fill="FFFFFF"/>
            <w:noWrap/>
            <w:vAlign w:val="center"/>
            <w:hideMark/>
          </w:tcPr>
          <w:p w14:paraId="74037CC1" w14:textId="77777777" w:rsidR="00751E59" w:rsidRPr="00DC5278" w:rsidRDefault="00751E59" w:rsidP="0085547B">
            <w:pPr>
              <w:suppressAutoHyphens/>
              <w:jc w:val="right"/>
              <w:rPr>
                <w:color w:val="000000"/>
              </w:rPr>
            </w:pPr>
            <w:r w:rsidRPr="00DC5278">
              <w:rPr>
                <w:color w:val="000000"/>
              </w:rPr>
              <w:t>93.5%</w:t>
            </w:r>
          </w:p>
        </w:tc>
      </w:tr>
      <w:tr w:rsidR="00751E59" w:rsidRPr="00DC5278" w14:paraId="74037CCB" w14:textId="77777777" w:rsidTr="00CD3ADA">
        <w:trPr>
          <w:trHeight w:val="255"/>
        </w:trPr>
        <w:tc>
          <w:tcPr>
            <w:tcW w:w="1768" w:type="dxa"/>
            <w:tcBorders>
              <w:top w:val="nil"/>
              <w:left w:val="nil"/>
              <w:bottom w:val="nil"/>
              <w:right w:val="nil"/>
            </w:tcBorders>
            <w:shd w:val="clear" w:color="000000" w:fill="FFFFFF"/>
            <w:noWrap/>
            <w:vAlign w:val="center"/>
            <w:hideMark/>
          </w:tcPr>
          <w:p w14:paraId="74037CC3"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697" w:type="dxa"/>
            <w:tcBorders>
              <w:top w:val="nil"/>
              <w:left w:val="nil"/>
              <w:bottom w:val="nil"/>
              <w:right w:val="nil"/>
            </w:tcBorders>
            <w:shd w:val="clear" w:color="000000" w:fill="FFFFFF"/>
            <w:noWrap/>
            <w:vAlign w:val="center"/>
            <w:hideMark/>
          </w:tcPr>
          <w:p w14:paraId="74037CC4" w14:textId="77777777" w:rsidR="00751E59" w:rsidRPr="00DC5278" w:rsidRDefault="00751E59" w:rsidP="0085547B">
            <w:pPr>
              <w:suppressAutoHyphens/>
              <w:jc w:val="right"/>
              <w:rPr>
                <w:color w:val="000000"/>
              </w:rPr>
            </w:pPr>
            <w:r w:rsidRPr="00DC5278">
              <w:rPr>
                <w:color w:val="000000"/>
              </w:rPr>
              <w:t>9</w:t>
            </w:r>
          </w:p>
        </w:tc>
        <w:tc>
          <w:tcPr>
            <w:tcW w:w="874" w:type="dxa"/>
            <w:tcBorders>
              <w:top w:val="nil"/>
              <w:left w:val="nil"/>
              <w:bottom w:val="nil"/>
              <w:right w:val="nil"/>
            </w:tcBorders>
            <w:shd w:val="clear" w:color="000000" w:fill="FFFFFF"/>
            <w:noWrap/>
            <w:vAlign w:val="center"/>
            <w:hideMark/>
          </w:tcPr>
          <w:p w14:paraId="74037CC5" w14:textId="77777777" w:rsidR="00751E59" w:rsidRPr="00DC5278" w:rsidRDefault="00751E59" w:rsidP="0085547B">
            <w:pPr>
              <w:suppressAutoHyphens/>
              <w:jc w:val="right"/>
              <w:rPr>
                <w:color w:val="000000"/>
              </w:rPr>
            </w:pPr>
            <w:r w:rsidRPr="00DC5278">
              <w:rPr>
                <w:color w:val="000000"/>
              </w:rPr>
              <w:t>0.1%</w:t>
            </w:r>
          </w:p>
        </w:tc>
        <w:tc>
          <w:tcPr>
            <w:tcW w:w="1213" w:type="dxa"/>
            <w:tcBorders>
              <w:top w:val="nil"/>
              <w:left w:val="nil"/>
              <w:bottom w:val="nil"/>
              <w:right w:val="nil"/>
            </w:tcBorders>
            <w:shd w:val="clear" w:color="000000" w:fill="FFFFFF"/>
            <w:noWrap/>
            <w:vAlign w:val="center"/>
            <w:hideMark/>
          </w:tcPr>
          <w:p w14:paraId="74037CC6" w14:textId="77777777" w:rsidR="00751E59" w:rsidRPr="00DC5278" w:rsidRDefault="00751E59" w:rsidP="0085547B">
            <w:pPr>
              <w:suppressAutoHyphens/>
              <w:jc w:val="right"/>
              <w:rPr>
                <w:color w:val="000000"/>
              </w:rPr>
            </w:pPr>
            <w:r w:rsidRPr="00DC5278">
              <w:rPr>
                <w:color w:val="000000"/>
              </w:rPr>
              <w:t>84.3%</w:t>
            </w:r>
          </w:p>
        </w:tc>
        <w:tc>
          <w:tcPr>
            <w:tcW w:w="269" w:type="dxa"/>
            <w:tcBorders>
              <w:top w:val="nil"/>
              <w:left w:val="nil"/>
              <w:bottom w:val="nil"/>
              <w:right w:val="nil"/>
            </w:tcBorders>
            <w:shd w:val="clear" w:color="000000" w:fill="FFFFFF"/>
            <w:noWrap/>
            <w:vAlign w:val="center"/>
            <w:hideMark/>
          </w:tcPr>
          <w:p w14:paraId="74037CC7"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CC8" w14:textId="77777777" w:rsidR="00751E59" w:rsidRPr="00DC5278" w:rsidRDefault="00751E59" w:rsidP="0085547B">
            <w:pPr>
              <w:suppressAutoHyphens/>
              <w:jc w:val="right"/>
              <w:rPr>
                <w:color w:val="000000"/>
              </w:rPr>
            </w:pPr>
            <w:r w:rsidRPr="00DC5278">
              <w:rPr>
                <w:color w:val="000000"/>
              </w:rPr>
              <w:t>0.6</w:t>
            </w:r>
          </w:p>
        </w:tc>
        <w:tc>
          <w:tcPr>
            <w:tcW w:w="874" w:type="dxa"/>
            <w:tcBorders>
              <w:top w:val="nil"/>
              <w:left w:val="nil"/>
              <w:bottom w:val="nil"/>
              <w:right w:val="nil"/>
            </w:tcBorders>
            <w:shd w:val="clear" w:color="000000" w:fill="FFFFFF"/>
            <w:noWrap/>
            <w:vAlign w:val="center"/>
            <w:hideMark/>
          </w:tcPr>
          <w:p w14:paraId="74037CC9" w14:textId="77777777" w:rsidR="00751E59" w:rsidRPr="00DC5278" w:rsidRDefault="00751E59" w:rsidP="0085547B">
            <w:pPr>
              <w:suppressAutoHyphens/>
              <w:jc w:val="right"/>
              <w:rPr>
                <w:color w:val="000000"/>
              </w:rPr>
            </w:pPr>
            <w:r w:rsidRPr="00DC5278">
              <w:rPr>
                <w:color w:val="000000"/>
              </w:rPr>
              <w:t>0.0%</w:t>
            </w:r>
          </w:p>
        </w:tc>
        <w:tc>
          <w:tcPr>
            <w:tcW w:w="1838" w:type="dxa"/>
            <w:tcBorders>
              <w:top w:val="nil"/>
              <w:left w:val="nil"/>
              <w:bottom w:val="nil"/>
              <w:right w:val="nil"/>
            </w:tcBorders>
            <w:shd w:val="clear" w:color="000000" w:fill="FFFFFF"/>
            <w:noWrap/>
            <w:vAlign w:val="center"/>
            <w:hideMark/>
          </w:tcPr>
          <w:p w14:paraId="74037CCA" w14:textId="77777777" w:rsidR="00751E59" w:rsidRPr="00DC5278" w:rsidRDefault="00751E59" w:rsidP="0085547B">
            <w:pPr>
              <w:suppressAutoHyphens/>
              <w:jc w:val="right"/>
              <w:rPr>
                <w:color w:val="000000"/>
              </w:rPr>
            </w:pPr>
            <w:r w:rsidRPr="00DC5278">
              <w:rPr>
                <w:color w:val="000000"/>
              </w:rPr>
              <w:t>93.5%</w:t>
            </w:r>
          </w:p>
        </w:tc>
      </w:tr>
      <w:tr w:rsidR="00751E59" w:rsidRPr="00DC5278" w14:paraId="74037CD4" w14:textId="77777777" w:rsidTr="00CD3ADA">
        <w:trPr>
          <w:trHeight w:val="255"/>
        </w:trPr>
        <w:tc>
          <w:tcPr>
            <w:tcW w:w="1768" w:type="dxa"/>
            <w:tcBorders>
              <w:top w:val="nil"/>
              <w:left w:val="nil"/>
              <w:bottom w:val="nil"/>
              <w:right w:val="nil"/>
            </w:tcBorders>
            <w:shd w:val="clear" w:color="000000" w:fill="FFFFFF"/>
            <w:noWrap/>
            <w:vAlign w:val="center"/>
            <w:hideMark/>
          </w:tcPr>
          <w:p w14:paraId="74037CCC"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697" w:type="dxa"/>
            <w:tcBorders>
              <w:top w:val="nil"/>
              <w:left w:val="nil"/>
              <w:bottom w:val="nil"/>
              <w:right w:val="nil"/>
            </w:tcBorders>
            <w:shd w:val="clear" w:color="000000" w:fill="FFFFFF"/>
            <w:noWrap/>
            <w:vAlign w:val="center"/>
            <w:hideMark/>
          </w:tcPr>
          <w:p w14:paraId="74037CCD" w14:textId="77777777" w:rsidR="00751E59" w:rsidRPr="00DC5278" w:rsidRDefault="00751E59" w:rsidP="0085547B">
            <w:pPr>
              <w:suppressAutoHyphens/>
              <w:jc w:val="right"/>
              <w:rPr>
                <w:color w:val="000000"/>
              </w:rPr>
            </w:pPr>
            <w:r w:rsidRPr="00DC5278">
              <w:rPr>
                <w:color w:val="000000"/>
              </w:rPr>
              <w:t>321</w:t>
            </w:r>
          </w:p>
        </w:tc>
        <w:tc>
          <w:tcPr>
            <w:tcW w:w="874" w:type="dxa"/>
            <w:tcBorders>
              <w:top w:val="nil"/>
              <w:left w:val="nil"/>
              <w:bottom w:val="nil"/>
              <w:right w:val="nil"/>
            </w:tcBorders>
            <w:shd w:val="clear" w:color="000000" w:fill="FFFFFF"/>
            <w:noWrap/>
            <w:vAlign w:val="center"/>
            <w:hideMark/>
          </w:tcPr>
          <w:p w14:paraId="74037CCE" w14:textId="77777777" w:rsidR="00751E59" w:rsidRPr="00DC5278" w:rsidRDefault="00751E59" w:rsidP="0085547B">
            <w:pPr>
              <w:suppressAutoHyphens/>
              <w:jc w:val="right"/>
              <w:rPr>
                <w:color w:val="000000"/>
              </w:rPr>
            </w:pPr>
            <w:r w:rsidRPr="00DC5278">
              <w:rPr>
                <w:color w:val="000000"/>
              </w:rPr>
              <w:t>3.6%</w:t>
            </w:r>
          </w:p>
        </w:tc>
        <w:tc>
          <w:tcPr>
            <w:tcW w:w="1213" w:type="dxa"/>
            <w:tcBorders>
              <w:top w:val="nil"/>
              <w:left w:val="nil"/>
              <w:bottom w:val="nil"/>
              <w:right w:val="nil"/>
            </w:tcBorders>
            <w:shd w:val="clear" w:color="000000" w:fill="FFFFFF"/>
            <w:noWrap/>
            <w:vAlign w:val="center"/>
            <w:hideMark/>
          </w:tcPr>
          <w:p w14:paraId="74037CCF" w14:textId="77777777" w:rsidR="00751E59" w:rsidRPr="00DC5278" w:rsidRDefault="00751E59" w:rsidP="0085547B">
            <w:pPr>
              <w:suppressAutoHyphens/>
              <w:jc w:val="right"/>
              <w:rPr>
                <w:color w:val="000000"/>
              </w:rPr>
            </w:pPr>
            <w:r w:rsidRPr="00DC5278">
              <w:rPr>
                <w:color w:val="000000"/>
              </w:rPr>
              <w:t>87.9%</w:t>
            </w:r>
          </w:p>
        </w:tc>
        <w:tc>
          <w:tcPr>
            <w:tcW w:w="269" w:type="dxa"/>
            <w:tcBorders>
              <w:top w:val="nil"/>
              <w:left w:val="nil"/>
              <w:bottom w:val="nil"/>
              <w:right w:val="nil"/>
            </w:tcBorders>
            <w:shd w:val="clear" w:color="000000" w:fill="FFFFFF"/>
            <w:noWrap/>
            <w:vAlign w:val="center"/>
            <w:hideMark/>
          </w:tcPr>
          <w:p w14:paraId="74037CD0"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CD1" w14:textId="77777777" w:rsidR="00751E59" w:rsidRPr="00DC5278" w:rsidRDefault="00751E59" w:rsidP="0085547B">
            <w:pPr>
              <w:suppressAutoHyphens/>
              <w:jc w:val="right"/>
              <w:rPr>
                <w:color w:val="000000"/>
              </w:rPr>
            </w:pPr>
            <w:r w:rsidRPr="00DC5278">
              <w:rPr>
                <w:color w:val="000000"/>
              </w:rPr>
              <w:t>194.3</w:t>
            </w:r>
          </w:p>
        </w:tc>
        <w:tc>
          <w:tcPr>
            <w:tcW w:w="874" w:type="dxa"/>
            <w:tcBorders>
              <w:top w:val="nil"/>
              <w:left w:val="nil"/>
              <w:bottom w:val="nil"/>
              <w:right w:val="nil"/>
            </w:tcBorders>
            <w:shd w:val="clear" w:color="000000" w:fill="FFFFFF"/>
            <w:noWrap/>
            <w:vAlign w:val="center"/>
            <w:hideMark/>
          </w:tcPr>
          <w:p w14:paraId="74037CD2" w14:textId="77777777" w:rsidR="00751E59" w:rsidRPr="00DC5278" w:rsidRDefault="00751E59" w:rsidP="0085547B">
            <w:pPr>
              <w:suppressAutoHyphens/>
              <w:jc w:val="right"/>
              <w:rPr>
                <w:color w:val="000000"/>
              </w:rPr>
            </w:pPr>
            <w:r w:rsidRPr="00DC5278">
              <w:rPr>
                <w:color w:val="000000"/>
              </w:rPr>
              <w:t>0.4%</w:t>
            </w:r>
          </w:p>
        </w:tc>
        <w:tc>
          <w:tcPr>
            <w:tcW w:w="1838" w:type="dxa"/>
            <w:tcBorders>
              <w:top w:val="nil"/>
              <w:left w:val="nil"/>
              <w:bottom w:val="nil"/>
              <w:right w:val="nil"/>
            </w:tcBorders>
            <w:shd w:val="clear" w:color="000000" w:fill="FFFFFF"/>
            <w:noWrap/>
            <w:vAlign w:val="center"/>
            <w:hideMark/>
          </w:tcPr>
          <w:p w14:paraId="74037CD3" w14:textId="77777777" w:rsidR="00751E59" w:rsidRPr="00DC5278" w:rsidRDefault="00751E59" w:rsidP="0085547B">
            <w:pPr>
              <w:suppressAutoHyphens/>
              <w:jc w:val="right"/>
              <w:rPr>
                <w:color w:val="000000"/>
              </w:rPr>
            </w:pPr>
            <w:r w:rsidRPr="00DC5278">
              <w:rPr>
                <w:color w:val="000000"/>
              </w:rPr>
              <w:t>93.9%</w:t>
            </w:r>
          </w:p>
        </w:tc>
      </w:tr>
      <w:tr w:rsidR="00751E59" w:rsidRPr="00DC5278" w14:paraId="74037CDD" w14:textId="77777777" w:rsidTr="00CD3ADA">
        <w:trPr>
          <w:trHeight w:val="255"/>
        </w:trPr>
        <w:tc>
          <w:tcPr>
            <w:tcW w:w="1768" w:type="dxa"/>
            <w:tcBorders>
              <w:top w:val="nil"/>
              <w:left w:val="nil"/>
              <w:bottom w:val="nil"/>
              <w:right w:val="nil"/>
            </w:tcBorders>
            <w:shd w:val="clear" w:color="000000" w:fill="FFFFFF"/>
            <w:noWrap/>
            <w:vAlign w:val="center"/>
            <w:hideMark/>
          </w:tcPr>
          <w:p w14:paraId="74037CD5" w14:textId="77777777" w:rsidR="00751E59" w:rsidRPr="00DC5278" w:rsidRDefault="00751E59" w:rsidP="0085547B">
            <w:pPr>
              <w:suppressAutoHyphens/>
              <w:rPr>
                <w:color w:val="000000"/>
              </w:rPr>
            </w:pPr>
            <w:r w:rsidRPr="00DC5278">
              <w:rPr>
                <w:color w:val="000000"/>
              </w:rPr>
              <w:t>D: 11+ year phasing</w:t>
            </w:r>
          </w:p>
        </w:tc>
        <w:tc>
          <w:tcPr>
            <w:tcW w:w="697" w:type="dxa"/>
            <w:tcBorders>
              <w:top w:val="nil"/>
              <w:left w:val="nil"/>
              <w:bottom w:val="nil"/>
              <w:right w:val="nil"/>
            </w:tcBorders>
            <w:shd w:val="clear" w:color="000000" w:fill="FFFFFF"/>
            <w:noWrap/>
            <w:vAlign w:val="center"/>
            <w:hideMark/>
          </w:tcPr>
          <w:p w14:paraId="74037CD6" w14:textId="77777777" w:rsidR="00751E59" w:rsidRPr="00DC5278" w:rsidRDefault="00751E59" w:rsidP="0085547B">
            <w:pPr>
              <w:suppressAutoHyphens/>
              <w:jc w:val="right"/>
              <w:rPr>
                <w:color w:val="000000"/>
              </w:rPr>
            </w:pPr>
            <w:r w:rsidRPr="00DC5278">
              <w:rPr>
                <w:color w:val="000000"/>
              </w:rPr>
              <w:t>687</w:t>
            </w:r>
          </w:p>
        </w:tc>
        <w:tc>
          <w:tcPr>
            <w:tcW w:w="874" w:type="dxa"/>
            <w:tcBorders>
              <w:top w:val="nil"/>
              <w:left w:val="nil"/>
              <w:bottom w:val="nil"/>
              <w:right w:val="nil"/>
            </w:tcBorders>
            <w:shd w:val="clear" w:color="000000" w:fill="FFFFFF"/>
            <w:noWrap/>
            <w:vAlign w:val="center"/>
            <w:hideMark/>
          </w:tcPr>
          <w:p w14:paraId="74037CD7" w14:textId="77777777" w:rsidR="00751E59" w:rsidRPr="00DC5278" w:rsidRDefault="00751E59" w:rsidP="0085547B">
            <w:pPr>
              <w:suppressAutoHyphens/>
              <w:jc w:val="right"/>
              <w:rPr>
                <w:color w:val="000000"/>
              </w:rPr>
            </w:pPr>
            <w:r w:rsidRPr="00DC5278">
              <w:rPr>
                <w:color w:val="000000"/>
              </w:rPr>
              <w:t>7.6%</w:t>
            </w:r>
          </w:p>
        </w:tc>
        <w:tc>
          <w:tcPr>
            <w:tcW w:w="1213" w:type="dxa"/>
            <w:tcBorders>
              <w:top w:val="nil"/>
              <w:left w:val="nil"/>
              <w:bottom w:val="nil"/>
              <w:right w:val="nil"/>
            </w:tcBorders>
            <w:shd w:val="clear" w:color="000000" w:fill="FFFFFF"/>
            <w:noWrap/>
            <w:vAlign w:val="center"/>
            <w:hideMark/>
          </w:tcPr>
          <w:p w14:paraId="74037CD8" w14:textId="77777777" w:rsidR="00751E59" w:rsidRPr="00DC5278" w:rsidRDefault="00751E59" w:rsidP="0085547B">
            <w:pPr>
              <w:suppressAutoHyphens/>
              <w:jc w:val="right"/>
              <w:rPr>
                <w:color w:val="000000"/>
              </w:rPr>
            </w:pPr>
            <w:r w:rsidRPr="00DC5278">
              <w:rPr>
                <w:color w:val="000000"/>
              </w:rPr>
              <w:t>95.5%</w:t>
            </w:r>
          </w:p>
        </w:tc>
        <w:tc>
          <w:tcPr>
            <w:tcW w:w="269" w:type="dxa"/>
            <w:tcBorders>
              <w:top w:val="nil"/>
              <w:left w:val="nil"/>
              <w:bottom w:val="nil"/>
              <w:right w:val="nil"/>
            </w:tcBorders>
            <w:shd w:val="clear" w:color="000000" w:fill="FFFFFF"/>
            <w:noWrap/>
            <w:vAlign w:val="center"/>
            <w:hideMark/>
          </w:tcPr>
          <w:p w14:paraId="74037CD9"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CDA" w14:textId="77777777" w:rsidR="00751E59" w:rsidRPr="00DC5278" w:rsidRDefault="00751E59" w:rsidP="0085547B">
            <w:pPr>
              <w:suppressAutoHyphens/>
              <w:jc w:val="right"/>
              <w:rPr>
                <w:color w:val="000000"/>
              </w:rPr>
            </w:pPr>
            <w:r w:rsidRPr="00DC5278">
              <w:rPr>
                <w:color w:val="000000"/>
              </w:rPr>
              <w:t>731.6</w:t>
            </w:r>
          </w:p>
        </w:tc>
        <w:tc>
          <w:tcPr>
            <w:tcW w:w="874" w:type="dxa"/>
            <w:tcBorders>
              <w:top w:val="nil"/>
              <w:left w:val="nil"/>
              <w:bottom w:val="nil"/>
              <w:right w:val="nil"/>
            </w:tcBorders>
            <w:shd w:val="clear" w:color="000000" w:fill="FFFFFF"/>
            <w:noWrap/>
            <w:vAlign w:val="center"/>
            <w:hideMark/>
          </w:tcPr>
          <w:p w14:paraId="74037CDB" w14:textId="77777777" w:rsidR="00751E59" w:rsidRPr="00DC5278" w:rsidRDefault="00751E59" w:rsidP="0085547B">
            <w:pPr>
              <w:suppressAutoHyphens/>
              <w:jc w:val="right"/>
              <w:rPr>
                <w:color w:val="000000"/>
              </w:rPr>
            </w:pPr>
            <w:r w:rsidRPr="00DC5278">
              <w:rPr>
                <w:color w:val="000000"/>
              </w:rPr>
              <w:t>1.6%</w:t>
            </w:r>
          </w:p>
        </w:tc>
        <w:tc>
          <w:tcPr>
            <w:tcW w:w="1838" w:type="dxa"/>
            <w:tcBorders>
              <w:top w:val="nil"/>
              <w:left w:val="nil"/>
              <w:bottom w:val="nil"/>
              <w:right w:val="nil"/>
            </w:tcBorders>
            <w:shd w:val="clear" w:color="000000" w:fill="FFFFFF"/>
            <w:noWrap/>
            <w:vAlign w:val="center"/>
            <w:hideMark/>
          </w:tcPr>
          <w:p w14:paraId="74037CDC" w14:textId="77777777" w:rsidR="00751E59" w:rsidRPr="00DC5278" w:rsidRDefault="00751E59" w:rsidP="0085547B">
            <w:pPr>
              <w:suppressAutoHyphens/>
              <w:jc w:val="right"/>
              <w:rPr>
                <w:color w:val="000000"/>
              </w:rPr>
            </w:pPr>
            <w:r w:rsidRPr="00DC5278">
              <w:rPr>
                <w:color w:val="000000"/>
              </w:rPr>
              <w:t>95.5%</w:t>
            </w:r>
          </w:p>
        </w:tc>
      </w:tr>
      <w:tr w:rsidR="00751E59" w:rsidRPr="00DC5278" w14:paraId="74037CE6" w14:textId="77777777" w:rsidTr="00CD3ADA">
        <w:trPr>
          <w:trHeight w:val="255"/>
        </w:trPr>
        <w:tc>
          <w:tcPr>
            <w:tcW w:w="1768" w:type="dxa"/>
            <w:tcBorders>
              <w:top w:val="nil"/>
              <w:left w:val="nil"/>
              <w:bottom w:val="nil"/>
              <w:right w:val="nil"/>
            </w:tcBorders>
            <w:shd w:val="clear" w:color="000000" w:fill="FFFFFF"/>
            <w:noWrap/>
            <w:vAlign w:val="center"/>
            <w:hideMark/>
          </w:tcPr>
          <w:p w14:paraId="74037CDE" w14:textId="77777777" w:rsidR="00751E59" w:rsidRPr="00DC5278" w:rsidRDefault="00751E59" w:rsidP="0085547B">
            <w:pPr>
              <w:suppressAutoHyphens/>
              <w:rPr>
                <w:color w:val="000000"/>
              </w:rPr>
            </w:pPr>
            <w:r w:rsidRPr="00DC5278">
              <w:rPr>
                <w:color w:val="000000"/>
              </w:rPr>
              <w:t>Tariff reduction</w:t>
            </w:r>
          </w:p>
        </w:tc>
        <w:tc>
          <w:tcPr>
            <w:tcW w:w="697" w:type="dxa"/>
            <w:tcBorders>
              <w:top w:val="nil"/>
              <w:left w:val="nil"/>
              <w:bottom w:val="nil"/>
              <w:right w:val="nil"/>
            </w:tcBorders>
            <w:shd w:val="clear" w:color="000000" w:fill="FFFFFF"/>
            <w:noWrap/>
            <w:vAlign w:val="center"/>
            <w:hideMark/>
          </w:tcPr>
          <w:p w14:paraId="74037CDF" w14:textId="77777777" w:rsidR="00751E59" w:rsidRPr="00DC5278" w:rsidRDefault="00751E59" w:rsidP="0085547B">
            <w:pPr>
              <w:suppressAutoHyphens/>
              <w:jc w:val="right"/>
              <w:rPr>
                <w:color w:val="000000"/>
              </w:rPr>
            </w:pPr>
            <w:r w:rsidRPr="00DC5278">
              <w:rPr>
                <w:color w:val="000000"/>
              </w:rPr>
              <w:t>77</w:t>
            </w:r>
          </w:p>
        </w:tc>
        <w:tc>
          <w:tcPr>
            <w:tcW w:w="874" w:type="dxa"/>
            <w:tcBorders>
              <w:top w:val="nil"/>
              <w:left w:val="nil"/>
              <w:bottom w:val="nil"/>
              <w:right w:val="nil"/>
            </w:tcBorders>
            <w:shd w:val="clear" w:color="000000" w:fill="FFFFFF"/>
            <w:noWrap/>
            <w:vAlign w:val="center"/>
            <w:hideMark/>
          </w:tcPr>
          <w:p w14:paraId="74037CE0" w14:textId="77777777" w:rsidR="00751E59" w:rsidRPr="00DC5278" w:rsidRDefault="00751E59" w:rsidP="0085547B">
            <w:pPr>
              <w:suppressAutoHyphens/>
              <w:jc w:val="right"/>
              <w:rPr>
                <w:color w:val="000000"/>
              </w:rPr>
            </w:pPr>
            <w:r w:rsidRPr="00DC5278">
              <w:rPr>
                <w:color w:val="000000"/>
              </w:rPr>
              <w:t>0.9%</w:t>
            </w:r>
          </w:p>
        </w:tc>
        <w:tc>
          <w:tcPr>
            <w:tcW w:w="1213" w:type="dxa"/>
            <w:tcBorders>
              <w:top w:val="nil"/>
              <w:left w:val="nil"/>
              <w:bottom w:val="nil"/>
              <w:right w:val="nil"/>
            </w:tcBorders>
            <w:shd w:val="clear" w:color="000000" w:fill="FFFFFF"/>
            <w:noWrap/>
            <w:vAlign w:val="center"/>
            <w:hideMark/>
          </w:tcPr>
          <w:p w14:paraId="74037CE1" w14:textId="77777777" w:rsidR="00751E59" w:rsidRPr="00DC5278" w:rsidRDefault="00751E59" w:rsidP="0085547B">
            <w:pPr>
              <w:suppressAutoHyphens/>
              <w:jc w:val="right"/>
              <w:rPr>
                <w:color w:val="000000"/>
              </w:rPr>
            </w:pPr>
            <w:r w:rsidRPr="00DC5278">
              <w:rPr>
                <w:color w:val="000000"/>
              </w:rPr>
              <w:t>96.3%</w:t>
            </w:r>
          </w:p>
        </w:tc>
        <w:tc>
          <w:tcPr>
            <w:tcW w:w="269" w:type="dxa"/>
            <w:tcBorders>
              <w:top w:val="nil"/>
              <w:left w:val="nil"/>
              <w:bottom w:val="nil"/>
              <w:right w:val="nil"/>
            </w:tcBorders>
            <w:shd w:val="clear" w:color="000000" w:fill="FFFFFF"/>
            <w:noWrap/>
            <w:vAlign w:val="center"/>
            <w:hideMark/>
          </w:tcPr>
          <w:p w14:paraId="74037CE2"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CE3" w14:textId="77777777" w:rsidR="00751E59" w:rsidRPr="00DC5278" w:rsidRDefault="00751E59" w:rsidP="0085547B">
            <w:pPr>
              <w:suppressAutoHyphens/>
              <w:jc w:val="right"/>
              <w:rPr>
                <w:color w:val="000000"/>
              </w:rPr>
            </w:pPr>
            <w:r w:rsidRPr="00DC5278">
              <w:rPr>
                <w:color w:val="000000"/>
              </w:rPr>
              <w:t>1,554.8</w:t>
            </w:r>
          </w:p>
        </w:tc>
        <w:tc>
          <w:tcPr>
            <w:tcW w:w="874" w:type="dxa"/>
            <w:tcBorders>
              <w:top w:val="nil"/>
              <w:left w:val="nil"/>
              <w:bottom w:val="nil"/>
              <w:right w:val="nil"/>
            </w:tcBorders>
            <w:shd w:val="clear" w:color="000000" w:fill="FFFFFF"/>
            <w:noWrap/>
            <w:vAlign w:val="center"/>
            <w:hideMark/>
          </w:tcPr>
          <w:p w14:paraId="74037CE4" w14:textId="77777777" w:rsidR="00751E59" w:rsidRPr="00DC5278" w:rsidRDefault="00751E59" w:rsidP="0085547B">
            <w:pPr>
              <w:suppressAutoHyphens/>
              <w:jc w:val="right"/>
              <w:rPr>
                <w:color w:val="000000"/>
              </w:rPr>
            </w:pPr>
            <w:r w:rsidRPr="00DC5278">
              <w:rPr>
                <w:color w:val="000000"/>
              </w:rPr>
              <w:t>3.4%</w:t>
            </w:r>
          </w:p>
        </w:tc>
        <w:tc>
          <w:tcPr>
            <w:tcW w:w="1838" w:type="dxa"/>
            <w:tcBorders>
              <w:top w:val="nil"/>
              <w:left w:val="nil"/>
              <w:bottom w:val="nil"/>
              <w:right w:val="nil"/>
            </w:tcBorders>
            <w:shd w:val="clear" w:color="000000" w:fill="FFFFFF"/>
            <w:noWrap/>
            <w:vAlign w:val="center"/>
            <w:hideMark/>
          </w:tcPr>
          <w:p w14:paraId="74037CE5" w14:textId="77777777" w:rsidR="00751E59" w:rsidRPr="00DC5278" w:rsidRDefault="00751E59" w:rsidP="0085547B">
            <w:pPr>
              <w:suppressAutoHyphens/>
              <w:jc w:val="right"/>
              <w:rPr>
                <w:color w:val="000000"/>
              </w:rPr>
            </w:pPr>
            <w:r w:rsidRPr="00DC5278">
              <w:rPr>
                <w:color w:val="000000"/>
              </w:rPr>
              <w:t>98.9%</w:t>
            </w:r>
          </w:p>
        </w:tc>
      </w:tr>
      <w:tr w:rsidR="00751E59" w:rsidRPr="00DC5278" w14:paraId="74037CEF" w14:textId="77777777" w:rsidTr="00CD3ADA">
        <w:trPr>
          <w:trHeight w:val="255"/>
        </w:trPr>
        <w:tc>
          <w:tcPr>
            <w:tcW w:w="1768" w:type="dxa"/>
            <w:tcBorders>
              <w:top w:val="nil"/>
              <w:left w:val="nil"/>
              <w:bottom w:val="nil"/>
              <w:right w:val="nil"/>
            </w:tcBorders>
            <w:shd w:val="clear" w:color="000000" w:fill="FFFFFF"/>
            <w:noWrap/>
            <w:vAlign w:val="center"/>
            <w:hideMark/>
          </w:tcPr>
          <w:p w14:paraId="74037CE7" w14:textId="77777777" w:rsidR="00751E59" w:rsidRPr="00DC5278" w:rsidRDefault="00751E59" w:rsidP="0085547B">
            <w:pPr>
              <w:suppressAutoHyphens/>
              <w:rPr>
                <w:color w:val="000000"/>
              </w:rPr>
            </w:pPr>
            <w:r w:rsidRPr="00DC5278">
              <w:rPr>
                <w:color w:val="000000"/>
              </w:rPr>
              <w:t>Quota</w:t>
            </w:r>
          </w:p>
        </w:tc>
        <w:tc>
          <w:tcPr>
            <w:tcW w:w="697" w:type="dxa"/>
            <w:tcBorders>
              <w:top w:val="nil"/>
              <w:left w:val="nil"/>
              <w:bottom w:val="nil"/>
              <w:right w:val="nil"/>
            </w:tcBorders>
            <w:shd w:val="clear" w:color="000000" w:fill="FFFFFF"/>
            <w:noWrap/>
            <w:vAlign w:val="center"/>
            <w:hideMark/>
          </w:tcPr>
          <w:p w14:paraId="74037CE8" w14:textId="77777777" w:rsidR="00751E59" w:rsidRPr="00DC5278" w:rsidRDefault="00751E59" w:rsidP="0085547B">
            <w:pPr>
              <w:suppressAutoHyphens/>
              <w:jc w:val="right"/>
              <w:rPr>
                <w:color w:val="000000"/>
              </w:rPr>
            </w:pPr>
            <w:r w:rsidRPr="00DC5278">
              <w:rPr>
                <w:color w:val="000000"/>
              </w:rPr>
              <w:t>324</w:t>
            </w:r>
          </w:p>
        </w:tc>
        <w:tc>
          <w:tcPr>
            <w:tcW w:w="874" w:type="dxa"/>
            <w:tcBorders>
              <w:top w:val="nil"/>
              <w:left w:val="nil"/>
              <w:bottom w:val="nil"/>
              <w:right w:val="nil"/>
            </w:tcBorders>
            <w:shd w:val="clear" w:color="000000" w:fill="FFFFFF"/>
            <w:noWrap/>
            <w:vAlign w:val="center"/>
            <w:hideMark/>
          </w:tcPr>
          <w:p w14:paraId="74037CE9" w14:textId="77777777" w:rsidR="00751E59" w:rsidRPr="00DC5278" w:rsidRDefault="00751E59" w:rsidP="0085547B">
            <w:pPr>
              <w:suppressAutoHyphens/>
              <w:jc w:val="right"/>
              <w:rPr>
                <w:color w:val="000000"/>
              </w:rPr>
            </w:pPr>
            <w:r w:rsidRPr="00DC5278">
              <w:rPr>
                <w:color w:val="000000"/>
              </w:rPr>
              <w:t>3.6%</w:t>
            </w:r>
          </w:p>
        </w:tc>
        <w:tc>
          <w:tcPr>
            <w:tcW w:w="1213" w:type="dxa"/>
            <w:tcBorders>
              <w:top w:val="nil"/>
              <w:left w:val="nil"/>
              <w:bottom w:val="nil"/>
              <w:right w:val="nil"/>
            </w:tcBorders>
            <w:shd w:val="clear" w:color="000000" w:fill="FFFFFF"/>
            <w:noWrap/>
            <w:vAlign w:val="center"/>
            <w:hideMark/>
          </w:tcPr>
          <w:p w14:paraId="74037CEA" w14:textId="77777777" w:rsidR="00751E59" w:rsidRPr="00DC5278" w:rsidRDefault="00751E59" w:rsidP="0085547B">
            <w:pPr>
              <w:suppressAutoHyphens/>
              <w:jc w:val="right"/>
              <w:rPr>
                <w:color w:val="000000"/>
              </w:rPr>
            </w:pPr>
            <w:r w:rsidRPr="00DC5278">
              <w:rPr>
                <w:color w:val="000000"/>
              </w:rPr>
              <w:t>99.9%</w:t>
            </w:r>
          </w:p>
        </w:tc>
        <w:tc>
          <w:tcPr>
            <w:tcW w:w="269" w:type="dxa"/>
            <w:tcBorders>
              <w:top w:val="nil"/>
              <w:left w:val="nil"/>
              <w:bottom w:val="nil"/>
              <w:right w:val="nil"/>
            </w:tcBorders>
            <w:shd w:val="clear" w:color="000000" w:fill="FFFFFF"/>
            <w:noWrap/>
            <w:vAlign w:val="center"/>
            <w:hideMark/>
          </w:tcPr>
          <w:p w14:paraId="74037CEB"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CEC" w14:textId="77777777" w:rsidR="00751E59" w:rsidRPr="00DC5278" w:rsidRDefault="00751E59" w:rsidP="0085547B">
            <w:pPr>
              <w:suppressAutoHyphens/>
              <w:jc w:val="right"/>
              <w:rPr>
                <w:color w:val="000000"/>
              </w:rPr>
            </w:pPr>
            <w:r w:rsidRPr="00DC5278">
              <w:rPr>
                <w:color w:val="000000"/>
              </w:rPr>
              <w:t>478.4</w:t>
            </w:r>
          </w:p>
        </w:tc>
        <w:tc>
          <w:tcPr>
            <w:tcW w:w="874" w:type="dxa"/>
            <w:tcBorders>
              <w:top w:val="nil"/>
              <w:left w:val="nil"/>
              <w:bottom w:val="nil"/>
              <w:right w:val="nil"/>
            </w:tcBorders>
            <w:shd w:val="clear" w:color="000000" w:fill="FFFFFF"/>
            <w:noWrap/>
            <w:vAlign w:val="center"/>
            <w:hideMark/>
          </w:tcPr>
          <w:p w14:paraId="74037CED" w14:textId="77777777" w:rsidR="00751E59" w:rsidRPr="00DC5278" w:rsidRDefault="00751E59" w:rsidP="0085547B">
            <w:pPr>
              <w:suppressAutoHyphens/>
              <w:jc w:val="right"/>
              <w:rPr>
                <w:color w:val="000000"/>
              </w:rPr>
            </w:pPr>
            <w:r w:rsidRPr="00DC5278">
              <w:rPr>
                <w:color w:val="000000"/>
              </w:rPr>
              <w:t>1.1%</w:t>
            </w:r>
          </w:p>
        </w:tc>
        <w:tc>
          <w:tcPr>
            <w:tcW w:w="1838" w:type="dxa"/>
            <w:tcBorders>
              <w:top w:val="nil"/>
              <w:left w:val="nil"/>
              <w:bottom w:val="nil"/>
              <w:right w:val="nil"/>
            </w:tcBorders>
            <w:shd w:val="clear" w:color="000000" w:fill="FFFFFF"/>
            <w:noWrap/>
            <w:vAlign w:val="center"/>
            <w:hideMark/>
          </w:tcPr>
          <w:p w14:paraId="74037CEE"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CF8" w14:textId="77777777" w:rsidTr="00CD3ADA">
        <w:trPr>
          <w:trHeight w:val="255"/>
        </w:trPr>
        <w:tc>
          <w:tcPr>
            <w:tcW w:w="1768" w:type="dxa"/>
            <w:tcBorders>
              <w:top w:val="nil"/>
              <w:left w:val="nil"/>
              <w:bottom w:val="nil"/>
              <w:right w:val="nil"/>
            </w:tcBorders>
            <w:shd w:val="clear" w:color="000000" w:fill="FFFFFF"/>
            <w:noWrap/>
            <w:vAlign w:val="center"/>
            <w:hideMark/>
          </w:tcPr>
          <w:p w14:paraId="74037CF0" w14:textId="77777777" w:rsidR="00751E59" w:rsidRPr="00DC5278" w:rsidRDefault="00751E59" w:rsidP="0085547B">
            <w:pPr>
              <w:suppressAutoHyphens/>
              <w:rPr>
                <w:color w:val="000000"/>
              </w:rPr>
            </w:pPr>
            <w:r w:rsidRPr="00DC5278">
              <w:rPr>
                <w:color w:val="000000"/>
              </w:rPr>
              <w:t>Undefined</w:t>
            </w:r>
          </w:p>
        </w:tc>
        <w:tc>
          <w:tcPr>
            <w:tcW w:w="697" w:type="dxa"/>
            <w:tcBorders>
              <w:top w:val="nil"/>
              <w:left w:val="nil"/>
              <w:bottom w:val="nil"/>
              <w:right w:val="nil"/>
            </w:tcBorders>
            <w:shd w:val="clear" w:color="000000" w:fill="FFFFFF"/>
            <w:noWrap/>
            <w:vAlign w:val="center"/>
            <w:hideMark/>
          </w:tcPr>
          <w:p w14:paraId="74037CF1" w14:textId="77777777" w:rsidR="00751E59" w:rsidRPr="00DC5278" w:rsidRDefault="00751E59" w:rsidP="0085547B">
            <w:pPr>
              <w:suppressAutoHyphens/>
              <w:jc w:val="right"/>
              <w:rPr>
                <w:color w:val="000000"/>
              </w:rPr>
            </w:pPr>
            <w:r w:rsidRPr="00DC5278">
              <w:rPr>
                <w:color w:val="000000"/>
              </w:rPr>
              <w:t>8</w:t>
            </w:r>
          </w:p>
        </w:tc>
        <w:tc>
          <w:tcPr>
            <w:tcW w:w="874" w:type="dxa"/>
            <w:tcBorders>
              <w:top w:val="nil"/>
              <w:left w:val="nil"/>
              <w:bottom w:val="nil"/>
              <w:right w:val="nil"/>
            </w:tcBorders>
            <w:shd w:val="clear" w:color="000000" w:fill="FFFFFF"/>
            <w:noWrap/>
            <w:vAlign w:val="center"/>
            <w:hideMark/>
          </w:tcPr>
          <w:p w14:paraId="74037CF2" w14:textId="77777777" w:rsidR="00751E59" w:rsidRPr="00DC5278" w:rsidRDefault="00751E59" w:rsidP="0085547B">
            <w:pPr>
              <w:suppressAutoHyphens/>
              <w:jc w:val="right"/>
              <w:rPr>
                <w:color w:val="000000"/>
              </w:rPr>
            </w:pPr>
            <w:r w:rsidRPr="00DC5278">
              <w:rPr>
                <w:color w:val="000000"/>
              </w:rPr>
              <w:t>0.1%</w:t>
            </w:r>
          </w:p>
        </w:tc>
        <w:tc>
          <w:tcPr>
            <w:tcW w:w="1213" w:type="dxa"/>
            <w:tcBorders>
              <w:top w:val="nil"/>
              <w:left w:val="nil"/>
              <w:bottom w:val="nil"/>
              <w:right w:val="nil"/>
            </w:tcBorders>
            <w:shd w:val="clear" w:color="000000" w:fill="FFFFFF"/>
            <w:noWrap/>
            <w:vAlign w:val="center"/>
            <w:hideMark/>
          </w:tcPr>
          <w:p w14:paraId="74037CF3"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CF4"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CF5" w14:textId="77777777" w:rsidR="00751E59" w:rsidRPr="00DC5278" w:rsidRDefault="00751E59" w:rsidP="0085547B">
            <w:pPr>
              <w:suppressAutoHyphens/>
              <w:jc w:val="right"/>
              <w:rPr>
                <w:color w:val="000000"/>
              </w:rPr>
            </w:pPr>
            <w:r w:rsidRPr="00DC5278">
              <w:rPr>
                <w:color w:val="000000"/>
              </w:rPr>
              <w:t>0.0</w:t>
            </w:r>
          </w:p>
        </w:tc>
        <w:tc>
          <w:tcPr>
            <w:tcW w:w="874" w:type="dxa"/>
            <w:tcBorders>
              <w:top w:val="nil"/>
              <w:left w:val="nil"/>
              <w:bottom w:val="nil"/>
              <w:right w:val="nil"/>
            </w:tcBorders>
            <w:shd w:val="clear" w:color="000000" w:fill="FFFFFF"/>
            <w:noWrap/>
            <w:vAlign w:val="center"/>
            <w:hideMark/>
          </w:tcPr>
          <w:p w14:paraId="74037CF6" w14:textId="77777777" w:rsidR="00751E59" w:rsidRPr="00DC5278" w:rsidRDefault="00751E59" w:rsidP="0085547B">
            <w:pPr>
              <w:suppressAutoHyphens/>
              <w:jc w:val="right"/>
              <w:rPr>
                <w:color w:val="000000"/>
              </w:rPr>
            </w:pPr>
            <w:r w:rsidRPr="00DC5278">
              <w:rPr>
                <w:color w:val="000000"/>
              </w:rPr>
              <w:t>0.0%</w:t>
            </w:r>
          </w:p>
        </w:tc>
        <w:tc>
          <w:tcPr>
            <w:tcW w:w="1838" w:type="dxa"/>
            <w:tcBorders>
              <w:top w:val="nil"/>
              <w:left w:val="nil"/>
              <w:bottom w:val="nil"/>
              <w:right w:val="nil"/>
            </w:tcBorders>
            <w:shd w:val="clear" w:color="000000" w:fill="FFFFFF"/>
            <w:noWrap/>
            <w:vAlign w:val="center"/>
            <w:hideMark/>
          </w:tcPr>
          <w:p w14:paraId="74037CF7"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D01" w14:textId="77777777" w:rsidTr="00CD3ADA">
        <w:trPr>
          <w:trHeight w:val="270"/>
        </w:trPr>
        <w:tc>
          <w:tcPr>
            <w:tcW w:w="1768" w:type="dxa"/>
            <w:tcBorders>
              <w:top w:val="nil"/>
              <w:left w:val="nil"/>
              <w:bottom w:val="single" w:sz="8" w:space="0" w:color="auto"/>
              <w:right w:val="nil"/>
            </w:tcBorders>
            <w:noWrap/>
            <w:vAlign w:val="bottom"/>
            <w:hideMark/>
          </w:tcPr>
          <w:p w14:paraId="74037CF9" w14:textId="77777777" w:rsidR="00751E59" w:rsidRPr="00DC5278" w:rsidRDefault="00751E59" w:rsidP="0085547B">
            <w:pPr>
              <w:suppressAutoHyphens/>
              <w:rPr>
                <w:color w:val="000000"/>
              </w:rPr>
            </w:pPr>
            <w:r w:rsidRPr="00DC5278">
              <w:rPr>
                <w:color w:val="000000"/>
              </w:rPr>
              <w:t>Total</w:t>
            </w:r>
          </w:p>
        </w:tc>
        <w:tc>
          <w:tcPr>
            <w:tcW w:w="697" w:type="dxa"/>
            <w:tcBorders>
              <w:top w:val="nil"/>
              <w:left w:val="nil"/>
              <w:bottom w:val="single" w:sz="8" w:space="0" w:color="auto"/>
              <w:right w:val="nil"/>
            </w:tcBorders>
            <w:shd w:val="clear" w:color="000000" w:fill="FFFFFF"/>
            <w:noWrap/>
            <w:vAlign w:val="center"/>
            <w:hideMark/>
          </w:tcPr>
          <w:p w14:paraId="74037CFA" w14:textId="77777777" w:rsidR="00751E59" w:rsidRPr="00DC5278" w:rsidRDefault="00751E59" w:rsidP="0085547B">
            <w:pPr>
              <w:suppressAutoHyphens/>
              <w:jc w:val="right"/>
              <w:rPr>
                <w:color w:val="000000"/>
              </w:rPr>
            </w:pPr>
            <w:r w:rsidRPr="00DC5278">
              <w:rPr>
                <w:color w:val="000000"/>
              </w:rPr>
              <w:t>9,025</w:t>
            </w:r>
          </w:p>
        </w:tc>
        <w:tc>
          <w:tcPr>
            <w:tcW w:w="874" w:type="dxa"/>
            <w:tcBorders>
              <w:top w:val="nil"/>
              <w:left w:val="nil"/>
              <w:bottom w:val="single" w:sz="8" w:space="0" w:color="auto"/>
              <w:right w:val="nil"/>
            </w:tcBorders>
            <w:shd w:val="clear" w:color="000000" w:fill="FFFFFF"/>
            <w:noWrap/>
            <w:vAlign w:val="center"/>
            <w:hideMark/>
          </w:tcPr>
          <w:p w14:paraId="74037CFB" w14:textId="77777777" w:rsidR="00751E59" w:rsidRPr="00DC5278" w:rsidRDefault="00751E59" w:rsidP="0085547B">
            <w:pPr>
              <w:suppressAutoHyphens/>
              <w:jc w:val="right"/>
              <w:rPr>
                <w:color w:val="000000"/>
              </w:rPr>
            </w:pPr>
            <w:r w:rsidRPr="00DC5278">
              <w:rPr>
                <w:color w:val="000000"/>
              </w:rPr>
              <w:t>100.0%</w:t>
            </w:r>
          </w:p>
        </w:tc>
        <w:tc>
          <w:tcPr>
            <w:tcW w:w="1213" w:type="dxa"/>
            <w:tcBorders>
              <w:top w:val="nil"/>
              <w:left w:val="nil"/>
              <w:bottom w:val="single" w:sz="8" w:space="0" w:color="auto"/>
              <w:right w:val="nil"/>
            </w:tcBorders>
            <w:shd w:val="clear" w:color="000000" w:fill="FFFFFF"/>
            <w:noWrap/>
            <w:vAlign w:val="center"/>
            <w:hideMark/>
          </w:tcPr>
          <w:p w14:paraId="74037CFC"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single" w:sz="8" w:space="0" w:color="auto"/>
              <w:right w:val="nil"/>
            </w:tcBorders>
            <w:shd w:val="clear" w:color="000000" w:fill="FFFFFF"/>
            <w:noWrap/>
            <w:vAlign w:val="center"/>
            <w:hideMark/>
          </w:tcPr>
          <w:p w14:paraId="74037CFD"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single" w:sz="8" w:space="0" w:color="auto"/>
              <w:right w:val="nil"/>
            </w:tcBorders>
            <w:shd w:val="clear" w:color="000000" w:fill="FFFFFF"/>
            <w:noWrap/>
            <w:vAlign w:val="center"/>
            <w:hideMark/>
          </w:tcPr>
          <w:p w14:paraId="74037CFE" w14:textId="77777777" w:rsidR="00751E59" w:rsidRPr="00DC5278" w:rsidRDefault="00751E59" w:rsidP="0085547B">
            <w:pPr>
              <w:suppressAutoHyphens/>
              <w:jc w:val="right"/>
              <w:rPr>
                <w:color w:val="000000"/>
              </w:rPr>
            </w:pPr>
            <w:r w:rsidRPr="00DC5278">
              <w:rPr>
                <w:color w:val="000000"/>
              </w:rPr>
              <w:t>45,295.1</w:t>
            </w:r>
          </w:p>
        </w:tc>
        <w:tc>
          <w:tcPr>
            <w:tcW w:w="874" w:type="dxa"/>
            <w:tcBorders>
              <w:top w:val="nil"/>
              <w:left w:val="nil"/>
              <w:bottom w:val="single" w:sz="8" w:space="0" w:color="auto"/>
              <w:right w:val="nil"/>
            </w:tcBorders>
            <w:shd w:val="clear" w:color="000000" w:fill="FFFFFF"/>
            <w:noWrap/>
            <w:vAlign w:val="center"/>
            <w:hideMark/>
          </w:tcPr>
          <w:p w14:paraId="74037CFF" w14:textId="77777777" w:rsidR="00751E59" w:rsidRPr="00DC5278" w:rsidRDefault="00751E59" w:rsidP="0085547B">
            <w:pPr>
              <w:suppressAutoHyphens/>
              <w:jc w:val="right"/>
              <w:rPr>
                <w:color w:val="000000"/>
              </w:rPr>
            </w:pPr>
            <w:r w:rsidRPr="00DC5278">
              <w:rPr>
                <w:color w:val="000000"/>
              </w:rPr>
              <w:t>100.0%</w:t>
            </w:r>
          </w:p>
        </w:tc>
        <w:tc>
          <w:tcPr>
            <w:tcW w:w="1838" w:type="dxa"/>
            <w:tcBorders>
              <w:top w:val="nil"/>
              <w:left w:val="nil"/>
              <w:bottom w:val="single" w:sz="8" w:space="0" w:color="auto"/>
              <w:right w:val="nil"/>
            </w:tcBorders>
            <w:shd w:val="clear" w:color="000000" w:fill="FFFFFF"/>
            <w:noWrap/>
            <w:vAlign w:val="center"/>
            <w:hideMark/>
          </w:tcPr>
          <w:p w14:paraId="74037D00" w14:textId="77777777" w:rsidR="00751E59" w:rsidRPr="00DC5278" w:rsidRDefault="00751E59" w:rsidP="0085547B">
            <w:pPr>
              <w:suppressAutoHyphens/>
              <w:jc w:val="right"/>
              <w:rPr>
                <w:color w:val="000000"/>
              </w:rPr>
            </w:pPr>
            <w:r w:rsidRPr="00DC5278">
              <w:rPr>
                <w:color w:val="000000"/>
              </w:rPr>
              <w:t>100.0%</w:t>
            </w:r>
          </w:p>
        </w:tc>
      </w:tr>
    </w:tbl>
    <w:p w14:paraId="74037D02" w14:textId="77777777" w:rsidR="00751E59" w:rsidRPr="00DC5278" w:rsidRDefault="00751E59" w:rsidP="0085547B">
      <w:pPr>
        <w:suppressAutoHyphens/>
      </w:pPr>
    </w:p>
    <w:p w14:paraId="74037D03" w14:textId="77777777" w:rsidR="00751E59" w:rsidRPr="00DC5278" w:rsidRDefault="00751E59" w:rsidP="0085547B">
      <w:pPr>
        <w:keepNext/>
        <w:suppressAutoHyphens/>
        <w:rPr>
          <w:b/>
          <w:u w:val="single"/>
        </w:rPr>
      </w:pPr>
      <w:r w:rsidRPr="00DC5278">
        <w:rPr>
          <w:b/>
          <w:u w:val="single"/>
        </w:rPr>
        <w:lastRenderedPageBreak/>
        <w:t xml:space="preserve">Elimination schedule for Malaysia’s tariffs on imports of Australian goods </w:t>
      </w:r>
    </w:p>
    <w:p w14:paraId="74037D04" w14:textId="77777777" w:rsidR="000740C4" w:rsidRPr="00DC5278" w:rsidRDefault="000740C4" w:rsidP="0085547B">
      <w:pPr>
        <w:keepNext/>
        <w:suppressAutoHyphens/>
        <w:rPr>
          <w:b/>
          <w:u w:val="single"/>
        </w:rPr>
      </w:pPr>
    </w:p>
    <w:tbl>
      <w:tblPr>
        <w:tblW w:w="8838" w:type="dxa"/>
        <w:tblInd w:w="93" w:type="dxa"/>
        <w:tblLook w:val="04A0" w:firstRow="1" w:lastRow="0" w:firstColumn="1" w:lastColumn="0" w:noHBand="0" w:noVBand="1"/>
      </w:tblPr>
      <w:tblGrid>
        <w:gridCol w:w="1743"/>
        <w:gridCol w:w="876"/>
        <w:gridCol w:w="956"/>
        <w:gridCol w:w="1336"/>
        <w:gridCol w:w="276"/>
        <w:gridCol w:w="1287"/>
        <w:gridCol w:w="956"/>
        <w:gridCol w:w="1821"/>
      </w:tblGrid>
      <w:tr w:rsidR="00751E59" w:rsidRPr="00DC5278" w14:paraId="74037D09" w14:textId="77777777" w:rsidTr="00CD3ADA">
        <w:trPr>
          <w:trHeight w:val="285"/>
        </w:trPr>
        <w:tc>
          <w:tcPr>
            <w:tcW w:w="1743" w:type="dxa"/>
            <w:vMerge w:val="restart"/>
            <w:tcBorders>
              <w:top w:val="single" w:sz="12" w:space="0" w:color="auto"/>
              <w:left w:val="nil"/>
              <w:bottom w:val="single" w:sz="8" w:space="0" w:color="000000"/>
              <w:right w:val="nil"/>
            </w:tcBorders>
            <w:shd w:val="clear" w:color="000000" w:fill="D8D8D8"/>
            <w:vAlign w:val="center"/>
            <w:hideMark/>
          </w:tcPr>
          <w:p w14:paraId="74037D05"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854" w:type="dxa"/>
            <w:gridSpan w:val="3"/>
            <w:tcBorders>
              <w:top w:val="single" w:sz="12" w:space="0" w:color="auto"/>
              <w:left w:val="nil"/>
              <w:bottom w:val="single" w:sz="8" w:space="0" w:color="auto"/>
              <w:right w:val="nil"/>
            </w:tcBorders>
            <w:shd w:val="clear" w:color="000000" w:fill="D8D8D8"/>
            <w:vAlign w:val="center"/>
            <w:hideMark/>
          </w:tcPr>
          <w:p w14:paraId="74037D06"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69" w:type="dxa"/>
            <w:tcBorders>
              <w:top w:val="single" w:sz="12" w:space="0" w:color="auto"/>
              <w:left w:val="nil"/>
              <w:bottom w:val="nil"/>
              <w:right w:val="nil"/>
            </w:tcBorders>
            <w:shd w:val="clear" w:color="000000" w:fill="D8D8D8"/>
            <w:vAlign w:val="center"/>
            <w:hideMark/>
          </w:tcPr>
          <w:p w14:paraId="74037D07" w14:textId="77777777" w:rsidR="00751E59" w:rsidRPr="00DC5278" w:rsidRDefault="00751E59" w:rsidP="0085547B">
            <w:pPr>
              <w:keepNext/>
              <w:suppressAutoHyphens/>
              <w:jc w:val="center"/>
              <w:rPr>
                <w:b/>
                <w:bCs/>
                <w:color w:val="000000"/>
              </w:rPr>
            </w:pPr>
            <w:r w:rsidRPr="00DC5278">
              <w:rPr>
                <w:b/>
                <w:bCs/>
                <w:color w:val="000000"/>
              </w:rPr>
              <w:t> </w:t>
            </w:r>
          </w:p>
        </w:tc>
        <w:tc>
          <w:tcPr>
            <w:tcW w:w="3972" w:type="dxa"/>
            <w:gridSpan w:val="3"/>
            <w:tcBorders>
              <w:top w:val="single" w:sz="12" w:space="0" w:color="auto"/>
              <w:left w:val="nil"/>
              <w:bottom w:val="single" w:sz="8" w:space="0" w:color="auto"/>
              <w:right w:val="nil"/>
            </w:tcBorders>
            <w:shd w:val="clear" w:color="000000" w:fill="D8D8D8"/>
            <w:noWrap/>
            <w:vAlign w:val="center"/>
            <w:hideMark/>
          </w:tcPr>
          <w:p w14:paraId="74037D08" w14:textId="77777777" w:rsidR="00751E59" w:rsidRPr="00DC5278" w:rsidRDefault="00751E59" w:rsidP="0085547B">
            <w:pPr>
              <w:keepNext/>
              <w:suppressAutoHyphens/>
              <w:jc w:val="center"/>
              <w:rPr>
                <w:b/>
                <w:bCs/>
                <w:color w:val="000000"/>
              </w:rPr>
            </w:pPr>
            <w:r w:rsidRPr="00DC5278">
              <w:rPr>
                <w:b/>
                <w:bCs/>
                <w:color w:val="000000"/>
              </w:rPr>
              <w:t xml:space="preserve">Malaysia's imports from Australia </w:t>
            </w:r>
          </w:p>
        </w:tc>
      </w:tr>
      <w:tr w:rsidR="00751E59" w:rsidRPr="00DC5278" w14:paraId="74037D12" w14:textId="77777777" w:rsidTr="00CD3ADA">
        <w:trPr>
          <w:trHeight w:val="525"/>
        </w:trPr>
        <w:tc>
          <w:tcPr>
            <w:tcW w:w="1743" w:type="dxa"/>
            <w:vMerge/>
            <w:tcBorders>
              <w:top w:val="single" w:sz="12" w:space="0" w:color="auto"/>
              <w:left w:val="nil"/>
              <w:bottom w:val="single" w:sz="8" w:space="0" w:color="000000"/>
              <w:right w:val="nil"/>
            </w:tcBorders>
            <w:vAlign w:val="center"/>
            <w:hideMark/>
          </w:tcPr>
          <w:p w14:paraId="74037D0A" w14:textId="77777777" w:rsidR="00751E59" w:rsidRPr="00DC5278" w:rsidRDefault="00751E59" w:rsidP="0085547B">
            <w:pPr>
              <w:keepNext/>
              <w:suppressAutoHyphens/>
              <w:rPr>
                <w:b/>
                <w:bCs/>
                <w:color w:val="000000"/>
              </w:rPr>
            </w:pPr>
          </w:p>
        </w:tc>
        <w:tc>
          <w:tcPr>
            <w:tcW w:w="794" w:type="dxa"/>
            <w:tcBorders>
              <w:top w:val="nil"/>
              <w:left w:val="nil"/>
              <w:bottom w:val="single" w:sz="8" w:space="0" w:color="auto"/>
              <w:right w:val="nil"/>
            </w:tcBorders>
            <w:shd w:val="clear" w:color="000000" w:fill="D8D8D8"/>
            <w:noWrap/>
            <w:vAlign w:val="center"/>
            <w:hideMark/>
          </w:tcPr>
          <w:p w14:paraId="74037D0B" w14:textId="77777777" w:rsidR="00751E59" w:rsidRPr="00DC5278" w:rsidRDefault="00751E59" w:rsidP="0085547B">
            <w:pPr>
              <w:keepNext/>
              <w:suppressAutoHyphens/>
              <w:jc w:val="center"/>
              <w:rPr>
                <w:color w:val="000000"/>
              </w:rPr>
            </w:pPr>
            <w:r w:rsidRPr="00DC5278">
              <w:rPr>
                <w:color w:val="000000"/>
              </w:rPr>
              <w:t xml:space="preserve"> No. </w:t>
            </w:r>
          </w:p>
        </w:tc>
        <w:tc>
          <w:tcPr>
            <w:tcW w:w="864" w:type="dxa"/>
            <w:tcBorders>
              <w:top w:val="nil"/>
              <w:left w:val="nil"/>
              <w:bottom w:val="single" w:sz="8" w:space="0" w:color="auto"/>
              <w:right w:val="nil"/>
            </w:tcBorders>
            <w:shd w:val="clear" w:color="000000" w:fill="D8D8D8"/>
            <w:vAlign w:val="center"/>
            <w:hideMark/>
          </w:tcPr>
          <w:p w14:paraId="74037D0C"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196" w:type="dxa"/>
            <w:tcBorders>
              <w:top w:val="nil"/>
              <w:left w:val="nil"/>
              <w:bottom w:val="single" w:sz="8" w:space="0" w:color="auto"/>
              <w:right w:val="nil"/>
            </w:tcBorders>
            <w:shd w:val="clear" w:color="000000" w:fill="D8D8D8"/>
            <w:vAlign w:val="center"/>
            <w:hideMark/>
          </w:tcPr>
          <w:p w14:paraId="74037D0D"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69" w:type="dxa"/>
            <w:tcBorders>
              <w:top w:val="nil"/>
              <w:left w:val="nil"/>
              <w:bottom w:val="single" w:sz="8" w:space="0" w:color="auto"/>
              <w:right w:val="nil"/>
            </w:tcBorders>
            <w:shd w:val="clear" w:color="000000" w:fill="D8D8D8"/>
            <w:vAlign w:val="center"/>
            <w:hideMark/>
          </w:tcPr>
          <w:p w14:paraId="74037D0E" w14:textId="77777777" w:rsidR="00751E59" w:rsidRPr="00DC5278" w:rsidRDefault="00751E59" w:rsidP="0085547B">
            <w:pPr>
              <w:keepNext/>
              <w:suppressAutoHyphens/>
              <w:jc w:val="center"/>
              <w:rPr>
                <w:color w:val="000000"/>
              </w:rPr>
            </w:pPr>
            <w:r w:rsidRPr="00DC5278">
              <w:rPr>
                <w:color w:val="000000"/>
              </w:rPr>
              <w:t> </w:t>
            </w:r>
          </w:p>
        </w:tc>
        <w:tc>
          <w:tcPr>
            <w:tcW w:w="1287" w:type="dxa"/>
            <w:tcBorders>
              <w:top w:val="nil"/>
              <w:left w:val="nil"/>
              <w:bottom w:val="single" w:sz="8" w:space="0" w:color="auto"/>
              <w:right w:val="nil"/>
            </w:tcBorders>
            <w:shd w:val="clear" w:color="000000" w:fill="D8D8D8"/>
            <w:vAlign w:val="center"/>
            <w:hideMark/>
          </w:tcPr>
          <w:p w14:paraId="74037D0F"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864" w:type="dxa"/>
            <w:tcBorders>
              <w:top w:val="nil"/>
              <w:left w:val="nil"/>
              <w:bottom w:val="single" w:sz="8" w:space="0" w:color="auto"/>
              <w:right w:val="nil"/>
            </w:tcBorders>
            <w:shd w:val="clear" w:color="000000" w:fill="D8D8D8"/>
            <w:vAlign w:val="center"/>
            <w:hideMark/>
          </w:tcPr>
          <w:p w14:paraId="74037D10"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821" w:type="dxa"/>
            <w:tcBorders>
              <w:top w:val="nil"/>
              <w:left w:val="nil"/>
              <w:bottom w:val="single" w:sz="8" w:space="0" w:color="auto"/>
              <w:right w:val="nil"/>
            </w:tcBorders>
            <w:shd w:val="clear" w:color="000000" w:fill="D8D8D8"/>
            <w:vAlign w:val="center"/>
            <w:hideMark/>
          </w:tcPr>
          <w:p w14:paraId="74037D11"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D1B" w14:textId="77777777" w:rsidTr="00CD3ADA">
        <w:trPr>
          <w:trHeight w:val="255"/>
        </w:trPr>
        <w:tc>
          <w:tcPr>
            <w:tcW w:w="1743" w:type="dxa"/>
            <w:tcBorders>
              <w:top w:val="nil"/>
              <w:left w:val="nil"/>
              <w:bottom w:val="nil"/>
              <w:right w:val="nil"/>
            </w:tcBorders>
            <w:shd w:val="clear" w:color="000000" w:fill="FFFFFF"/>
            <w:noWrap/>
            <w:vAlign w:val="center"/>
            <w:hideMark/>
          </w:tcPr>
          <w:p w14:paraId="74037D13" w14:textId="77777777" w:rsidR="00751E59" w:rsidRPr="00DC5278" w:rsidRDefault="00751E59" w:rsidP="0085547B">
            <w:pPr>
              <w:keepNext/>
              <w:suppressAutoHyphens/>
              <w:rPr>
                <w:color w:val="000000"/>
              </w:rPr>
            </w:pPr>
            <w:r w:rsidRPr="00DC5278">
              <w:rPr>
                <w:color w:val="000000"/>
              </w:rPr>
              <w:t>MFN 0%</w:t>
            </w:r>
          </w:p>
        </w:tc>
        <w:tc>
          <w:tcPr>
            <w:tcW w:w="794" w:type="dxa"/>
            <w:tcBorders>
              <w:top w:val="nil"/>
              <w:left w:val="nil"/>
              <w:bottom w:val="nil"/>
              <w:right w:val="nil"/>
            </w:tcBorders>
            <w:shd w:val="clear" w:color="000000" w:fill="FFFFFF"/>
            <w:noWrap/>
            <w:vAlign w:val="center"/>
            <w:hideMark/>
          </w:tcPr>
          <w:p w14:paraId="74037D14" w14:textId="77777777" w:rsidR="00751E59" w:rsidRPr="00DC5278" w:rsidRDefault="00751E59" w:rsidP="0085547B">
            <w:pPr>
              <w:keepNext/>
              <w:suppressAutoHyphens/>
              <w:jc w:val="right"/>
              <w:rPr>
                <w:color w:val="000000"/>
              </w:rPr>
            </w:pPr>
            <w:r w:rsidRPr="00DC5278">
              <w:rPr>
                <w:color w:val="000000"/>
              </w:rPr>
              <w:t>6,306</w:t>
            </w:r>
          </w:p>
        </w:tc>
        <w:tc>
          <w:tcPr>
            <w:tcW w:w="864" w:type="dxa"/>
            <w:tcBorders>
              <w:top w:val="nil"/>
              <w:left w:val="nil"/>
              <w:bottom w:val="nil"/>
              <w:right w:val="nil"/>
            </w:tcBorders>
            <w:shd w:val="clear" w:color="000000" w:fill="FFFFFF"/>
            <w:noWrap/>
            <w:vAlign w:val="center"/>
            <w:hideMark/>
          </w:tcPr>
          <w:p w14:paraId="74037D15" w14:textId="77777777" w:rsidR="00751E59" w:rsidRPr="00DC5278" w:rsidRDefault="00751E59" w:rsidP="0085547B">
            <w:pPr>
              <w:keepNext/>
              <w:suppressAutoHyphens/>
              <w:jc w:val="right"/>
              <w:rPr>
                <w:color w:val="000000"/>
              </w:rPr>
            </w:pPr>
            <w:r w:rsidRPr="00DC5278">
              <w:rPr>
                <w:color w:val="000000"/>
              </w:rPr>
              <w:t>60.6%</w:t>
            </w:r>
          </w:p>
        </w:tc>
        <w:tc>
          <w:tcPr>
            <w:tcW w:w="1196" w:type="dxa"/>
            <w:tcBorders>
              <w:top w:val="nil"/>
              <w:left w:val="nil"/>
              <w:bottom w:val="nil"/>
              <w:right w:val="nil"/>
            </w:tcBorders>
            <w:shd w:val="clear" w:color="000000" w:fill="FFFFFF"/>
            <w:noWrap/>
            <w:vAlign w:val="center"/>
            <w:hideMark/>
          </w:tcPr>
          <w:p w14:paraId="74037D16" w14:textId="77777777" w:rsidR="00751E59" w:rsidRPr="00DC5278" w:rsidRDefault="00751E59" w:rsidP="0085547B">
            <w:pPr>
              <w:keepNext/>
              <w:suppressAutoHyphens/>
              <w:jc w:val="right"/>
              <w:rPr>
                <w:color w:val="000000"/>
              </w:rPr>
            </w:pPr>
            <w:r w:rsidRPr="00DC5278">
              <w:rPr>
                <w:color w:val="000000"/>
              </w:rPr>
              <w:t>60.6%</w:t>
            </w:r>
          </w:p>
        </w:tc>
        <w:tc>
          <w:tcPr>
            <w:tcW w:w="269" w:type="dxa"/>
            <w:tcBorders>
              <w:top w:val="nil"/>
              <w:left w:val="nil"/>
              <w:bottom w:val="nil"/>
              <w:right w:val="nil"/>
            </w:tcBorders>
            <w:shd w:val="clear" w:color="000000" w:fill="FFFFFF"/>
            <w:noWrap/>
            <w:vAlign w:val="center"/>
            <w:hideMark/>
          </w:tcPr>
          <w:p w14:paraId="74037D17" w14:textId="77777777" w:rsidR="00751E59" w:rsidRPr="00DC5278" w:rsidRDefault="00751E59" w:rsidP="0085547B">
            <w:pPr>
              <w:keepNext/>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18" w14:textId="77777777" w:rsidR="00751E59" w:rsidRPr="00DC5278" w:rsidRDefault="00751E59" w:rsidP="0085547B">
            <w:pPr>
              <w:keepNext/>
              <w:suppressAutoHyphens/>
              <w:jc w:val="right"/>
              <w:rPr>
                <w:color w:val="000000"/>
              </w:rPr>
            </w:pPr>
            <w:r w:rsidRPr="00DC5278">
              <w:rPr>
                <w:color w:val="000000"/>
              </w:rPr>
              <w:t>3,183.5</w:t>
            </w:r>
          </w:p>
        </w:tc>
        <w:tc>
          <w:tcPr>
            <w:tcW w:w="864" w:type="dxa"/>
            <w:tcBorders>
              <w:top w:val="nil"/>
              <w:left w:val="nil"/>
              <w:bottom w:val="nil"/>
              <w:right w:val="nil"/>
            </w:tcBorders>
            <w:shd w:val="clear" w:color="000000" w:fill="FFFFFF"/>
            <w:noWrap/>
            <w:vAlign w:val="center"/>
            <w:hideMark/>
          </w:tcPr>
          <w:p w14:paraId="74037D19" w14:textId="77777777" w:rsidR="00751E59" w:rsidRPr="00DC5278" w:rsidRDefault="00751E59" w:rsidP="0085547B">
            <w:pPr>
              <w:keepNext/>
              <w:suppressAutoHyphens/>
              <w:jc w:val="right"/>
              <w:rPr>
                <w:color w:val="000000"/>
              </w:rPr>
            </w:pPr>
            <w:r w:rsidRPr="00DC5278">
              <w:rPr>
                <w:color w:val="000000"/>
              </w:rPr>
              <w:t>88.5%</w:t>
            </w:r>
          </w:p>
        </w:tc>
        <w:tc>
          <w:tcPr>
            <w:tcW w:w="1821" w:type="dxa"/>
            <w:tcBorders>
              <w:top w:val="nil"/>
              <w:left w:val="nil"/>
              <w:bottom w:val="nil"/>
              <w:right w:val="nil"/>
            </w:tcBorders>
            <w:shd w:val="clear" w:color="000000" w:fill="FFFFFF"/>
            <w:noWrap/>
            <w:vAlign w:val="center"/>
            <w:hideMark/>
          </w:tcPr>
          <w:p w14:paraId="74037D1A" w14:textId="77777777" w:rsidR="00751E59" w:rsidRPr="00DC5278" w:rsidRDefault="00751E59" w:rsidP="0085547B">
            <w:pPr>
              <w:keepNext/>
              <w:suppressAutoHyphens/>
              <w:jc w:val="right"/>
              <w:rPr>
                <w:color w:val="000000"/>
              </w:rPr>
            </w:pPr>
            <w:r w:rsidRPr="00DC5278">
              <w:rPr>
                <w:color w:val="000000"/>
              </w:rPr>
              <w:t>88.5%</w:t>
            </w:r>
          </w:p>
        </w:tc>
      </w:tr>
      <w:tr w:rsidR="00751E59" w:rsidRPr="00DC5278" w14:paraId="74037D24" w14:textId="77777777" w:rsidTr="00CD3ADA">
        <w:trPr>
          <w:trHeight w:val="255"/>
        </w:trPr>
        <w:tc>
          <w:tcPr>
            <w:tcW w:w="1743" w:type="dxa"/>
            <w:tcBorders>
              <w:top w:val="nil"/>
              <w:left w:val="nil"/>
              <w:bottom w:val="nil"/>
              <w:right w:val="nil"/>
            </w:tcBorders>
            <w:shd w:val="clear" w:color="000000" w:fill="FFFFFF"/>
            <w:noWrap/>
            <w:vAlign w:val="center"/>
            <w:hideMark/>
          </w:tcPr>
          <w:p w14:paraId="74037D1C" w14:textId="77777777" w:rsidR="00751E59" w:rsidRPr="00DC5278" w:rsidRDefault="00751E59" w:rsidP="0085547B">
            <w:pPr>
              <w:keepNext/>
              <w:suppressAutoHyphens/>
              <w:rPr>
                <w:color w:val="000000"/>
              </w:rPr>
            </w:pPr>
            <w:r w:rsidRPr="00DC5278">
              <w:rPr>
                <w:color w:val="000000"/>
              </w:rPr>
              <w:t>A: 0% tariff on EIF</w:t>
            </w:r>
          </w:p>
        </w:tc>
        <w:tc>
          <w:tcPr>
            <w:tcW w:w="794" w:type="dxa"/>
            <w:tcBorders>
              <w:top w:val="nil"/>
              <w:left w:val="nil"/>
              <w:bottom w:val="nil"/>
              <w:right w:val="nil"/>
            </w:tcBorders>
            <w:shd w:val="clear" w:color="000000" w:fill="FFFFFF"/>
            <w:noWrap/>
            <w:vAlign w:val="center"/>
            <w:hideMark/>
          </w:tcPr>
          <w:p w14:paraId="74037D1D" w14:textId="77777777" w:rsidR="00751E59" w:rsidRPr="00DC5278" w:rsidRDefault="00751E59" w:rsidP="0085547B">
            <w:pPr>
              <w:keepNext/>
              <w:suppressAutoHyphens/>
              <w:jc w:val="right"/>
              <w:rPr>
                <w:color w:val="000000"/>
              </w:rPr>
            </w:pPr>
            <w:r w:rsidRPr="00DC5278">
              <w:rPr>
                <w:color w:val="000000"/>
              </w:rPr>
              <w:t>2,503</w:t>
            </w:r>
          </w:p>
        </w:tc>
        <w:tc>
          <w:tcPr>
            <w:tcW w:w="864" w:type="dxa"/>
            <w:tcBorders>
              <w:top w:val="nil"/>
              <w:left w:val="nil"/>
              <w:bottom w:val="nil"/>
              <w:right w:val="nil"/>
            </w:tcBorders>
            <w:shd w:val="clear" w:color="000000" w:fill="FFFFFF"/>
            <w:noWrap/>
            <w:vAlign w:val="center"/>
            <w:hideMark/>
          </w:tcPr>
          <w:p w14:paraId="74037D1E" w14:textId="77777777" w:rsidR="00751E59" w:rsidRPr="00DC5278" w:rsidRDefault="00751E59" w:rsidP="0085547B">
            <w:pPr>
              <w:keepNext/>
              <w:suppressAutoHyphens/>
              <w:jc w:val="right"/>
              <w:rPr>
                <w:color w:val="000000"/>
              </w:rPr>
            </w:pPr>
            <w:r w:rsidRPr="00DC5278">
              <w:rPr>
                <w:color w:val="000000"/>
              </w:rPr>
              <w:t>24.1%</w:t>
            </w:r>
          </w:p>
        </w:tc>
        <w:tc>
          <w:tcPr>
            <w:tcW w:w="1196" w:type="dxa"/>
            <w:tcBorders>
              <w:top w:val="nil"/>
              <w:left w:val="nil"/>
              <w:bottom w:val="nil"/>
              <w:right w:val="nil"/>
            </w:tcBorders>
            <w:shd w:val="clear" w:color="000000" w:fill="FFFFFF"/>
            <w:noWrap/>
            <w:vAlign w:val="center"/>
            <w:hideMark/>
          </w:tcPr>
          <w:p w14:paraId="74037D1F" w14:textId="77777777" w:rsidR="00751E59" w:rsidRPr="00DC5278" w:rsidRDefault="00751E59" w:rsidP="0085547B">
            <w:pPr>
              <w:keepNext/>
              <w:suppressAutoHyphens/>
              <w:jc w:val="right"/>
              <w:rPr>
                <w:color w:val="000000"/>
              </w:rPr>
            </w:pPr>
            <w:r w:rsidRPr="00DC5278">
              <w:rPr>
                <w:color w:val="000000"/>
              </w:rPr>
              <w:t>84.7%</w:t>
            </w:r>
          </w:p>
        </w:tc>
        <w:tc>
          <w:tcPr>
            <w:tcW w:w="269" w:type="dxa"/>
            <w:tcBorders>
              <w:top w:val="nil"/>
              <w:left w:val="nil"/>
              <w:bottom w:val="nil"/>
              <w:right w:val="nil"/>
            </w:tcBorders>
            <w:shd w:val="clear" w:color="000000" w:fill="FFFFFF"/>
            <w:noWrap/>
            <w:vAlign w:val="center"/>
            <w:hideMark/>
          </w:tcPr>
          <w:p w14:paraId="74037D20" w14:textId="77777777" w:rsidR="00751E59" w:rsidRPr="00DC5278" w:rsidRDefault="00751E59" w:rsidP="0085547B">
            <w:pPr>
              <w:keepNext/>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21" w14:textId="77777777" w:rsidR="00751E59" w:rsidRPr="00DC5278" w:rsidRDefault="00751E59" w:rsidP="0085547B">
            <w:pPr>
              <w:keepNext/>
              <w:suppressAutoHyphens/>
              <w:jc w:val="right"/>
              <w:rPr>
                <w:color w:val="000000"/>
              </w:rPr>
            </w:pPr>
            <w:r w:rsidRPr="00DC5278">
              <w:rPr>
                <w:color w:val="000000"/>
              </w:rPr>
              <w:t>238.0</w:t>
            </w:r>
          </w:p>
        </w:tc>
        <w:tc>
          <w:tcPr>
            <w:tcW w:w="864" w:type="dxa"/>
            <w:tcBorders>
              <w:top w:val="nil"/>
              <w:left w:val="nil"/>
              <w:bottom w:val="nil"/>
              <w:right w:val="nil"/>
            </w:tcBorders>
            <w:shd w:val="clear" w:color="000000" w:fill="FFFFFF"/>
            <w:noWrap/>
            <w:vAlign w:val="center"/>
            <w:hideMark/>
          </w:tcPr>
          <w:p w14:paraId="74037D22" w14:textId="77777777" w:rsidR="00751E59" w:rsidRPr="00DC5278" w:rsidRDefault="00751E59" w:rsidP="0085547B">
            <w:pPr>
              <w:keepNext/>
              <w:suppressAutoHyphens/>
              <w:jc w:val="right"/>
              <w:rPr>
                <w:color w:val="000000"/>
              </w:rPr>
            </w:pPr>
            <w:r w:rsidRPr="00DC5278">
              <w:rPr>
                <w:color w:val="000000"/>
              </w:rPr>
              <w:t>6.6%</w:t>
            </w:r>
          </w:p>
        </w:tc>
        <w:tc>
          <w:tcPr>
            <w:tcW w:w="1821" w:type="dxa"/>
            <w:tcBorders>
              <w:top w:val="nil"/>
              <w:left w:val="nil"/>
              <w:bottom w:val="nil"/>
              <w:right w:val="nil"/>
            </w:tcBorders>
            <w:shd w:val="clear" w:color="000000" w:fill="FFFFFF"/>
            <w:noWrap/>
            <w:vAlign w:val="center"/>
            <w:hideMark/>
          </w:tcPr>
          <w:p w14:paraId="74037D23" w14:textId="77777777" w:rsidR="00751E59" w:rsidRPr="00DC5278" w:rsidRDefault="00751E59" w:rsidP="0085547B">
            <w:pPr>
              <w:keepNext/>
              <w:suppressAutoHyphens/>
              <w:jc w:val="right"/>
              <w:rPr>
                <w:color w:val="000000"/>
              </w:rPr>
            </w:pPr>
            <w:r w:rsidRPr="00DC5278">
              <w:rPr>
                <w:color w:val="000000"/>
              </w:rPr>
              <w:t>95.1%</w:t>
            </w:r>
          </w:p>
        </w:tc>
      </w:tr>
      <w:tr w:rsidR="00751E59" w:rsidRPr="00DC5278" w14:paraId="74037D2D" w14:textId="77777777" w:rsidTr="00CD3ADA">
        <w:trPr>
          <w:trHeight w:val="255"/>
        </w:trPr>
        <w:tc>
          <w:tcPr>
            <w:tcW w:w="1743" w:type="dxa"/>
            <w:tcBorders>
              <w:top w:val="nil"/>
              <w:left w:val="nil"/>
              <w:bottom w:val="nil"/>
              <w:right w:val="nil"/>
            </w:tcBorders>
            <w:shd w:val="clear" w:color="000000" w:fill="FFFFFF"/>
            <w:noWrap/>
            <w:vAlign w:val="center"/>
            <w:hideMark/>
          </w:tcPr>
          <w:p w14:paraId="74037D25"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94" w:type="dxa"/>
            <w:tcBorders>
              <w:top w:val="nil"/>
              <w:left w:val="nil"/>
              <w:bottom w:val="nil"/>
              <w:right w:val="nil"/>
            </w:tcBorders>
            <w:shd w:val="clear" w:color="000000" w:fill="FFFFFF"/>
            <w:noWrap/>
            <w:vAlign w:val="center"/>
            <w:hideMark/>
          </w:tcPr>
          <w:p w14:paraId="74037D26" w14:textId="77777777" w:rsidR="00751E59" w:rsidRPr="00DC5278" w:rsidRDefault="00751E59" w:rsidP="0085547B">
            <w:pPr>
              <w:suppressAutoHyphens/>
              <w:jc w:val="right"/>
              <w:rPr>
                <w:color w:val="000000"/>
              </w:rPr>
            </w:pPr>
            <w:r w:rsidRPr="00DC5278">
              <w:rPr>
                <w:color w:val="000000"/>
              </w:rPr>
              <w:t>889</w:t>
            </w:r>
          </w:p>
        </w:tc>
        <w:tc>
          <w:tcPr>
            <w:tcW w:w="864" w:type="dxa"/>
            <w:tcBorders>
              <w:top w:val="nil"/>
              <w:left w:val="nil"/>
              <w:bottom w:val="nil"/>
              <w:right w:val="nil"/>
            </w:tcBorders>
            <w:shd w:val="clear" w:color="000000" w:fill="FFFFFF"/>
            <w:noWrap/>
            <w:vAlign w:val="center"/>
            <w:hideMark/>
          </w:tcPr>
          <w:p w14:paraId="74037D27" w14:textId="77777777" w:rsidR="00751E59" w:rsidRPr="00DC5278" w:rsidRDefault="00751E59" w:rsidP="0085547B">
            <w:pPr>
              <w:suppressAutoHyphens/>
              <w:jc w:val="right"/>
              <w:rPr>
                <w:color w:val="000000"/>
              </w:rPr>
            </w:pPr>
            <w:r w:rsidRPr="00DC5278">
              <w:rPr>
                <w:color w:val="000000"/>
              </w:rPr>
              <w:t>8.5%</w:t>
            </w:r>
          </w:p>
        </w:tc>
        <w:tc>
          <w:tcPr>
            <w:tcW w:w="1196" w:type="dxa"/>
            <w:tcBorders>
              <w:top w:val="nil"/>
              <w:left w:val="nil"/>
              <w:bottom w:val="nil"/>
              <w:right w:val="nil"/>
            </w:tcBorders>
            <w:shd w:val="clear" w:color="000000" w:fill="FFFFFF"/>
            <w:noWrap/>
            <w:vAlign w:val="center"/>
            <w:hideMark/>
          </w:tcPr>
          <w:p w14:paraId="74037D28" w14:textId="77777777" w:rsidR="00751E59" w:rsidRPr="00DC5278" w:rsidRDefault="00751E59" w:rsidP="0085547B">
            <w:pPr>
              <w:suppressAutoHyphens/>
              <w:jc w:val="right"/>
              <w:rPr>
                <w:color w:val="000000"/>
              </w:rPr>
            </w:pPr>
            <w:r w:rsidRPr="00DC5278">
              <w:rPr>
                <w:color w:val="000000"/>
              </w:rPr>
              <w:t>93.3%</w:t>
            </w:r>
          </w:p>
        </w:tc>
        <w:tc>
          <w:tcPr>
            <w:tcW w:w="269" w:type="dxa"/>
            <w:tcBorders>
              <w:top w:val="nil"/>
              <w:left w:val="nil"/>
              <w:bottom w:val="nil"/>
              <w:right w:val="nil"/>
            </w:tcBorders>
            <w:shd w:val="clear" w:color="000000" w:fill="FFFFFF"/>
            <w:noWrap/>
            <w:vAlign w:val="center"/>
            <w:hideMark/>
          </w:tcPr>
          <w:p w14:paraId="74037D29"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2A" w14:textId="77777777" w:rsidR="00751E59" w:rsidRPr="00DC5278" w:rsidRDefault="00751E59" w:rsidP="0085547B">
            <w:pPr>
              <w:suppressAutoHyphens/>
              <w:jc w:val="right"/>
              <w:rPr>
                <w:color w:val="000000"/>
              </w:rPr>
            </w:pPr>
            <w:r w:rsidRPr="00DC5278">
              <w:rPr>
                <w:color w:val="000000"/>
              </w:rPr>
              <w:t>74.0</w:t>
            </w:r>
          </w:p>
        </w:tc>
        <w:tc>
          <w:tcPr>
            <w:tcW w:w="864" w:type="dxa"/>
            <w:tcBorders>
              <w:top w:val="nil"/>
              <w:left w:val="nil"/>
              <w:bottom w:val="nil"/>
              <w:right w:val="nil"/>
            </w:tcBorders>
            <w:shd w:val="clear" w:color="000000" w:fill="FFFFFF"/>
            <w:noWrap/>
            <w:vAlign w:val="center"/>
            <w:hideMark/>
          </w:tcPr>
          <w:p w14:paraId="74037D2B" w14:textId="77777777" w:rsidR="00751E59" w:rsidRPr="00DC5278" w:rsidRDefault="00751E59" w:rsidP="0085547B">
            <w:pPr>
              <w:suppressAutoHyphens/>
              <w:jc w:val="right"/>
              <w:rPr>
                <w:color w:val="000000"/>
              </w:rPr>
            </w:pPr>
            <w:r w:rsidRPr="00DC5278">
              <w:rPr>
                <w:color w:val="000000"/>
              </w:rPr>
              <w:t>2.1%</w:t>
            </w:r>
          </w:p>
        </w:tc>
        <w:tc>
          <w:tcPr>
            <w:tcW w:w="1821" w:type="dxa"/>
            <w:tcBorders>
              <w:top w:val="nil"/>
              <w:left w:val="nil"/>
              <w:bottom w:val="nil"/>
              <w:right w:val="nil"/>
            </w:tcBorders>
            <w:shd w:val="clear" w:color="000000" w:fill="FFFFFF"/>
            <w:noWrap/>
            <w:vAlign w:val="center"/>
            <w:hideMark/>
          </w:tcPr>
          <w:p w14:paraId="74037D2C" w14:textId="77777777" w:rsidR="00751E59" w:rsidRPr="00DC5278" w:rsidRDefault="00751E59" w:rsidP="0085547B">
            <w:pPr>
              <w:suppressAutoHyphens/>
              <w:jc w:val="right"/>
              <w:rPr>
                <w:color w:val="000000"/>
              </w:rPr>
            </w:pPr>
            <w:r w:rsidRPr="00DC5278">
              <w:rPr>
                <w:color w:val="000000"/>
              </w:rPr>
              <w:t>97.1%</w:t>
            </w:r>
          </w:p>
        </w:tc>
      </w:tr>
      <w:tr w:rsidR="00751E59" w:rsidRPr="00DC5278" w14:paraId="74037D36" w14:textId="77777777" w:rsidTr="00CD3ADA">
        <w:trPr>
          <w:trHeight w:val="255"/>
        </w:trPr>
        <w:tc>
          <w:tcPr>
            <w:tcW w:w="1743" w:type="dxa"/>
            <w:tcBorders>
              <w:top w:val="nil"/>
              <w:left w:val="nil"/>
              <w:bottom w:val="nil"/>
              <w:right w:val="nil"/>
            </w:tcBorders>
            <w:shd w:val="clear" w:color="000000" w:fill="FFFFFF"/>
            <w:noWrap/>
            <w:vAlign w:val="center"/>
            <w:hideMark/>
          </w:tcPr>
          <w:p w14:paraId="74037D2E"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94" w:type="dxa"/>
            <w:tcBorders>
              <w:top w:val="nil"/>
              <w:left w:val="nil"/>
              <w:bottom w:val="nil"/>
              <w:right w:val="nil"/>
            </w:tcBorders>
            <w:shd w:val="clear" w:color="000000" w:fill="FFFFFF"/>
            <w:noWrap/>
            <w:vAlign w:val="center"/>
            <w:hideMark/>
          </w:tcPr>
          <w:p w14:paraId="74037D2F" w14:textId="77777777" w:rsidR="00751E59" w:rsidRPr="00DC5278" w:rsidRDefault="00751E59" w:rsidP="0085547B">
            <w:pPr>
              <w:suppressAutoHyphens/>
              <w:jc w:val="right"/>
              <w:rPr>
                <w:color w:val="000000"/>
              </w:rPr>
            </w:pPr>
            <w:r w:rsidRPr="00DC5278">
              <w:rPr>
                <w:color w:val="000000"/>
              </w:rPr>
              <w:t>607</w:t>
            </w:r>
          </w:p>
        </w:tc>
        <w:tc>
          <w:tcPr>
            <w:tcW w:w="864" w:type="dxa"/>
            <w:tcBorders>
              <w:top w:val="nil"/>
              <w:left w:val="nil"/>
              <w:bottom w:val="nil"/>
              <w:right w:val="nil"/>
            </w:tcBorders>
            <w:shd w:val="clear" w:color="000000" w:fill="FFFFFF"/>
            <w:noWrap/>
            <w:vAlign w:val="center"/>
            <w:hideMark/>
          </w:tcPr>
          <w:p w14:paraId="74037D30" w14:textId="77777777" w:rsidR="00751E59" w:rsidRPr="00DC5278" w:rsidRDefault="00751E59" w:rsidP="0085547B">
            <w:pPr>
              <w:suppressAutoHyphens/>
              <w:jc w:val="right"/>
              <w:rPr>
                <w:color w:val="000000"/>
              </w:rPr>
            </w:pPr>
            <w:r w:rsidRPr="00DC5278">
              <w:rPr>
                <w:color w:val="000000"/>
              </w:rPr>
              <w:t>5.8%</w:t>
            </w:r>
          </w:p>
        </w:tc>
        <w:tc>
          <w:tcPr>
            <w:tcW w:w="1196" w:type="dxa"/>
            <w:tcBorders>
              <w:top w:val="nil"/>
              <w:left w:val="nil"/>
              <w:bottom w:val="nil"/>
              <w:right w:val="nil"/>
            </w:tcBorders>
            <w:shd w:val="clear" w:color="000000" w:fill="FFFFFF"/>
            <w:noWrap/>
            <w:vAlign w:val="center"/>
            <w:hideMark/>
          </w:tcPr>
          <w:p w14:paraId="74037D31" w14:textId="77777777" w:rsidR="00751E59" w:rsidRPr="00DC5278" w:rsidRDefault="00751E59" w:rsidP="0085547B">
            <w:pPr>
              <w:suppressAutoHyphens/>
              <w:jc w:val="right"/>
              <w:rPr>
                <w:color w:val="000000"/>
              </w:rPr>
            </w:pPr>
            <w:r w:rsidRPr="00DC5278">
              <w:rPr>
                <w:color w:val="000000"/>
              </w:rPr>
              <w:t>99.1%</w:t>
            </w:r>
          </w:p>
        </w:tc>
        <w:tc>
          <w:tcPr>
            <w:tcW w:w="269" w:type="dxa"/>
            <w:tcBorders>
              <w:top w:val="nil"/>
              <w:left w:val="nil"/>
              <w:bottom w:val="nil"/>
              <w:right w:val="nil"/>
            </w:tcBorders>
            <w:shd w:val="clear" w:color="000000" w:fill="FFFFFF"/>
            <w:noWrap/>
            <w:vAlign w:val="center"/>
            <w:hideMark/>
          </w:tcPr>
          <w:p w14:paraId="74037D32"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33" w14:textId="77777777" w:rsidR="00751E59" w:rsidRPr="00DC5278" w:rsidRDefault="00751E59" w:rsidP="0085547B">
            <w:pPr>
              <w:suppressAutoHyphens/>
              <w:jc w:val="right"/>
              <w:rPr>
                <w:color w:val="000000"/>
              </w:rPr>
            </w:pPr>
            <w:r w:rsidRPr="00DC5278">
              <w:rPr>
                <w:color w:val="000000"/>
              </w:rPr>
              <w:t>69.0</w:t>
            </w:r>
          </w:p>
        </w:tc>
        <w:tc>
          <w:tcPr>
            <w:tcW w:w="864" w:type="dxa"/>
            <w:tcBorders>
              <w:top w:val="nil"/>
              <w:left w:val="nil"/>
              <w:bottom w:val="nil"/>
              <w:right w:val="nil"/>
            </w:tcBorders>
            <w:shd w:val="clear" w:color="000000" w:fill="FFFFFF"/>
            <w:noWrap/>
            <w:vAlign w:val="center"/>
            <w:hideMark/>
          </w:tcPr>
          <w:p w14:paraId="74037D34" w14:textId="77777777" w:rsidR="00751E59" w:rsidRPr="00DC5278" w:rsidRDefault="00751E59" w:rsidP="0085547B">
            <w:pPr>
              <w:suppressAutoHyphens/>
              <w:jc w:val="right"/>
              <w:rPr>
                <w:color w:val="000000"/>
              </w:rPr>
            </w:pPr>
            <w:r w:rsidRPr="00DC5278">
              <w:rPr>
                <w:color w:val="000000"/>
              </w:rPr>
              <w:t>1.9%</w:t>
            </w:r>
          </w:p>
        </w:tc>
        <w:tc>
          <w:tcPr>
            <w:tcW w:w="1821" w:type="dxa"/>
            <w:tcBorders>
              <w:top w:val="nil"/>
              <w:left w:val="nil"/>
              <w:bottom w:val="nil"/>
              <w:right w:val="nil"/>
            </w:tcBorders>
            <w:shd w:val="clear" w:color="000000" w:fill="FFFFFF"/>
            <w:noWrap/>
            <w:vAlign w:val="center"/>
            <w:hideMark/>
          </w:tcPr>
          <w:p w14:paraId="74037D35" w14:textId="77777777" w:rsidR="00751E59" w:rsidRPr="00DC5278" w:rsidRDefault="00751E59" w:rsidP="0085547B">
            <w:pPr>
              <w:suppressAutoHyphens/>
              <w:jc w:val="right"/>
              <w:rPr>
                <w:color w:val="000000"/>
              </w:rPr>
            </w:pPr>
            <w:r w:rsidRPr="00DC5278">
              <w:rPr>
                <w:color w:val="000000"/>
              </w:rPr>
              <w:t>99.1%</w:t>
            </w:r>
          </w:p>
        </w:tc>
      </w:tr>
      <w:tr w:rsidR="00751E59" w:rsidRPr="00DC5278" w14:paraId="74037D3F" w14:textId="77777777" w:rsidTr="00CD3ADA">
        <w:trPr>
          <w:trHeight w:val="255"/>
        </w:trPr>
        <w:tc>
          <w:tcPr>
            <w:tcW w:w="1743" w:type="dxa"/>
            <w:tcBorders>
              <w:top w:val="nil"/>
              <w:left w:val="nil"/>
              <w:bottom w:val="nil"/>
              <w:right w:val="nil"/>
            </w:tcBorders>
            <w:shd w:val="clear" w:color="000000" w:fill="FFFFFF"/>
            <w:noWrap/>
            <w:vAlign w:val="center"/>
            <w:hideMark/>
          </w:tcPr>
          <w:p w14:paraId="74037D37" w14:textId="77777777" w:rsidR="00751E59" w:rsidRPr="00DC5278" w:rsidRDefault="00751E59" w:rsidP="0085547B">
            <w:pPr>
              <w:suppressAutoHyphens/>
              <w:rPr>
                <w:color w:val="000000"/>
              </w:rPr>
            </w:pPr>
            <w:r w:rsidRPr="00DC5278">
              <w:rPr>
                <w:color w:val="000000"/>
              </w:rPr>
              <w:t>D: 11+ year phasing</w:t>
            </w:r>
          </w:p>
        </w:tc>
        <w:tc>
          <w:tcPr>
            <w:tcW w:w="794" w:type="dxa"/>
            <w:tcBorders>
              <w:top w:val="nil"/>
              <w:left w:val="nil"/>
              <w:bottom w:val="nil"/>
              <w:right w:val="nil"/>
            </w:tcBorders>
            <w:shd w:val="clear" w:color="000000" w:fill="FFFFFF"/>
            <w:noWrap/>
            <w:vAlign w:val="center"/>
            <w:hideMark/>
          </w:tcPr>
          <w:p w14:paraId="74037D38" w14:textId="77777777" w:rsidR="00751E59" w:rsidRPr="00DC5278" w:rsidRDefault="00751E59" w:rsidP="0085547B">
            <w:pPr>
              <w:suppressAutoHyphens/>
              <w:jc w:val="right"/>
              <w:rPr>
                <w:color w:val="000000"/>
              </w:rPr>
            </w:pPr>
            <w:r w:rsidRPr="00DC5278">
              <w:rPr>
                <w:color w:val="000000"/>
              </w:rPr>
              <w:t>84</w:t>
            </w:r>
          </w:p>
        </w:tc>
        <w:tc>
          <w:tcPr>
            <w:tcW w:w="864" w:type="dxa"/>
            <w:tcBorders>
              <w:top w:val="nil"/>
              <w:left w:val="nil"/>
              <w:bottom w:val="nil"/>
              <w:right w:val="nil"/>
            </w:tcBorders>
            <w:shd w:val="clear" w:color="000000" w:fill="FFFFFF"/>
            <w:noWrap/>
            <w:vAlign w:val="center"/>
            <w:hideMark/>
          </w:tcPr>
          <w:p w14:paraId="74037D39" w14:textId="77777777" w:rsidR="00751E59" w:rsidRPr="00DC5278" w:rsidRDefault="00751E59" w:rsidP="0085547B">
            <w:pPr>
              <w:suppressAutoHyphens/>
              <w:jc w:val="right"/>
              <w:rPr>
                <w:color w:val="000000"/>
              </w:rPr>
            </w:pPr>
            <w:r w:rsidRPr="00DC5278">
              <w:rPr>
                <w:color w:val="000000"/>
              </w:rPr>
              <w:t>0.8%</w:t>
            </w:r>
          </w:p>
        </w:tc>
        <w:tc>
          <w:tcPr>
            <w:tcW w:w="1196" w:type="dxa"/>
            <w:tcBorders>
              <w:top w:val="nil"/>
              <w:left w:val="nil"/>
              <w:bottom w:val="nil"/>
              <w:right w:val="nil"/>
            </w:tcBorders>
            <w:shd w:val="clear" w:color="000000" w:fill="FFFFFF"/>
            <w:noWrap/>
            <w:vAlign w:val="center"/>
            <w:hideMark/>
          </w:tcPr>
          <w:p w14:paraId="74037D3A" w14:textId="77777777" w:rsidR="00751E59" w:rsidRPr="00DC5278" w:rsidRDefault="00751E59" w:rsidP="0085547B">
            <w:pPr>
              <w:suppressAutoHyphens/>
              <w:jc w:val="right"/>
              <w:rPr>
                <w:color w:val="000000"/>
              </w:rPr>
            </w:pPr>
            <w:r w:rsidRPr="00DC5278">
              <w:rPr>
                <w:color w:val="000000"/>
              </w:rPr>
              <w:t>99.9%</w:t>
            </w:r>
          </w:p>
        </w:tc>
        <w:tc>
          <w:tcPr>
            <w:tcW w:w="269" w:type="dxa"/>
            <w:tcBorders>
              <w:top w:val="nil"/>
              <w:left w:val="nil"/>
              <w:bottom w:val="nil"/>
              <w:right w:val="nil"/>
            </w:tcBorders>
            <w:shd w:val="clear" w:color="000000" w:fill="FFFFFF"/>
            <w:noWrap/>
            <w:vAlign w:val="center"/>
            <w:hideMark/>
          </w:tcPr>
          <w:p w14:paraId="74037D3B"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3C" w14:textId="77777777" w:rsidR="00751E59" w:rsidRPr="00DC5278" w:rsidRDefault="00751E59" w:rsidP="0085547B">
            <w:pPr>
              <w:suppressAutoHyphens/>
              <w:jc w:val="right"/>
              <w:rPr>
                <w:color w:val="000000"/>
              </w:rPr>
            </w:pPr>
            <w:r w:rsidRPr="00DC5278">
              <w:rPr>
                <w:color w:val="000000"/>
              </w:rPr>
              <w:t>34.1</w:t>
            </w:r>
          </w:p>
        </w:tc>
        <w:tc>
          <w:tcPr>
            <w:tcW w:w="864" w:type="dxa"/>
            <w:tcBorders>
              <w:top w:val="nil"/>
              <w:left w:val="nil"/>
              <w:bottom w:val="nil"/>
              <w:right w:val="nil"/>
            </w:tcBorders>
            <w:shd w:val="clear" w:color="000000" w:fill="FFFFFF"/>
            <w:noWrap/>
            <w:vAlign w:val="center"/>
            <w:hideMark/>
          </w:tcPr>
          <w:p w14:paraId="74037D3D" w14:textId="77777777" w:rsidR="00751E59" w:rsidRPr="00DC5278" w:rsidRDefault="00751E59" w:rsidP="0085547B">
            <w:pPr>
              <w:suppressAutoHyphens/>
              <w:jc w:val="right"/>
              <w:rPr>
                <w:color w:val="000000"/>
              </w:rPr>
            </w:pPr>
            <w:r w:rsidRPr="00DC5278">
              <w:rPr>
                <w:color w:val="000000"/>
              </w:rPr>
              <w:t>0.9%</w:t>
            </w:r>
          </w:p>
        </w:tc>
        <w:tc>
          <w:tcPr>
            <w:tcW w:w="1821" w:type="dxa"/>
            <w:tcBorders>
              <w:top w:val="nil"/>
              <w:left w:val="nil"/>
              <w:bottom w:val="nil"/>
              <w:right w:val="nil"/>
            </w:tcBorders>
            <w:shd w:val="clear" w:color="000000" w:fill="FFFFFF"/>
            <w:noWrap/>
            <w:vAlign w:val="center"/>
            <w:hideMark/>
          </w:tcPr>
          <w:p w14:paraId="74037D3E"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D48" w14:textId="77777777" w:rsidTr="00CD3ADA">
        <w:trPr>
          <w:trHeight w:val="255"/>
        </w:trPr>
        <w:tc>
          <w:tcPr>
            <w:tcW w:w="1743" w:type="dxa"/>
            <w:tcBorders>
              <w:top w:val="nil"/>
              <w:left w:val="nil"/>
              <w:bottom w:val="nil"/>
              <w:right w:val="nil"/>
            </w:tcBorders>
            <w:shd w:val="clear" w:color="000000" w:fill="FFFFFF"/>
            <w:noWrap/>
            <w:vAlign w:val="center"/>
            <w:hideMark/>
          </w:tcPr>
          <w:p w14:paraId="74037D40" w14:textId="77777777" w:rsidR="00751E59" w:rsidRPr="00DC5278" w:rsidRDefault="00751E59" w:rsidP="0036201B">
            <w:pPr>
              <w:suppressAutoHyphens/>
              <w:jc w:val="right"/>
              <w:rPr>
                <w:color w:val="000000"/>
              </w:rPr>
            </w:pPr>
            <w:r w:rsidRPr="00DC5278">
              <w:rPr>
                <w:color w:val="000000"/>
              </w:rPr>
              <w:t>Tariff reduction</w:t>
            </w:r>
          </w:p>
        </w:tc>
        <w:tc>
          <w:tcPr>
            <w:tcW w:w="794" w:type="dxa"/>
            <w:tcBorders>
              <w:top w:val="nil"/>
              <w:left w:val="nil"/>
              <w:bottom w:val="nil"/>
              <w:right w:val="nil"/>
            </w:tcBorders>
            <w:shd w:val="clear" w:color="000000" w:fill="FFFFFF"/>
            <w:noWrap/>
            <w:vAlign w:val="center"/>
            <w:hideMark/>
          </w:tcPr>
          <w:p w14:paraId="74037D41" w14:textId="22E96ECB" w:rsidR="00751E59" w:rsidRPr="00DC5278" w:rsidRDefault="00751E59" w:rsidP="0036201B">
            <w:pPr>
              <w:suppressAutoHyphens/>
              <w:jc w:val="right"/>
              <w:rPr>
                <w:color w:val="000000"/>
              </w:rPr>
            </w:pPr>
            <w:r w:rsidRPr="00DC5278">
              <w:rPr>
                <w:color w:val="000000"/>
              </w:rPr>
              <w:t xml:space="preserve">-   </w:t>
            </w:r>
          </w:p>
        </w:tc>
        <w:tc>
          <w:tcPr>
            <w:tcW w:w="864" w:type="dxa"/>
            <w:tcBorders>
              <w:top w:val="nil"/>
              <w:left w:val="nil"/>
              <w:bottom w:val="nil"/>
              <w:right w:val="nil"/>
            </w:tcBorders>
            <w:shd w:val="clear" w:color="000000" w:fill="FFFFFF"/>
            <w:noWrap/>
            <w:vAlign w:val="center"/>
            <w:hideMark/>
          </w:tcPr>
          <w:p w14:paraId="74037D42" w14:textId="704C14EB" w:rsidR="00751E59" w:rsidRPr="00DC5278" w:rsidRDefault="00751E59" w:rsidP="0036201B">
            <w:pPr>
              <w:suppressAutoHyphens/>
              <w:jc w:val="right"/>
              <w:rPr>
                <w:color w:val="000000"/>
              </w:rPr>
            </w:pPr>
            <w:r w:rsidRPr="00DC5278">
              <w:rPr>
                <w:color w:val="000000"/>
              </w:rPr>
              <w:t xml:space="preserve">-   </w:t>
            </w:r>
          </w:p>
        </w:tc>
        <w:tc>
          <w:tcPr>
            <w:tcW w:w="1196" w:type="dxa"/>
            <w:tcBorders>
              <w:top w:val="nil"/>
              <w:left w:val="nil"/>
              <w:bottom w:val="nil"/>
              <w:right w:val="nil"/>
            </w:tcBorders>
            <w:shd w:val="clear" w:color="000000" w:fill="FFFFFF"/>
            <w:noWrap/>
            <w:vAlign w:val="center"/>
            <w:hideMark/>
          </w:tcPr>
          <w:p w14:paraId="74037D43" w14:textId="77777777" w:rsidR="00751E59" w:rsidRPr="00DC5278" w:rsidRDefault="00751E59" w:rsidP="0036201B">
            <w:pPr>
              <w:suppressAutoHyphens/>
              <w:jc w:val="right"/>
              <w:rPr>
                <w:color w:val="000000"/>
              </w:rPr>
            </w:pPr>
            <w:r w:rsidRPr="00DC5278">
              <w:rPr>
                <w:color w:val="000000"/>
              </w:rPr>
              <w:t>99.9%</w:t>
            </w:r>
          </w:p>
        </w:tc>
        <w:tc>
          <w:tcPr>
            <w:tcW w:w="269" w:type="dxa"/>
            <w:tcBorders>
              <w:top w:val="nil"/>
              <w:left w:val="nil"/>
              <w:bottom w:val="nil"/>
              <w:right w:val="nil"/>
            </w:tcBorders>
            <w:shd w:val="clear" w:color="000000" w:fill="FFFFFF"/>
            <w:noWrap/>
            <w:vAlign w:val="center"/>
            <w:hideMark/>
          </w:tcPr>
          <w:p w14:paraId="74037D44" w14:textId="77777777" w:rsidR="00751E59" w:rsidRPr="00DC5278" w:rsidRDefault="00751E59" w:rsidP="0036201B">
            <w:pPr>
              <w:suppressAutoHyphens/>
              <w:jc w:val="right"/>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45" w14:textId="77777777" w:rsidR="00751E59" w:rsidRPr="00DC5278" w:rsidRDefault="00751E59" w:rsidP="0036201B">
            <w:pPr>
              <w:suppressAutoHyphens/>
              <w:jc w:val="right"/>
              <w:rPr>
                <w:color w:val="000000"/>
              </w:rPr>
            </w:pPr>
            <w:r w:rsidRPr="00DC5278">
              <w:rPr>
                <w:color w:val="000000"/>
              </w:rPr>
              <w:t>0.0</w:t>
            </w:r>
          </w:p>
        </w:tc>
        <w:tc>
          <w:tcPr>
            <w:tcW w:w="864" w:type="dxa"/>
            <w:tcBorders>
              <w:top w:val="nil"/>
              <w:left w:val="nil"/>
              <w:bottom w:val="nil"/>
              <w:right w:val="nil"/>
            </w:tcBorders>
            <w:shd w:val="clear" w:color="000000" w:fill="FFFFFF"/>
            <w:noWrap/>
            <w:vAlign w:val="center"/>
            <w:hideMark/>
          </w:tcPr>
          <w:p w14:paraId="74037D46" w14:textId="77866B25" w:rsidR="00751E59" w:rsidRPr="00DC5278" w:rsidRDefault="00751E59" w:rsidP="0036201B">
            <w:pPr>
              <w:suppressAutoHyphens/>
              <w:jc w:val="right"/>
              <w:rPr>
                <w:color w:val="000000"/>
              </w:rPr>
            </w:pPr>
            <w:r w:rsidRPr="00DC5278">
              <w:rPr>
                <w:color w:val="000000"/>
              </w:rPr>
              <w:t xml:space="preserve">-   </w:t>
            </w:r>
          </w:p>
        </w:tc>
        <w:tc>
          <w:tcPr>
            <w:tcW w:w="1821" w:type="dxa"/>
            <w:tcBorders>
              <w:top w:val="nil"/>
              <w:left w:val="nil"/>
              <w:bottom w:val="nil"/>
              <w:right w:val="nil"/>
            </w:tcBorders>
            <w:shd w:val="clear" w:color="000000" w:fill="FFFFFF"/>
            <w:noWrap/>
            <w:vAlign w:val="center"/>
            <w:hideMark/>
          </w:tcPr>
          <w:p w14:paraId="74037D47" w14:textId="77777777" w:rsidR="00751E59" w:rsidRPr="00DC5278" w:rsidRDefault="00751E59" w:rsidP="0036201B">
            <w:pPr>
              <w:suppressAutoHyphens/>
              <w:jc w:val="right"/>
              <w:rPr>
                <w:color w:val="000000"/>
              </w:rPr>
            </w:pPr>
            <w:r w:rsidRPr="00DC5278">
              <w:rPr>
                <w:color w:val="000000"/>
              </w:rPr>
              <w:t>100.0%</w:t>
            </w:r>
          </w:p>
        </w:tc>
      </w:tr>
      <w:tr w:rsidR="00751E59" w:rsidRPr="00DC5278" w14:paraId="74037D51" w14:textId="77777777" w:rsidTr="00CD3ADA">
        <w:trPr>
          <w:trHeight w:val="255"/>
        </w:trPr>
        <w:tc>
          <w:tcPr>
            <w:tcW w:w="1743" w:type="dxa"/>
            <w:tcBorders>
              <w:top w:val="nil"/>
              <w:left w:val="nil"/>
              <w:bottom w:val="nil"/>
              <w:right w:val="nil"/>
            </w:tcBorders>
            <w:shd w:val="clear" w:color="000000" w:fill="FFFFFF"/>
            <w:noWrap/>
            <w:vAlign w:val="center"/>
            <w:hideMark/>
          </w:tcPr>
          <w:p w14:paraId="74037D49" w14:textId="77777777" w:rsidR="00751E59" w:rsidRPr="00DC5278" w:rsidRDefault="00751E59" w:rsidP="0085547B">
            <w:pPr>
              <w:suppressAutoHyphens/>
              <w:rPr>
                <w:color w:val="000000"/>
              </w:rPr>
            </w:pPr>
            <w:r w:rsidRPr="00DC5278">
              <w:rPr>
                <w:color w:val="000000"/>
              </w:rPr>
              <w:t>Quota</w:t>
            </w:r>
          </w:p>
        </w:tc>
        <w:tc>
          <w:tcPr>
            <w:tcW w:w="794" w:type="dxa"/>
            <w:tcBorders>
              <w:top w:val="nil"/>
              <w:left w:val="nil"/>
              <w:bottom w:val="nil"/>
              <w:right w:val="nil"/>
            </w:tcBorders>
            <w:shd w:val="clear" w:color="000000" w:fill="FFFFFF"/>
            <w:noWrap/>
            <w:vAlign w:val="center"/>
            <w:hideMark/>
          </w:tcPr>
          <w:p w14:paraId="74037D4A" w14:textId="77777777" w:rsidR="00751E59" w:rsidRPr="00DC5278" w:rsidRDefault="00751E59" w:rsidP="0085547B">
            <w:pPr>
              <w:suppressAutoHyphens/>
              <w:jc w:val="right"/>
              <w:rPr>
                <w:color w:val="000000"/>
              </w:rPr>
            </w:pPr>
            <w:r w:rsidRPr="00DC5278">
              <w:rPr>
                <w:color w:val="000000"/>
              </w:rPr>
              <w:t>10</w:t>
            </w:r>
          </w:p>
        </w:tc>
        <w:tc>
          <w:tcPr>
            <w:tcW w:w="864" w:type="dxa"/>
            <w:tcBorders>
              <w:top w:val="nil"/>
              <w:left w:val="nil"/>
              <w:bottom w:val="nil"/>
              <w:right w:val="nil"/>
            </w:tcBorders>
            <w:shd w:val="clear" w:color="000000" w:fill="FFFFFF"/>
            <w:noWrap/>
            <w:vAlign w:val="center"/>
            <w:hideMark/>
          </w:tcPr>
          <w:p w14:paraId="74037D4B" w14:textId="77777777" w:rsidR="00751E59" w:rsidRPr="00DC5278" w:rsidRDefault="00751E59" w:rsidP="0085547B">
            <w:pPr>
              <w:suppressAutoHyphens/>
              <w:jc w:val="right"/>
              <w:rPr>
                <w:color w:val="000000"/>
              </w:rPr>
            </w:pPr>
            <w:r w:rsidRPr="00DC5278">
              <w:rPr>
                <w:color w:val="000000"/>
              </w:rPr>
              <w:t>0.1%</w:t>
            </w:r>
          </w:p>
        </w:tc>
        <w:tc>
          <w:tcPr>
            <w:tcW w:w="1196" w:type="dxa"/>
            <w:tcBorders>
              <w:top w:val="nil"/>
              <w:left w:val="nil"/>
              <w:bottom w:val="nil"/>
              <w:right w:val="nil"/>
            </w:tcBorders>
            <w:shd w:val="clear" w:color="000000" w:fill="FFFFFF"/>
            <w:noWrap/>
            <w:vAlign w:val="center"/>
            <w:hideMark/>
          </w:tcPr>
          <w:p w14:paraId="74037D4C"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D4D"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4E" w14:textId="77777777" w:rsidR="00751E59" w:rsidRPr="00DC5278" w:rsidRDefault="00751E59" w:rsidP="0085547B">
            <w:pPr>
              <w:suppressAutoHyphens/>
              <w:jc w:val="right"/>
              <w:rPr>
                <w:color w:val="000000"/>
              </w:rPr>
            </w:pPr>
            <w:r w:rsidRPr="00DC5278">
              <w:rPr>
                <w:color w:val="000000"/>
              </w:rPr>
              <w:t>0.0</w:t>
            </w:r>
          </w:p>
        </w:tc>
        <w:tc>
          <w:tcPr>
            <w:tcW w:w="864" w:type="dxa"/>
            <w:tcBorders>
              <w:top w:val="nil"/>
              <w:left w:val="nil"/>
              <w:bottom w:val="nil"/>
              <w:right w:val="nil"/>
            </w:tcBorders>
            <w:shd w:val="clear" w:color="000000" w:fill="FFFFFF"/>
            <w:noWrap/>
            <w:vAlign w:val="center"/>
            <w:hideMark/>
          </w:tcPr>
          <w:p w14:paraId="74037D4F" w14:textId="77777777" w:rsidR="00751E59" w:rsidRPr="00DC5278" w:rsidRDefault="00751E59" w:rsidP="0085547B">
            <w:pPr>
              <w:suppressAutoHyphens/>
              <w:jc w:val="right"/>
              <w:rPr>
                <w:color w:val="000000"/>
              </w:rPr>
            </w:pPr>
            <w:r w:rsidRPr="00DC5278">
              <w:rPr>
                <w:color w:val="000000"/>
              </w:rPr>
              <w:t>0.0%</w:t>
            </w:r>
          </w:p>
        </w:tc>
        <w:tc>
          <w:tcPr>
            <w:tcW w:w="1821" w:type="dxa"/>
            <w:tcBorders>
              <w:top w:val="nil"/>
              <w:left w:val="nil"/>
              <w:bottom w:val="nil"/>
              <w:right w:val="nil"/>
            </w:tcBorders>
            <w:shd w:val="clear" w:color="000000" w:fill="FFFFFF"/>
            <w:noWrap/>
            <w:vAlign w:val="center"/>
            <w:hideMark/>
          </w:tcPr>
          <w:p w14:paraId="74037D50"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D5A" w14:textId="77777777" w:rsidTr="00CD3ADA">
        <w:trPr>
          <w:trHeight w:val="270"/>
        </w:trPr>
        <w:tc>
          <w:tcPr>
            <w:tcW w:w="1743" w:type="dxa"/>
            <w:tcBorders>
              <w:top w:val="nil"/>
              <w:left w:val="nil"/>
              <w:bottom w:val="single" w:sz="8" w:space="0" w:color="auto"/>
              <w:right w:val="nil"/>
            </w:tcBorders>
            <w:noWrap/>
            <w:vAlign w:val="bottom"/>
            <w:hideMark/>
          </w:tcPr>
          <w:p w14:paraId="74037D52" w14:textId="77777777" w:rsidR="00751E59" w:rsidRPr="00DC5278" w:rsidRDefault="00751E59" w:rsidP="0085547B">
            <w:pPr>
              <w:suppressAutoHyphens/>
              <w:rPr>
                <w:color w:val="000000"/>
              </w:rPr>
            </w:pPr>
            <w:r w:rsidRPr="00DC5278">
              <w:rPr>
                <w:color w:val="000000"/>
              </w:rPr>
              <w:t>Total</w:t>
            </w:r>
          </w:p>
        </w:tc>
        <w:tc>
          <w:tcPr>
            <w:tcW w:w="794" w:type="dxa"/>
            <w:tcBorders>
              <w:top w:val="nil"/>
              <w:left w:val="nil"/>
              <w:bottom w:val="single" w:sz="8" w:space="0" w:color="auto"/>
              <w:right w:val="nil"/>
            </w:tcBorders>
            <w:shd w:val="clear" w:color="000000" w:fill="FFFFFF"/>
            <w:noWrap/>
            <w:vAlign w:val="center"/>
            <w:hideMark/>
          </w:tcPr>
          <w:p w14:paraId="74037D53" w14:textId="77777777" w:rsidR="00751E59" w:rsidRPr="00DC5278" w:rsidRDefault="00751E59" w:rsidP="0085547B">
            <w:pPr>
              <w:suppressAutoHyphens/>
              <w:jc w:val="right"/>
              <w:rPr>
                <w:color w:val="000000"/>
              </w:rPr>
            </w:pPr>
            <w:r w:rsidRPr="00DC5278">
              <w:rPr>
                <w:color w:val="000000"/>
              </w:rPr>
              <w:t>10,399</w:t>
            </w:r>
          </w:p>
        </w:tc>
        <w:tc>
          <w:tcPr>
            <w:tcW w:w="864" w:type="dxa"/>
            <w:tcBorders>
              <w:top w:val="nil"/>
              <w:left w:val="nil"/>
              <w:bottom w:val="single" w:sz="8" w:space="0" w:color="auto"/>
              <w:right w:val="nil"/>
            </w:tcBorders>
            <w:shd w:val="clear" w:color="000000" w:fill="FFFFFF"/>
            <w:noWrap/>
            <w:vAlign w:val="center"/>
            <w:hideMark/>
          </w:tcPr>
          <w:p w14:paraId="74037D54" w14:textId="77777777" w:rsidR="00751E59" w:rsidRPr="00DC5278" w:rsidRDefault="00751E59" w:rsidP="0085547B">
            <w:pPr>
              <w:suppressAutoHyphens/>
              <w:jc w:val="right"/>
              <w:rPr>
                <w:color w:val="000000"/>
              </w:rPr>
            </w:pPr>
            <w:r w:rsidRPr="00DC5278">
              <w:rPr>
                <w:color w:val="000000"/>
              </w:rPr>
              <w:t>100.0%</w:t>
            </w:r>
          </w:p>
        </w:tc>
        <w:tc>
          <w:tcPr>
            <w:tcW w:w="1196" w:type="dxa"/>
            <w:tcBorders>
              <w:top w:val="nil"/>
              <w:left w:val="nil"/>
              <w:bottom w:val="single" w:sz="8" w:space="0" w:color="auto"/>
              <w:right w:val="nil"/>
            </w:tcBorders>
            <w:shd w:val="clear" w:color="000000" w:fill="FFFFFF"/>
            <w:noWrap/>
            <w:vAlign w:val="center"/>
            <w:hideMark/>
          </w:tcPr>
          <w:p w14:paraId="74037D55"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single" w:sz="8" w:space="0" w:color="auto"/>
              <w:right w:val="nil"/>
            </w:tcBorders>
            <w:shd w:val="clear" w:color="000000" w:fill="FFFFFF"/>
            <w:noWrap/>
            <w:vAlign w:val="center"/>
            <w:hideMark/>
          </w:tcPr>
          <w:p w14:paraId="74037D56"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single" w:sz="8" w:space="0" w:color="auto"/>
              <w:right w:val="nil"/>
            </w:tcBorders>
            <w:shd w:val="clear" w:color="000000" w:fill="FFFFFF"/>
            <w:noWrap/>
            <w:vAlign w:val="center"/>
            <w:hideMark/>
          </w:tcPr>
          <w:p w14:paraId="74037D57" w14:textId="77777777" w:rsidR="00751E59" w:rsidRPr="00DC5278" w:rsidRDefault="00751E59" w:rsidP="0085547B">
            <w:pPr>
              <w:suppressAutoHyphens/>
              <w:jc w:val="right"/>
              <w:rPr>
                <w:color w:val="000000"/>
              </w:rPr>
            </w:pPr>
            <w:r w:rsidRPr="00DC5278">
              <w:rPr>
                <w:color w:val="000000"/>
              </w:rPr>
              <w:t>3,598.6</w:t>
            </w:r>
          </w:p>
        </w:tc>
        <w:tc>
          <w:tcPr>
            <w:tcW w:w="864" w:type="dxa"/>
            <w:tcBorders>
              <w:top w:val="nil"/>
              <w:left w:val="nil"/>
              <w:bottom w:val="single" w:sz="8" w:space="0" w:color="auto"/>
              <w:right w:val="nil"/>
            </w:tcBorders>
            <w:shd w:val="clear" w:color="000000" w:fill="FFFFFF"/>
            <w:noWrap/>
            <w:vAlign w:val="center"/>
            <w:hideMark/>
          </w:tcPr>
          <w:p w14:paraId="74037D58" w14:textId="77777777" w:rsidR="00751E59" w:rsidRPr="00DC5278" w:rsidRDefault="00751E59" w:rsidP="0085547B">
            <w:pPr>
              <w:suppressAutoHyphens/>
              <w:jc w:val="right"/>
              <w:rPr>
                <w:color w:val="000000"/>
              </w:rPr>
            </w:pPr>
            <w:r w:rsidRPr="00DC5278">
              <w:rPr>
                <w:color w:val="000000"/>
              </w:rPr>
              <w:t>100.0%</w:t>
            </w:r>
          </w:p>
        </w:tc>
        <w:tc>
          <w:tcPr>
            <w:tcW w:w="1821" w:type="dxa"/>
            <w:tcBorders>
              <w:top w:val="nil"/>
              <w:left w:val="nil"/>
              <w:bottom w:val="single" w:sz="8" w:space="0" w:color="auto"/>
              <w:right w:val="nil"/>
            </w:tcBorders>
            <w:shd w:val="clear" w:color="000000" w:fill="FFFFFF"/>
            <w:noWrap/>
            <w:vAlign w:val="center"/>
            <w:hideMark/>
          </w:tcPr>
          <w:p w14:paraId="74037D59" w14:textId="77777777" w:rsidR="00751E59" w:rsidRPr="00DC5278" w:rsidRDefault="00751E59" w:rsidP="0085547B">
            <w:pPr>
              <w:suppressAutoHyphens/>
              <w:jc w:val="right"/>
              <w:rPr>
                <w:color w:val="000000"/>
              </w:rPr>
            </w:pPr>
            <w:r w:rsidRPr="00DC5278">
              <w:rPr>
                <w:color w:val="000000"/>
              </w:rPr>
              <w:t>100.0%</w:t>
            </w:r>
          </w:p>
        </w:tc>
      </w:tr>
    </w:tbl>
    <w:p w14:paraId="74037D5B" w14:textId="77777777" w:rsidR="00751E59" w:rsidRPr="00DC5278" w:rsidRDefault="00751E59" w:rsidP="0085547B">
      <w:pPr>
        <w:suppressAutoHyphens/>
      </w:pPr>
    </w:p>
    <w:p w14:paraId="74037D5C" w14:textId="77777777" w:rsidR="00751E59" w:rsidRPr="00DC5278" w:rsidRDefault="00751E59" w:rsidP="0085547B">
      <w:pPr>
        <w:suppressAutoHyphens/>
        <w:rPr>
          <w:b/>
          <w:u w:val="single"/>
        </w:rPr>
      </w:pPr>
      <w:r w:rsidRPr="00DC5278">
        <w:rPr>
          <w:b/>
          <w:u w:val="single"/>
        </w:rPr>
        <w:t xml:space="preserve">Elimination schedule for Mexico’s tariffs on imports of Australian goods </w:t>
      </w:r>
    </w:p>
    <w:p w14:paraId="74037D5D" w14:textId="77777777" w:rsidR="00751E59" w:rsidRPr="00DC5278" w:rsidRDefault="00751E59" w:rsidP="0085547B">
      <w:pPr>
        <w:suppressAutoHyphens/>
      </w:pPr>
    </w:p>
    <w:tbl>
      <w:tblPr>
        <w:tblW w:w="8838" w:type="dxa"/>
        <w:tblInd w:w="93" w:type="dxa"/>
        <w:tblLook w:val="04A0" w:firstRow="1" w:lastRow="0" w:firstColumn="1" w:lastColumn="0" w:noHBand="0" w:noVBand="1"/>
      </w:tblPr>
      <w:tblGrid>
        <w:gridCol w:w="1743"/>
        <w:gridCol w:w="876"/>
        <w:gridCol w:w="956"/>
        <w:gridCol w:w="1336"/>
        <w:gridCol w:w="276"/>
        <w:gridCol w:w="1287"/>
        <w:gridCol w:w="956"/>
        <w:gridCol w:w="1821"/>
      </w:tblGrid>
      <w:tr w:rsidR="00751E59" w:rsidRPr="00DC5278" w14:paraId="74037D62" w14:textId="77777777" w:rsidTr="00CD3ADA">
        <w:trPr>
          <w:trHeight w:val="285"/>
        </w:trPr>
        <w:tc>
          <w:tcPr>
            <w:tcW w:w="1743" w:type="dxa"/>
            <w:vMerge w:val="restart"/>
            <w:tcBorders>
              <w:top w:val="single" w:sz="12" w:space="0" w:color="auto"/>
              <w:left w:val="nil"/>
              <w:bottom w:val="single" w:sz="8" w:space="0" w:color="000000"/>
              <w:right w:val="nil"/>
            </w:tcBorders>
            <w:shd w:val="clear" w:color="000000" w:fill="D8D8D8"/>
            <w:vAlign w:val="center"/>
            <w:hideMark/>
          </w:tcPr>
          <w:p w14:paraId="74037D5E" w14:textId="77777777" w:rsidR="00751E59" w:rsidRPr="00DC5278" w:rsidRDefault="00751E59" w:rsidP="0085547B">
            <w:pPr>
              <w:suppressAutoHyphens/>
              <w:jc w:val="center"/>
              <w:rPr>
                <w:b/>
                <w:bCs/>
                <w:color w:val="000000"/>
              </w:rPr>
            </w:pPr>
            <w:r w:rsidRPr="00DC5278">
              <w:rPr>
                <w:b/>
                <w:bCs/>
                <w:color w:val="000000"/>
              </w:rPr>
              <w:t>Staging category</w:t>
            </w:r>
          </w:p>
        </w:tc>
        <w:tc>
          <w:tcPr>
            <w:tcW w:w="2854" w:type="dxa"/>
            <w:gridSpan w:val="3"/>
            <w:tcBorders>
              <w:top w:val="single" w:sz="12" w:space="0" w:color="auto"/>
              <w:left w:val="nil"/>
              <w:bottom w:val="single" w:sz="8" w:space="0" w:color="auto"/>
              <w:right w:val="nil"/>
            </w:tcBorders>
            <w:shd w:val="clear" w:color="000000" w:fill="D8D8D8"/>
            <w:vAlign w:val="center"/>
            <w:hideMark/>
          </w:tcPr>
          <w:p w14:paraId="74037D5F" w14:textId="77777777" w:rsidR="00751E59" w:rsidRPr="00DC5278" w:rsidRDefault="00751E59" w:rsidP="0085547B">
            <w:pPr>
              <w:suppressAutoHyphens/>
              <w:jc w:val="center"/>
              <w:rPr>
                <w:b/>
                <w:bCs/>
                <w:color w:val="000000"/>
              </w:rPr>
            </w:pPr>
            <w:r w:rsidRPr="00DC5278">
              <w:rPr>
                <w:b/>
                <w:bCs/>
                <w:color w:val="000000"/>
              </w:rPr>
              <w:t xml:space="preserve"> Tariff lines </w:t>
            </w:r>
          </w:p>
        </w:tc>
        <w:tc>
          <w:tcPr>
            <w:tcW w:w="269" w:type="dxa"/>
            <w:tcBorders>
              <w:top w:val="single" w:sz="12" w:space="0" w:color="auto"/>
              <w:left w:val="nil"/>
              <w:bottom w:val="nil"/>
              <w:right w:val="nil"/>
            </w:tcBorders>
            <w:shd w:val="clear" w:color="000000" w:fill="D8D8D8"/>
            <w:vAlign w:val="center"/>
            <w:hideMark/>
          </w:tcPr>
          <w:p w14:paraId="74037D60" w14:textId="77777777" w:rsidR="00751E59" w:rsidRPr="00DC5278" w:rsidRDefault="00751E59" w:rsidP="0085547B">
            <w:pPr>
              <w:suppressAutoHyphens/>
              <w:jc w:val="center"/>
              <w:rPr>
                <w:b/>
                <w:bCs/>
                <w:color w:val="000000"/>
              </w:rPr>
            </w:pPr>
            <w:r w:rsidRPr="00DC5278">
              <w:rPr>
                <w:b/>
                <w:bCs/>
                <w:color w:val="000000"/>
              </w:rPr>
              <w:t> </w:t>
            </w:r>
          </w:p>
        </w:tc>
        <w:tc>
          <w:tcPr>
            <w:tcW w:w="3972" w:type="dxa"/>
            <w:gridSpan w:val="3"/>
            <w:tcBorders>
              <w:top w:val="single" w:sz="12" w:space="0" w:color="auto"/>
              <w:left w:val="nil"/>
              <w:bottom w:val="single" w:sz="8" w:space="0" w:color="auto"/>
              <w:right w:val="nil"/>
            </w:tcBorders>
            <w:shd w:val="clear" w:color="000000" w:fill="D8D8D8"/>
            <w:noWrap/>
            <w:vAlign w:val="center"/>
            <w:hideMark/>
          </w:tcPr>
          <w:p w14:paraId="74037D61" w14:textId="77777777" w:rsidR="00751E59" w:rsidRPr="00DC5278" w:rsidRDefault="00751E59" w:rsidP="0085547B">
            <w:pPr>
              <w:suppressAutoHyphens/>
              <w:jc w:val="center"/>
              <w:rPr>
                <w:b/>
                <w:bCs/>
                <w:color w:val="000000"/>
              </w:rPr>
            </w:pPr>
            <w:r w:rsidRPr="00DC5278">
              <w:rPr>
                <w:b/>
                <w:bCs/>
                <w:color w:val="000000"/>
              </w:rPr>
              <w:t xml:space="preserve">Mexico's imports from Australia </w:t>
            </w:r>
          </w:p>
        </w:tc>
      </w:tr>
      <w:tr w:rsidR="00751E59" w:rsidRPr="00DC5278" w14:paraId="74037D6B" w14:textId="77777777" w:rsidTr="00CD3ADA">
        <w:trPr>
          <w:trHeight w:val="525"/>
        </w:trPr>
        <w:tc>
          <w:tcPr>
            <w:tcW w:w="1743" w:type="dxa"/>
            <w:vMerge/>
            <w:tcBorders>
              <w:top w:val="single" w:sz="12" w:space="0" w:color="auto"/>
              <w:left w:val="nil"/>
              <w:bottom w:val="single" w:sz="8" w:space="0" w:color="000000"/>
              <w:right w:val="nil"/>
            </w:tcBorders>
            <w:vAlign w:val="center"/>
            <w:hideMark/>
          </w:tcPr>
          <w:p w14:paraId="74037D63" w14:textId="77777777" w:rsidR="00751E59" w:rsidRPr="00DC5278" w:rsidRDefault="00751E59" w:rsidP="0085547B">
            <w:pPr>
              <w:suppressAutoHyphens/>
              <w:rPr>
                <w:b/>
                <w:bCs/>
                <w:color w:val="000000"/>
              </w:rPr>
            </w:pPr>
          </w:p>
        </w:tc>
        <w:tc>
          <w:tcPr>
            <w:tcW w:w="794" w:type="dxa"/>
            <w:tcBorders>
              <w:top w:val="nil"/>
              <w:left w:val="nil"/>
              <w:bottom w:val="single" w:sz="8" w:space="0" w:color="auto"/>
              <w:right w:val="nil"/>
            </w:tcBorders>
            <w:shd w:val="clear" w:color="000000" w:fill="D8D8D8"/>
            <w:noWrap/>
            <w:vAlign w:val="center"/>
            <w:hideMark/>
          </w:tcPr>
          <w:p w14:paraId="74037D64" w14:textId="77777777" w:rsidR="00751E59" w:rsidRPr="00DC5278" w:rsidRDefault="00751E59" w:rsidP="0085547B">
            <w:pPr>
              <w:suppressAutoHyphens/>
              <w:jc w:val="center"/>
              <w:rPr>
                <w:color w:val="000000"/>
              </w:rPr>
            </w:pPr>
            <w:r w:rsidRPr="00DC5278">
              <w:rPr>
                <w:color w:val="000000"/>
              </w:rPr>
              <w:t xml:space="preserve"> No. </w:t>
            </w:r>
          </w:p>
        </w:tc>
        <w:tc>
          <w:tcPr>
            <w:tcW w:w="864" w:type="dxa"/>
            <w:tcBorders>
              <w:top w:val="nil"/>
              <w:left w:val="nil"/>
              <w:bottom w:val="single" w:sz="8" w:space="0" w:color="auto"/>
              <w:right w:val="nil"/>
            </w:tcBorders>
            <w:shd w:val="clear" w:color="000000" w:fill="D8D8D8"/>
            <w:vAlign w:val="center"/>
            <w:hideMark/>
          </w:tcPr>
          <w:p w14:paraId="74037D65" w14:textId="77777777" w:rsidR="00751E59" w:rsidRPr="00DC5278" w:rsidRDefault="00751E59" w:rsidP="0085547B">
            <w:pPr>
              <w:suppressAutoHyphens/>
              <w:jc w:val="center"/>
              <w:rPr>
                <w:color w:val="000000"/>
              </w:rPr>
            </w:pPr>
            <w:r w:rsidRPr="00DC5278">
              <w:rPr>
                <w:color w:val="000000"/>
              </w:rPr>
              <w:t xml:space="preserve">  % of total </w:t>
            </w:r>
          </w:p>
        </w:tc>
        <w:tc>
          <w:tcPr>
            <w:tcW w:w="1196" w:type="dxa"/>
            <w:tcBorders>
              <w:top w:val="nil"/>
              <w:left w:val="nil"/>
              <w:bottom w:val="single" w:sz="8" w:space="0" w:color="auto"/>
              <w:right w:val="nil"/>
            </w:tcBorders>
            <w:shd w:val="clear" w:color="000000" w:fill="D8D8D8"/>
            <w:vAlign w:val="center"/>
            <w:hideMark/>
          </w:tcPr>
          <w:p w14:paraId="74037D66" w14:textId="77777777" w:rsidR="00751E59" w:rsidRPr="00DC5278" w:rsidRDefault="00751E59" w:rsidP="0085547B">
            <w:pPr>
              <w:suppressAutoHyphens/>
              <w:jc w:val="center"/>
              <w:rPr>
                <w:color w:val="000000"/>
              </w:rPr>
            </w:pPr>
            <w:r w:rsidRPr="00DC5278">
              <w:rPr>
                <w:color w:val="000000"/>
              </w:rPr>
              <w:t xml:space="preserve"> Cumulative (%) </w:t>
            </w:r>
          </w:p>
        </w:tc>
        <w:tc>
          <w:tcPr>
            <w:tcW w:w="269" w:type="dxa"/>
            <w:tcBorders>
              <w:top w:val="nil"/>
              <w:left w:val="nil"/>
              <w:bottom w:val="single" w:sz="8" w:space="0" w:color="auto"/>
              <w:right w:val="nil"/>
            </w:tcBorders>
            <w:shd w:val="clear" w:color="000000" w:fill="D8D8D8"/>
            <w:vAlign w:val="center"/>
            <w:hideMark/>
          </w:tcPr>
          <w:p w14:paraId="74037D67" w14:textId="77777777" w:rsidR="00751E59" w:rsidRPr="00DC5278" w:rsidRDefault="00751E59" w:rsidP="0085547B">
            <w:pPr>
              <w:suppressAutoHyphens/>
              <w:jc w:val="center"/>
              <w:rPr>
                <w:color w:val="000000"/>
              </w:rPr>
            </w:pPr>
            <w:r w:rsidRPr="00DC5278">
              <w:rPr>
                <w:color w:val="000000"/>
              </w:rPr>
              <w:t> </w:t>
            </w:r>
          </w:p>
        </w:tc>
        <w:tc>
          <w:tcPr>
            <w:tcW w:w="1287" w:type="dxa"/>
            <w:tcBorders>
              <w:top w:val="nil"/>
              <w:left w:val="nil"/>
              <w:bottom w:val="single" w:sz="8" w:space="0" w:color="auto"/>
              <w:right w:val="nil"/>
            </w:tcBorders>
            <w:shd w:val="clear" w:color="000000" w:fill="D8D8D8"/>
            <w:vAlign w:val="center"/>
            <w:hideMark/>
          </w:tcPr>
          <w:p w14:paraId="74037D68"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864" w:type="dxa"/>
            <w:tcBorders>
              <w:top w:val="nil"/>
              <w:left w:val="nil"/>
              <w:bottom w:val="single" w:sz="8" w:space="0" w:color="auto"/>
              <w:right w:val="nil"/>
            </w:tcBorders>
            <w:shd w:val="clear" w:color="000000" w:fill="D8D8D8"/>
            <w:vAlign w:val="center"/>
            <w:hideMark/>
          </w:tcPr>
          <w:p w14:paraId="74037D69" w14:textId="77777777" w:rsidR="00751E59" w:rsidRPr="00DC5278" w:rsidRDefault="00751E59" w:rsidP="0085547B">
            <w:pPr>
              <w:suppressAutoHyphens/>
              <w:jc w:val="center"/>
              <w:rPr>
                <w:color w:val="000000"/>
              </w:rPr>
            </w:pPr>
            <w:r w:rsidRPr="00DC5278">
              <w:rPr>
                <w:color w:val="000000"/>
              </w:rPr>
              <w:t xml:space="preserve">  % of total </w:t>
            </w:r>
          </w:p>
        </w:tc>
        <w:tc>
          <w:tcPr>
            <w:tcW w:w="1821" w:type="dxa"/>
            <w:tcBorders>
              <w:top w:val="nil"/>
              <w:left w:val="nil"/>
              <w:bottom w:val="single" w:sz="8" w:space="0" w:color="auto"/>
              <w:right w:val="nil"/>
            </w:tcBorders>
            <w:shd w:val="clear" w:color="000000" w:fill="D8D8D8"/>
            <w:vAlign w:val="center"/>
            <w:hideMark/>
          </w:tcPr>
          <w:p w14:paraId="74037D6A"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D74" w14:textId="77777777" w:rsidTr="00CD3ADA">
        <w:trPr>
          <w:trHeight w:val="255"/>
        </w:trPr>
        <w:tc>
          <w:tcPr>
            <w:tcW w:w="1743" w:type="dxa"/>
            <w:tcBorders>
              <w:top w:val="nil"/>
              <w:left w:val="nil"/>
              <w:bottom w:val="nil"/>
              <w:right w:val="nil"/>
            </w:tcBorders>
            <w:shd w:val="clear" w:color="000000" w:fill="FFFFFF"/>
            <w:noWrap/>
            <w:vAlign w:val="center"/>
            <w:hideMark/>
          </w:tcPr>
          <w:p w14:paraId="74037D6C" w14:textId="77777777" w:rsidR="00751E59" w:rsidRPr="00DC5278" w:rsidRDefault="00751E59" w:rsidP="0085547B">
            <w:pPr>
              <w:suppressAutoHyphens/>
              <w:rPr>
                <w:color w:val="000000"/>
              </w:rPr>
            </w:pPr>
            <w:r w:rsidRPr="00DC5278">
              <w:rPr>
                <w:color w:val="000000"/>
              </w:rPr>
              <w:t>MFN 0%</w:t>
            </w:r>
          </w:p>
        </w:tc>
        <w:tc>
          <w:tcPr>
            <w:tcW w:w="794" w:type="dxa"/>
            <w:tcBorders>
              <w:top w:val="nil"/>
              <w:left w:val="nil"/>
              <w:bottom w:val="nil"/>
              <w:right w:val="nil"/>
            </w:tcBorders>
            <w:shd w:val="clear" w:color="000000" w:fill="FFFFFF"/>
            <w:noWrap/>
            <w:vAlign w:val="center"/>
            <w:hideMark/>
          </w:tcPr>
          <w:p w14:paraId="74037D6D" w14:textId="77777777" w:rsidR="00751E59" w:rsidRPr="00DC5278" w:rsidRDefault="00751E59" w:rsidP="0085547B">
            <w:pPr>
              <w:suppressAutoHyphens/>
              <w:jc w:val="right"/>
              <w:rPr>
                <w:color w:val="000000"/>
              </w:rPr>
            </w:pPr>
            <w:r w:rsidRPr="00DC5278">
              <w:rPr>
                <w:color w:val="000000"/>
              </w:rPr>
              <w:t>6,800</w:t>
            </w:r>
          </w:p>
        </w:tc>
        <w:tc>
          <w:tcPr>
            <w:tcW w:w="864" w:type="dxa"/>
            <w:tcBorders>
              <w:top w:val="nil"/>
              <w:left w:val="nil"/>
              <w:bottom w:val="nil"/>
              <w:right w:val="nil"/>
            </w:tcBorders>
            <w:shd w:val="clear" w:color="000000" w:fill="FFFFFF"/>
            <w:noWrap/>
            <w:vAlign w:val="center"/>
            <w:hideMark/>
          </w:tcPr>
          <w:p w14:paraId="74037D6E" w14:textId="77777777" w:rsidR="00751E59" w:rsidRPr="00DC5278" w:rsidRDefault="00751E59" w:rsidP="0085547B">
            <w:pPr>
              <w:suppressAutoHyphens/>
              <w:jc w:val="right"/>
              <w:rPr>
                <w:color w:val="000000"/>
              </w:rPr>
            </w:pPr>
            <w:r w:rsidRPr="00DC5278">
              <w:rPr>
                <w:color w:val="000000"/>
              </w:rPr>
              <w:t>56.2%</w:t>
            </w:r>
          </w:p>
        </w:tc>
        <w:tc>
          <w:tcPr>
            <w:tcW w:w="1196" w:type="dxa"/>
            <w:tcBorders>
              <w:top w:val="nil"/>
              <w:left w:val="nil"/>
              <w:bottom w:val="nil"/>
              <w:right w:val="nil"/>
            </w:tcBorders>
            <w:shd w:val="clear" w:color="000000" w:fill="FFFFFF"/>
            <w:noWrap/>
            <w:vAlign w:val="center"/>
            <w:hideMark/>
          </w:tcPr>
          <w:p w14:paraId="74037D6F" w14:textId="77777777" w:rsidR="00751E59" w:rsidRPr="00DC5278" w:rsidRDefault="00751E59" w:rsidP="0085547B">
            <w:pPr>
              <w:suppressAutoHyphens/>
              <w:jc w:val="right"/>
              <w:rPr>
                <w:color w:val="000000"/>
              </w:rPr>
            </w:pPr>
            <w:r w:rsidRPr="00DC5278">
              <w:rPr>
                <w:color w:val="000000"/>
              </w:rPr>
              <w:t>56.2%</w:t>
            </w:r>
          </w:p>
        </w:tc>
        <w:tc>
          <w:tcPr>
            <w:tcW w:w="269" w:type="dxa"/>
            <w:tcBorders>
              <w:top w:val="nil"/>
              <w:left w:val="nil"/>
              <w:bottom w:val="nil"/>
              <w:right w:val="nil"/>
            </w:tcBorders>
            <w:shd w:val="clear" w:color="000000" w:fill="FFFFFF"/>
            <w:noWrap/>
            <w:vAlign w:val="center"/>
            <w:hideMark/>
          </w:tcPr>
          <w:p w14:paraId="74037D70"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71" w14:textId="77777777" w:rsidR="00751E59" w:rsidRPr="00DC5278" w:rsidRDefault="00751E59" w:rsidP="0085547B">
            <w:pPr>
              <w:suppressAutoHyphens/>
              <w:jc w:val="right"/>
              <w:rPr>
                <w:color w:val="000000"/>
              </w:rPr>
            </w:pPr>
            <w:r w:rsidRPr="00DC5278">
              <w:rPr>
                <w:color w:val="000000"/>
              </w:rPr>
              <w:t>693.0</w:t>
            </w:r>
          </w:p>
        </w:tc>
        <w:tc>
          <w:tcPr>
            <w:tcW w:w="864" w:type="dxa"/>
            <w:tcBorders>
              <w:top w:val="nil"/>
              <w:left w:val="nil"/>
              <w:bottom w:val="nil"/>
              <w:right w:val="nil"/>
            </w:tcBorders>
            <w:shd w:val="clear" w:color="000000" w:fill="FFFFFF"/>
            <w:noWrap/>
            <w:vAlign w:val="center"/>
            <w:hideMark/>
          </w:tcPr>
          <w:p w14:paraId="74037D72" w14:textId="77777777" w:rsidR="00751E59" w:rsidRPr="00DC5278" w:rsidRDefault="00751E59" w:rsidP="0085547B">
            <w:pPr>
              <w:suppressAutoHyphens/>
              <w:jc w:val="right"/>
              <w:rPr>
                <w:color w:val="000000"/>
              </w:rPr>
            </w:pPr>
            <w:r w:rsidRPr="00DC5278">
              <w:rPr>
                <w:color w:val="000000"/>
              </w:rPr>
              <w:t>87.4%</w:t>
            </w:r>
          </w:p>
        </w:tc>
        <w:tc>
          <w:tcPr>
            <w:tcW w:w="1821" w:type="dxa"/>
            <w:tcBorders>
              <w:top w:val="nil"/>
              <w:left w:val="nil"/>
              <w:bottom w:val="nil"/>
              <w:right w:val="nil"/>
            </w:tcBorders>
            <w:shd w:val="clear" w:color="000000" w:fill="FFFFFF"/>
            <w:noWrap/>
            <w:vAlign w:val="center"/>
            <w:hideMark/>
          </w:tcPr>
          <w:p w14:paraId="74037D73" w14:textId="77777777" w:rsidR="00751E59" w:rsidRPr="00DC5278" w:rsidRDefault="00751E59" w:rsidP="0085547B">
            <w:pPr>
              <w:suppressAutoHyphens/>
              <w:jc w:val="right"/>
              <w:rPr>
                <w:color w:val="000000"/>
              </w:rPr>
            </w:pPr>
            <w:r w:rsidRPr="00DC5278">
              <w:rPr>
                <w:color w:val="000000"/>
              </w:rPr>
              <w:t>87.4%</w:t>
            </w:r>
          </w:p>
        </w:tc>
      </w:tr>
      <w:tr w:rsidR="00751E59" w:rsidRPr="00DC5278" w14:paraId="74037D7D" w14:textId="77777777" w:rsidTr="00CD3ADA">
        <w:trPr>
          <w:trHeight w:val="255"/>
        </w:trPr>
        <w:tc>
          <w:tcPr>
            <w:tcW w:w="1743" w:type="dxa"/>
            <w:tcBorders>
              <w:top w:val="nil"/>
              <w:left w:val="nil"/>
              <w:bottom w:val="nil"/>
              <w:right w:val="nil"/>
            </w:tcBorders>
            <w:shd w:val="clear" w:color="000000" w:fill="FFFFFF"/>
            <w:noWrap/>
            <w:vAlign w:val="center"/>
            <w:hideMark/>
          </w:tcPr>
          <w:p w14:paraId="74037D75" w14:textId="77777777" w:rsidR="00751E59" w:rsidRPr="00DC5278" w:rsidRDefault="00751E59" w:rsidP="0085547B">
            <w:pPr>
              <w:suppressAutoHyphens/>
              <w:rPr>
                <w:color w:val="000000"/>
              </w:rPr>
            </w:pPr>
            <w:r w:rsidRPr="00DC5278">
              <w:rPr>
                <w:color w:val="000000"/>
              </w:rPr>
              <w:t>A: 0% tariff on EIF</w:t>
            </w:r>
          </w:p>
        </w:tc>
        <w:tc>
          <w:tcPr>
            <w:tcW w:w="794" w:type="dxa"/>
            <w:tcBorders>
              <w:top w:val="nil"/>
              <w:left w:val="nil"/>
              <w:bottom w:val="nil"/>
              <w:right w:val="nil"/>
            </w:tcBorders>
            <w:shd w:val="clear" w:color="000000" w:fill="FFFFFF"/>
            <w:noWrap/>
            <w:vAlign w:val="center"/>
            <w:hideMark/>
          </w:tcPr>
          <w:p w14:paraId="74037D76" w14:textId="77777777" w:rsidR="00751E59" w:rsidRPr="00DC5278" w:rsidRDefault="00751E59" w:rsidP="0085547B">
            <w:pPr>
              <w:suppressAutoHyphens/>
              <w:jc w:val="right"/>
              <w:rPr>
                <w:color w:val="000000"/>
              </w:rPr>
            </w:pPr>
            <w:r w:rsidRPr="00DC5278">
              <w:rPr>
                <w:color w:val="000000"/>
              </w:rPr>
              <w:t>2,552</w:t>
            </w:r>
          </w:p>
        </w:tc>
        <w:tc>
          <w:tcPr>
            <w:tcW w:w="864" w:type="dxa"/>
            <w:tcBorders>
              <w:top w:val="nil"/>
              <w:left w:val="nil"/>
              <w:bottom w:val="nil"/>
              <w:right w:val="nil"/>
            </w:tcBorders>
            <w:shd w:val="clear" w:color="000000" w:fill="FFFFFF"/>
            <w:noWrap/>
            <w:vAlign w:val="center"/>
            <w:hideMark/>
          </w:tcPr>
          <w:p w14:paraId="74037D77" w14:textId="77777777" w:rsidR="00751E59" w:rsidRPr="00DC5278" w:rsidRDefault="00751E59" w:rsidP="0085547B">
            <w:pPr>
              <w:suppressAutoHyphens/>
              <w:jc w:val="right"/>
              <w:rPr>
                <w:color w:val="000000"/>
              </w:rPr>
            </w:pPr>
            <w:r w:rsidRPr="00DC5278">
              <w:rPr>
                <w:color w:val="000000"/>
              </w:rPr>
              <w:t>21.1%</w:t>
            </w:r>
          </w:p>
        </w:tc>
        <w:tc>
          <w:tcPr>
            <w:tcW w:w="1196" w:type="dxa"/>
            <w:tcBorders>
              <w:top w:val="nil"/>
              <w:left w:val="nil"/>
              <w:bottom w:val="nil"/>
              <w:right w:val="nil"/>
            </w:tcBorders>
            <w:shd w:val="clear" w:color="000000" w:fill="FFFFFF"/>
            <w:noWrap/>
            <w:vAlign w:val="center"/>
            <w:hideMark/>
          </w:tcPr>
          <w:p w14:paraId="74037D78" w14:textId="77777777" w:rsidR="00751E59" w:rsidRPr="00DC5278" w:rsidRDefault="00751E59" w:rsidP="0085547B">
            <w:pPr>
              <w:suppressAutoHyphens/>
              <w:jc w:val="right"/>
              <w:rPr>
                <w:color w:val="000000"/>
              </w:rPr>
            </w:pPr>
            <w:r w:rsidRPr="00DC5278">
              <w:rPr>
                <w:color w:val="000000"/>
              </w:rPr>
              <w:t>77.2%</w:t>
            </w:r>
          </w:p>
        </w:tc>
        <w:tc>
          <w:tcPr>
            <w:tcW w:w="269" w:type="dxa"/>
            <w:tcBorders>
              <w:top w:val="nil"/>
              <w:left w:val="nil"/>
              <w:bottom w:val="nil"/>
              <w:right w:val="nil"/>
            </w:tcBorders>
            <w:shd w:val="clear" w:color="000000" w:fill="FFFFFF"/>
            <w:noWrap/>
            <w:vAlign w:val="center"/>
            <w:hideMark/>
          </w:tcPr>
          <w:p w14:paraId="74037D79"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7A" w14:textId="77777777" w:rsidR="00751E59" w:rsidRPr="00DC5278" w:rsidRDefault="00751E59" w:rsidP="0085547B">
            <w:pPr>
              <w:suppressAutoHyphens/>
              <w:jc w:val="right"/>
              <w:rPr>
                <w:color w:val="000000"/>
              </w:rPr>
            </w:pPr>
            <w:r w:rsidRPr="00DC5278">
              <w:rPr>
                <w:color w:val="000000"/>
              </w:rPr>
              <w:t>67.3</w:t>
            </w:r>
          </w:p>
        </w:tc>
        <w:tc>
          <w:tcPr>
            <w:tcW w:w="864" w:type="dxa"/>
            <w:tcBorders>
              <w:top w:val="nil"/>
              <w:left w:val="nil"/>
              <w:bottom w:val="nil"/>
              <w:right w:val="nil"/>
            </w:tcBorders>
            <w:shd w:val="clear" w:color="000000" w:fill="FFFFFF"/>
            <w:noWrap/>
            <w:vAlign w:val="center"/>
            <w:hideMark/>
          </w:tcPr>
          <w:p w14:paraId="74037D7B" w14:textId="77777777" w:rsidR="00751E59" w:rsidRPr="00DC5278" w:rsidRDefault="00751E59" w:rsidP="0085547B">
            <w:pPr>
              <w:suppressAutoHyphens/>
              <w:jc w:val="right"/>
              <w:rPr>
                <w:color w:val="000000"/>
              </w:rPr>
            </w:pPr>
            <w:r w:rsidRPr="00DC5278">
              <w:rPr>
                <w:color w:val="000000"/>
              </w:rPr>
              <w:t>8.5%</w:t>
            </w:r>
          </w:p>
        </w:tc>
        <w:tc>
          <w:tcPr>
            <w:tcW w:w="1821" w:type="dxa"/>
            <w:tcBorders>
              <w:top w:val="nil"/>
              <w:left w:val="nil"/>
              <w:bottom w:val="nil"/>
              <w:right w:val="nil"/>
            </w:tcBorders>
            <w:shd w:val="clear" w:color="000000" w:fill="FFFFFF"/>
            <w:noWrap/>
            <w:vAlign w:val="center"/>
            <w:hideMark/>
          </w:tcPr>
          <w:p w14:paraId="74037D7C" w14:textId="77777777" w:rsidR="00751E59" w:rsidRPr="00DC5278" w:rsidRDefault="00751E59" w:rsidP="0085547B">
            <w:pPr>
              <w:suppressAutoHyphens/>
              <w:jc w:val="right"/>
              <w:rPr>
                <w:color w:val="000000"/>
              </w:rPr>
            </w:pPr>
            <w:r w:rsidRPr="00DC5278">
              <w:rPr>
                <w:color w:val="000000"/>
              </w:rPr>
              <w:t>95.9%</w:t>
            </w:r>
          </w:p>
        </w:tc>
      </w:tr>
      <w:tr w:rsidR="00751E59" w:rsidRPr="00DC5278" w14:paraId="74037D86" w14:textId="77777777" w:rsidTr="00CD3ADA">
        <w:trPr>
          <w:trHeight w:val="255"/>
        </w:trPr>
        <w:tc>
          <w:tcPr>
            <w:tcW w:w="1743" w:type="dxa"/>
            <w:tcBorders>
              <w:top w:val="nil"/>
              <w:left w:val="nil"/>
              <w:bottom w:val="nil"/>
              <w:right w:val="nil"/>
            </w:tcBorders>
            <w:shd w:val="clear" w:color="000000" w:fill="FFFFFF"/>
            <w:noWrap/>
            <w:vAlign w:val="center"/>
            <w:hideMark/>
          </w:tcPr>
          <w:p w14:paraId="74037D7E"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94" w:type="dxa"/>
            <w:tcBorders>
              <w:top w:val="nil"/>
              <w:left w:val="nil"/>
              <w:bottom w:val="nil"/>
              <w:right w:val="nil"/>
            </w:tcBorders>
            <w:shd w:val="clear" w:color="000000" w:fill="FFFFFF"/>
            <w:noWrap/>
            <w:vAlign w:val="center"/>
            <w:hideMark/>
          </w:tcPr>
          <w:p w14:paraId="74037D7F" w14:textId="77777777" w:rsidR="00751E59" w:rsidRPr="00DC5278" w:rsidRDefault="00751E59" w:rsidP="0085547B">
            <w:pPr>
              <w:suppressAutoHyphens/>
              <w:jc w:val="right"/>
              <w:rPr>
                <w:color w:val="000000"/>
              </w:rPr>
            </w:pPr>
            <w:r w:rsidRPr="00DC5278">
              <w:rPr>
                <w:color w:val="000000"/>
              </w:rPr>
              <w:t>310</w:t>
            </w:r>
          </w:p>
        </w:tc>
        <w:tc>
          <w:tcPr>
            <w:tcW w:w="864" w:type="dxa"/>
            <w:tcBorders>
              <w:top w:val="nil"/>
              <w:left w:val="nil"/>
              <w:bottom w:val="nil"/>
              <w:right w:val="nil"/>
            </w:tcBorders>
            <w:shd w:val="clear" w:color="000000" w:fill="FFFFFF"/>
            <w:noWrap/>
            <w:vAlign w:val="center"/>
            <w:hideMark/>
          </w:tcPr>
          <w:p w14:paraId="74037D80" w14:textId="77777777" w:rsidR="00751E59" w:rsidRPr="00DC5278" w:rsidRDefault="00751E59" w:rsidP="0085547B">
            <w:pPr>
              <w:suppressAutoHyphens/>
              <w:jc w:val="right"/>
              <w:rPr>
                <w:color w:val="000000"/>
              </w:rPr>
            </w:pPr>
            <w:r w:rsidRPr="00DC5278">
              <w:rPr>
                <w:color w:val="000000"/>
              </w:rPr>
              <w:t>2.6%</w:t>
            </w:r>
          </w:p>
        </w:tc>
        <w:tc>
          <w:tcPr>
            <w:tcW w:w="1196" w:type="dxa"/>
            <w:tcBorders>
              <w:top w:val="nil"/>
              <w:left w:val="nil"/>
              <w:bottom w:val="nil"/>
              <w:right w:val="nil"/>
            </w:tcBorders>
            <w:shd w:val="clear" w:color="000000" w:fill="FFFFFF"/>
            <w:noWrap/>
            <w:vAlign w:val="center"/>
            <w:hideMark/>
          </w:tcPr>
          <w:p w14:paraId="74037D81" w14:textId="77777777" w:rsidR="00751E59" w:rsidRPr="00DC5278" w:rsidRDefault="00751E59" w:rsidP="0085547B">
            <w:pPr>
              <w:suppressAutoHyphens/>
              <w:jc w:val="right"/>
              <w:rPr>
                <w:color w:val="000000"/>
              </w:rPr>
            </w:pPr>
            <w:r w:rsidRPr="00DC5278">
              <w:rPr>
                <w:color w:val="000000"/>
              </w:rPr>
              <w:t>79.8%</w:t>
            </w:r>
          </w:p>
        </w:tc>
        <w:tc>
          <w:tcPr>
            <w:tcW w:w="269" w:type="dxa"/>
            <w:tcBorders>
              <w:top w:val="nil"/>
              <w:left w:val="nil"/>
              <w:bottom w:val="nil"/>
              <w:right w:val="nil"/>
            </w:tcBorders>
            <w:shd w:val="clear" w:color="000000" w:fill="FFFFFF"/>
            <w:noWrap/>
            <w:vAlign w:val="center"/>
            <w:hideMark/>
          </w:tcPr>
          <w:p w14:paraId="74037D82"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83" w14:textId="77777777" w:rsidR="00751E59" w:rsidRPr="00DC5278" w:rsidRDefault="00751E59" w:rsidP="0085547B">
            <w:pPr>
              <w:suppressAutoHyphens/>
              <w:jc w:val="right"/>
              <w:rPr>
                <w:color w:val="000000"/>
              </w:rPr>
            </w:pPr>
            <w:r w:rsidRPr="00DC5278">
              <w:rPr>
                <w:color w:val="000000"/>
              </w:rPr>
              <w:t>1.8</w:t>
            </w:r>
          </w:p>
        </w:tc>
        <w:tc>
          <w:tcPr>
            <w:tcW w:w="864" w:type="dxa"/>
            <w:tcBorders>
              <w:top w:val="nil"/>
              <w:left w:val="nil"/>
              <w:bottom w:val="nil"/>
              <w:right w:val="nil"/>
            </w:tcBorders>
            <w:shd w:val="clear" w:color="000000" w:fill="FFFFFF"/>
            <w:noWrap/>
            <w:vAlign w:val="center"/>
            <w:hideMark/>
          </w:tcPr>
          <w:p w14:paraId="74037D84" w14:textId="77777777" w:rsidR="00751E59" w:rsidRPr="00DC5278" w:rsidRDefault="00751E59" w:rsidP="0085547B">
            <w:pPr>
              <w:suppressAutoHyphens/>
              <w:jc w:val="right"/>
              <w:rPr>
                <w:color w:val="000000"/>
              </w:rPr>
            </w:pPr>
            <w:r w:rsidRPr="00DC5278">
              <w:rPr>
                <w:color w:val="000000"/>
              </w:rPr>
              <w:t>0.2%</w:t>
            </w:r>
          </w:p>
        </w:tc>
        <w:tc>
          <w:tcPr>
            <w:tcW w:w="1821" w:type="dxa"/>
            <w:tcBorders>
              <w:top w:val="nil"/>
              <w:left w:val="nil"/>
              <w:bottom w:val="nil"/>
              <w:right w:val="nil"/>
            </w:tcBorders>
            <w:shd w:val="clear" w:color="000000" w:fill="FFFFFF"/>
            <w:noWrap/>
            <w:vAlign w:val="center"/>
            <w:hideMark/>
          </w:tcPr>
          <w:p w14:paraId="74037D85" w14:textId="77777777" w:rsidR="00751E59" w:rsidRPr="00DC5278" w:rsidRDefault="00751E59" w:rsidP="0085547B">
            <w:pPr>
              <w:suppressAutoHyphens/>
              <w:jc w:val="right"/>
              <w:rPr>
                <w:color w:val="000000"/>
              </w:rPr>
            </w:pPr>
            <w:r w:rsidRPr="00DC5278">
              <w:rPr>
                <w:color w:val="000000"/>
              </w:rPr>
              <w:t>96.1%</w:t>
            </w:r>
          </w:p>
        </w:tc>
      </w:tr>
      <w:tr w:rsidR="00751E59" w:rsidRPr="00DC5278" w14:paraId="74037D8F" w14:textId="77777777" w:rsidTr="00CD3ADA">
        <w:trPr>
          <w:trHeight w:val="255"/>
        </w:trPr>
        <w:tc>
          <w:tcPr>
            <w:tcW w:w="1743" w:type="dxa"/>
            <w:tcBorders>
              <w:top w:val="nil"/>
              <w:left w:val="nil"/>
              <w:bottom w:val="nil"/>
              <w:right w:val="nil"/>
            </w:tcBorders>
            <w:shd w:val="clear" w:color="000000" w:fill="FFFFFF"/>
            <w:noWrap/>
            <w:vAlign w:val="center"/>
            <w:hideMark/>
          </w:tcPr>
          <w:p w14:paraId="74037D87"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94" w:type="dxa"/>
            <w:tcBorders>
              <w:top w:val="nil"/>
              <w:left w:val="nil"/>
              <w:bottom w:val="nil"/>
              <w:right w:val="nil"/>
            </w:tcBorders>
            <w:shd w:val="clear" w:color="000000" w:fill="FFFFFF"/>
            <w:noWrap/>
            <w:vAlign w:val="center"/>
            <w:hideMark/>
          </w:tcPr>
          <w:p w14:paraId="74037D88" w14:textId="77777777" w:rsidR="00751E59" w:rsidRPr="00DC5278" w:rsidRDefault="00751E59" w:rsidP="0085547B">
            <w:pPr>
              <w:suppressAutoHyphens/>
              <w:jc w:val="right"/>
              <w:rPr>
                <w:color w:val="000000"/>
              </w:rPr>
            </w:pPr>
            <w:r w:rsidRPr="00DC5278">
              <w:rPr>
                <w:color w:val="000000"/>
              </w:rPr>
              <w:t>6</w:t>
            </w:r>
          </w:p>
        </w:tc>
        <w:tc>
          <w:tcPr>
            <w:tcW w:w="864" w:type="dxa"/>
            <w:tcBorders>
              <w:top w:val="nil"/>
              <w:left w:val="nil"/>
              <w:bottom w:val="nil"/>
              <w:right w:val="nil"/>
            </w:tcBorders>
            <w:shd w:val="clear" w:color="000000" w:fill="FFFFFF"/>
            <w:noWrap/>
            <w:vAlign w:val="center"/>
            <w:hideMark/>
          </w:tcPr>
          <w:p w14:paraId="74037D89" w14:textId="77777777" w:rsidR="00751E59" w:rsidRPr="00DC5278" w:rsidRDefault="00751E59" w:rsidP="0085547B">
            <w:pPr>
              <w:suppressAutoHyphens/>
              <w:jc w:val="right"/>
              <w:rPr>
                <w:color w:val="000000"/>
              </w:rPr>
            </w:pPr>
            <w:r w:rsidRPr="00DC5278">
              <w:rPr>
                <w:color w:val="000000"/>
              </w:rPr>
              <w:t>0.0%</w:t>
            </w:r>
          </w:p>
        </w:tc>
        <w:tc>
          <w:tcPr>
            <w:tcW w:w="1196" w:type="dxa"/>
            <w:tcBorders>
              <w:top w:val="nil"/>
              <w:left w:val="nil"/>
              <w:bottom w:val="nil"/>
              <w:right w:val="nil"/>
            </w:tcBorders>
            <w:shd w:val="clear" w:color="000000" w:fill="FFFFFF"/>
            <w:noWrap/>
            <w:vAlign w:val="center"/>
            <w:hideMark/>
          </w:tcPr>
          <w:p w14:paraId="74037D8A" w14:textId="77777777" w:rsidR="00751E59" w:rsidRPr="00DC5278" w:rsidRDefault="00751E59" w:rsidP="0085547B">
            <w:pPr>
              <w:suppressAutoHyphens/>
              <w:jc w:val="right"/>
              <w:rPr>
                <w:color w:val="000000"/>
              </w:rPr>
            </w:pPr>
            <w:r w:rsidRPr="00DC5278">
              <w:rPr>
                <w:color w:val="000000"/>
              </w:rPr>
              <w:t>79.9%</w:t>
            </w:r>
          </w:p>
        </w:tc>
        <w:tc>
          <w:tcPr>
            <w:tcW w:w="269" w:type="dxa"/>
            <w:tcBorders>
              <w:top w:val="nil"/>
              <w:left w:val="nil"/>
              <w:bottom w:val="nil"/>
              <w:right w:val="nil"/>
            </w:tcBorders>
            <w:shd w:val="clear" w:color="000000" w:fill="FFFFFF"/>
            <w:noWrap/>
            <w:vAlign w:val="center"/>
            <w:hideMark/>
          </w:tcPr>
          <w:p w14:paraId="74037D8B"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8C" w14:textId="77777777" w:rsidR="00751E59" w:rsidRPr="00DC5278" w:rsidRDefault="00751E59" w:rsidP="0085547B">
            <w:pPr>
              <w:suppressAutoHyphens/>
              <w:jc w:val="right"/>
              <w:rPr>
                <w:color w:val="000000"/>
              </w:rPr>
            </w:pPr>
            <w:r w:rsidRPr="00DC5278">
              <w:rPr>
                <w:color w:val="000000"/>
              </w:rPr>
              <w:t>10.0</w:t>
            </w:r>
          </w:p>
        </w:tc>
        <w:tc>
          <w:tcPr>
            <w:tcW w:w="864" w:type="dxa"/>
            <w:tcBorders>
              <w:top w:val="nil"/>
              <w:left w:val="nil"/>
              <w:bottom w:val="nil"/>
              <w:right w:val="nil"/>
            </w:tcBorders>
            <w:shd w:val="clear" w:color="000000" w:fill="FFFFFF"/>
            <w:noWrap/>
            <w:vAlign w:val="center"/>
            <w:hideMark/>
          </w:tcPr>
          <w:p w14:paraId="74037D8D" w14:textId="77777777" w:rsidR="00751E59" w:rsidRPr="00DC5278" w:rsidRDefault="00751E59" w:rsidP="0085547B">
            <w:pPr>
              <w:suppressAutoHyphens/>
              <w:jc w:val="right"/>
              <w:rPr>
                <w:color w:val="000000"/>
              </w:rPr>
            </w:pPr>
            <w:r w:rsidRPr="00DC5278">
              <w:rPr>
                <w:color w:val="000000"/>
              </w:rPr>
              <w:t>1.3%</w:t>
            </w:r>
          </w:p>
        </w:tc>
        <w:tc>
          <w:tcPr>
            <w:tcW w:w="1821" w:type="dxa"/>
            <w:tcBorders>
              <w:top w:val="nil"/>
              <w:left w:val="nil"/>
              <w:bottom w:val="nil"/>
              <w:right w:val="nil"/>
            </w:tcBorders>
            <w:shd w:val="clear" w:color="000000" w:fill="FFFFFF"/>
            <w:noWrap/>
            <w:vAlign w:val="center"/>
            <w:hideMark/>
          </w:tcPr>
          <w:p w14:paraId="74037D8E" w14:textId="77777777" w:rsidR="00751E59" w:rsidRPr="00DC5278" w:rsidRDefault="00751E59" w:rsidP="0085547B">
            <w:pPr>
              <w:suppressAutoHyphens/>
              <w:jc w:val="right"/>
              <w:rPr>
                <w:color w:val="000000"/>
              </w:rPr>
            </w:pPr>
            <w:r w:rsidRPr="00DC5278">
              <w:rPr>
                <w:color w:val="000000"/>
              </w:rPr>
              <w:t>97.4%</w:t>
            </w:r>
          </w:p>
        </w:tc>
      </w:tr>
      <w:tr w:rsidR="00751E59" w:rsidRPr="00DC5278" w14:paraId="74037D98" w14:textId="77777777" w:rsidTr="00CD3ADA">
        <w:trPr>
          <w:trHeight w:val="255"/>
        </w:trPr>
        <w:tc>
          <w:tcPr>
            <w:tcW w:w="1743" w:type="dxa"/>
            <w:tcBorders>
              <w:top w:val="nil"/>
              <w:left w:val="nil"/>
              <w:bottom w:val="nil"/>
              <w:right w:val="nil"/>
            </w:tcBorders>
            <w:shd w:val="clear" w:color="000000" w:fill="FFFFFF"/>
            <w:noWrap/>
            <w:vAlign w:val="center"/>
            <w:hideMark/>
          </w:tcPr>
          <w:p w14:paraId="74037D90" w14:textId="77777777" w:rsidR="00751E59" w:rsidRPr="00DC5278" w:rsidRDefault="00751E59" w:rsidP="0085547B">
            <w:pPr>
              <w:suppressAutoHyphens/>
              <w:rPr>
                <w:color w:val="000000"/>
              </w:rPr>
            </w:pPr>
            <w:r w:rsidRPr="00DC5278">
              <w:rPr>
                <w:color w:val="000000"/>
              </w:rPr>
              <w:t>D: 11+ year phasing</w:t>
            </w:r>
          </w:p>
        </w:tc>
        <w:tc>
          <w:tcPr>
            <w:tcW w:w="794" w:type="dxa"/>
            <w:tcBorders>
              <w:top w:val="nil"/>
              <w:left w:val="nil"/>
              <w:bottom w:val="nil"/>
              <w:right w:val="nil"/>
            </w:tcBorders>
            <w:shd w:val="clear" w:color="000000" w:fill="FFFFFF"/>
            <w:noWrap/>
            <w:vAlign w:val="center"/>
            <w:hideMark/>
          </w:tcPr>
          <w:p w14:paraId="74037D91" w14:textId="77777777" w:rsidR="00751E59" w:rsidRPr="00DC5278" w:rsidRDefault="00751E59" w:rsidP="0085547B">
            <w:pPr>
              <w:suppressAutoHyphens/>
              <w:jc w:val="right"/>
              <w:rPr>
                <w:color w:val="000000"/>
              </w:rPr>
            </w:pPr>
            <w:r w:rsidRPr="00DC5278">
              <w:rPr>
                <w:color w:val="000000"/>
              </w:rPr>
              <w:t>2,370</w:t>
            </w:r>
          </w:p>
        </w:tc>
        <w:tc>
          <w:tcPr>
            <w:tcW w:w="864" w:type="dxa"/>
            <w:tcBorders>
              <w:top w:val="nil"/>
              <w:left w:val="nil"/>
              <w:bottom w:val="nil"/>
              <w:right w:val="nil"/>
            </w:tcBorders>
            <w:shd w:val="clear" w:color="000000" w:fill="FFFFFF"/>
            <w:noWrap/>
            <w:vAlign w:val="center"/>
            <w:hideMark/>
          </w:tcPr>
          <w:p w14:paraId="74037D92" w14:textId="77777777" w:rsidR="00751E59" w:rsidRPr="00DC5278" w:rsidRDefault="00751E59" w:rsidP="0085547B">
            <w:pPr>
              <w:suppressAutoHyphens/>
              <w:jc w:val="right"/>
              <w:rPr>
                <w:color w:val="000000"/>
              </w:rPr>
            </w:pPr>
            <w:r w:rsidRPr="00DC5278">
              <w:rPr>
                <w:color w:val="000000"/>
              </w:rPr>
              <w:t>19.6%</w:t>
            </w:r>
          </w:p>
        </w:tc>
        <w:tc>
          <w:tcPr>
            <w:tcW w:w="1196" w:type="dxa"/>
            <w:tcBorders>
              <w:top w:val="nil"/>
              <w:left w:val="nil"/>
              <w:bottom w:val="nil"/>
              <w:right w:val="nil"/>
            </w:tcBorders>
            <w:shd w:val="clear" w:color="000000" w:fill="FFFFFF"/>
            <w:noWrap/>
            <w:vAlign w:val="center"/>
            <w:hideMark/>
          </w:tcPr>
          <w:p w14:paraId="74037D93" w14:textId="77777777" w:rsidR="00751E59" w:rsidRPr="00DC5278" w:rsidRDefault="00751E59" w:rsidP="0085547B">
            <w:pPr>
              <w:suppressAutoHyphens/>
              <w:jc w:val="right"/>
              <w:rPr>
                <w:color w:val="000000"/>
              </w:rPr>
            </w:pPr>
            <w:r w:rsidRPr="00DC5278">
              <w:rPr>
                <w:color w:val="000000"/>
              </w:rPr>
              <w:t>99.4%</w:t>
            </w:r>
          </w:p>
        </w:tc>
        <w:tc>
          <w:tcPr>
            <w:tcW w:w="269" w:type="dxa"/>
            <w:tcBorders>
              <w:top w:val="nil"/>
              <w:left w:val="nil"/>
              <w:bottom w:val="nil"/>
              <w:right w:val="nil"/>
            </w:tcBorders>
            <w:shd w:val="clear" w:color="000000" w:fill="FFFFFF"/>
            <w:noWrap/>
            <w:vAlign w:val="center"/>
            <w:hideMark/>
          </w:tcPr>
          <w:p w14:paraId="74037D94"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95" w14:textId="77777777" w:rsidR="00751E59" w:rsidRPr="00DC5278" w:rsidRDefault="00751E59" w:rsidP="0085547B">
            <w:pPr>
              <w:suppressAutoHyphens/>
              <w:jc w:val="right"/>
              <w:rPr>
                <w:color w:val="000000"/>
              </w:rPr>
            </w:pPr>
            <w:r w:rsidRPr="00DC5278">
              <w:rPr>
                <w:color w:val="000000"/>
              </w:rPr>
              <w:t>19.2</w:t>
            </w:r>
          </w:p>
        </w:tc>
        <w:tc>
          <w:tcPr>
            <w:tcW w:w="864" w:type="dxa"/>
            <w:tcBorders>
              <w:top w:val="nil"/>
              <w:left w:val="nil"/>
              <w:bottom w:val="nil"/>
              <w:right w:val="nil"/>
            </w:tcBorders>
            <w:shd w:val="clear" w:color="000000" w:fill="FFFFFF"/>
            <w:noWrap/>
            <w:vAlign w:val="center"/>
            <w:hideMark/>
          </w:tcPr>
          <w:p w14:paraId="74037D96" w14:textId="77777777" w:rsidR="00751E59" w:rsidRPr="00DC5278" w:rsidRDefault="00751E59" w:rsidP="0085547B">
            <w:pPr>
              <w:suppressAutoHyphens/>
              <w:jc w:val="right"/>
              <w:rPr>
                <w:color w:val="000000"/>
              </w:rPr>
            </w:pPr>
            <w:r w:rsidRPr="00DC5278">
              <w:rPr>
                <w:color w:val="000000"/>
              </w:rPr>
              <w:t>2.4%</w:t>
            </w:r>
          </w:p>
        </w:tc>
        <w:tc>
          <w:tcPr>
            <w:tcW w:w="1821" w:type="dxa"/>
            <w:tcBorders>
              <w:top w:val="nil"/>
              <w:left w:val="nil"/>
              <w:bottom w:val="nil"/>
              <w:right w:val="nil"/>
            </w:tcBorders>
            <w:shd w:val="clear" w:color="000000" w:fill="FFFFFF"/>
            <w:noWrap/>
            <w:vAlign w:val="center"/>
            <w:hideMark/>
          </w:tcPr>
          <w:p w14:paraId="74037D97" w14:textId="77777777" w:rsidR="00751E59" w:rsidRPr="00DC5278" w:rsidRDefault="00751E59" w:rsidP="0085547B">
            <w:pPr>
              <w:suppressAutoHyphens/>
              <w:jc w:val="right"/>
              <w:rPr>
                <w:color w:val="000000"/>
              </w:rPr>
            </w:pPr>
            <w:r w:rsidRPr="00DC5278">
              <w:rPr>
                <w:color w:val="000000"/>
              </w:rPr>
              <w:t>99.8%</w:t>
            </w:r>
          </w:p>
        </w:tc>
      </w:tr>
      <w:tr w:rsidR="00751E59" w:rsidRPr="00DC5278" w14:paraId="74037DA1" w14:textId="77777777" w:rsidTr="00CD3ADA">
        <w:trPr>
          <w:trHeight w:val="255"/>
        </w:trPr>
        <w:tc>
          <w:tcPr>
            <w:tcW w:w="1743" w:type="dxa"/>
            <w:tcBorders>
              <w:top w:val="nil"/>
              <w:left w:val="nil"/>
              <w:bottom w:val="nil"/>
              <w:right w:val="nil"/>
            </w:tcBorders>
            <w:shd w:val="clear" w:color="000000" w:fill="FFFFFF"/>
            <w:noWrap/>
            <w:vAlign w:val="center"/>
            <w:hideMark/>
          </w:tcPr>
          <w:p w14:paraId="74037D99" w14:textId="77777777" w:rsidR="00751E59" w:rsidRPr="00DC5278" w:rsidRDefault="00751E59" w:rsidP="0085547B">
            <w:pPr>
              <w:suppressAutoHyphens/>
              <w:rPr>
                <w:color w:val="000000"/>
              </w:rPr>
            </w:pPr>
            <w:r w:rsidRPr="00DC5278">
              <w:rPr>
                <w:color w:val="000000"/>
              </w:rPr>
              <w:t>Tariff reduction</w:t>
            </w:r>
          </w:p>
        </w:tc>
        <w:tc>
          <w:tcPr>
            <w:tcW w:w="794" w:type="dxa"/>
            <w:tcBorders>
              <w:top w:val="nil"/>
              <w:left w:val="nil"/>
              <w:bottom w:val="nil"/>
              <w:right w:val="nil"/>
            </w:tcBorders>
            <w:shd w:val="clear" w:color="000000" w:fill="FFFFFF"/>
            <w:noWrap/>
            <w:vAlign w:val="center"/>
            <w:hideMark/>
          </w:tcPr>
          <w:p w14:paraId="74037D9A" w14:textId="77777777" w:rsidR="00751E59" w:rsidRPr="00DC5278" w:rsidRDefault="00751E59" w:rsidP="0085547B">
            <w:pPr>
              <w:suppressAutoHyphens/>
              <w:jc w:val="right"/>
              <w:rPr>
                <w:color w:val="000000"/>
              </w:rPr>
            </w:pPr>
            <w:r w:rsidRPr="00DC5278">
              <w:rPr>
                <w:color w:val="000000"/>
              </w:rPr>
              <w:t>27</w:t>
            </w:r>
          </w:p>
        </w:tc>
        <w:tc>
          <w:tcPr>
            <w:tcW w:w="864" w:type="dxa"/>
            <w:tcBorders>
              <w:top w:val="nil"/>
              <w:left w:val="nil"/>
              <w:bottom w:val="nil"/>
              <w:right w:val="nil"/>
            </w:tcBorders>
            <w:shd w:val="clear" w:color="000000" w:fill="FFFFFF"/>
            <w:noWrap/>
            <w:vAlign w:val="center"/>
            <w:hideMark/>
          </w:tcPr>
          <w:p w14:paraId="74037D9B" w14:textId="77777777" w:rsidR="00751E59" w:rsidRPr="00DC5278" w:rsidRDefault="00751E59" w:rsidP="0085547B">
            <w:pPr>
              <w:suppressAutoHyphens/>
              <w:jc w:val="right"/>
              <w:rPr>
                <w:color w:val="000000"/>
              </w:rPr>
            </w:pPr>
            <w:r w:rsidRPr="00DC5278">
              <w:rPr>
                <w:color w:val="000000"/>
              </w:rPr>
              <w:t>0.2%</w:t>
            </w:r>
          </w:p>
        </w:tc>
        <w:tc>
          <w:tcPr>
            <w:tcW w:w="1196" w:type="dxa"/>
            <w:tcBorders>
              <w:top w:val="nil"/>
              <w:left w:val="nil"/>
              <w:bottom w:val="nil"/>
              <w:right w:val="nil"/>
            </w:tcBorders>
            <w:shd w:val="clear" w:color="000000" w:fill="FFFFFF"/>
            <w:noWrap/>
            <w:vAlign w:val="center"/>
            <w:hideMark/>
          </w:tcPr>
          <w:p w14:paraId="74037D9C" w14:textId="77777777" w:rsidR="00751E59" w:rsidRPr="00DC5278" w:rsidRDefault="00751E59" w:rsidP="0085547B">
            <w:pPr>
              <w:suppressAutoHyphens/>
              <w:jc w:val="right"/>
              <w:rPr>
                <w:color w:val="000000"/>
              </w:rPr>
            </w:pPr>
            <w:r w:rsidRPr="00DC5278">
              <w:rPr>
                <w:color w:val="000000"/>
              </w:rPr>
              <w:t>99.7%</w:t>
            </w:r>
          </w:p>
        </w:tc>
        <w:tc>
          <w:tcPr>
            <w:tcW w:w="269" w:type="dxa"/>
            <w:tcBorders>
              <w:top w:val="nil"/>
              <w:left w:val="nil"/>
              <w:bottom w:val="nil"/>
              <w:right w:val="nil"/>
            </w:tcBorders>
            <w:shd w:val="clear" w:color="000000" w:fill="FFFFFF"/>
            <w:noWrap/>
            <w:vAlign w:val="center"/>
            <w:hideMark/>
          </w:tcPr>
          <w:p w14:paraId="74037D9D"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9E" w14:textId="77777777" w:rsidR="00751E59" w:rsidRPr="00DC5278" w:rsidRDefault="00751E59" w:rsidP="0085547B">
            <w:pPr>
              <w:suppressAutoHyphens/>
              <w:jc w:val="right"/>
              <w:rPr>
                <w:color w:val="000000"/>
              </w:rPr>
            </w:pPr>
            <w:r w:rsidRPr="00DC5278">
              <w:rPr>
                <w:color w:val="000000"/>
              </w:rPr>
              <w:t>0.0</w:t>
            </w:r>
          </w:p>
        </w:tc>
        <w:tc>
          <w:tcPr>
            <w:tcW w:w="864" w:type="dxa"/>
            <w:tcBorders>
              <w:top w:val="nil"/>
              <w:left w:val="nil"/>
              <w:bottom w:val="nil"/>
              <w:right w:val="nil"/>
            </w:tcBorders>
            <w:shd w:val="clear" w:color="000000" w:fill="FFFFFF"/>
            <w:noWrap/>
            <w:vAlign w:val="center"/>
            <w:hideMark/>
          </w:tcPr>
          <w:p w14:paraId="74037D9F" w14:textId="77777777" w:rsidR="00751E59" w:rsidRPr="00DC5278" w:rsidRDefault="00751E59" w:rsidP="0085547B">
            <w:pPr>
              <w:suppressAutoHyphens/>
              <w:jc w:val="right"/>
              <w:rPr>
                <w:color w:val="000000"/>
              </w:rPr>
            </w:pPr>
            <w:r w:rsidRPr="00DC5278">
              <w:rPr>
                <w:color w:val="000000"/>
              </w:rPr>
              <w:t>0.0%</w:t>
            </w:r>
          </w:p>
        </w:tc>
        <w:tc>
          <w:tcPr>
            <w:tcW w:w="1821" w:type="dxa"/>
            <w:tcBorders>
              <w:top w:val="nil"/>
              <w:left w:val="nil"/>
              <w:bottom w:val="nil"/>
              <w:right w:val="nil"/>
            </w:tcBorders>
            <w:shd w:val="clear" w:color="000000" w:fill="FFFFFF"/>
            <w:noWrap/>
            <w:vAlign w:val="center"/>
            <w:hideMark/>
          </w:tcPr>
          <w:p w14:paraId="74037DA0" w14:textId="77777777" w:rsidR="00751E59" w:rsidRPr="00DC5278" w:rsidRDefault="00751E59" w:rsidP="0085547B">
            <w:pPr>
              <w:suppressAutoHyphens/>
              <w:jc w:val="right"/>
              <w:rPr>
                <w:color w:val="000000"/>
              </w:rPr>
            </w:pPr>
            <w:r w:rsidRPr="00DC5278">
              <w:rPr>
                <w:color w:val="000000"/>
              </w:rPr>
              <w:t>99.8%</w:t>
            </w:r>
          </w:p>
        </w:tc>
      </w:tr>
      <w:tr w:rsidR="00751E59" w:rsidRPr="00DC5278" w14:paraId="74037DAA" w14:textId="77777777" w:rsidTr="00CD3ADA">
        <w:trPr>
          <w:trHeight w:val="255"/>
        </w:trPr>
        <w:tc>
          <w:tcPr>
            <w:tcW w:w="1743" w:type="dxa"/>
            <w:tcBorders>
              <w:top w:val="nil"/>
              <w:left w:val="nil"/>
              <w:bottom w:val="nil"/>
              <w:right w:val="nil"/>
            </w:tcBorders>
            <w:shd w:val="clear" w:color="000000" w:fill="FFFFFF"/>
            <w:noWrap/>
            <w:vAlign w:val="center"/>
            <w:hideMark/>
          </w:tcPr>
          <w:p w14:paraId="74037DA2" w14:textId="77777777" w:rsidR="00751E59" w:rsidRPr="00DC5278" w:rsidRDefault="00751E59" w:rsidP="0085547B">
            <w:pPr>
              <w:suppressAutoHyphens/>
              <w:rPr>
                <w:color w:val="000000"/>
              </w:rPr>
            </w:pPr>
            <w:r w:rsidRPr="00DC5278">
              <w:rPr>
                <w:color w:val="000000"/>
              </w:rPr>
              <w:t>Quota</w:t>
            </w:r>
          </w:p>
        </w:tc>
        <w:tc>
          <w:tcPr>
            <w:tcW w:w="794" w:type="dxa"/>
            <w:tcBorders>
              <w:top w:val="nil"/>
              <w:left w:val="nil"/>
              <w:bottom w:val="nil"/>
              <w:right w:val="nil"/>
            </w:tcBorders>
            <w:shd w:val="clear" w:color="000000" w:fill="FFFFFF"/>
            <w:noWrap/>
            <w:vAlign w:val="center"/>
            <w:hideMark/>
          </w:tcPr>
          <w:p w14:paraId="74037DA3" w14:textId="77777777" w:rsidR="00751E59" w:rsidRPr="00DC5278" w:rsidRDefault="00751E59" w:rsidP="0085547B">
            <w:pPr>
              <w:suppressAutoHyphens/>
              <w:jc w:val="right"/>
              <w:rPr>
                <w:color w:val="000000"/>
              </w:rPr>
            </w:pPr>
            <w:r w:rsidRPr="00DC5278">
              <w:rPr>
                <w:color w:val="000000"/>
              </w:rPr>
              <w:t>42</w:t>
            </w:r>
          </w:p>
        </w:tc>
        <w:tc>
          <w:tcPr>
            <w:tcW w:w="864" w:type="dxa"/>
            <w:tcBorders>
              <w:top w:val="nil"/>
              <w:left w:val="nil"/>
              <w:bottom w:val="nil"/>
              <w:right w:val="nil"/>
            </w:tcBorders>
            <w:shd w:val="clear" w:color="000000" w:fill="FFFFFF"/>
            <w:noWrap/>
            <w:vAlign w:val="center"/>
            <w:hideMark/>
          </w:tcPr>
          <w:p w14:paraId="74037DA4" w14:textId="77777777" w:rsidR="00751E59" w:rsidRPr="00DC5278" w:rsidRDefault="00751E59" w:rsidP="0085547B">
            <w:pPr>
              <w:suppressAutoHyphens/>
              <w:jc w:val="right"/>
              <w:rPr>
                <w:color w:val="000000"/>
              </w:rPr>
            </w:pPr>
            <w:r w:rsidRPr="00DC5278">
              <w:rPr>
                <w:color w:val="000000"/>
              </w:rPr>
              <w:t>0.3%</w:t>
            </w:r>
          </w:p>
        </w:tc>
        <w:tc>
          <w:tcPr>
            <w:tcW w:w="1196" w:type="dxa"/>
            <w:tcBorders>
              <w:top w:val="nil"/>
              <w:left w:val="nil"/>
              <w:bottom w:val="nil"/>
              <w:right w:val="nil"/>
            </w:tcBorders>
            <w:shd w:val="clear" w:color="000000" w:fill="FFFFFF"/>
            <w:noWrap/>
            <w:vAlign w:val="center"/>
            <w:hideMark/>
          </w:tcPr>
          <w:p w14:paraId="74037DA5"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DA6"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nil"/>
              <w:right w:val="nil"/>
            </w:tcBorders>
            <w:shd w:val="clear" w:color="000000" w:fill="FFFFFF"/>
            <w:noWrap/>
            <w:vAlign w:val="center"/>
            <w:hideMark/>
          </w:tcPr>
          <w:p w14:paraId="74037DA7" w14:textId="77777777" w:rsidR="00751E59" w:rsidRPr="00DC5278" w:rsidRDefault="00751E59" w:rsidP="0085547B">
            <w:pPr>
              <w:suppressAutoHyphens/>
              <w:jc w:val="right"/>
              <w:rPr>
                <w:color w:val="000000"/>
              </w:rPr>
            </w:pPr>
            <w:r w:rsidRPr="00DC5278">
              <w:rPr>
                <w:color w:val="000000"/>
              </w:rPr>
              <w:t>1.7</w:t>
            </w:r>
          </w:p>
        </w:tc>
        <w:tc>
          <w:tcPr>
            <w:tcW w:w="864" w:type="dxa"/>
            <w:tcBorders>
              <w:top w:val="nil"/>
              <w:left w:val="nil"/>
              <w:bottom w:val="nil"/>
              <w:right w:val="nil"/>
            </w:tcBorders>
            <w:shd w:val="clear" w:color="000000" w:fill="FFFFFF"/>
            <w:noWrap/>
            <w:vAlign w:val="center"/>
            <w:hideMark/>
          </w:tcPr>
          <w:p w14:paraId="74037DA8" w14:textId="77777777" w:rsidR="00751E59" w:rsidRPr="00DC5278" w:rsidRDefault="00751E59" w:rsidP="0085547B">
            <w:pPr>
              <w:suppressAutoHyphens/>
              <w:jc w:val="right"/>
              <w:rPr>
                <w:color w:val="000000"/>
              </w:rPr>
            </w:pPr>
            <w:r w:rsidRPr="00DC5278">
              <w:rPr>
                <w:color w:val="000000"/>
              </w:rPr>
              <w:t>0.2%</w:t>
            </w:r>
          </w:p>
        </w:tc>
        <w:tc>
          <w:tcPr>
            <w:tcW w:w="1821" w:type="dxa"/>
            <w:tcBorders>
              <w:top w:val="nil"/>
              <w:left w:val="nil"/>
              <w:bottom w:val="nil"/>
              <w:right w:val="nil"/>
            </w:tcBorders>
            <w:shd w:val="clear" w:color="000000" w:fill="FFFFFF"/>
            <w:noWrap/>
            <w:vAlign w:val="center"/>
            <w:hideMark/>
          </w:tcPr>
          <w:p w14:paraId="74037DA9"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DB3" w14:textId="77777777" w:rsidTr="00CD3ADA">
        <w:trPr>
          <w:trHeight w:val="270"/>
        </w:trPr>
        <w:tc>
          <w:tcPr>
            <w:tcW w:w="1743" w:type="dxa"/>
            <w:tcBorders>
              <w:top w:val="nil"/>
              <w:left w:val="nil"/>
              <w:bottom w:val="single" w:sz="8" w:space="0" w:color="auto"/>
              <w:right w:val="nil"/>
            </w:tcBorders>
            <w:noWrap/>
            <w:vAlign w:val="bottom"/>
            <w:hideMark/>
          </w:tcPr>
          <w:p w14:paraId="74037DAB" w14:textId="77777777" w:rsidR="00751E59" w:rsidRPr="00DC5278" w:rsidRDefault="00751E59" w:rsidP="0085547B">
            <w:pPr>
              <w:suppressAutoHyphens/>
              <w:rPr>
                <w:color w:val="000000"/>
              </w:rPr>
            </w:pPr>
            <w:r w:rsidRPr="00DC5278">
              <w:rPr>
                <w:color w:val="000000"/>
              </w:rPr>
              <w:t>Total</w:t>
            </w:r>
          </w:p>
        </w:tc>
        <w:tc>
          <w:tcPr>
            <w:tcW w:w="794" w:type="dxa"/>
            <w:tcBorders>
              <w:top w:val="nil"/>
              <w:left w:val="nil"/>
              <w:bottom w:val="single" w:sz="8" w:space="0" w:color="auto"/>
              <w:right w:val="nil"/>
            </w:tcBorders>
            <w:shd w:val="clear" w:color="000000" w:fill="FFFFFF"/>
            <w:noWrap/>
            <w:vAlign w:val="center"/>
            <w:hideMark/>
          </w:tcPr>
          <w:p w14:paraId="74037DAC" w14:textId="77777777" w:rsidR="00751E59" w:rsidRPr="00DC5278" w:rsidRDefault="00751E59" w:rsidP="0085547B">
            <w:pPr>
              <w:suppressAutoHyphens/>
              <w:jc w:val="right"/>
              <w:rPr>
                <w:color w:val="000000"/>
              </w:rPr>
            </w:pPr>
            <w:r w:rsidRPr="00DC5278">
              <w:rPr>
                <w:color w:val="000000"/>
              </w:rPr>
              <w:t>12,107</w:t>
            </w:r>
          </w:p>
        </w:tc>
        <w:tc>
          <w:tcPr>
            <w:tcW w:w="864" w:type="dxa"/>
            <w:tcBorders>
              <w:top w:val="nil"/>
              <w:left w:val="nil"/>
              <w:bottom w:val="single" w:sz="8" w:space="0" w:color="auto"/>
              <w:right w:val="nil"/>
            </w:tcBorders>
            <w:shd w:val="clear" w:color="000000" w:fill="FFFFFF"/>
            <w:noWrap/>
            <w:vAlign w:val="center"/>
            <w:hideMark/>
          </w:tcPr>
          <w:p w14:paraId="74037DAD" w14:textId="77777777" w:rsidR="00751E59" w:rsidRPr="00DC5278" w:rsidRDefault="00751E59" w:rsidP="0085547B">
            <w:pPr>
              <w:suppressAutoHyphens/>
              <w:jc w:val="right"/>
              <w:rPr>
                <w:color w:val="000000"/>
              </w:rPr>
            </w:pPr>
            <w:r w:rsidRPr="00DC5278">
              <w:rPr>
                <w:color w:val="000000"/>
              </w:rPr>
              <w:t>100.0%</w:t>
            </w:r>
          </w:p>
        </w:tc>
        <w:tc>
          <w:tcPr>
            <w:tcW w:w="1196" w:type="dxa"/>
            <w:tcBorders>
              <w:top w:val="nil"/>
              <w:left w:val="nil"/>
              <w:bottom w:val="single" w:sz="8" w:space="0" w:color="auto"/>
              <w:right w:val="nil"/>
            </w:tcBorders>
            <w:shd w:val="clear" w:color="000000" w:fill="FFFFFF"/>
            <w:noWrap/>
            <w:vAlign w:val="center"/>
            <w:hideMark/>
          </w:tcPr>
          <w:p w14:paraId="74037DAE"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single" w:sz="8" w:space="0" w:color="auto"/>
              <w:right w:val="nil"/>
            </w:tcBorders>
            <w:shd w:val="clear" w:color="000000" w:fill="FFFFFF"/>
            <w:noWrap/>
            <w:vAlign w:val="center"/>
            <w:hideMark/>
          </w:tcPr>
          <w:p w14:paraId="74037DAF" w14:textId="77777777" w:rsidR="00751E59" w:rsidRPr="00DC5278" w:rsidRDefault="00751E59" w:rsidP="0085547B">
            <w:pPr>
              <w:suppressAutoHyphens/>
              <w:rPr>
                <w:color w:val="000000"/>
              </w:rPr>
            </w:pPr>
            <w:r w:rsidRPr="00DC5278">
              <w:rPr>
                <w:color w:val="000000"/>
              </w:rPr>
              <w:t> </w:t>
            </w:r>
          </w:p>
        </w:tc>
        <w:tc>
          <w:tcPr>
            <w:tcW w:w="1287" w:type="dxa"/>
            <w:tcBorders>
              <w:top w:val="nil"/>
              <w:left w:val="nil"/>
              <w:bottom w:val="single" w:sz="8" w:space="0" w:color="auto"/>
              <w:right w:val="nil"/>
            </w:tcBorders>
            <w:shd w:val="clear" w:color="000000" w:fill="FFFFFF"/>
            <w:noWrap/>
            <w:vAlign w:val="center"/>
            <w:hideMark/>
          </w:tcPr>
          <w:p w14:paraId="74037DB0" w14:textId="77777777" w:rsidR="00751E59" w:rsidRPr="00DC5278" w:rsidRDefault="00751E59" w:rsidP="0085547B">
            <w:pPr>
              <w:suppressAutoHyphens/>
              <w:jc w:val="right"/>
              <w:rPr>
                <w:color w:val="000000"/>
              </w:rPr>
            </w:pPr>
            <w:r w:rsidRPr="00DC5278">
              <w:rPr>
                <w:color w:val="000000"/>
              </w:rPr>
              <w:t>793.1</w:t>
            </w:r>
          </w:p>
        </w:tc>
        <w:tc>
          <w:tcPr>
            <w:tcW w:w="864" w:type="dxa"/>
            <w:tcBorders>
              <w:top w:val="nil"/>
              <w:left w:val="nil"/>
              <w:bottom w:val="single" w:sz="8" w:space="0" w:color="auto"/>
              <w:right w:val="nil"/>
            </w:tcBorders>
            <w:shd w:val="clear" w:color="000000" w:fill="FFFFFF"/>
            <w:noWrap/>
            <w:vAlign w:val="center"/>
            <w:hideMark/>
          </w:tcPr>
          <w:p w14:paraId="74037DB1" w14:textId="77777777" w:rsidR="00751E59" w:rsidRPr="00DC5278" w:rsidRDefault="00751E59" w:rsidP="0085547B">
            <w:pPr>
              <w:suppressAutoHyphens/>
              <w:jc w:val="right"/>
              <w:rPr>
                <w:color w:val="000000"/>
              </w:rPr>
            </w:pPr>
            <w:r w:rsidRPr="00DC5278">
              <w:rPr>
                <w:color w:val="000000"/>
              </w:rPr>
              <w:t>100.0%</w:t>
            </w:r>
          </w:p>
        </w:tc>
        <w:tc>
          <w:tcPr>
            <w:tcW w:w="1821" w:type="dxa"/>
            <w:tcBorders>
              <w:top w:val="nil"/>
              <w:left w:val="nil"/>
              <w:bottom w:val="single" w:sz="8" w:space="0" w:color="auto"/>
              <w:right w:val="nil"/>
            </w:tcBorders>
            <w:shd w:val="clear" w:color="000000" w:fill="FFFFFF"/>
            <w:noWrap/>
            <w:vAlign w:val="center"/>
            <w:hideMark/>
          </w:tcPr>
          <w:p w14:paraId="74037DB2" w14:textId="77777777" w:rsidR="00751E59" w:rsidRPr="00DC5278" w:rsidRDefault="00751E59" w:rsidP="0085547B">
            <w:pPr>
              <w:suppressAutoHyphens/>
              <w:jc w:val="right"/>
              <w:rPr>
                <w:color w:val="000000"/>
              </w:rPr>
            </w:pPr>
            <w:r w:rsidRPr="00DC5278">
              <w:rPr>
                <w:color w:val="000000"/>
              </w:rPr>
              <w:t>100.0%</w:t>
            </w:r>
          </w:p>
        </w:tc>
      </w:tr>
    </w:tbl>
    <w:p w14:paraId="74037DB4" w14:textId="77777777" w:rsidR="00751E59" w:rsidRPr="00DC5278" w:rsidRDefault="00751E59" w:rsidP="0085547B">
      <w:pPr>
        <w:suppressAutoHyphens/>
      </w:pPr>
    </w:p>
    <w:p w14:paraId="74037DB5" w14:textId="77777777" w:rsidR="00751E59" w:rsidRPr="00DC5278" w:rsidRDefault="00751E59" w:rsidP="0085547B">
      <w:pPr>
        <w:keepNext/>
        <w:suppressAutoHyphens/>
        <w:rPr>
          <w:b/>
          <w:u w:val="single"/>
        </w:rPr>
      </w:pPr>
      <w:r w:rsidRPr="00DC5278">
        <w:rPr>
          <w:b/>
          <w:u w:val="single"/>
        </w:rPr>
        <w:lastRenderedPageBreak/>
        <w:t xml:space="preserve">Elimination schedule for New Zealand’s tariffs on imports of Australian goods </w:t>
      </w:r>
    </w:p>
    <w:p w14:paraId="74037DB6" w14:textId="77777777" w:rsidR="00751E59" w:rsidRPr="00DC5278" w:rsidRDefault="00751E59" w:rsidP="0085547B">
      <w:pPr>
        <w:keepNext/>
        <w:suppressAutoHyphens/>
      </w:pPr>
    </w:p>
    <w:tbl>
      <w:tblPr>
        <w:tblW w:w="9263" w:type="dxa"/>
        <w:tblInd w:w="93" w:type="dxa"/>
        <w:tblLook w:val="04A0" w:firstRow="1" w:lastRow="0" w:firstColumn="1" w:lastColumn="0" w:noHBand="0" w:noVBand="1"/>
      </w:tblPr>
      <w:tblGrid>
        <w:gridCol w:w="1768"/>
        <w:gridCol w:w="756"/>
        <w:gridCol w:w="956"/>
        <w:gridCol w:w="1336"/>
        <w:gridCol w:w="276"/>
        <w:gridCol w:w="1305"/>
        <w:gridCol w:w="956"/>
        <w:gridCol w:w="1910"/>
      </w:tblGrid>
      <w:tr w:rsidR="00751E59" w:rsidRPr="00DC5278" w14:paraId="74037DBB" w14:textId="77777777" w:rsidTr="00CD3ADA">
        <w:trPr>
          <w:trHeight w:val="285"/>
        </w:trPr>
        <w:tc>
          <w:tcPr>
            <w:tcW w:w="1768" w:type="dxa"/>
            <w:vMerge w:val="restart"/>
            <w:tcBorders>
              <w:top w:val="single" w:sz="12" w:space="0" w:color="auto"/>
              <w:left w:val="nil"/>
              <w:bottom w:val="single" w:sz="8" w:space="0" w:color="000000"/>
              <w:right w:val="nil"/>
            </w:tcBorders>
            <w:shd w:val="clear" w:color="000000" w:fill="D8D8D8"/>
            <w:vAlign w:val="center"/>
            <w:hideMark/>
          </w:tcPr>
          <w:p w14:paraId="74037DB7"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3048" w:type="dxa"/>
            <w:gridSpan w:val="3"/>
            <w:tcBorders>
              <w:top w:val="single" w:sz="12" w:space="0" w:color="auto"/>
              <w:left w:val="nil"/>
              <w:bottom w:val="single" w:sz="8" w:space="0" w:color="auto"/>
              <w:right w:val="nil"/>
            </w:tcBorders>
            <w:shd w:val="clear" w:color="000000" w:fill="D8D8D8"/>
            <w:vAlign w:val="center"/>
            <w:hideMark/>
          </w:tcPr>
          <w:p w14:paraId="74037DB8"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76" w:type="dxa"/>
            <w:tcBorders>
              <w:top w:val="single" w:sz="12" w:space="0" w:color="auto"/>
              <w:left w:val="nil"/>
              <w:bottom w:val="nil"/>
              <w:right w:val="nil"/>
            </w:tcBorders>
            <w:shd w:val="clear" w:color="000000" w:fill="D8D8D8"/>
            <w:vAlign w:val="center"/>
            <w:hideMark/>
          </w:tcPr>
          <w:p w14:paraId="74037DB9" w14:textId="77777777" w:rsidR="00751E59" w:rsidRPr="00DC5278" w:rsidRDefault="00751E59" w:rsidP="0085547B">
            <w:pPr>
              <w:keepNext/>
              <w:suppressAutoHyphens/>
              <w:jc w:val="center"/>
              <w:rPr>
                <w:b/>
                <w:bCs/>
                <w:color w:val="000000"/>
              </w:rPr>
            </w:pPr>
            <w:r w:rsidRPr="00DC5278">
              <w:rPr>
                <w:b/>
                <w:bCs/>
                <w:color w:val="000000"/>
              </w:rPr>
              <w:t> </w:t>
            </w:r>
          </w:p>
        </w:tc>
        <w:tc>
          <w:tcPr>
            <w:tcW w:w="4171" w:type="dxa"/>
            <w:gridSpan w:val="3"/>
            <w:tcBorders>
              <w:top w:val="single" w:sz="12" w:space="0" w:color="auto"/>
              <w:left w:val="nil"/>
              <w:bottom w:val="single" w:sz="8" w:space="0" w:color="auto"/>
              <w:right w:val="nil"/>
            </w:tcBorders>
            <w:shd w:val="clear" w:color="000000" w:fill="D8D8D8"/>
            <w:noWrap/>
            <w:vAlign w:val="center"/>
            <w:hideMark/>
          </w:tcPr>
          <w:p w14:paraId="74037DBA" w14:textId="77777777" w:rsidR="00751E59" w:rsidRPr="00DC5278" w:rsidRDefault="00751E59" w:rsidP="0085547B">
            <w:pPr>
              <w:keepNext/>
              <w:suppressAutoHyphens/>
              <w:jc w:val="center"/>
              <w:rPr>
                <w:b/>
                <w:bCs/>
                <w:color w:val="000000"/>
              </w:rPr>
            </w:pPr>
            <w:r w:rsidRPr="00DC5278">
              <w:rPr>
                <w:b/>
                <w:bCs/>
                <w:color w:val="000000"/>
              </w:rPr>
              <w:t xml:space="preserve">New Zealand's imports from Australia </w:t>
            </w:r>
          </w:p>
        </w:tc>
      </w:tr>
      <w:tr w:rsidR="00751E59" w:rsidRPr="00DC5278" w14:paraId="74037DC4" w14:textId="77777777" w:rsidTr="00CD3ADA">
        <w:trPr>
          <w:trHeight w:val="525"/>
        </w:trPr>
        <w:tc>
          <w:tcPr>
            <w:tcW w:w="1768" w:type="dxa"/>
            <w:vMerge/>
            <w:tcBorders>
              <w:top w:val="single" w:sz="12" w:space="0" w:color="auto"/>
              <w:left w:val="nil"/>
              <w:bottom w:val="single" w:sz="8" w:space="0" w:color="000000"/>
              <w:right w:val="nil"/>
            </w:tcBorders>
            <w:vAlign w:val="center"/>
            <w:hideMark/>
          </w:tcPr>
          <w:p w14:paraId="74037DBC" w14:textId="77777777" w:rsidR="00751E59" w:rsidRPr="00DC5278" w:rsidRDefault="00751E59" w:rsidP="0085547B">
            <w:pPr>
              <w:keepNext/>
              <w:suppressAutoHyphens/>
              <w:rPr>
                <w:b/>
                <w:bCs/>
                <w:color w:val="000000"/>
              </w:rPr>
            </w:pPr>
          </w:p>
        </w:tc>
        <w:tc>
          <w:tcPr>
            <w:tcW w:w="756" w:type="dxa"/>
            <w:tcBorders>
              <w:top w:val="nil"/>
              <w:left w:val="nil"/>
              <w:bottom w:val="single" w:sz="8" w:space="0" w:color="auto"/>
              <w:right w:val="nil"/>
            </w:tcBorders>
            <w:shd w:val="clear" w:color="000000" w:fill="D8D8D8"/>
            <w:noWrap/>
            <w:vAlign w:val="center"/>
            <w:hideMark/>
          </w:tcPr>
          <w:p w14:paraId="74037DBD" w14:textId="77777777" w:rsidR="00751E59" w:rsidRPr="00DC5278" w:rsidRDefault="00751E59" w:rsidP="0085547B">
            <w:pPr>
              <w:keepNext/>
              <w:suppressAutoHyphens/>
              <w:jc w:val="center"/>
              <w:rPr>
                <w:color w:val="000000"/>
              </w:rPr>
            </w:pPr>
            <w:r w:rsidRPr="00DC5278">
              <w:rPr>
                <w:color w:val="000000"/>
              </w:rPr>
              <w:t xml:space="preserve"> No. </w:t>
            </w:r>
          </w:p>
        </w:tc>
        <w:tc>
          <w:tcPr>
            <w:tcW w:w="956" w:type="dxa"/>
            <w:tcBorders>
              <w:top w:val="nil"/>
              <w:left w:val="nil"/>
              <w:bottom w:val="single" w:sz="8" w:space="0" w:color="auto"/>
              <w:right w:val="nil"/>
            </w:tcBorders>
            <w:shd w:val="clear" w:color="000000" w:fill="D8D8D8"/>
            <w:vAlign w:val="center"/>
            <w:hideMark/>
          </w:tcPr>
          <w:p w14:paraId="74037DBE"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336" w:type="dxa"/>
            <w:tcBorders>
              <w:top w:val="nil"/>
              <w:left w:val="nil"/>
              <w:bottom w:val="single" w:sz="8" w:space="0" w:color="auto"/>
              <w:right w:val="nil"/>
            </w:tcBorders>
            <w:shd w:val="clear" w:color="000000" w:fill="D8D8D8"/>
            <w:vAlign w:val="center"/>
            <w:hideMark/>
          </w:tcPr>
          <w:p w14:paraId="74037DBF"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76" w:type="dxa"/>
            <w:tcBorders>
              <w:top w:val="nil"/>
              <w:left w:val="nil"/>
              <w:bottom w:val="single" w:sz="8" w:space="0" w:color="auto"/>
              <w:right w:val="nil"/>
            </w:tcBorders>
            <w:shd w:val="clear" w:color="000000" w:fill="D8D8D8"/>
            <w:vAlign w:val="center"/>
            <w:hideMark/>
          </w:tcPr>
          <w:p w14:paraId="74037DC0" w14:textId="77777777" w:rsidR="00751E59" w:rsidRPr="00DC5278" w:rsidRDefault="00751E59" w:rsidP="0085547B">
            <w:pPr>
              <w:keepNext/>
              <w:suppressAutoHyphens/>
              <w:jc w:val="center"/>
              <w:rPr>
                <w:color w:val="000000"/>
              </w:rPr>
            </w:pPr>
            <w:r w:rsidRPr="00DC5278">
              <w:rPr>
                <w:color w:val="000000"/>
              </w:rPr>
              <w:t> </w:t>
            </w:r>
          </w:p>
        </w:tc>
        <w:tc>
          <w:tcPr>
            <w:tcW w:w="1305" w:type="dxa"/>
            <w:tcBorders>
              <w:top w:val="nil"/>
              <w:left w:val="nil"/>
              <w:bottom w:val="single" w:sz="8" w:space="0" w:color="auto"/>
              <w:right w:val="nil"/>
            </w:tcBorders>
            <w:shd w:val="clear" w:color="000000" w:fill="D8D8D8"/>
            <w:vAlign w:val="center"/>
            <w:hideMark/>
          </w:tcPr>
          <w:p w14:paraId="74037DC1"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956" w:type="dxa"/>
            <w:tcBorders>
              <w:top w:val="nil"/>
              <w:left w:val="nil"/>
              <w:bottom w:val="single" w:sz="8" w:space="0" w:color="auto"/>
              <w:right w:val="nil"/>
            </w:tcBorders>
            <w:shd w:val="clear" w:color="000000" w:fill="D8D8D8"/>
            <w:vAlign w:val="center"/>
            <w:hideMark/>
          </w:tcPr>
          <w:p w14:paraId="74037DC2"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910" w:type="dxa"/>
            <w:tcBorders>
              <w:top w:val="nil"/>
              <w:left w:val="nil"/>
              <w:bottom w:val="single" w:sz="8" w:space="0" w:color="auto"/>
              <w:right w:val="nil"/>
            </w:tcBorders>
            <w:shd w:val="clear" w:color="000000" w:fill="D8D8D8"/>
            <w:vAlign w:val="center"/>
            <w:hideMark/>
          </w:tcPr>
          <w:p w14:paraId="74037DC3"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DCD" w14:textId="77777777" w:rsidTr="00CD3ADA">
        <w:trPr>
          <w:trHeight w:val="255"/>
        </w:trPr>
        <w:tc>
          <w:tcPr>
            <w:tcW w:w="1768" w:type="dxa"/>
            <w:tcBorders>
              <w:top w:val="nil"/>
              <w:left w:val="nil"/>
              <w:bottom w:val="nil"/>
              <w:right w:val="nil"/>
            </w:tcBorders>
            <w:shd w:val="clear" w:color="000000" w:fill="FFFFFF"/>
            <w:noWrap/>
            <w:vAlign w:val="center"/>
            <w:hideMark/>
          </w:tcPr>
          <w:p w14:paraId="74037DC5" w14:textId="77777777" w:rsidR="00751E59" w:rsidRPr="00DC5278" w:rsidRDefault="00751E59" w:rsidP="0085547B">
            <w:pPr>
              <w:keepNext/>
              <w:suppressAutoHyphens/>
              <w:rPr>
                <w:color w:val="000000"/>
              </w:rPr>
            </w:pPr>
            <w:r w:rsidRPr="00DC5278">
              <w:rPr>
                <w:color w:val="000000"/>
              </w:rPr>
              <w:t>MFN 0%</w:t>
            </w:r>
          </w:p>
        </w:tc>
        <w:tc>
          <w:tcPr>
            <w:tcW w:w="756" w:type="dxa"/>
            <w:tcBorders>
              <w:top w:val="nil"/>
              <w:left w:val="nil"/>
              <w:bottom w:val="nil"/>
              <w:right w:val="nil"/>
            </w:tcBorders>
            <w:shd w:val="clear" w:color="000000" w:fill="FFFFFF"/>
            <w:noWrap/>
            <w:vAlign w:val="center"/>
            <w:hideMark/>
          </w:tcPr>
          <w:p w14:paraId="74037DC6" w14:textId="77777777" w:rsidR="00751E59" w:rsidRPr="00DC5278" w:rsidRDefault="00751E59" w:rsidP="0085547B">
            <w:pPr>
              <w:keepNext/>
              <w:suppressAutoHyphens/>
              <w:jc w:val="right"/>
              <w:rPr>
                <w:color w:val="000000"/>
              </w:rPr>
            </w:pPr>
            <w:r w:rsidRPr="00DC5278">
              <w:rPr>
                <w:color w:val="000000"/>
              </w:rPr>
              <w:t>4,207</w:t>
            </w:r>
          </w:p>
        </w:tc>
        <w:tc>
          <w:tcPr>
            <w:tcW w:w="956" w:type="dxa"/>
            <w:tcBorders>
              <w:top w:val="nil"/>
              <w:left w:val="nil"/>
              <w:bottom w:val="nil"/>
              <w:right w:val="nil"/>
            </w:tcBorders>
            <w:shd w:val="clear" w:color="000000" w:fill="FFFFFF"/>
            <w:noWrap/>
            <w:vAlign w:val="center"/>
            <w:hideMark/>
          </w:tcPr>
          <w:p w14:paraId="74037DC7" w14:textId="77777777" w:rsidR="00751E59" w:rsidRPr="00DC5278" w:rsidRDefault="00751E59" w:rsidP="0085547B">
            <w:pPr>
              <w:keepNext/>
              <w:suppressAutoHyphens/>
              <w:jc w:val="right"/>
              <w:rPr>
                <w:color w:val="000000"/>
              </w:rPr>
            </w:pPr>
            <w:r w:rsidRPr="00DC5278">
              <w:rPr>
                <w:color w:val="000000"/>
              </w:rPr>
              <w:t>57.7%</w:t>
            </w:r>
          </w:p>
        </w:tc>
        <w:tc>
          <w:tcPr>
            <w:tcW w:w="1336" w:type="dxa"/>
            <w:tcBorders>
              <w:top w:val="nil"/>
              <w:left w:val="nil"/>
              <w:bottom w:val="nil"/>
              <w:right w:val="nil"/>
            </w:tcBorders>
            <w:shd w:val="clear" w:color="000000" w:fill="FFFFFF"/>
            <w:noWrap/>
            <w:vAlign w:val="center"/>
            <w:hideMark/>
          </w:tcPr>
          <w:p w14:paraId="74037DC8" w14:textId="77777777" w:rsidR="00751E59" w:rsidRPr="00DC5278" w:rsidRDefault="00751E59" w:rsidP="0085547B">
            <w:pPr>
              <w:keepNext/>
              <w:suppressAutoHyphens/>
              <w:jc w:val="right"/>
              <w:rPr>
                <w:color w:val="000000"/>
              </w:rPr>
            </w:pPr>
            <w:r w:rsidRPr="00DC5278">
              <w:rPr>
                <w:color w:val="000000"/>
              </w:rPr>
              <w:t>57.7%</w:t>
            </w:r>
          </w:p>
        </w:tc>
        <w:tc>
          <w:tcPr>
            <w:tcW w:w="276" w:type="dxa"/>
            <w:tcBorders>
              <w:top w:val="nil"/>
              <w:left w:val="nil"/>
              <w:bottom w:val="nil"/>
              <w:right w:val="nil"/>
            </w:tcBorders>
            <w:shd w:val="clear" w:color="000000" w:fill="FFFFFF"/>
            <w:noWrap/>
            <w:vAlign w:val="center"/>
            <w:hideMark/>
          </w:tcPr>
          <w:p w14:paraId="74037DC9" w14:textId="77777777" w:rsidR="00751E59" w:rsidRPr="00DC5278" w:rsidRDefault="00751E59" w:rsidP="0085547B">
            <w:pPr>
              <w:keepNext/>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DCA" w14:textId="77777777" w:rsidR="00751E59" w:rsidRPr="00DC5278" w:rsidRDefault="00751E59" w:rsidP="0085547B">
            <w:pPr>
              <w:keepNext/>
              <w:suppressAutoHyphens/>
              <w:jc w:val="right"/>
              <w:rPr>
                <w:color w:val="000000"/>
              </w:rPr>
            </w:pPr>
            <w:r w:rsidRPr="00DC5278">
              <w:rPr>
                <w:color w:val="000000"/>
              </w:rPr>
              <w:t>2,890.7</w:t>
            </w:r>
          </w:p>
        </w:tc>
        <w:tc>
          <w:tcPr>
            <w:tcW w:w="956" w:type="dxa"/>
            <w:tcBorders>
              <w:top w:val="nil"/>
              <w:left w:val="nil"/>
              <w:bottom w:val="nil"/>
              <w:right w:val="nil"/>
            </w:tcBorders>
            <w:shd w:val="clear" w:color="000000" w:fill="FFFFFF"/>
            <w:noWrap/>
            <w:vAlign w:val="center"/>
            <w:hideMark/>
          </w:tcPr>
          <w:p w14:paraId="74037DCB" w14:textId="77777777" w:rsidR="00751E59" w:rsidRPr="00DC5278" w:rsidRDefault="00751E59" w:rsidP="0085547B">
            <w:pPr>
              <w:keepNext/>
              <w:suppressAutoHyphens/>
              <w:jc w:val="right"/>
              <w:rPr>
                <w:color w:val="000000"/>
              </w:rPr>
            </w:pPr>
            <w:r w:rsidRPr="00DC5278">
              <w:rPr>
                <w:color w:val="000000"/>
              </w:rPr>
              <w:t>56.0%</w:t>
            </w:r>
          </w:p>
        </w:tc>
        <w:tc>
          <w:tcPr>
            <w:tcW w:w="1910" w:type="dxa"/>
            <w:tcBorders>
              <w:top w:val="nil"/>
              <w:left w:val="nil"/>
              <w:bottom w:val="nil"/>
              <w:right w:val="nil"/>
            </w:tcBorders>
            <w:shd w:val="clear" w:color="000000" w:fill="FFFFFF"/>
            <w:noWrap/>
            <w:vAlign w:val="center"/>
            <w:hideMark/>
          </w:tcPr>
          <w:p w14:paraId="74037DCC" w14:textId="77777777" w:rsidR="00751E59" w:rsidRPr="00DC5278" w:rsidRDefault="00751E59" w:rsidP="0085547B">
            <w:pPr>
              <w:keepNext/>
              <w:suppressAutoHyphens/>
              <w:jc w:val="right"/>
              <w:rPr>
                <w:color w:val="000000"/>
              </w:rPr>
            </w:pPr>
            <w:r w:rsidRPr="00DC5278">
              <w:rPr>
                <w:color w:val="000000"/>
              </w:rPr>
              <w:t>56.0%</w:t>
            </w:r>
          </w:p>
        </w:tc>
      </w:tr>
      <w:tr w:rsidR="00751E59" w:rsidRPr="00DC5278" w14:paraId="74037DD6" w14:textId="77777777" w:rsidTr="00CD3ADA">
        <w:trPr>
          <w:trHeight w:val="255"/>
        </w:trPr>
        <w:tc>
          <w:tcPr>
            <w:tcW w:w="1768" w:type="dxa"/>
            <w:tcBorders>
              <w:top w:val="nil"/>
              <w:left w:val="nil"/>
              <w:bottom w:val="nil"/>
              <w:right w:val="nil"/>
            </w:tcBorders>
            <w:shd w:val="clear" w:color="000000" w:fill="FFFFFF"/>
            <w:noWrap/>
            <w:vAlign w:val="center"/>
            <w:hideMark/>
          </w:tcPr>
          <w:p w14:paraId="74037DCE" w14:textId="77777777" w:rsidR="00751E59" w:rsidRPr="00DC5278" w:rsidRDefault="00751E59" w:rsidP="0085547B">
            <w:pPr>
              <w:keepNext/>
              <w:suppressAutoHyphens/>
              <w:rPr>
                <w:color w:val="000000"/>
              </w:rPr>
            </w:pPr>
            <w:r w:rsidRPr="00DC5278">
              <w:rPr>
                <w:color w:val="000000"/>
              </w:rPr>
              <w:t>A: 0% tariff on EIF</w:t>
            </w:r>
          </w:p>
        </w:tc>
        <w:tc>
          <w:tcPr>
            <w:tcW w:w="756" w:type="dxa"/>
            <w:tcBorders>
              <w:top w:val="nil"/>
              <w:left w:val="nil"/>
              <w:bottom w:val="nil"/>
              <w:right w:val="nil"/>
            </w:tcBorders>
            <w:shd w:val="clear" w:color="000000" w:fill="FFFFFF"/>
            <w:noWrap/>
            <w:vAlign w:val="center"/>
            <w:hideMark/>
          </w:tcPr>
          <w:p w14:paraId="74037DCF" w14:textId="77777777" w:rsidR="00751E59" w:rsidRPr="00DC5278" w:rsidRDefault="00751E59" w:rsidP="0085547B">
            <w:pPr>
              <w:keepNext/>
              <w:suppressAutoHyphens/>
              <w:jc w:val="right"/>
              <w:rPr>
                <w:color w:val="000000"/>
              </w:rPr>
            </w:pPr>
            <w:r w:rsidRPr="00DC5278">
              <w:rPr>
                <w:color w:val="000000"/>
              </w:rPr>
              <w:t>2,688</w:t>
            </w:r>
          </w:p>
        </w:tc>
        <w:tc>
          <w:tcPr>
            <w:tcW w:w="956" w:type="dxa"/>
            <w:tcBorders>
              <w:top w:val="nil"/>
              <w:left w:val="nil"/>
              <w:bottom w:val="nil"/>
              <w:right w:val="nil"/>
            </w:tcBorders>
            <w:shd w:val="clear" w:color="000000" w:fill="FFFFFF"/>
            <w:noWrap/>
            <w:vAlign w:val="center"/>
            <w:hideMark/>
          </w:tcPr>
          <w:p w14:paraId="74037DD0" w14:textId="77777777" w:rsidR="00751E59" w:rsidRPr="00DC5278" w:rsidRDefault="00751E59" w:rsidP="0085547B">
            <w:pPr>
              <w:keepNext/>
              <w:suppressAutoHyphens/>
              <w:jc w:val="right"/>
              <w:rPr>
                <w:color w:val="000000"/>
              </w:rPr>
            </w:pPr>
            <w:r w:rsidRPr="00DC5278">
              <w:rPr>
                <w:color w:val="000000"/>
              </w:rPr>
              <w:t>36.9%</w:t>
            </w:r>
          </w:p>
        </w:tc>
        <w:tc>
          <w:tcPr>
            <w:tcW w:w="1336" w:type="dxa"/>
            <w:tcBorders>
              <w:top w:val="nil"/>
              <w:left w:val="nil"/>
              <w:bottom w:val="nil"/>
              <w:right w:val="nil"/>
            </w:tcBorders>
            <w:shd w:val="clear" w:color="000000" w:fill="FFFFFF"/>
            <w:noWrap/>
            <w:vAlign w:val="center"/>
            <w:hideMark/>
          </w:tcPr>
          <w:p w14:paraId="74037DD1" w14:textId="77777777" w:rsidR="00751E59" w:rsidRPr="00DC5278" w:rsidRDefault="00751E59" w:rsidP="0085547B">
            <w:pPr>
              <w:keepNext/>
              <w:suppressAutoHyphens/>
              <w:jc w:val="right"/>
              <w:rPr>
                <w:color w:val="000000"/>
              </w:rPr>
            </w:pPr>
            <w:r w:rsidRPr="00DC5278">
              <w:rPr>
                <w:color w:val="000000"/>
              </w:rPr>
              <w:t>94.6%</w:t>
            </w:r>
          </w:p>
        </w:tc>
        <w:tc>
          <w:tcPr>
            <w:tcW w:w="276" w:type="dxa"/>
            <w:tcBorders>
              <w:top w:val="nil"/>
              <w:left w:val="nil"/>
              <w:bottom w:val="nil"/>
              <w:right w:val="nil"/>
            </w:tcBorders>
            <w:shd w:val="clear" w:color="000000" w:fill="FFFFFF"/>
            <w:noWrap/>
            <w:vAlign w:val="center"/>
            <w:hideMark/>
          </w:tcPr>
          <w:p w14:paraId="74037DD2" w14:textId="77777777" w:rsidR="00751E59" w:rsidRPr="00DC5278" w:rsidRDefault="00751E59" w:rsidP="0085547B">
            <w:pPr>
              <w:keepNext/>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DD3" w14:textId="77777777" w:rsidR="00751E59" w:rsidRPr="00DC5278" w:rsidRDefault="00751E59" w:rsidP="0085547B">
            <w:pPr>
              <w:keepNext/>
              <w:suppressAutoHyphens/>
              <w:jc w:val="right"/>
              <w:rPr>
                <w:color w:val="000000"/>
              </w:rPr>
            </w:pPr>
            <w:r w:rsidRPr="00DC5278">
              <w:rPr>
                <w:color w:val="000000"/>
              </w:rPr>
              <w:t>1,569.3</w:t>
            </w:r>
          </w:p>
        </w:tc>
        <w:tc>
          <w:tcPr>
            <w:tcW w:w="956" w:type="dxa"/>
            <w:tcBorders>
              <w:top w:val="nil"/>
              <w:left w:val="nil"/>
              <w:bottom w:val="nil"/>
              <w:right w:val="nil"/>
            </w:tcBorders>
            <w:shd w:val="clear" w:color="000000" w:fill="FFFFFF"/>
            <w:noWrap/>
            <w:vAlign w:val="center"/>
            <w:hideMark/>
          </w:tcPr>
          <w:p w14:paraId="74037DD4" w14:textId="77777777" w:rsidR="00751E59" w:rsidRPr="00DC5278" w:rsidRDefault="00751E59" w:rsidP="0085547B">
            <w:pPr>
              <w:keepNext/>
              <w:suppressAutoHyphens/>
              <w:jc w:val="right"/>
              <w:rPr>
                <w:color w:val="000000"/>
              </w:rPr>
            </w:pPr>
            <w:r w:rsidRPr="00DC5278">
              <w:rPr>
                <w:color w:val="000000"/>
              </w:rPr>
              <w:t>30.4%</w:t>
            </w:r>
          </w:p>
        </w:tc>
        <w:tc>
          <w:tcPr>
            <w:tcW w:w="1910" w:type="dxa"/>
            <w:tcBorders>
              <w:top w:val="nil"/>
              <w:left w:val="nil"/>
              <w:bottom w:val="nil"/>
              <w:right w:val="nil"/>
            </w:tcBorders>
            <w:shd w:val="clear" w:color="000000" w:fill="FFFFFF"/>
            <w:noWrap/>
            <w:vAlign w:val="center"/>
            <w:hideMark/>
          </w:tcPr>
          <w:p w14:paraId="74037DD5" w14:textId="77777777" w:rsidR="00751E59" w:rsidRPr="00DC5278" w:rsidRDefault="00751E59" w:rsidP="0085547B">
            <w:pPr>
              <w:keepNext/>
              <w:suppressAutoHyphens/>
              <w:jc w:val="right"/>
              <w:rPr>
                <w:color w:val="000000"/>
              </w:rPr>
            </w:pPr>
            <w:r w:rsidRPr="00DC5278">
              <w:rPr>
                <w:color w:val="000000"/>
              </w:rPr>
              <w:t>86.4%</w:t>
            </w:r>
          </w:p>
        </w:tc>
      </w:tr>
      <w:tr w:rsidR="00751E59" w:rsidRPr="00DC5278" w14:paraId="74037DDF" w14:textId="77777777" w:rsidTr="00CD3ADA">
        <w:trPr>
          <w:trHeight w:val="255"/>
        </w:trPr>
        <w:tc>
          <w:tcPr>
            <w:tcW w:w="1768" w:type="dxa"/>
            <w:tcBorders>
              <w:top w:val="nil"/>
              <w:left w:val="nil"/>
              <w:bottom w:val="nil"/>
              <w:right w:val="nil"/>
            </w:tcBorders>
            <w:shd w:val="clear" w:color="000000" w:fill="FFFFFF"/>
            <w:noWrap/>
            <w:vAlign w:val="center"/>
            <w:hideMark/>
          </w:tcPr>
          <w:p w14:paraId="74037DD7" w14:textId="77777777" w:rsidR="00751E59" w:rsidRPr="00DC5278" w:rsidRDefault="00751E59" w:rsidP="0085547B">
            <w:pPr>
              <w:keepNext/>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56" w:type="dxa"/>
            <w:tcBorders>
              <w:top w:val="nil"/>
              <w:left w:val="nil"/>
              <w:bottom w:val="nil"/>
              <w:right w:val="nil"/>
            </w:tcBorders>
            <w:shd w:val="clear" w:color="000000" w:fill="FFFFFF"/>
            <w:noWrap/>
            <w:vAlign w:val="center"/>
            <w:hideMark/>
          </w:tcPr>
          <w:p w14:paraId="74037DD8" w14:textId="77777777" w:rsidR="00751E59" w:rsidRPr="00DC5278" w:rsidRDefault="00751E59" w:rsidP="0085547B">
            <w:pPr>
              <w:keepNext/>
              <w:suppressAutoHyphens/>
              <w:jc w:val="right"/>
              <w:rPr>
                <w:color w:val="000000"/>
              </w:rPr>
            </w:pPr>
            <w:r w:rsidRPr="00DC5278">
              <w:rPr>
                <w:color w:val="000000"/>
              </w:rPr>
              <w:t>133</w:t>
            </w:r>
          </w:p>
        </w:tc>
        <w:tc>
          <w:tcPr>
            <w:tcW w:w="956" w:type="dxa"/>
            <w:tcBorders>
              <w:top w:val="nil"/>
              <w:left w:val="nil"/>
              <w:bottom w:val="nil"/>
              <w:right w:val="nil"/>
            </w:tcBorders>
            <w:shd w:val="clear" w:color="000000" w:fill="FFFFFF"/>
            <w:noWrap/>
            <w:vAlign w:val="center"/>
            <w:hideMark/>
          </w:tcPr>
          <w:p w14:paraId="74037DD9" w14:textId="77777777" w:rsidR="00751E59" w:rsidRPr="00DC5278" w:rsidRDefault="00751E59" w:rsidP="0085547B">
            <w:pPr>
              <w:keepNext/>
              <w:suppressAutoHyphens/>
              <w:jc w:val="right"/>
              <w:rPr>
                <w:color w:val="000000"/>
              </w:rPr>
            </w:pPr>
            <w:r w:rsidRPr="00DC5278">
              <w:rPr>
                <w:color w:val="000000"/>
              </w:rPr>
              <w:t>1.8%</w:t>
            </w:r>
          </w:p>
        </w:tc>
        <w:tc>
          <w:tcPr>
            <w:tcW w:w="1336" w:type="dxa"/>
            <w:tcBorders>
              <w:top w:val="nil"/>
              <w:left w:val="nil"/>
              <w:bottom w:val="nil"/>
              <w:right w:val="nil"/>
            </w:tcBorders>
            <w:shd w:val="clear" w:color="000000" w:fill="FFFFFF"/>
            <w:noWrap/>
            <w:vAlign w:val="center"/>
            <w:hideMark/>
          </w:tcPr>
          <w:p w14:paraId="74037DDA" w14:textId="77777777" w:rsidR="00751E59" w:rsidRPr="00DC5278" w:rsidRDefault="00751E59" w:rsidP="0085547B">
            <w:pPr>
              <w:keepNext/>
              <w:suppressAutoHyphens/>
              <w:jc w:val="right"/>
              <w:rPr>
                <w:color w:val="000000"/>
              </w:rPr>
            </w:pPr>
            <w:r w:rsidRPr="00DC5278">
              <w:rPr>
                <w:color w:val="000000"/>
              </w:rPr>
              <w:t>96.4%</w:t>
            </w:r>
          </w:p>
        </w:tc>
        <w:tc>
          <w:tcPr>
            <w:tcW w:w="276" w:type="dxa"/>
            <w:tcBorders>
              <w:top w:val="nil"/>
              <w:left w:val="nil"/>
              <w:bottom w:val="nil"/>
              <w:right w:val="nil"/>
            </w:tcBorders>
            <w:shd w:val="clear" w:color="000000" w:fill="FFFFFF"/>
            <w:noWrap/>
            <w:vAlign w:val="center"/>
            <w:hideMark/>
          </w:tcPr>
          <w:p w14:paraId="74037DDB" w14:textId="77777777" w:rsidR="00751E59" w:rsidRPr="00DC5278" w:rsidRDefault="00751E59" w:rsidP="0085547B">
            <w:pPr>
              <w:keepNext/>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DDC" w14:textId="77777777" w:rsidR="00751E59" w:rsidRPr="00DC5278" w:rsidRDefault="00751E59" w:rsidP="0085547B">
            <w:pPr>
              <w:keepNext/>
              <w:suppressAutoHyphens/>
              <w:jc w:val="right"/>
              <w:rPr>
                <w:color w:val="000000"/>
              </w:rPr>
            </w:pPr>
            <w:r w:rsidRPr="00DC5278">
              <w:rPr>
                <w:color w:val="000000"/>
              </w:rPr>
              <w:t>439.0</w:t>
            </w:r>
          </w:p>
        </w:tc>
        <w:tc>
          <w:tcPr>
            <w:tcW w:w="956" w:type="dxa"/>
            <w:tcBorders>
              <w:top w:val="nil"/>
              <w:left w:val="nil"/>
              <w:bottom w:val="nil"/>
              <w:right w:val="nil"/>
            </w:tcBorders>
            <w:shd w:val="clear" w:color="000000" w:fill="FFFFFF"/>
            <w:noWrap/>
            <w:vAlign w:val="center"/>
            <w:hideMark/>
          </w:tcPr>
          <w:p w14:paraId="74037DDD" w14:textId="77777777" w:rsidR="00751E59" w:rsidRPr="00DC5278" w:rsidRDefault="00751E59" w:rsidP="0085547B">
            <w:pPr>
              <w:keepNext/>
              <w:suppressAutoHyphens/>
              <w:jc w:val="right"/>
              <w:rPr>
                <w:color w:val="000000"/>
              </w:rPr>
            </w:pPr>
            <w:r w:rsidRPr="00DC5278">
              <w:rPr>
                <w:color w:val="000000"/>
              </w:rPr>
              <w:t>8.5%</w:t>
            </w:r>
          </w:p>
        </w:tc>
        <w:tc>
          <w:tcPr>
            <w:tcW w:w="1910" w:type="dxa"/>
            <w:tcBorders>
              <w:top w:val="nil"/>
              <w:left w:val="nil"/>
              <w:bottom w:val="nil"/>
              <w:right w:val="nil"/>
            </w:tcBorders>
            <w:shd w:val="clear" w:color="000000" w:fill="FFFFFF"/>
            <w:noWrap/>
            <w:vAlign w:val="center"/>
            <w:hideMark/>
          </w:tcPr>
          <w:p w14:paraId="74037DDE" w14:textId="77777777" w:rsidR="00751E59" w:rsidRPr="00DC5278" w:rsidRDefault="00751E59" w:rsidP="0085547B">
            <w:pPr>
              <w:keepNext/>
              <w:suppressAutoHyphens/>
              <w:jc w:val="right"/>
              <w:rPr>
                <w:color w:val="000000"/>
              </w:rPr>
            </w:pPr>
            <w:r w:rsidRPr="00DC5278">
              <w:rPr>
                <w:color w:val="000000"/>
              </w:rPr>
              <w:t>94.9%</w:t>
            </w:r>
          </w:p>
        </w:tc>
      </w:tr>
      <w:tr w:rsidR="00751E59" w:rsidRPr="00DC5278" w14:paraId="74037DE8" w14:textId="77777777" w:rsidTr="00CD3ADA">
        <w:trPr>
          <w:trHeight w:val="255"/>
        </w:trPr>
        <w:tc>
          <w:tcPr>
            <w:tcW w:w="1768" w:type="dxa"/>
            <w:tcBorders>
              <w:top w:val="nil"/>
              <w:left w:val="nil"/>
              <w:bottom w:val="nil"/>
              <w:right w:val="nil"/>
            </w:tcBorders>
            <w:shd w:val="clear" w:color="000000" w:fill="FFFFFF"/>
            <w:noWrap/>
            <w:vAlign w:val="center"/>
            <w:hideMark/>
          </w:tcPr>
          <w:p w14:paraId="74037DE0" w14:textId="77777777" w:rsidR="00751E59" w:rsidRPr="00DC5278" w:rsidRDefault="00751E59" w:rsidP="0085547B">
            <w:pPr>
              <w:keepNext/>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56" w:type="dxa"/>
            <w:tcBorders>
              <w:top w:val="nil"/>
              <w:left w:val="nil"/>
              <w:bottom w:val="nil"/>
              <w:right w:val="nil"/>
            </w:tcBorders>
            <w:shd w:val="clear" w:color="000000" w:fill="FFFFFF"/>
            <w:noWrap/>
            <w:vAlign w:val="center"/>
            <w:hideMark/>
          </w:tcPr>
          <w:p w14:paraId="74037DE1" w14:textId="77777777" w:rsidR="00751E59" w:rsidRPr="00DC5278" w:rsidRDefault="00751E59" w:rsidP="0085547B">
            <w:pPr>
              <w:keepNext/>
              <w:suppressAutoHyphens/>
              <w:jc w:val="right"/>
              <w:rPr>
                <w:color w:val="000000"/>
              </w:rPr>
            </w:pPr>
            <w:r w:rsidRPr="00DC5278">
              <w:rPr>
                <w:color w:val="000000"/>
              </w:rPr>
              <w:t>260</w:t>
            </w:r>
          </w:p>
        </w:tc>
        <w:tc>
          <w:tcPr>
            <w:tcW w:w="956" w:type="dxa"/>
            <w:tcBorders>
              <w:top w:val="nil"/>
              <w:left w:val="nil"/>
              <w:bottom w:val="nil"/>
              <w:right w:val="nil"/>
            </w:tcBorders>
            <w:shd w:val="clear" w:color="000000" w:fill="FFFFFF"/>
            <w:noWrap/>
            <w:vAlign w:val="center"/>
            <w:hideMark/>
          </w:tcPr>
          <w:p w14:paraId="74037DE2" w14:textId="77777777" w:rsidR="00751E59" w:rsidRPr="00DC5278" w:rsidRDefault="00751E59" w:rsidP="0085547B">
            <w:pPr>
              <w:keepNext/>
              <w:suppressAutoHyphens/>
              <w:jc w:val="right"/>
              <w:rPr>
                <w:color w:val="000000"/>
              </w:rPr>
            </w:pPr>
            <w:r w:rsidRPr="00DC5278">
              <w:rPr>
                <w:color w:val="000000"/>
              </w:rPr>
              <w:t>3.6%</w:t>
            </w:r>
          </w:p>
        </w:tc>
        <w:tc>
          <w:tcPr>
            <w:tcW w:w="1336" w:type="dxa"/>
            <w:tcBorders>
              <w:top w:val="nil"/>
              <w:left w:val="nil"/>
              <w:bottom w:val="nil"/>
              <w:right w:val="nil"/>
            </w:tcBorders>
            <w:shd w:val="clear" w:color="000000" w:fill="FFFFFF"/>
            <w:noWrap/>
            <w:vAlign w:val="center"/>
            <w:hideMark/>
          </w:tcPr>
          <w:p w14:paraId="74037DE3" w14:textId="77777777" w:rsidR="00751E59" w:rsidRPr="00DC5278" w:rsidRDefault="00751E59" w:rsidP="0085547B">
            <w:pPr>
              <w:keepNext/>
              <w:suppressAutoHyphens/>
              <w:jc w:val="right"/>
              <w:rPr>
                <w:color w:val="000000"/>
              </w:rPr>
            </w:pPr>
            <w:r w:rsidRPr="00DC5278">
              <w:rPr>
                <w:color w:val="000000"/>
              </w:rPr>
              <w:t>100.0%</w:t>
            </w:r>
          </w:p>
        </w:tc>
        <w:tc>
          <w:tcPr>
            <w:tcW w:w="276" w:type="dxa"/>
            <w:tcBorders>
              <w:top w:val="nil"/>
              <w:left w:val="nil"/>
              <w:bottom w:val="nil"/>
              <w:right w:val="nil"/>
            </w:tcBorders>
            <w:shd w:val="clear" w:color="000000" w:fill="FFFFFF"/>
            <w:noWrap/>
            <w:vAlign w:val="center"/>
            <w:hideMark/>
          </w:tcPr>
          <w:p w14:paraId="74037DE4" w14:textId="77777777" w:rsidR="00751E59" w:rsidRPr="00DC5278" w:rsidRDefault="00751E59" w:rsidP="0085547B">
            <w:pPr>
              <w:keepNext/>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DE5" w14:textId="77777777" w:rsidR="00751E59" w:rsidRPr="00DC5278" w:rsidRDefault="00751E59" w:rsidP="0085547B">
            <w:pPr>
              <w:keepNext/>
              <w:suppressAutoHyphens/>
              <w:jc w:val="right"/>
              <w:rPr>
                <w:color w:val="000000"/>
              </w:rPr>
            </w:pPr>
            <w:r w:rsidRPr="00DC5278">
              <w:rPr>
                <w:color w:val="000000"/>
              </w:rPr>
              <w:t>262.9</w:t>
            </w:r>
          </w:p>
        </w:tc>
        <w:tc>
          <w:tcPr>
            <w:tcW w:w="956" w:type="dxa"/>
            <w:tcBorders>
              <w:top w:val="nil"/>
              <w:left w:val="nil"/>
              <w:bottom w:val="nil"/>
              <w:right w:val="nil"/>
            </w:tcBorders>
            <w:shd w:val="clear" w:color="000000" w:fill="FFFFFF"/>
            <w:noWrap/>
            <w:vAlign w:val="center"/>
            <w:hideMark/>
          </w:tcPr>
          <w:p w14:paraId="74037DE6" w14:textId="77777777" w:rsidR="00751E59" w:rsidRPr="00DC5278" w:rsidRDefault="00751E59" w:rsidP="0085547B">
            <w:pPr>
              <w:keepNext/>
              <w:suppressAutoHyphens/>
              <w:jc w:val="right"/>
              <w:rPr>
                <w:color w:val="000000"/>
              </w:rPr>
            </w:pPr>
            <w:r w:rsidRPr="00DC5278">
              <w:rPr>
                <w:color w:val="000000"/>
              </w:rPr>
              <w:t>5.1%</w:t>
            </w:r>
          </w:p>
        </w:tc>
        <w:tc>
          <w:tcPr>
            <w:tcW w:w="1910" w:type="dxa"/>
            <w:tcBorders>
              <w:top w:val="nil"/>
              <w:left w:val="nil"/>
              <w:bottom w:val="nil"/>
              <w:right w:val="nil"/>
            </w:tcBorders>
            <w:shd w:val="clear" w:color="000000" w:fill="FFFFFF"/>
            <w:noWrap/>
            <w:vAlign w:val="center"/>
            <w:hideMark/>
          </w:tcPr>
          <w:p w14:paraId="74037DE7" w14:textId="77777777" w:rsidR="00751E59" w:rsidRPr="00DC5278" w:rsidRDefault="00751E59" w:rsidP="0085547B">
            <w:pPr>
              <w:keepNext/>
              <w:suppressAutoHyphens/>
              <w:jc w:val="right"/>
              <w:rPr>
                <w:color w:val="000000"/>
              </w:rPr>
            </w:pPr>
            <w:r w:rsidRPr="00DC5278">
              <w:rPr>
                <w:color w:val="000000"/>
              </w:rPr>
              <w:t>100.0%</w:t>
            </w:r>
          </w:p>
        </w:tc>
      </w:tr>
      <w:tr w:rsidR="00751E59" w:rsidRPr="00DC5278" w14:paraId="74037DF1" w14:textId="77777777" w:rsidTr="00CD3ADA">
        <w:trPr>
          <w:trHeight w:val="255"/>
        </w:trPr>
        <w:tc>
          <w:tcPr>
            <w:tcW w:w="1768" w:type="dxa"/>
            <w:tcBorders>
              <w:top w:val="nil"/>
              <w:left w:val="nil"/>
              <w:bottom w:val="nil"/>
              <w:right w:val="nil"/>
            </w:tcBorders>
            <w:shd w:val="clear" w:color="000000" w:fill="FFFFFF"/>
            <w:noWrap/>
            <w:vAlign w:val="center"/>
            <w:hideMark/>
          </w:tcPr>
          <w:p w14:paraId="74037DE9" w14:textId="77777777" w:rsidR="00751E59" w:rsidRPr="00DC5278" w:rsidRDefault="00751E59" w:rsidP="0036201B">
            <w:pPr>
              <w:keepNext/>
              <w:suppressAutoHyphens/>
              <w:jc w:val="right"/>
              <w:rPr>
                <w:color w:val="000000"/>
              </w:rPr>
            </w:pPr>
            <w:r w:rsidRPr="00DC5278">
              <w:rPr>
                <w:color w:val="000000"/>
              </w:rPr>
              <w:t>D: 11+ year phasing</w:t>
            </w:r>
          </w:p>
        </w:tc>
        <w:tc>
          <w:tcPr>
            <w:tcW w:w="756" w:type="dxa"/>
            <w:tcBorders>
              <w:top w:val="nil"/>
              <w:left w:val="nil"/>
              <w:bottom w:val="nil"/>
              <w:right w:val="nil"/>
            </w:tcBorders>
            <w:shd w:val="clear" w:color="000000" w:fill="FFFFFF"/>
            <w:noWrap/>
            <w:vAlign w:val="center"/>
            <w:hideMark/>
          </w:tcPr>
          <w:p w14:paraId="74037DEA" w14:textId="7AC96A31" w:rsidR="00751E59" w:rsidRPr="00DC5278" w:rsidRDefault="00751E59" w:rsidP="0036201B">
            <w:pPr>
              <w:keepNext/>
              <w:suppressAutoHyphens/>
              <w:jc w:val="right"/>
              <w:rPr>
                <w:color w:val="000000"/>
              </w:rPr>
            </w:pPr>
            <w:r w:rsidRPr="00DC5278">
              <w:rPr>
                <w:color w:val="000000"/>
              </w:rPr>
              <w:t xml:space="preserve">-   </w:t>
            </w:r>
          </w:p>
        </w:tc>
        <w:tc>
          <w:tcPr>
            <w:tcW w:w="956" w:type="dxa"/>
            <w:tcBorders>
              <w:top w:val="nil"/>
              <w:left w:val="nil"/>
              <w:bottom w:val="nil"/>
              <w:right w:val="nil"/>
            </w:tcBorders>
            <w:shd w:val="clear" w:color="000000" w:fill="FFFFFF"/>
            <w:noWrap/>
            <w:vAlign w:val="center"/>
            <w:hideMark/>
          </w:tcPr>
          <w:p w14:paraId="74037DEB" w14:textId="1BFBCE77" w:rsidR="00751E59" w:rsidRPr="00DC5278" w:rsidRDefault="00751E59" w:rsidP="0036201B">
            <w:pPr>
              <w:keepNext/>
              <w:suppressAutoHyphens/>
              <w:jc w:val="right"/>
              <w:rPr>
                <w:color w:val="000000"/>
              </w:rPr>
            </w:pPr>
            <w:r w:rsidRPr="00DC5278">
              <w:rPr>
                <w:color w:val="000000"/>
              </w:rPr>
              <w:t xml:space="preserve">-   </w:t>
            </w:r>
          </w:p>
        </w:tc>
        <w:tc>
          <w:tcPr>
            <w:tcW w:w="1336" w:type="dxa"/>
            <w:tcBorders>
              <w:top w:val="nil"/>
              <w:left w:val="nil"/>
              <w:bottom w:val="nil"/>
              <w:right w:val="nil"/>
            </w:tcBorders>
            <w:shd w:val="clear" w:color="000000" w:fill="FFFFFF"/>
            <w:noWrap/>
            <w:vAlign w:val="center"/>
            <w:hideMark/>
          </w:tcPr>
          <w:p w14:paraId="74037DEC" w14:textId="77777777" w:rsidR="00751E59" w:rsidRPr="00DC5278" w:rsidRDefault="00751E59" w:rsidP="0036201B">
            <w:pPr>
              <w:keepNext/>
              <w:suppressAutoHyphens/>
              <w:jc w:val="right"/>
              <w:rPr>
                <w:color w:val="000000"/>
              </w:rPr>
            </w:pPr>
            <w:r w:rsidRPr="00DC5278">
              <w:rPr>
                <w:color w:val="000000"/>
              </w:rPr>
              <w:t>100.0%</w:t>
            </w:r>
          </w:p>
        </w:tc>
        <w:tc>
          <w:tcPr>
            <w:tcW w:w="276" w:type="dxa"/>
            <w:tcBorders>
              <w:top w:val="nil"/>
              <w:left w:val="nil"/>
              <w:bottom w:val="nil"/>
              <w:right w:val="nil"/>
            </w:tcBorders>
            <w:shd w:val="clear" w:color="000000" w:fill="FFFFFF"/>
            <w:noWrap/>
            <w:vAlign w:val="center"/>
            <w:hideMark/>
          </w:tcPr>
          <w:p w14:paraId="74037DED" w14:textId="77777777" w:rsidR="00751E59" w:rsidRPr="00DC5278" w:rsidRDefault="00751E59" w:rsidP="0036201B">
            <w:pPr>
              <w:keepNext/>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DEE" w14:textId="77777777" w:rsidR="00751E59" w:rsidRPr="00DC5278" w:rsidRDefault="00751E59" w:rsidP="0036201B">
            <w:pPr>
              <w:keepNext/>
              <w:suppressAutoHyphens/>
              <w:jc w:val="right"/>
              <w:rPr>
                <w:color w:val="000000"/>
              </w:rPr>
            </w:pPr>
            <w:r w:rsidRPr="00DC5278">
              <w:rPr>
                <w:color w:val="000000"/>
              </w:rPr>
              <w:t>0.0</w:t>
            </w:r>
          </w:p>
        </w:tc>
        <w:tc>
          <w:tcPr>
            <w:tcW w:w="956" w:type="dxa"/>
            <w:tcBorders>
              <w:top w:val="nil"/>
              <w:left w:val="nil"/>
              <w:bottom w:val="nil"/>
              <w:right w:val="nil"/>
            </w:tcBorders>
            <w:shd w:val="clear" w:color="000000" w:fill="FFFFFF"/>
            <w:noWrap/>
            <w:vAlign w:val="center"/>
            <w:hideMark/>
          </w:tcPr>
          <w:p w14:paraId="74037DEF" w14:textId="262C7E07" w:rsidR="00751E59" w:rsidRPr="00DC5278" w:rsidRDefault="00751E59" w:rsidP="0036201B">
            <w:pPr>
              <w:keepNext/>
              <w:suppressAutoHyphens/>
              <w:jc w:val="right"/>
              <w:rPr>
                <w:color w:val="000000"/>
              </w:rPr>
            </w:pPr>
            <w:r w:rsidRPr="00DC5278">
              <w:rPr>
                <w:color w:val="000000"/>
              </w:rPr>
              <w:t xml:space="preserve">-   </w:t>
            </w:r>
          </w:p>
        </w:tc>
        <w:tc>
          <w:tcPr>
            <w:tcW w:w="1910" w:type="dxa"/>
            <w:tcBorders>
              <w:top w:val="nil"/>
              <w:left w:val="nil"/>
              <w:bottom w:val="nil"/>
              <w:right w:val="nil"/>
            </w:tcBorders>
            <w:shd w:val="clear" w:color="000000" w:fill="FFFFFF"/>
            <w:noWrap/>
            <w:vAlign w:val="center"/>
            <w:hideMark/>
          </w:tcPr>
          <w:p w14:paraId="74037DF0" w14:textId="77777777" w:rsidR="00751E59" w:rsidRPr="00DC5278" w:rsidRDefault="00751E59" w:rsidP="0036201B">
            <w:pPr>
              <w:keepNext/>
              <w:suppressAutoHyphens/>
              <w:jc w:val="right"/>
              <w:rPr>
                <w:color w:val="000000"/>
              </w:rPr>
            </w:pPr>
            <w:r w:rsidRPr="00DC5278">
              <w:rPr>
                <w:color w:val="000000"/>
              </w:rPr>
              <w:t>100.0%</w:t>
            </w:r>
          </w:p>
        </w:tc>
      </w:tr>
      <w:tr w:rsidR="00751E59" w:rsidRPr="00DC5278" w14:paraId="74037DFA" w14:textId="77777777" w:rsidTr="00CD3ADA">
        <w:trPr>
          <w:trHeight w:val="510"/>
        </w:trPr>
        <w:tc>
          <w:tcPr>
            <w:tcW w:w="1768" w:type="dxa"/>
            <w:tcBorders>
              <w:top w:val="nil"/>
              <w:left w:val="nil"/>
              <w:bottom w:val="nil"/>
              <w:right w:val="nil"/>
            </w:tcBorders>
            <w:shd w:val="clear" w:color="000000" w:fill="FFFFFF"/>
            <w:noWrap/>
            <w:vAlign w:val="center"/>
            <w:hideMark/>
          </w:tcPr>
          <w:p w14:paraId="74037DF2" w14:textId="77777777" w:rsidR="00751E59" w:rsidRPr="00DC5278" w:rsidRDefault="00751E59" w:rsidP="0036201B">
            <w:pPr>
              <w:keepNext/>
              <w:suppressAutoHyphens/>
              <w:jc w:val="right"/>
              <w:rPr>
                <w:color w:val="000000"/>
              </w:rPr>
            </w:pPr>
            <w:r w:rsidRPr="00DC5278">
              <w:rPr>
                <w:color w:val="000000"/>
              </w:rPr>
              <w:t>Tariff reduction</w:t>
            </w:r>
          </w:p>
        </w:tc>
        <w:tc>
          <w:tcPr>
            <w:tcW w:w="756" w:type="dxa"/>
            <w:tcBorders>
              <w:top w:val="nil"/>
              <w:left w:val="nil"/>
              <w:bottom w:val="nil"/>
              <w:right w:val="nil"/>
            </w:tcBorders>
            <w:shd w:val="clear" w:color="000000" w:fill="FFFFFF"/>
            <w:noWrap/>
            <w:vAlign w:val="center"/>
            <w:hideMark/>
          </w:tcPr>
          <w:p w14:paraId="74037DF3" w14:textId="13EBA15F" w:rsidR="00751E59" w:rsidRPr="00DC5278" w:rsidRDefault="00751E59" w:rsidP="0036201B">
            <w:pPr>
              <w:keepNext/>
              <w:suppressAutoHyphens/>
              <w:jc w:val="right"/>
              <w:rPr>
                <w:color w:val="000000"/>
              </w:rPr>
            </w:pPr>
            <w:r w:rsidRPr="00DC5278">
              <w:rPr>
                <w:color w:val="000000"/>
              </w:rPr>
              <w:t xml:space="preserve">-   </w:t>
            </w:r>
          </w:p>
        </w:tc>
        <w:tc>
          <w:tcPr>
            <w:tcW w:w="956" w:type="dxa"/>
            <w:tcBorders>
              <w:top w:val="nil"/>
              <w:left w:val="nil"/>
              <w:bottom w:val="nil"/>
              <w:right w:val="nil"/>
            </w:tcBorders>
            <w:shd w:val="clear" w:color="000000" w:fill="FFFFFF"/>
            <w:noWrap/>
            <w:vAlign w:val="center"/>
            <w:hideMark/>
          </w:tcPr>
          <w:p w14:paraId="74037DF4" w14:textId="519A7049" w:rsidR="00751E59" w:rsidRPr="00DC5278" w:rsidRDefault="00751E59" w:rsidP="0036201B">
            <w:pPr>
              <w:keepNext/>
              <w:suppressAutoHyphens/>
              <w:jc w:val="right"/>
              <w:rPr>
                <w:color w:val="000000"/>
              </w:rPr>
            </w:pPr>
            <w:r w:rsidRPr="00DC5278">
              <w:rPr>
                <w:color w:val="000000"/>
              </w:rPr>
              <w:t xml:space="preserve">-   </w:t>
            </w:r>
          </w:p>
        </w:tc>
        <w:tc>
          <w:tcPr>
            <w:tcW w:w="1336" w:type="dxa"/>
            <w:tcBorders>
              <w:top w:val="nil"/>
              <w:left w:val="nil"/>
              <w:bottom w:val="nil"/>
              <w:right w:val="nil"/>
            </w:tcBorders>
            <w:shd w:val="clear" w:color="000000" w:fill="FFFFFF"/>
            <w:noWrap/>
            <w:vAlign w:val="center"/>
            <w:hideMark/>
          </w:tcPr>
          <w:p w14:paraId="74037DF5" w14:textId="77777777" w:rsidR="00751E59" w:rsidRPr="00DC5278" w:rsidRDefault="00751E59" w:rsidP="0036201B">
            <w:pPr>
              <w:keepNext/>
              <w:suppressAutoHyphens/>
              <w:jc w:val="right"/>
              <w:rPr>
                <w:color w:val="000000"/>
              </w:rPr>
            </w:pPr>
            <w:r w:rsidRPr="00DC5278">
              <w:rPr>
                <w:color w:val="000000"/>
              </w:rPr>
              <w:t>100.0%</w:t>
            </w:r>
          </w:p>
        </w:tc>
        <w:tc>
          <w:tcPr>
            <w:tcW w:w="276" w:type="dxa"/>
            <w:tcBorders>
              <w:top w:val="nil"/>
              <w:left w:val="nil"/>
              <w:bottom w:val="nil"/>
              <w:right w:val="nil"/>
            </w:tcBorders>
            <w:shd w:val="clear" w:color="000000" w:fill="FFFFFF"/>
            <w:noWrap/>
            <w:vAlign w:val="center"/>
            <w:hideMark/>
          </w:tcPr>
          <w:p w14:paraId="74037DF6" w14:textId="77777777" w:rsidR="00751E59" w:rsidRPr="00DC5278" w:rsidRDefault="00751E59" w:rsidP="0036201B">
            <w:pPr>
              <w:keepNext/>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DF7" w14:textId="77777777" w:rsidR="00751E59" w:rsidRPr="00DC5278" w:rsidRDefault="00751E59" w:rsidP="0036201B">
            <w:pPr>
              <w:keepNext/>
              <w:suppressAutoHyphens/>
              <w:jc w:val="right"/>
              <w:rPr>
                <w:color w:val="000000"/>
              </w:rPr>
            </w:pPr>
            <w:r w:rsidRPr="00DC5278">
              <w:rPr>
                <w:color w:val="000000"/>
              </w:rPr>
              <w:t>0.0</w:t>
            </w:r>
          </w:p>
        </w:tc>
        <w:tc>
          <w:tcPr>
            <w:tcW w:w="956" w:type="dxa"/>
            <w:tcBorders>
              <w:top w:val="nil"/>
              <w:left w:val="nil"/>
              <w:bottom w:val="nil"/>
              <w:right w:val="nil"/>
            </w:tcBorders>
            <w:shd w:val="clear" w:color="000000" w:fill="FFFFFF"/>
            <w:noWrap/>
            <w:vAlign w:val="center"/>
            <w:hideMark/>
          </w:tcPr>
          <w:p w14:paraId="74037DF8" w14:textId="2CD271E5" w:rsidR="00751E59" w:rsidRPr="00DC5278" w:rsidRDefault="00751E59" w:rsidP="0036201B">
            <w:pPr>
              <w:keepNext/>
              <w:suppressAutoHyphens/>
              <w:jc w:val="right"/>
              <w:rPr>
                <w:color w:val="000000"/>
              </w:rPr>
            </w:pPr>
            <w:r w:rsidRPr="00DC5278">
              <w:rPr>
                <w:color w:val="000000"/>
              </w:rPr>
              <w:t xml:space="preserve">-   </w:t>
            </w:r>
          </w:p>
        </w:tc>
        <w:tc>
          <w:tcPr>
            <w:tcW w:w="1910" w:type="dxa"/>
            <w:tcBorders>
              <w:top w:val="nil"/>
              <w:left w:val="nil"/>
              <w:bottom w:val="nil"/>
              <w:right w:val="nil"/>
            </w:tcBorders>
            <w:shd w:val="clear" w:color="000000" w:fill="FFFFFF"/>
            <w:noWrap/>
            <w:vAlign w:val="center"/>
            <w:hideMark/>
          </w:tcPr>
          <w:p w14:paraId="74037DF9" w14:textId="77777777" w:rsidR="00751E59" w:rsidRPr="00DC5278" w:rsidRDefault="00751E59" w:rsidP="0036201B">
            <w:pPr>
              <w:keepNext/>
              <w:suppressAutoHyphens/>
              <w:jc w:val="right"/>
              <w:rPr>
                <w:color w:val="000000"/>
              </w:rPr>
            </w:pPr>
            <w:r w:rsidRPr="00DC5278">
              <w:rPr>
                <w:color w:val="000000"/>
              </w:rPr>
              <w:t>100.0%</w:t>
            </w:r>
          </w:p>
        </w:tc>
      </w:tr>
      <w:tr w:rsidR="00751E59" w:rsidRPr="00DC5278" w14:paraId="74037E03" w14:textId="77777777" w:rsidTr="00CD3ADA">
        <w:trPr>
          <w:trHeight w:val="510"/>
        </w:trPr>
        <w:tc>
          <w:tcPr>
            <w:tcW w:w="1768" w:type="dxa"/>
            <w:tcBorders>
              <w:top w:val="nil"/>
              <w:left w:val="nil"/>
              <w:bottom w:val="nil"/>
              <w:right w:val="nil"/>
            </w:tcBorders>
            <w:shd w:val="clear" w:color="000000" w:fill="FFFFFF"/>
            <w:noWrap/>
            <w:vAlign w:val="center"/>
            <w:hideMark/>
          </w:tcPr>
          <w:p w14:paraId="74037DFB" w14:textId="77777777" w:rsidR="00751E59" w:rsidRPr="00DC5278" w:rsidRDefault="00751E59" w:rsidP="0036201B">
            <w:pPr>
              <w:keepNext/>
              <w:suppressAutoHyphens/>
              <w:jc w:val="right"/>
              <w:rPr>
                <w:color w:val="000000"/>
              </w:rPr>
            </w:pPr>
            <w:r w:rsidRPr="00DC5278">
              <w:rPr>
                <w:color w:val="000000"/>
              </w:rPr>
              <w:t>Quota</w:t>
            </w:r>
          </w:p>
        </w:tc>
        <w:tc>
          <w:tcPr>
            <w:tcW w:w="756" w:type="dxa"/>
            <w:tcBorders>
              <w:top w:val="nil"/>
              <w:left w:val="nil"/>
              <w:bottom w:val="nil"/>
              <w:right w:val="nil"/>
            </w:tcBorders>
            <w:shd w:val="clear" w:color="000000" w:fill="FFFFFF"/>
            <w:noWrap/>
            <w:vAlign w:val="center"/>
            <w:hideMark/>
          </w:tcPr>
          <w:p w14:paraId="74037DFC" w14:textId="20681BB6" w:rsidR="00751E59" w:rsidRPr="00DC5278" w:rsidRDefault="00751E59" w:rsidP="0036201B">
            <w:pPr>
              <w:keepNext/>
              <w:suppressAutoHyphens/>
              <w:jc w:val="right"/>
              <w:rPr>
                <w:color w:val="000000"/>
              </w:rPr>
            </w:pPr>
            <w:r w:rsidRPr="00DC5278">
              <w:rPr>
                <w:color w:val="000000"/>
              </w:rPr>
              <w:t xml:space="preserve">-   </w:t>
            </w:r>
          </w:p>
        </w:tc>
        <w:tc>
          <w:tcPr>
            <w:tcW w:w="956" w:type="dxa"/>
            <w:tcBorders>
              <w:top w:val="nil"/>
              <w:left w:val="nil"/>
              <w:bottom w:val="nil"/>
              <w:right w:val="nil"/>
            </w:tcBorders>
            <w:shd w:val="clear" w:color="000000" w:fill="FFFFFF"/>
            <w:noWrap/>
            <w:vAlign w:val="center"/>
            <w:hideMark/>
          </w:tcPr>
          <w:p w14:paraId="74037DFD" w14:textId="54FBCD76" w:rsidR="00751E59" w:rsidRPr="00DC5278" w:rsidRDefault="00751E59" w:rsidP="0036201B">
            <w:pPr>
              <w:keepNext/>
              <w:suppressAutoHyphens/>
              <w:jc w:val="right"/>
              <w:rPr>
                <w:color w:val="000000"/>
              </w:rPr>
            </w:pPr>
            <w:r w:rsidRPr="00DC5278">
              <w:rPr>
                <w:color w:val="000000"/>
              </w:rPr>
              <w:t xml:space="preserve">-   </w:t>
            </w:r>
          </w:p>
        </w:tc>
        <w:tc>
          <w:tcPr>
            <w:tcW w:w="1336" w:type="dxa"/>
            <w:tcBorders>
              <w:top w:val="nil"/>
              <w:left w:val="nil"/>
              <w:bottom w:val="nil"/>
              <w:right w:val="nil"/>
            </w:tcBorders>
            <w:shd w:val="clear" w:color="000000" w:fill="FFFFFF"/>
            <w:noWrap/>
            <w:vAlign w:val="center"/>
            <w:hideMark/>
          </w:tcPr>
          <w:p w14:paraId="74037DFE" w14:textId="77777777" w:rsidR="00751E59" w:rsidRPr="00DC5278" w:rsidRDefault="00751E59" w:rsidP="0036201B">
            <w:pPr>
              <w:keepNext/>
              <w:suppressAutoHyphens/>
              <w:jc w:val="right"/>
              <w:rPr>
                <w:color w:val="000000"/>
              </w:rPr>
            </w:pPr>
            <w:r w:rsidRPr="00DC5278">
              <w:rPr>
                <w:color w:val="000000"/>
              </w:rPr>
              <w:t>100.0%</w:t>
            </w:r>
          </w:p>
        </w:tc>
        <w:tc>
          <w:tcPr>
            <w:tcW w:w="276" w:type="dxa"/>
            <w:tcBorders>
              <w:top w:val="nil"/>
              <w:left w:val="nil"/>
              <w:bottom w:val="nil"/>
              <w:right w:val="nil"/>
            </w:tcBorders>
            <w:shd w:val="clear" w:color="000000" w:fill="FFFFFF"/>
            <w:noWrap/>
            <w:vAlign w:val="center"/>
            <w:hideMark/>
          </w:tcPr>
          <w:p w14:paraId="74037DFF" w14:textId="77777777" w:rsidR="00751E59" w:rsidRPr="00DC5278" w:rsidRDefault="00751E59" w:rsidP="0036201B">
            <w:pPr>
              <w:keepNext/>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00" w14:textId="77777777" w:rsidR="00751E59" w:rsidRPr="00DC5278" w:rsidRDefault="00751E59" w:rsidP="0036201B">
            <w:pPr>
              <w:keepNext/>
              <w:suppressAutoHyphens/>
              <w:jc w:val="right"/>
              <w:rPr>
                <w:color w:val="000000"/>
              </w:rPr>
            </w:pPr>
            <w:r w:rsidRPr="00DC5278">
              <w:rPr>
                <w:color w:val="000000"/>
              </w:rPr>
              <w:t>0.0</w:t>
            </w:r>
          </w:p>
        </w:tc>
        <w:tc>
          <w:tcPr>
            <w:tcW w:w="956" w:type="dxa"/>
            <w:tcBorders>
              <w:top w:val="nil"/>
              <w:left w:val="nil"/>
              <w:bottom w:val="nil"/>
              <w:right w:val="nil"/>
            </w:tcBorders>
            <w:shd w:val="clear" w:color="000000" w:fill="FFFFFF"/>
            <w:noWrap/>
            <w:vAlign w:val="center"/>
            <w:hideMark/>
          </w:tcPr>
          <w:p w14:paraId="74037E01" w14:textId="5B06187C" w:rsidR="00751E59" w:rsidRPr="00DC5278" w:rsidRDefault="00751E59" w:rsidP="0036201B">
            <w:pPr>
              <w:keepNext/>
              <w:suppressAutoHyphens/>
              <w:jc w:val="right"/>
              <w:rPr>
                <w:color w:val="000000"/>
              </w:rPr>
            </w:pPr>
            <w:r w:rsidRPr="00DC5278">
              <w:rPr>
                <w:color w:val="000000"/>
              </w:rPr>
              <w:t xml:space="preserve">-   </w:t>
            </w:r>
          </w:p>
        </w:tc>
        <w:tc>
          <w:tcPr>
            <w:tcW w:w="1910" w:type="dxa"/>
            <w:tcBorders>
              <w:top w:val="nil"/>
              <w:left w:val="nil"/>
              <w:bottom w:val="nil"/>
              <w:right w:val="nil"/>
            </w:tcBorders>
            <w:shd w:val="clear" w:color="000000" w:fill="FFFFFF"/>
            <w:noWrap/>
            <w:vAlign w:val="center"/>
            <w:hideMark/>
          </w:tcPr>
          <w:p w14:paraId="74037E02" w14:textId="77777777" w:rsidR="00751E59" w:rsidRPr="00DC5278" w:rsidRDefault="00751E59" w:rsidP="0036201B">
            <w:pPr>
              <w:keepNext/>
              <w:suppressAutoHyphens/>
              <w:jc w:val="right"/>
              <w:rPr>
                <w:color w:val="000000"/>
              </w:rPr>
            </w:pPr>
            <w:r w:rsidRPr="00DC5278">
              <w:rPr>
                <w:color w:val="000000"/>
              </w:rPr>
              <w:t>100.0%</w:t>
            </w:r>
          </w:p>
        </w:tc>
      </w:tr>
      <w:tr w:rsidR="00751E59" w:rsidRPr="00DC5278" w14:paraId="74037E0C" w14:textId="77777777" w:rsidTr="00CD3ADA">
        <w:trPr>
          <w:trHeight w:val="270"/>
        </w:trPr>
        <w:tc>
          <w:tcPr>
            <w:tcW w:w="1768" w:type="dxa"/>
            <w:tcBorders>
              <w:top w:val="nil"/>
              <w:left w:val="nil"/>
              <w:bottom w:val="single" w:sz="8" w:space="0" w:color="auto"/>
              <w:right w:val="nil"/>
            </w:tcBorders>
            <w:noWrap/>
            <w:vAlign w:val="bottom"/>
            <w:hideMark/>
          </w:tcPr>
          <w:p w14:paraId="74037E04" w14:textId="77777777" w:rsidR="00751E59" w:rsidRPr="00DC5278" w:rsidRDefault="00751E59" w:rsidP="0085547B">
            <w:pPr>
              <w:keepNext/>
              <w:suppressAutoHyphens/>
              <w:rPr>
                <w:color w:val="000000"/>
              </w:rPr>
            </w:pPr>
            <w:r w:rsidRPr="00DC5278">
              <w:rPr>
                <w:color w:val="000000"/>
              </w:rPr>
              <w:t>Total</w:t>
            </w:r>
          </w:p>
        </w:tc>
        <w:tc>
          <w:tcPr>
            <w:tcW w:w="756" w:type="dxa"/>
            <w:tcBorders>
              <w:top w:val="nil"/>
              <w:left w:val="nil"/>
              <w:bottom w:val="single" w:sz="8" w:space="0" w:color="auto"/>
              <w:right w:val="nil"/>
            </w:tcBorders>
            <w:shd w:val="clear" w:color="000000" w:fill="FFFFFF"/>
            <w:noWrap/>
            <w:vAlign w:val="center"/>
            <w:hideMark/>
          </w:tcPr>
          <w:p w14:paraId="74037E05" w14:textId="77777777" w:rsidR="00751E59" w:rsidRPr="00DC5278" w:rsidRDefault="00751E59" w:rsidP="0085547B">
            <w:pPr>
              <w:keepNext/>
              <w:suppressAutoHyphens/>
              <w:jc w:val="right"/>
              <w:rPr>
                <w:color w:val="000000"/>
              </w:rPr>
            </w:pPr>
            <w:r w:rsidRPr="00DC5278">
              <w:rPr>
                <w:color w:val="000000"/>
              </w:rPr>
              <w:t>7,288</w:t>
            </w:r>
          </w:p>
        </w:tc>
        <w:tc>
          <w:tcPr>
            <w:tcW w:w="956" w:type="dxa"/>
            <w:tcBorders>
              <w:top w:val="nil"/>
              <w:left w:val="nil"/>
              <w:bottom w:val="single" w:sz="8" w:space="0" w:color="auto"/>
              <w:right w:val="nil"/>
            </w:tcBorders>
            <w:shd w:val="clear" w:color="000000" w:fill="FFFFFF"/>
            <w:noWrap/>
            <w:vAlign w:val="center"/>
            <w:hideMark/>
          </w:tcPr>
          <w:p w14:paraId="74037E06" w14:textId="77777777" w:rsidR="00751E59" w:rsidRPr="00DC5278" w:rsidRDefault="00751E59" w:rsidP="0085547B">
            <w:pPr>
              <w:keepNext/>
              <w:suppressAutoHyphens/>
              <w:jc w:val="right"/>
              <w:rPr>
                <w:color w:val="000000"/>
              </w:rPr>
            </w:pPr>
            <w:r w:rsidRPr="00DC5278">
              <w:rPr>
                <w:color w:val="000000"/>
              </w:rPr>
              <w:t>100.0%</w:t>
            </w:r>
          </w:p>
        </w:tc>
        <w:tc>
          <w:tcPr>
            <w:tcW w:w="1336" w:type="dxa"/>
            <w:tcBorders>
              <w:top w:val="nil"/>
              <w:left w:val="nil"/>
              <w:bottom w:val="single" w:sz="8" w:space="0" w:color="auto"/>
              <w:right w:val="nil"/>
            </w:tcBorders>
            <w:shd w:val="clear" w:color="000000" w:fill="FFFFFF"/>
            <w:noWrap/>
            <w:vAlign w:val="center"/>
            <w:hideMark/>
          </w:tcPr>
          <w:p w14:paraId="74037E07" w14:textId="77777777" w:rsidR="00751E59" w:rsidRPr="00DC5278" w:rsidRDefault="00751E59" w:rsidP="0085547B">
            <w:pPr>
              <w:keepNext/>
              <w:suppressAutoHyphens/>
              <w:jc w:val="right"/>
              <w:rPr>
                <w:color w:val="000000"/>
              </w:rPr>
            </w:pPr>
            <w:r w:rsidRPr="00DC5278">
              <w:rPr>
                <w:color w:val="000000"/>
              </w:rPr>
              <w:t>100.0%</w:t>
            </w:r>
          </w:p>
        </w:tc>
        <w:tc>
          <w:tcPr>
            <w:tcW w:w="276" w:type="dxa"/>
            <w:tcBorders>
              <w:top w:val="nil"/>
              <w:left w:val="nil"/>
              <w:bottom w:val="single" w:sz="8" w:space="0" w:color="auto"/>
              <w:right w:val="nil"/>
            </w:tcBorders>
            <w:shd w:val="clear" w:color="000000" w:fill="FFFFFF"/>
            <w:noWrap/>
            <w:vAlign w:val="center"/>
            <w:hideMark/>
          </w:tcPr>
          <w:p w14:paraId="74037E08" w14:textId="77777777" w:rsidR="00751E59" w:rsidRPr="00DC5278" w:rsidRDefault="00751E59" w:rsidP="0085547B">
            <w:pPr>
              <w:keepNext/>
              <w:suppressAutoHyphens/>
              <w:rPr>
                <w:color w:val="000000"/>
              </w:rPr>
            </w:pPr>
            <w:r w:rsidRPr="00DC5278">
              <w:rPr>
                <w:color w:val="000000"/>
              </w:rPr>
              <w:t> </w:t>
            </w:r>
          </w:p>
        </w:tc>
        <w:tc>
          <w:tcPr>
            <w:tcW w:w="1305" w:type="dxa"/>
            <w:tcBorders>
              <w:top w:val="nil"/>
              <w:left w:val="nil"/>
              <w:bottom w:val="single" w:sz="8" w:space="0" w:color="auto"/>
              <w:right w:val="nil"/>
            </w:tcBorders>
            <w:shd w:val="clear" w:color="000000" w:fill="FFFFFF"/>
            <w:noWrap/>
            <w:vAlign w:val="center"/>
            <w:hideMark/>
          </w:tcPr>
          <w:p w14:paraId="74037E09" w14:textId="77777777" w:rsidR="00751E59" w:rsidRPr="00DC5278" w:rsidRDefault="00751E59" w:rsidP="0085547B">
            <w:pPr>
              <w:keepNext/>
              <w:suppressAutoHyphens/>
              <w:jc w:val="right"/>
              <w:rPr>
                <w:color w:val="000000"/>
              </w:rPr>
            </w:pPr>
            <w:r w:rsidRPr="00DC5278">
              <w:rPr>
                <w:color w:val="000000"/>
              </w:rPr>
              <w:t>5,161.9</w:t>
            </w:r>
          </w:p>
        </w:tc>
        <w:tc>
          <w:tcPr>
            <w:tcW w:w="956" w:type="dxa"/>
            <w:tcBorders>
              <w:top w:val="nil"/>
              <w:left w:val="nil"/>
              <w:bottom w:val="single" w:sz="8" w:space="0" w:color="auto"/>
              <w:right w:val="nil"/>
            </w:tcBorders>
            <w:shd w:val="clear" w:color="000000" w:fill="FFFFFF"/>
            <w:noWrap/>
            <w:vAlign w:val="center"/>
            <w:hideMark/>
          </w:tcPr>
          <w:p w14:paraId="74037E0A" w14:textId="77777777" w:rsidR="00751E59" w:rsidRPr="00DC5278" w:rsidRDefault="00751E59" w:rsidP="0085547B">
            <w:pPr>
              <w:keepNext/>
              <w:suppressAutoHyphens/>
              <w:jc w:val="right"/>
              <w:rPr>
                <w:color w:val="000000"/>
              </w:rPr>
            </w:pPr>
            <w:r w:rsidRPr="00DC5278">
              <w:rPr>
                <w:color w:val="000000"/>
              </w:rPr>
              <w:t>100.0%</w:t>
            </w:r>
          </w:p>
        </w:tc>
        <w:tc>
          <w:tcPr>
            <w:tcW w:w="1910" w:type="dxa"/>
            <w:tcBorders>
              <w:top w:val="nil"/>
              <w:left w:val="nil"/>
              <w:bottom w:val="single" w:sz="8" w:space="0" w:color="auto"/>
              <w:right w:val="nil"/>
            </w:tcBorders>
            <w:shd w:val="clear" w:color="000000" w:fill="FFFFFF"/>
            <w:noWrap/>
            <w:vAlign w:val="center"/>
            <w:hideMark/>
          </w:tcPr>
          <w:p w14:paraId="74037E0B" w14:textId="77777777" w:rsidR="00751E59" w:rsidRPr="00DC5278" w:rsidRDefault="00751E59" w:rsidP="0085547B">
            <w:pPr>
              <w:keepNext/>
              <w:suppressAutoHyphens/>
              <w:jc w:val="right"/>
              <w:rPr>
                <w:color w:val="000000"/>
              </w:rPr>
            </w:pPr>
            <w:r w:rsidRPr="00DC5278">
              <w:rPr>
                <w:color w:val="000000"/>
              </w:rPr>
              <w:t>100.0%</w:t>
            </w:r>
          </w:p>
        </w:tc>
      </w:tr>
    </w:tbl>
    <w:p w14:paraId="74037E0D" w14:textId="77777777" w:rsidR="00751E59" w:rsidRPr="00DC5278" w:rsidRDefault="00751E59" w:rsidP="0085547B">
      <w:pPr>
        <w:keepNext/>
        <w:suppressAutoHyphens/>
      </w:pPr>
    </w:p>
    <w:p w14:paraId="74037E0E" w14:textId="77777777" w:rsidR="00751E59" w:rsidRPr="00DC5278" w:rsidRDefault="00751E59" w:rsidP="0085547B">
      <w:pPr>
        <w:suppressAutoHyphens/>
        <w:spacing w:after="240"/>
        <w:rPr>
          <w:b/>
          <w:u w:val="single"/>
        </w:rPr>
      </w:pPr>
      <w:r w:rsidRPr="00DC5278">
        <w:rPr>
          <w:b/>
          <w:u w:val="single"/>
        </w:rPr>
        <w:t>Elimination schedule for Peru</w:t>
      </w:r>
      <w:r w:rsidR="0085547B" w:rsidRPr="00DC5278">
        <w:rPr>
          <w:b/>
          <w:u w:val="single"/>
        </w:rPr>
        <w:t>’s</w:t>
      </w:r>
      <w:r w:rsidRPr="00DC5278">
        <w:rPr>
          <w:b/>
          <w:u w:val="single"/>
        </w:rPr>
        <w:t xml:space="preserve"> tariffs on imports of Australian goods </w:t>
      </w:r>
    </w:p>
    <w:tbl>
      <w:tblPr>
        <w:tblW w:w="8979" w:type="dxa"/>
        <w:tblInd w:w="93" w:type="dxa"/>
        <w:tblLook w:val="04A0" w:firstRow="1" w:lastRow="0" w:firstColumn="1" w:lastColumn="0" w:noHBand="0" w:noVBand="1"/>
      </w:tblPr>
      <w:tblGrid>
        <w:gridCol w:w="1768"/>
        <w:gridCol w:w="756"/>
        <w:gridCol w:w="956"/>
        <w:gridCol w:w="1336"/>
        <w:gridCol w:w="276"/>
        <w:gridCol w:w="1305"/>
        <w:gridCol w:w="956"/>
        <w:gridCol w:w="1979"/>
      </w:tblGrid>
      <w:tr w:rsidR="00751E59" w:rsidRPr="00DC5278" w14:paraId="74037E13" w14:textId="77777777" w:rsidTr="00CD3ADA">
        <w:trPr>
          <w:trHeight w:val="285"/>
        </w:trPr>
        <w:tc>
          <w:tcPr>
            <w:tcW w:w="1768" w:type="dxa"/>
            <w:vMerge w:val="restart"/>
            <w:tcBorders>
              <w:top w:val="single" w:sz="12" w:space="0" w:color="auto"/>
              <w:left w:val="nil"/>
              <w:bottom w:val="single" w:sz="8" w:space="0" w:color="000000"/>
              <w:right w:val="nil"/>
            </w:tcBorders>
            <w:shd w:val="clear" w:color="000000" w:fill="D8D8D8"/>
            <w:vAlign w:val="center"/>
            <w:hideMark/>
          </w:tcPr>
          <w:p w14:paraId="74037E0F" w14:textId="77777777" w:rsidR="00751E59" w:rsidRPr="00DC5278" w:rsidRDefault="00751E59" w:rsidP="0085547B">
            <w:pPr>
              <w:suppressAutoHyphens/>
              <w:jc w:val="center"/>
              <w:rPr>
                <w:b/>
                <w:bCs/>
                <w:color w:val="000000"/>
              </w:rPr>
            </w:pPr>
            <w:r w:rsidRPr="00DC5278">
              <w:rPr>
                <w:b/>
                <w:bCs/>
                <w:color w:val="000000"/>
              </w:rPr>
              <w:t>Staging category</w:t>
            </w:r>
          </w:p>
        </w:tc>
        <w:tc>
          <w:tcPr>
            <w:tcW w:w="2784" w:type="dxa"/>
            <w:gridSpan w:val="3"/>
            <w:tcBorders>
              <w:top w:val="single" w:sz="12" w:space="0" w:color="auto"/>
              <w:left w:val="nil"/>
              <w:bottom w:val="single" w:sz="8" w:space="0" w:color="auto"/>
              <w:right w:val="nil"/>
            </w:tcBorders>
            <w:shd w:val="clear" w:color="000000" w:fill="D8D8D8"/>
            <w:vAlign w:val="center"/>
            <w:hideMark/>
          </w:tcPr>
          <w:p w14:paraId="74037E10" w14:textId="77777777" w:rsidR="00751E59" w:rsidRPr="00DC5278" w:rsidRDefault="00751E59" w:rsidP="0085547B">
            <w:pPr>
              <w:suppressAutoHyphens/>
              <w:jc w:val="center"/>
              <w:rPr>
                <w:b/>
                <w:bCs/>
                <w:color w:val="000000"/>
              </w:rPr>
            </w:pPr>
            <w:r w:rsidRPr="00DC5278">
              <w:rPr>
                <w:b/>
                <w:bCs/>
                <w:color w:val="000000"/>
              </w:rPr>
              <w:t xml:space="preserve"> Tariff lines </w:t>
            </w:r>
          </w:p>
        </w:tc>
        <w:tc>
          <w:tcPr>
            <w:tcW w:w="269" w:type="dxa"/>
            <w:tcBorders>
              <w:top w:val="single" w:sz="12" w:space="0" w:color="auto"/>
              <w:left w:val="nil"/>
              <w:bottom w:val="nil"/>
              <w:right w:val="nil"/>
            </w:tcBorders>
            <w:shd w:val="clear" w:color="000000" w:fill="D8D8D8"/>
            <w:vAlign w:val="center"/>
            <w:hideMark/>
          </w:tcPr>
          <w:p w14:paraId="74037E11" w14:textId="77777777" w:rsidR="00751E59" w:rsidRPr="00DC5278" w:rsidRDefault="00751E59" w:rsidP="0085547B">
            <w:pPr>
              <w:suppressAutoHyphens/>
              <w:jc w:val="center"/>
              <w:rPr>
                <w:b/>
                <w:bCs/>
                <w:color w:val="000000"/>
              </w:rPr>
            </w:pPr>
            <w:r w:rsidRPr="00DC5278">
              <w:rPr>
                <w:b/>
                <w:bCs/>
                <w:color w:val="000000"/>
              </w:rPr>
              <w:t> </w:t>
            </w:r>
          </w:p>
        </w:tc>
        <w:tc>
          <w:tcPr>
            <w:tcW w:w="4158" w:type="dxa"/>
            <w:gridSpan w:val="3"/>
            <w:tcBorders>
              <w:top w:val="single" w:sz="12" w:space="0" w:color="auto"/>
              <w:left w:val="nil"/>
              <w:bottom w:val="single" w:sz="8" w:space="0" w:color="auto"/>
              <w:right w:val="nil"/>
            </w:tcBorders>
            <w:shd w:val="clear" w:color="000000" w:fill="D8D8D8"/>
            <w:noWrap/>
            <w:vAlign w:val="center"/>
            <w:hideMark/>
          </w:tcPr>
          <w:p w14:paraId="74037E12" w14:textId="77777777" w:rsidR="00751E59" w:rsidRPr="00DC5278" w:rsidRDefault="00751E59" w:rsidP="0085547B">
            <w:pPr>
              <w:suppressAutoHyphens/>
              <w:jc w:val="center"/>
              <w:rPr>
                <w:b/>
                <w:bCs/>
                <w:color w:val="000000"/>
              </w:rPr>
            </w:pPr>
            <w:r w:rsidRPr="00DC5278">
              <w:rPr>
                <w:b/>
                <w:bCs/>
                <w:color w:val="000000"/>
              </w:rPr>
              <w:t xml:space="preserve">Peru's imports from Australia </w:t>
            </w:r>
          </w:p>
        </w:tc>
      </w:tr>
      <w:tr w:rsidR="00751E59" w:rsidRPr="00DC5278" w14:paraId="74037E1C" w14:textId="77777777" w:rsidTr="00CD3ADA">
        <w:trPr>
          <w:trHeight w:val="525"/>
        </w:trPr>
        <w:tc>
          <w:tcPr>
            <w:tcW w:w="1768" w:type="dxa"/>
            <w:vMerge/>
            <w:tcBorders>
              <w:top w:val="single" w:sz="12" w:space="0" w:color="auto"/>
              <w:left w:val="nil"/>
              <w:bottom w:val="single" w:sz="8" w:space="0" w:color="000000"/>
              <w:right w:val="nil"/>
            </w:tcBorders>
            <w:vAlign w:val="center"/>
            <w:hideMark/>
          </w:tcPr>
          <w:p w14:paraId="74037E14" w14:textId="77777777" w:rsidR="00751E59" w:rsidRPr="00DC5278" w:rsidRDefault="00751E59" w:rsidP="0085547B">
            <w:pPr>
              <w:suppressAutoHyphens/>
              <w:rPr>
                <w:b/>
                <w:bCs/>
                <w:color w:val="000000"/>
              </w:rPr>
            </w:pPr>
          </w:p>
        </w:tc>
        <w:tc>
          <w:tcPr>
            <w:tcW w:w="697" w:type="dxa"/>
            <w:tcBorders>
              <w:top w:val="nil"/>
              <w:left w:val="nil"/>
              <w:bottom w:val="single" w:sz="8" w:space="0" w:color="auto"/>
              <w:right w:val="nil"/>
            </w:tcBorders>
            <w:shd w:val="clear" w:color="000000" w:fill="D8D8D8"/>
            <w:noWrap/>
            <w:vAlign w:val="center"/>
            <w:hideMark/>
          </w:tcPr>
          <w:p w14:paraId="74037E15" w14:textId="77777777" w:rsidR="00751E59" w:rsidRPr="00DC5278" w:rsidRDefault="00751E59" w:rsidP="0085547B">
            <w:pPr>
              <w:suppressAutoHyphens/>
              <w:jc w:val="center"/>
              <w:rPr>
                <w:color w:val="000000"/>
              </w:rPr>
            </w:pPr>
            <w:r w:rsidRPr="00DC5278">
              <w:rPr>
                <w:color w:val="000000"/>
              </w:rPr>
              <w:t xml:space="preserve"> No. </w:t>
            </w:r>
          </w:p>
        </w:tc>
        <w:tc>
          <w:tcPr>
            <w:tcW w:w="874" w:type="dxa"/>
            <w:tcBorders>
              <w:top w:val="nil"/>
              <w:left w:val="nil"/>
              <w:bottom w:val="single" w:sz="8" w:space="0" w:color="auto"/>
              <w:right w:val="nil"/>
            </w:tcBorders>
            <w:shd w:val="clear" w:color="000000" w:fill="D8D8D8"/>
            <w:vAlign w:val="center"/>
            <w:hideMark/>
          </w:tcPr>
          <w:p w14:paraId="74037E16" w14:textId="77777777" w:rsidR="00751E59" w:rsidRPr="00DC5278" w:rsidRDefault="00751E59" w:rsidP="0085547B">
            <w:pPr>
              <w:suppressAutoHyphens/>
              <w:jc w:val="center"/>
              <w:rPr>
                <w:color w:val="000000"/>
              </w:rPr>
            </w:pPr>
            <w:r w:rsidRPr="00DC5278">
              <w:rPr>
                <w:color w:val="000000"/>
              </w:rPr>
              <w:t xml:space="preserve">  % of total </w:t>
            </w:r>
          </w:p>
        </w:tc>
        <w:tc>
          <w:tcPr>
            <w:tcW w:w="1213" w:type="dxa"/>
            <w:tcBorders>
              <w:top w:val="nil"/>
              <w:left w:val="nil"/>
              <w:bottom w:val="single" w:sz="8" w:space="0" w:color="auto"/>
              <w:right w:val="nil"/>
            </w:tcBorders>
            <w:shd w:val="clear" w:color="000000" w:fill="D8D8D8"/>
            <w:vAlign w:val="center"/>
            <w:hideMark/>
          </w:tcPr>
          <w:p w14:paraId="74037E17" w14:textId="77777777" w:rsidR="00751E59" w:rsidRPr="00DC5278" w:rsidRDefault="00751E59" w:rsidP="0085547B">
            <w:pPr>
              <w:suppressAutoHyphens/>
              <w:jc w:val="center"/>
              <w:rPr>
                <w:color w:val="000000"/>
              </w:rPr>
            </w:pPr>
            <w:r w:rsidRPr="00DC5278">
              <w:rPr>
                <w:color w:val="000000"/>
              </w:rPr>
              <w:t xml:space="preserve"> Cumulative (%) </w:t>
            </w:r>
          </w:p>
        </w:tc>
        <w:tc>
          <w:tcPr>
            <w:tcW w:w="269" w:type="dxa"/>
            <w:tcBorders>
              <w:top w:val="nil"/>
              <w:left w:val="nil"/>
              <w:bottom w:val="single" w:sz="8" w:space="0" w:color="auto"/>
              <w:right w:val="nil"/>
            </w:tcBorders>
            <w:shd w:val="clear" w:color="000000" w:fill="D8D8D8"/>
            <w:vAlign w:val="center"/>
            <w:hideMark/>
          </w:tcPr>
          <w:p w14:paraId="74037E18" w14:textId="77777777" w:rsidR="00751E59" w:rsidRPr="00DC5278" w:rsidRDefault="00751E59" w:rsidP="0085547B">
            <w:pPr>
              <w:suppressAutoHyphens/>
              <w:jc w:val="center"/>
              <w:rPr>
                <w:color w:val="000000"/>
              </w:rPr>
            </w:pPr>
            <w:r w:rsidRPr="00DC5278">
              <w:rPr>
                <w:color w:val="000000"/>
              </w:rPr>
              <w:t> </w:t>
            </w:r>
          </w:p>
        </w:tc>
        <w:tc>
          <w:tcPr>
            <w:tcW w:w="1305" w:type="dxa"/>
            <w:tcBorders>
              <w:top w:val="nil"/>
              <w:left w:val="nil"/>
              <w:bottom w:val="single" w:sz="8" w:space="0" w:color="auto"/>
              <w:right w:val="nil"/>
            </w:tcBorders>
            <w:shd w:val="clear" w:color="000000" w:fill="D8D8D8"/>
            <w:vAlign w:val="center"/>
            <w:hideMark/>
          </w:tcPr>
          <w:p w14:paraId="74037E19" w14:textId="77777777" w:rsidR="00751E59" w:rsidRPr="00DC5278" w:rsidRDefault="00751E59" w:rsidP="0085547B">
            <w:pPr>
              <w:suppressAutoHyphens/>
              <w:jc w:val="center"/>
              <w:rPr>
                <w:color w:val="000000"/>
              </w:rPr>
            </w:pPr>
            <w:r w:rsidRPr="00DC5278">
              <w:rPr>
                <w:color w:val="000000"/>
              </w:rPr>
              <w:t xml:space="preserve"> US $m </w:t>
            </w:r>
            <w:r w:rsidRPr="00DC5278">
              <w:rPr>
                <w:color w:val="000000"/>
              </w:rPr>
              <w:br/>
              <w:t xml:space="preserve">(2007-10) </w:t>
            </w:r>
          </w:p>
        </w:tc>
        <w:tc>
          <w:tcPr>
            <w:tcW w:w="874" w:type="dxa"/>
            <w:tcBorders>
              <w:top w:val="nil"/>
              <w:left w:val="nil"/>
              <w:bottom w:val="single" w:sz="8" w:space="0" w:color="auto"/>
              <w:right w:val="nil"/>
            </w:tcBorders>
            <w:shd w:val="clear" w:color="000000" w:fill="D8D8D8"/>
            <w:vAlign w:val="center"/>
            <w:hideMark/>
          </w:tcPr>
          <w:p w14:paraId="74037E1A" w14:textId="77777777" w:rsidR="00751E59" w:rsidRPr="00DC5278" w:rsidRDefault="00751E59" w:rsidP="0085547B">
            <w:pPr>
              <w:suppressAutoHyphens/>
              <w:jc w:val="center"/>
              <w:rPr>
                <w:color w:val="000000"/>
              </w:rPr>
            </w:pPr>
            <w:r w:rsidRPr="00DC5278">
              <w:rPr>
                <w:color w:val="000000"/>
              </w:rPr>
              <w:t xml:space="preserve">  % of total </w:t>
            </w:r>
          </w:p>
        </w:tc>
        <w:tc>
          <w:tcPr>
            <w:tcW w:w="1979" w:type="dxa"/>
            <w:tcBorders>
              <w:top w:val="nil"/>
              <w:left w:val="nil"/>
              <w:bottom w:val="single" w:sz="8" w:space="0" w:color="auto"/>
              <w:right w:val="nil"/>
            </w:tcBorders>
            <w:shd w:val="clear" w:color="000000" w:fill="D8D8D8"/>
            <w:vAlign w:val="center"/>
            <w:hideMark/>
          </w:tcPr>
          <w:p w14:paraId="74037E1B" w14:textId="77777777" w:rsidR="00751E59" w:rsidRPr="00DC5278" w:rsidRDefault="00751E59" w:rsidP="0085547B">
            <w:pPr>
              <w:suppressAutoHyphens/>
              <w:jc w:val="center"/>
              <w:rPr>
                <w:color w:val="000000"/>
              </w:rPr>
            </w:pPr>
            <w:r w:rsidRPr="00DC5278">
              <w:rPr>
                <w:color w:val="000000"/>
              </w:rPr>
              <w:t xml:space="preserve"> Cumulative (%) </w:t>
            </w:r>
          </w:p>
        </w:tc>
      </w:tr>
      <w:tr w:rsidR="00751E59" w:rsidRPr="00DC5278" w14:paraId="74037E25" w14:textId="77777777" w:rsidTr="00CD3ADA">
        <w:trPr>
          <w:trHeight w:val="255"/>
        </w:trPr>
        <w:tc>
          <w:tcPr>
            <w:tcW w:w="1768" w:type="dxa"/>
            <w:tcBorders>
              <w:top w:val="nil"/>
              <w:left w:val="nil"/>
              <w:bottom w:val="nil"/>
              <w:right w:val="nil"/>
            </w:tcBorders>
            <w:shd w:val="clear" w:color="000000" w:fill="FFFFFF"/>
            <w:noWrap/>
            <w:vAlign w:val="center"/>
            <w:hideMark/>
          </w:tcPr>
          <w:p w14:paraId="74037E1D" w14:textId="77777777" w:rsidR="00751E59" w:rsidRPr="00DC5278" w:rsidRDefault="00751E59" w:rsidP="0085547B">
            <w:pPr>
              <w:suppressAutoHyphens/>
              <w:rPr>
                <w:color w:val="000000"/>
              </w:rPr>
            </w:pPr>
            <w:r w:rsidRPr="00DC5278">
              <w:rPr>
                <w:color w:val="000000"/>
              </w:rPr>
              <w:t>MFN 0%</w:t>
            </w:r>
          </w:p>
        </w:tc>
        <w:tc>
          <w:tcPr>
            <w:tcW w:w="697" w:type="dxa"/>
            <w:tcBorders>
              <w:top w:val="nil"/>
              <w:left w:val="nil"/>
              <w:bottom w:val="nil"/>
              <w:right w:val="nil"/>
            </w:tcBorders>
            <w:shd w:val="clear" w:color="000000" w:fill="FFFFFF"/>
            <w:noWrap/>
            <w:vAlign w:val="center"/>
            <w:hideMark/>
          </w:tcPr>
          <w:p w14:paraId="74037E1E" w14:textId="77777777" w:rsidR="00751E59" w:rsidRPr="00DC5278" w:rsidRDefault="00751E59" w:rsidP="0085547B">
            <w:pPr>
              <w:suppressAutoHyphens/>
              <w:jc w:val="right"/>
              <w:rPr>
                <w:color w:val="000000"/>
              </w:rPr>
            </w:pPr>
            <w:r w:rsidRPr="00DC5278">
              <w:rPr>
                <w:color w:val="000000"/>
              </w:rPr>
              <w:t>3,925</w:t>
            </w:r>
          </w:p>
        </w:tc>
        <w:tc>
          <w:tcPr>
            <w:tcW w:w="874" w:type="dxa"/>
            <w:tcBorders>
              <w:top w:val="nil"/>
              <w:left w:val="nil"/>
              <w:bottom w:val="nil"/>
              <w:right w:val="nil"/>
            </w:tcBorders>
            <w:shd w:val="clear" w:color="000000" w:fill="FFFFFF"/>
            <w:noWrap/>
            <w:vAlign w:val="center"/>
            <w:hideMark/>
          </w:tcPr>
          <w:p w14:paraId="74037E1F" w14:textId="77777777" w:rsidR="00751E59" w:rsidRPr="00DC5278" w:rsidRDefault="00751E59" w:rsidP="0085547B">
            <w:pPr>
              <w:suppressAutoHyphens/>
              <w:jc w:val="right"/>
              <w:rPr>
                <w:color w:val="000000"/>
              </w:rPr>
            </w:pPr>
            <w:r w:rsidRPr="00DC5278">
              <w:rPr>
                <w:color w:val="000000"/>
              </w:rPr>
              <w:t>53.3%</w:t>
            </w:r>
          </w:p>
        </w:tc>
        <w:tc>
          <w:tcPr>
            <w:tcW w:w="1213" w:type="dxa"/>
            <w:tcBorders>
              <w:top w:val="nil"/>
              <w:left w:val="nil"/>
              <w:bottom w:val="nil"/>
              <w:right w:val="nil"/>
            </w:tcBorders>
            <w:shd w:val="clear" w:color="000000" w:fill="FFFFFF"/>
            <w:noWrap/>
            <w:vAlign w:val="center"/>
            <w:hideMark/>
          </w:tcPr>
          <w:p w14:paraId="74037E20" w14:textId="77777777" w:rsidR="00751E59" w:rsidRPr="00DC5278" w:rsidRDefault="00751E59" w:rsidP="0085547B">
            <w:pPr>
              <w:suppressAutoHyphens/>
              <w:jc w:val="right"/>
              <w:rPr>
                <w:color w:val="000000"/>
              </w:rPr>
            </w:pPr>
            <w:r w:rsidRPr="00DC5278">
              <w:rPr>
                <w:color w:val="000000"/>
              </w:rPr>
              <w:t>53.3%</w:t>
            </w:r>
          </w:p>
        </w:tc>
        <w:tc>
          <w:tcPr>
            <w:tcW w:w="269" w:type="dxa"/>
            <w:tcBorders>
              <w:top w:val="nil"/>
              <w:left w:val="nil"/>
              <w:bottom w:val="nil"/>
              <w:right w:val="nil"/>
            </w:tcBorders>
            <w:shd w:val="clear" w:color="000000" w:fill="FFFFFF"/>
            <w:noWrap/>
            <w:vAlign w:val="center"/>
            <w:hideMark/>
          </w:tcPr>
          <w:p w14:paraId="74037E21"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22" w14:textId="77777777" w:rsidR="00751E59" w:rsidRPr="00DC5278" w:rsidRDefault="00751E59" w:rsidP="0085547B">
            <w:pPr>
              <w:suppressAutoHyphens/>
              <w:jc w:val="right"/>
              <w:rPr>
                <w:color w:val="000000"/>
              </w:rPr>
            </w:pPr>
            <w:r w:rsidRPr="00DC5278">
              <w:rPr>
                <w:color w:val="000000"/>
              </w:rPr>
              <w:t>68.9</w:t>
            </w:r>
          </w:p>
        </w:tc>
        <w:tc>
          <w:tcPr>
            <w:tcW w:w="874" w:type="dxa"/>
            <w:tcBorders>
              <w:top w:val="nil"/>
              <w:left w:val="nil"/>
              <w:bottom w:val="nil"/>
              <w:right w:val="nil"/>
            </w:tcBorders>
            <w:shd w:val="clear" w:color="000000" w:fill="FFFFFF"/>
            <w:noWrap/>
            <w:vAlign w:val="center"/>
            <w:hideMark/>
          </w:tcPr>
          <w:p w14:paraId="74037E23" w14:textId="77777777" w:rsidR="00751E59" w:rsidRPr="00DC5278" w:rsidRDefault="00751E59" w:rsidP="0085547B">
            <w:pPr>
              <w:suppressAutoHyphens/>
              <w:jc w:val="right"/>
              <w:rPr>
                <w:color w:val="000000"/>
              </w:rPr>
            </w:pPr>
            <w:r w:rsidRPr="00DC5278">
              <w:rPr>
                <w:color w:val="000000"/>
              </w:rPr>
              <w:t>81.2%</w:t>
            </w:r>
          </w:p>
        </w:tc>
        <w:tc>
          <w:tcPr>
            <w:tcW w:w="1979" w:type="dxa"/>
            <w:tcBorders>
              <w:top w:val="nil"/>
              <w:left w:val="nil"/>
              <w:bottom w:val="nil"/>
              <w:right w:val="nil"/>
            </w:tcBorders>
            <w:shd w:val="clear" w:color="000000" w:fill="FFFFFF"/>
            <w:noWrap/>
            <w:vAlign w:val="center"/>
            <w:hideMark/>
          </w:tcPr>
          <w:p w14:paraId="74037E24" w14:textId="77777777" w:rsidR="00751E59" w:rsidRPr="00DC5278" w:rsidRDefault="00751E59" w:rsidP="0085547B">
            <w:pPr>
              <w:suppressAutoHyphens/>
              <w:jc w:val="right"/>
              <w:rPr>
                <w:color w:val="000000"/>
              </w:rPr>
            </w:pPr>
            <w:r w:rsidRPr="00DC5278">
              <w:rPr>
                <w:color w:val="000000"/>
              </w:rPr>
              <w:t>81.2%</w:t>
            </w:r>
          </w:p>
        </w:tc>
      </w:tr>
      <w:tr w:rsidR="00751E59" w:rsidRPr="00DC5278" w14:paraId="74037E2E" w14:textId="77777777" w:rsidTr="00CD3ADA">
        <w:trPr>
          <w:trHeight w:val="255"/>
        </w:trPr>
        <w:tc>
          <w:tcPr>
            <w:tcW w:w="1768" w:type="dxa"/>
            <w:tcBorders>
              <w:top w:val="nil"/>
              <w:left w:val="nil"/>
              <w:bottom w:val="nil"/>
              <w:right w:val="nil"/>
            </w:tcBorders>
            <w:shd w:val="clear" w:color="000000" w:fill="FFFFFF"/>
            <w:noWrap/>
            <w:vAlign w:val="center"/>
            <w:hideMark/>
          </w:tcPr>
          <w:p w14:paraId="74037E26" w14:textId="77777777" w:rsidR="00751E59" w:rsidRPr="00DC5278" w:rsidRDefault="00751E59" w:rsidP="0085547B">
            <w:pPr>
              <w:suppressAutoHyphens/>
              <w:rPr>
                <w:color w:val="000000"/>
              </w:rPr>
            </w:pPr>
            <w:r w:rsidRPr="00DC5278">
              <w:rPr>
                <w:color w:val="000000"/>
              </w:rPr>
              <w:t>A: 0% tariff on EIF</w:t>
            </w:r>
          </w:p>
        </w:tc>
        <w:tc>
          <w:tcPr>
            <w:tcW w:w="697" w:type="dxa"/>
            <w:tcBorders>
              <w:top w:val="nil"/>
              <w:left w:val="nil"/>
              <w:bottom w:val="nil"/>
              <w:right w:val="nil"/>
            </w:tcBorders>
            <w:shd w:val="clear" w:color="000000" w:fill="FFFFFF"/>
            <w:noWrap/>
            <w:vAlign w:val="center"/>
            <w:hideMark/>
          </w:tcPr>
          <w:p w14:paraId="74037E27" w14:textId="77777777" w:rsidR="00751E59" w:rsidRPr="00DC5278" w:rsidRDefault="00751E59" w:rsidP="0085547B">
            <w:pPr>
              <w:suppressAutoHyphens/>
              <w:jc w:val="right"/>
              <w:rPr>
                <w:color w:val="000000"/>
              </w:rPr>
            </w:pPr>
            <w:r w:rsidRPr="00DC5278">
              <w:rPr>
                <w:color w:val="000000"/>
              </w:rPr>
              <w:t>2,030</w:t>
            </w:r>
          </w:p>
        </w:tc>
        <w:tc>
          <w:tcPr>
            <w:tcW w:w="874" w:type="dxa"/>
            <w:tcBorders>
              <w:top w:val="nil"/>
              <w:left w:val="nil"/>
              <w:bottom w:val="nil"/>
              <w:right w:val="nil"/>
            </w:tcBorders>
            <w:shd w:val="clear" w:color="000000" w:fill="FFFFFF"/>
            <w:noWrap/>
            <w:vAlign w:val="center"/>
            <w:hideMark/>
          </w:tcPr>
          <w:p w14:paraId="74037E28" w14:textId="77777777" w:rsidR="00751E59" w:rsidRPr="00DC5278" w:rsidRDefault="00751E59" w:rsidP="0085547B">
            <w:pPr>
              <w:suppressAutoHyphens/>
              <w:jc w:val="right"/>
              <w:rPr>
                <w:color w:val="000000"/>
              </w:rPr>
            </w:pPr>
            <w:r w:rsidRPr="00DC5278">
              <w:rPr>
                <w:color w:val="000000"/>
              </w:rPr>
              <w:t>27.5%</w:t>
            </w:r>
          </w:p>
        </w:tc>
        <w:tc>
          <w:tcPr>
            <w:tcW w:w="1213" w:type="dxa"/>
            <w:tcBorders>
              <w:top w:val="nil"/>
              <w:left w:val="nil"/>
              <w:bottom w:val="nil"/>
              <w:right w:val="nil"/>
            </w:tcBorders>
            <w:shd w:val="clear" w:color="000000" w:fill="FFFFFF"/>
            <w:noWrap/>
            <w:vAlign w:val="center"/>
            <w:hideMark/>
          </w:tcPr>
          <w:p w14:paraId="74037E29" w14:textId="77777777" w:rsidR="00751E59" w:rsidRPr="00DC5278" w:rsidRDefault="00751E59" w:rsidP="0085547B">
            <w:pPr>
              <w:suppressAutoHyphens/>
              <w:jc w:val="right"/>
              <w:rPr>
                <w:color w:val="000000"/>
              </w:rPr>
            </w:pPr>
            <w:r w:rsidRPr="00DC5278">
              <w:rPr>
                <w:color w:val="000000"/>
              </w:rPr>
              <w:t>80.8%</w:t>
            </w:r>
          </w:p>
        </w:tc>
        <w:tc>
          <w:tcPr>
            <w:tcW w:w="269" w:type="dxa"/>
            <w:tcBorders>
              <w:top w:val="nil"/>
              <w:left w:val="nil"/>
              <w:bottom w:val="nil"/>
              <w:right w:val="nil"/>
            </w:tcBorders>
            <w:shd w:val="clear" w:color="000000" w:fill="FFFFFF"/>
            <w:noWrap/>
            <w:vAlign w:val="center"/>
            <w:hideMark/>
          </w:tcPr>
          <w:p w14:paraId="74037E2A"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2B" w14:textId="77777777" w:rsidR="00751E59" w:rsidRPr="00DC5278" w:rsidRDefault="00751E59" w:rsidP="0085547B">
            <w:pPr>
              <w:suppressAutoHyphens/>
              <w:jc w:val="right"/>
              <w:rPr>
                <w:color w:val="000000"/>
              </w:rPr>
            </w:pPr>
            <w:r w:rsidRPr="00DC5278">
              <w:rPr>
                <w:color w:val="000000"/>
              </w:rPr>
              <w:t>8.9</w:t>
            </w:r>
          </w:p>
        </w:tc>
        <w:tc>
          <w:tcPr>
            <w:tcW w:w="874" w:type="dxa"/>
            <w:tcBorders>
              <w:top w:val="nil"/>
              <w:left w:val="nil"/>
              <w:bottom w:val="nil"/>
              <w:right w:val="nil"/>
            </w:tcBorders>
            <w:shd w:val="clear" w:color="000000" w:fill="FFFFFF"/>
            <w:noWrap/>
            <w:vAlign w:val="center"/>
            <w:hideMark/>
          </w:tcPr>
          <w:p w14:paraId="74037E2C" w14:textId="77777777" w:rsidR="00751E59" w:rsidRPr="00DC5278" w:rsidRDefault="00751E59" w:rsidP="0085547B">
            <w:pPr>
              <w:suppressAutoHyphens/>
              <w:jc w:val="right"/>
              <w:rPr>
                <w:color w:val="000000"/>
              </w:rPr>
            </w:pPr>
            <w:r w:rsidRPr="00DC5278">
              <w:rPr>
                <w:color w:val="000000"/>
              </w:rPr>
              <w:t>10.5%</w:t>
            </w:r>
          </w:p>
        </w:tc>
        <w:tc>
          <w:tcPr>
            <w:tcW w:w="1979" w:type="dxa"/>
            <w:tcBorders>
              <w:top w:val="nil"/>
              <w:left w:val="nil"/>
              <w:bottom w:val="nil"/>
              <w:right w:val="nil"/>
            </w:tcBorders>
            <w:shd w:val="clear" w:color="000000" w:fill="FFFFFF"/>
            <w:noWrap/>
            <w:vAlign w:val="center"/>
            <w:hideMark/>
          </w:tcPr>
          <w:p w14:paraId="74037E2D" w14:textId="77777777" w:rsidR="00751E59" w:rsidRPr="00DC5278" w:rsidRDefault="00751E59" w:rsidP="0085547B">
            <w:pPr>
              <w:suppressAutoHyphens/>
              <w:jc w:val="right"/>
              <w:rPr>
                <w:color w:val="000000"/>
              </w:rPr>
            </w:pPr>
            <w:r w:rsidRPr="00DC5278">
              <w:rPr>
                <w:color w:val="000000"/>
              </w:rPr>
              <w:t>91.7%</w:t>
            </w:r>
          </w:p>
        </w:tc>
      </w:tr>
      <w:tr w:rsidR="00751E59" w:rsidRPr="00DC5278" w14:paraId="74037E37" w14:textId="77777777" w:rsidTr="00CD3ADA">
        <w:trPr>
          <w:trHeight w:val="255"/>
        </w:trPr>
        <w:tc>
          <w:tcPr>
            <w:tcW w:w="1768" w:type="dxa"/>
            <w:tcBorders>
              <w:top w:val="nil"/>
              <w:left w:val="nil"/>
              <w:bottom w:val="nil"/>
              <w:right w:val="nil"/>
            </w:tcBorders>
            <w:shd w:val="clear" w:color="000000" w:fill="FFFFFF"/>
            <w:noWrap/>
            <w:vAlign w:val="center"/>
            <w:hideMark/>
          </w:tcPr>
          <w:p w14:paraId="74037E2F"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697" w:type="dxa"/>
            <w:tcBorders>
              <w:top w:val="nil"/>
              <w:left w:val="nil"/>
              <w:bottom w:val="nil"/>
              <w:right w:val="nil"/>
            </w:tcBorders>
            <w:shd w:val="clear" w:color="000000" w:fill="FFFFFF"/>
            <w:noWrap/>
            <w:vAlign w:val="center"/>
            <w:hideMark/>
          </w:tcPr>
          <w:p w14:paraId="74037E30" w14:textId="368F0C7D" w:rsidR="00751E59" w:rsidRPr="00DC5278" w:rsidRDefault="00751E59" w:rsidP="00E62D2A">
            <w:pPr>
              <w:suppressAutoHyphens/>
              <w:jc w:val="right"/>
              <w:rPr>
                <w:color w:val="000000"/>
              </w:rPr>
            </w:pPr>
            <w:r w:rsidRPr="00DC5278">
              <w:rPr>
                <w:color w:val="000000"/>
              </w:rPr>
              <w:t xml:space="preserve">-   </w:t>
            </w:r>
          </w:p>
        </w:tc>
        <w:tc>
          <w:tcPr>
            <w:tcW w:w="874" w:type="dxa"/>
            <w:tcBorders>
              <w:top w:val="nil"/>
              <w:left w:val="nil"/>
              <w:bottom w:val="nil"/>
              <w:right w:val="nil"/>
            </w:tcBorders>
            <w:shd w:val="clear" w:color="000000" w:fill="FFFFFF"/>
            <w:noWrap/>
            <w:vAlign w:val="center"/>
            <w:hideMark/>
          </w:tcPr>
          <w:p w14:paraId="74037E31" w14:textId="28DEEC88" w:rsidR="00751E59" w:rsidRPr="00DC5278" w:rsidRDefault="00751E59" w:rsidP="00E62D2A">
            <w:pPr>
              <w:suppressAutoHyphens/>
              <w:jc w:val="right"/>
              <w:rPr>
                <w:color w:val="000000"/>
              </w:rPr>
            </w:pPr>
            <w:r w:rsidRPr="00DC5278">
              <w:rPr>
                <w:color w:val="000000"/>
              </w:rPr>
              <w:t xml:space="preserve">-   </w:t>
            </w:r>
          </w:p>
        </w:tc>
        <w:tc>
          <w:tcPr>
            <w:tcW w:w="1213" w:type="dxa"/>
            <w:tcBorders>
              <w:top w:val="nil"/>
              <w:left w:val="nil"/>
              <w:bottom w:val="nil"/>
              <w:right w:val="nil"/>
            </w:tcBorders>
            <w:shd w:val="clear" w:color="000000" w:fill="FFFFFF"/>
            <w:noWrap/>
            <w:vAlign w:val="center"/>
            <w:hideMark/>
          </w:tcPr>
          <w:p w14:paraId="74037E32" w14:textId="77777777" w:rsidR="00751E59" w:rsidRPr="00DC5278" w:rsidRDefault="00751E59" w:rsidP="00E62D2A">
            <w:pPr>
              <w:suppressAutoHyphens/>
              <w:jc w:val="right"/>
              <w:rPr>
                <w:color w:val="000000"/>
              </w:rPr>
            </w:pPr>
            <w:r w:rsidRPr="00DC5278">
              <w:rPr>
                <w:color w:val="000000"/>
              </w:rPr>
              <w:t>80.8%</w:t>
            </w:r>
          </w:p>
        </w:tc>
        <w:tc>
          <w:tcPr>
            <w:tcW w:w="269" w:type="dxa"/>
            <w:tcBorders>
              <w:top w:val="nil"/>
              <w:left w:val="nil"/>
              <w:bottom w:val="nil"/>
              <w:right w:val="nil"/>
            </w:tcBorders>
            <w:shd w:val="clear" w:color="000000" w:fill="FFFFFF"/>
            <w:noWrap/>
            <w:vAlign w:val="center"/>
            <w:hideMark/>
          </w:tcPr>
          <w:p w14:paraId="74037E33" w14:textId="77777777" w:rsidR="00751E59" w:rsidRPr="00DC5278" w:rsidRDefault="00751E59" w:rsidP="00E62D2A">
            <w:pPr>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34" w14:textId="77777777" w:rsidR="00751E59" w:rsidRPr="00DC5278" w:rsidRDefault="00751E59" w:rsidP="00E62D2A">
            <w:pPr>
              <w:suppressAutoHyphens/>
              <w:jc w:val="right"/>
              <w:rPr>
                <w:color w:val="000000"/>
              </w:rPr>
            </w:pPr>
            <w:r w:rsidRPr="00DC5278">
              <w:rPr>
                <w:color w:val="000000"/>
              </w:rPr>
              <w:t>0.0</w:t>
            </w:r>
          </w:p>
        </w:tc>
        <w:tc>
          <w:tcPr>
            <w:tcW w:w="874" w:type="dxa"/>
            <w:tcBorders>
              <w:top w:val="nil"/>
              <w:left w:val="nil"/>
              <w:bottom w:val="nil"/>
              <w:right w:val="nil"/>
            </w:tcBorders>
            <w:shd w:val="clear" w:color="000000" w:fill="FFFFFF"/>
            <w:noWrap/>
            <w:vAlign w:val="center"/>
            <w:hideMark/>
          </w:tcPr>
          <w:p w14:paraId="74037E35" w14:textId="0B24DE13" w:rsidR="00751E59" w:rsidRPr="00DC5278" w:rsidRDefault="00751E59" w:rsidP="00E62D2A">
            <w:pPr>
              <w:suppressAutoHyphens/>
              <w:jc w:val="right"/>
              <w:rPr>
                <w:color w:val="000000"/>
              </w:rPr>
            </w:pPr>
            <w:r w:rsidRPr="00DC5278">
              <w:rPr>
                <w:color w:val="000000"/>
              </w:rPr>
              <w:t xml:space="preserve">-   </w:t>
            </w:r>
          </w:p>
        </w:tc>
        <w:tc>
          <w:tcPr>
            <w:tcW w:w="1979" w:type="dxa"/>
            <w:tcBorders>
              <w:top w:val="nil"/>
              <w:left w:val="nil"/>
              <w:bottom w:val="nil"/>
              <w:right w:val="nil"/>
            </w:tcBorders>
            <w:shd w:val="clear" w:color="000000" w:fill="FFFFFF"/>
            <w:noWrap/>
            <w:vAlign w:val="center"/>
            <w:hideMark/>
          </w:tcPr>
          <w:p w14:paraId="74037E36" w14:textId="77777777" w:rsidR="00751E59" w:rsidRPr="00DC5278" w:rsidRDefault="00751E59" w:rsidP="00E62D2A">
            <w:pPr>
              <w:suppressAutoHyphens/>
              <w:jc w:val="right"/>
              <w:rPr>
                <w:color w:val="000000"/>
              </w:rPr>
            </w:pPr>
            <w:r w:rsidRPr="00DC5278">
              <w:rPr>
                <w:color w:val="000000"/>
              </w:rPr>
              <w:t>91.7%</w:t>
            </w:r>
          </w:p>
        </w:tc>
      </w:tr>
      <w:tr w:rsidR="00751E59" w:rsidRPr="00DC5278" w14:paraId="74037E40" w14:textId="77777777" w:rsidTr="00CD3ADA">
        <w:trPr>
          <w:trHeight w:val="255"/>
        </w:trPr>
        <w:tc>
          <w:tcPr>
            <w:tcW w:w="1768" w:type="dxa"/>
            <w:tcBorders>
              <w:top w:val="nil"/>
              <w:left w:val="nil"/>
              <w:bottom w:val="nil"/>
              <w:right w:val="nil"/>
            </w:tcBorders>
            <w:shd w:val="clear" w:color="000000" w:fill="FFFFFF"/>
            <w:noWrap/>
            <w:vAlign w:val="center"/>
            <w:hideMark/>
          </w:tcPr>
          <w:p w14:paraId="74037E38"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697" w:type="dxa"/>
            <w:tcBorders>
              <w:top w:val="nil"/>
              <w:left w:val="nil"/>
              <w:bottom w:val="nil"/>
              <w:right w:val="nil"/>
            </w:tcBorders>
            <w:shd w:val="clear" w:color="000000" w:fill="FFFFFF"/>
            <w:noWrap/>
            <w:vAlign w:val="center"/>
            <w:hideMark/>
          </w:tcPr>
          <w:p w14:paraId="74037E39" w14:textId="77777777" w:rsidR="00751E59" w:rsidRPr="00DC5278" w:rsidRDefault="00751E59" w:rsidP="0085547B">
            <w:pPr>
              <w:suppressAutoHyphens/>
              <w:jc w:val="right"/>
              <w:rPr>
                <w:color w:val="000000"/>
              </w:rPr>
            </w:pPr>
            <w:r w:rsidRPr="00DC5278">
              <w:rPr>
                <w:color w:val="000000"/>
              </w:rPr>
              <w:t>362</w:t>
            </w:r>
          </w:p>
        </w:tc>
        <w:tc>
          <w:tcPr>
            <w:tcW w:w="874" w:type="dxa"/>
            <w:tcBorders>
              <w:top w:val="nil"/>
              <w:left w:val="nil"/>
              <w:bottom w:val="nil"/>
              <w:right w:val="nil"/>
            </w:tcBorders>
            <w:shd w:val="clear" w:color="000000" w:fill="FFFFFF"/>
            <w:noWrap/>
            <w:vAlign w:val="center"/>
            <w:hideMark/>
          </w:tcPr>
          <w:p w14:paraId="74037E3A" w14:textId="77777777" w:rsidR="00751E59" w:rsidRPr="00DC5278" w:rsidRDefault="00751E59" w:rsidP="0085547B">
            <w:pPr>
              <w:suppressAutoHyphens/>
              <w:jc w:val="right"/>
              <w:rPr>
                <w:color w:val="000000"/>
              </w:rPr>
            </w:pPr>
            <w:r w:rsidRPr="00DC5278">
              <w:rPr>
                <w:color w:val="000000"/>
              </w:rPr>
              <w:t>4.9%</w:t>
            </w:r>
          </w:p>
        </w:tc>
        <w:tc>
          <w:tcPr>
            <w:tcW w:w="1213" w:type="dxa"/>
            <w:tcBorders>
              <w:top w:val="nil"/>
              <w:left w:val="nil"/>
              <w:bottom w:val="nil"/>
              <w:right w:val="nil"/>
            </w:tcBorders>
            <w:shd w:val="clear" w:color="000000" w:fill="FFFFFF"/>
            <w:noWrap/>
            <w:vAlign w:val="center"/>
            <w:hideMark/>
          </w:tcPr>
          <w:p w14:paraId="74037E3B" w14:textId="77777777" w:rsidR="00751E59" w:rsidRPr="00DC5278" w:rsidRDefault="00751E59" w:rsidP="0085547B">
            <w:pPr>
              <w:suppressAutoHyphens/>
              <w:jc w:val="right"/>
              <w:rPr>
                <w:color w:val="000000"/>
              </w:rPr>
            </w:pPr>
            <w:r w:rsidRPr="00DC5278">
              <w:rPr>
                <w:color w:val="000000"/>
              </w:rPr>
              <w:t>85.7%</w:t>
            </w:r>
          </w:p>
        </w:tc>
        <w:tc>
          <w:tcPr>
            <w:tcW w:w="269" w:type="dxa"/>
            <w:tcBorders>
              <w:top w:val="nil"/>
              <w:left w:val="nil"/>
              <w:bottom w:val="nil"/>
              <w:right w:val="nil"/>
            </w:tcBorders>
            <w:shd w:val="clear" w:color="000000" w:fill="FFFFFF"/>
            <w:noWrap/>
            <w:vAlign w:val="center"/>
            <w:hideMark/>
          </w:tcPr>
          <w:p w14:paraId="74037E3C"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3D" w14:textId="77777777" w:rsidR="00751E59" w:rsidRPr="00DC5278" w:rsidRDefault="00751E59" w:rsidP="0085547B">
            <w:pPr>
              <w:suppressAutoHyphens/>
              <w:jc w:val="right"/>
              <w:rPr>
                <w:color w:val="000000"/>
              </w:rPr>
            </w:pPr>
            <w:r w:rsidRPr="00DC5278">
              <w:rPr>
                <w:color w:val="000000"/>
              </w:rPr>
              <w:t>1.5</w:t>
            </w:r>
          </w:p>
        </w:tc>
        <w:tc>
          <w:tcPr>
            <w:tcW w:w="874" w:type="dxa"/>
            <w:tcBorders>
              <w:top w:val="nil"/>
              <w:left w:val="nil"/>
              <w:bottom w:val="nil"/>
              <w:right w:val="nil"/>
            </w:tcBorders>
            <w:shd w:val="clear" w:color="000000" w:fill="FFFFFF"/>
            <w:noWrap/>
            <w:vAlign w:val="center"/>
            <w:hideMark/>
          </w:tcPr>
          <w:p w14:paraId="74037E3E" w14:textId="77777777" w:rsidR="00751E59" w:rsidRPr="00DC5278" w:rsidRDefault="00751E59" w:rsidP="0085547B">
            <w:pPr>
              <w:suppressAutoHyphens/>
              <w:jc w:val="right"/>
              <w:rPr>
                <w:color w:val="000000"/>
              </w:rPr>
            </w:pPr>
            <w:r w:rsidRPr="00DC5278">
              <w:rPr>
                <w:color w:val="000000"/>
              </w:rPr>
              <w:t>1.7%</w:t>
            </w:r>
          </w:p>
        </w:tc>
        <w:tc>
          <w:tcPr>
            <w:tcW w:w="1979" w:type="dxa"/>
            <w:tcBorders>
              <w:top w:val="nil"/>
              <w:left w:val="nil"/>
              <w:bottom w:val="nil"/>
              <w:right w:val="nil"/>
            </w:tcBorders>
            <w:shd w:val="clear" w:color="000000" w:fill="FFFFFF"/>
            <w:noWrap/>
            <w:vAlign w:val="center"/>
            <w:hideMark/>
          </w:tcPr>
          <w:p w14:paraId="74037E3F" w14:textId="77777777" w:rsidR="00751E59" w:rsidRPr="00DC5278" w:rsidRDefault="00751E59" w:rsidP="0085547B">
            <w:pPr>
              <w:suppressAutoHyphens/>
              <w:jc w:val="right"/>
              <w:rPr>
                <w:color w:val="000000"/>
              </w:rPr>
            </w:pPr>
            <w:r w:rsidRPr="00DC5278">
              <w:rPr>
                <w:color w:val="000000"/>
              </w:rPr>
              <w:t>93.4%</w:t>
            </w:r>
          </w:p>
        </w:tc>
      </w:tr>
      <w:tr w:rsidR="00751E59" w:rsidRPr="00DC5278" w14:paraId="74037E49" w14:textId="77777777" w:rsidTr="00CD3ADA">
        <w:trPr>
          <w:trHeight w:val="255"/>
        </w:trPr>
        <w:tc>
          <w:tcPr>
            <w:tcW w:w="1768" w:type="dxa"/>
            <w:tcBorders>
              <w:top w:val="nil"/>
              <w:left w:val="nil"/>
              <w:bottom w:val="nil"/>
              <w:right w:val="nil"/>
            </w:tcBorders>
            <w:shd w:val="clear" w:color="000000" w:fill="FFFFFF"/>
            <w:noWrap/>
            <w:vAlign w:val="center"/>
            <w:hideMark/>
          </w:tcPr>
          <w:p w14:paraId="74037E41" w14:textId="77777777" w:rsidR="00751E59" w:rsidRPr="00DC5278" w:rsidRDefault="00751E59" w:rsidP="0085547B">
            <w:pPr>
              <w:suppressAutoHyphens/>
              <w:rPr>
                <w:color w:val="000000"/>
              </w:rPr>
            </w:pPr>
            <w:r w:rsidRPr="00DC5278">
              <w:rPr>
                <w:color w:val="000000"/>
              </w:rPr>
              <w:t>D: 11+ year phasing</w:t>
            </w:r>
          </w:p>
        </w:tc>
        <w:tc>
          <w:tcPr>
            <w:tcW w:w="697" w:type="dxa"/>
            <w:tcBorders>
              <w:top w:val="nil"/>
              <w:left w:val="nil"/>
              <w:bottom w:val="nil"/>
              <w:right w:val="nil"/>
            </w:tcBorders>
            <w:shd w:val="clear" w:color="000000" w:fill="FFFFFF"/>
            <w:noWrap/>
            <w:vAlign w:val="center"/>
            <w:hideMark/>
          </w:tcPr>
          <w:p w14:paraId="74037E42" w14:textId="77777777" w:rsidR="00751E59" w:rsidRPr="00DC5278" w:rsidRDefault="00751E59" w:rsidP="0085547B">
            <w:pPr>
              <w:suppressAutoHyphens/>
              <w:jc w:val="right"/>
              <w:rPr>
                <w:color w:val="000000"/>
              </w:rPr>
            </w:pPr>
            <w:r w:rsidRPr="00DC5278">
              <w:rPr>
                <w:color w:val="000000"/>
              </w:rPr>
              <w:t>1,012</w:t>
            </w:r>
          </w:p>
        </w:tc>
        <w:tc>
          <w:tcPr>
            <w:tcW w:w="874" w:type="dxa"/>
            <w:tcBorders>
              <w:top w:val="nil"/>
              <w:left w:val="nil"/>
              <w:bottom w:val="nil"/>
              <w:right w:val="nil"/>
            </w:tcBorders>
            <w:shd w:val="clear" w:color="000000" w:fill="FFFFFF"/>
            <w:noWrap/>
            <w:vAlign w:val="center"/>
            <w:hideMark/>
          </w:tcPr>
          <w:p w14:paraId="74037E43" w14:textId="77777777" w:rsidR="00751E59" w:rsidRPr="00DC5278" w:rsidRDefault="00751E59" w:rsidP="0085547B">
            <w:pPr>
              <w:suppressAutoHyphens/>
              <w:jc w:val="right"/>
              <w:rPr>
                <w:color w:val="000000"/>
              </w:rPr>
            </w:pPr>
            <w:r w:rsidRPr="00DC5278">
              <w:rPr>
                <w:color w:val="000000"/>
              </w:rPr>
              <w:t>13.7%</w:t>
            </w:r>
          </w:p>
        </w:tc>
        <w:tc>
          <w:tcPr>
            <w:tcW w:w="1213" w:type="dxa"/>
            <w:tcBorders>
              <w:top w:val="nil"/>
              <w:left w:val="nil"/>
              <w:bottom w:val="nil"/>
              <w:right w:val="nil"/>
            </w:tcBorders>
            <w:shd w:val="clear" w:color="000000" w:fill="FFFFFF"/>
            <w:noWrap/>
            <w:vAlign w:val="center"/>
            <w:hideMark/>
          </w:tcPr>
          <w:p w14:paraId="74037E44" w14:textId="77777777" w:rsidR="00751E59" w:rsidRPr="00DC5278" w:rsidRDefault="00751E59" w:rsidP="0085547B">
            <w:pPr>
              <w:suppressAutoHyphens/>
              <w:jc w:val="right"/>
              <w:rPr>
                <w:color w:val="000000"/>
              </w:rPr>
            </w:pPr>
            <w:r w:rsidRPr="00DC5278">
              <w:rPr>
                <w:color w:val="000000"/>
              </w:rPr>
              <w:t>99.4%</w:t>
            </w:r>
          </w:p>
        </w:tc>
        <w:tc>
          <w:tcPr>
            <w:tcW w:w="269" w:type="dxa"/>
            <w:tcBorders>
              <w:top w:val="nil"/>
              <w:left w:val="nil"/>
              <w:bottom w:val="nil"/>
              <w:right w:val="nil"/>
            </w:tcBorders>
            <w:shd w:val="clear" w:color="000000" w:fill="FFFFFF"/>
            <w:noWrap/>
            <w:vAlign w:val="center"/>
            <w:hideMark/>
          </w:tcPr>
          <w:p w14:paraId="74037E45"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46" w14:textId="77777777" w:rsidR="00751E59" w:rsidRPr="00DC5278" w:rsidRDefault="00751E59" w:rsidP="0085547B">
            <w:pPr>
              <w:suppressAutoHyphens/>
              <w:jc w:val="right"/>
              <w:rPr>
                <w:color w:val="000000"/>
              </w:rPr>
            </w:pPr>
            <w:r w:rsidRPr="00DC5278">
              <w:rPr>
                <w:color w:val="000000"/>
              </w:rPr>
              <w:t>1.3</w:t>
            </w:r>
          </w:p>
        </w:tc>
        <w:tc>
          <w:tcPr>
            <w:tcW w:w="874" w:type="dxa"/>
            <w:tcBorders>
              <w:top w:val="nil"/>
              <w:left w:val="nil"/>
              <w:bottom w:val="nil"/>
              <w:right w:val="nil"/>
            </w:tcBorders>
            <w:shd w:val="clear" w:color="000000" w:fill="FFFFFF"/>
            <w:noWrap/>
            <w:vAlign w:val="center"/>
            <w:hideMark/>
          </w:tcPr>
          <w:p w14:paraId="74037E47" w14:textId="77777777" w:rsidR="00751E59" w:rsidRPr="00DC5278" w:rsidRDefault="00751E59" w:rsidP="0085547B">
            <w:pPr>
              <w:suppressAutoHyphens/>
              <w:jc w:val="right"/>
              <w:rPr>
                <w:color w:val="000000"/>
              </w:rPr>
            </w:pPr>
            <w:r w:rsidRPr="00DC5278">
              <w:rPr>
                <w:color w:val="000000"/>
              </w:rPr>
              <w:t>1.6%</w:t>
            </w:r>
          </w:p>
        </w:tc>
        <w:tc>
          <w:tcPr>
            <w:tcW w:w="1979" w:type="dxa"/>
            <w:tcBorders>
              <w:top w:val="nil"/>
              <w:left w:val="nil"/>
              <w:bottom w:val="nil"/>
              <w:right w:val="nil"/>
            </w:tcBorders>
            <w:shd w:val="clear" w:color="000000" w:fill="FFFFFF"/>
            <w:noWrap/>
            <w:vAlign w:val="center"/>
            <w:hideMark/>
          </w:tcPr>
          <w:p w14:paraId="74037E48" w14:textId="77777777" w:rsidR="00751E59" w:rsidRPr="00DC5278" w:rsidRDefault="00751E59" w:rsidP="0085547B">
            <w:pPr>
              <w:suppressAutoHyphens/>
              <w:jc w:val="right"/>
              <w:rPr>
                <w:color w:val="000000"/>
              </w:rPr>
            </w:pPr>
            <w:r w:rsidRPr="00DC5278">
              <w:rPr>
                <w:color w:val="000000"/>
              </w:rPr>
              <w:t>95.0%</w:t>
            </w:r>
          </w:p>
        </w:tc>
      </w:tr>
      <w:tr w:rsidR="00751E59" w:rsidRPr="00DC5278" w14:paraId="74037E52" w14:textId="77777777" w:rsidTr="00CD3ADA">
        <w:trPr>
          <w:trHeight w:val="255"/>
        </w:trPr>
        <w:tc>
          <w:tcPr>
            <w:tcW w:w="1768" w:type="dxa"/>
            <w:tcBorders>
              <w:top w:val="nil"/>
              <w:left w:val="nil"/>
              <w:bottom w:val="nil"/>
              <w:right w:val="nil"/>
            </w:tcBorders>
            <w:shd w:val="clear" w:color="000000" w:fill="FFFFFF"/>
            <w:noWrap/>
            <w:vAlign w:val="center"/>
            <w:hideMark/>
          </w:tcPr>
          <w:p w14:paraId="74037E4A" w14:textId="77777777" w:rsidR="00751E59" w:rsidRPr="00DC5278" w:rsidRDefault="00751E59" w:rsidP="0085547B">
            <w:pPr>
              <w:suppressAutoHyphens/>
              <w:rPr>
                <w:color w:val="000000"/>
              </w:rPr>
            </w:pPr>
            <w:r w:rsidRPr="00DC5278">
              <w:rPr>
                <w:color w:val="000000"/>
              </w:rPr>
              <w:t>Tariff reduction</w:t>
            </w:r>
          </w:p>
        </w:tc>
        <w:tc>
          <w:tcPr>
            <w:tcW w:w="697" w:type="dxa"/>
            <w:tcBorders>
              <w:top w:val="nil"/>
              <w:left w:val="nil"/>
              <w:bottom w:val="nil"/>
              <w:right w:val="nil"/>
            </w:tcBorders>
            <w:shd w:val="clear" w:color="000000" w:fill="FFFFFF"/>
            <w:noWrap/>
            <w:vAlign w:val="center"/>
            <w:hideMark/>
          </w:tcPr>
          <w:p w14:paraId="74037E4B" w14:textId="77777777" w:rsidR="00751E59" w:rsidRPr="00DC5278" w:rsidRDefault="00751E59" w:rsidP="0085547B">
            <w:pPr>
              <w:suppressAutoHyphens/>
              <w:jc w:val="right"/>
              <w:rPr>
                <w:color w:val="000000"/>
              </w:rPr>
            </w:pPr>
            <w:r w:rsidRPr="00DC5278">
              <w:rPr>
                <w:color w:val="000000"/>
              </w:rPr>
              <w:t>41</w:t>
            </w:r>
          </w:p>
        </w:tc>
        <w:tc>
          <w:tcPr>
            <w:tcW w:w="874" w:type="dxa"/>
            <w:tcBorders>
              <w:top w:val="nil"/>
              <w:left w:val="nil"/>
              <w:bottom w:val="nil"/>
              <w:right w:val="nil"/>
            </w:tcBorders>
            <w:shd w:val="clear" w:color="000000" w:fill="FFFFFF"/>
            <w:noWrap/>
            <w:vAlign w:val="center"/>
            <w:hideMark/>
          </w:tcPr>
          <w:p w14:paraId="74037E4C" w14:textId="77777777" w:rsidR="00751E59" w:rsidRPr="00DC5278" w:rsidRDefault="00751E59" w:rsidP="0085547B">
            <w:pPr>
              <w:suppressAutoHyphens/>
              <w:jc w:val="right"/>
              <w:rPr>
                <w:color w:val="000000"/>
              </w:rPr>
            </w:pPr>
            <w:r w:rsidRPr="00DC5278">
              <w:rPr>
                <w:color w:val="000000"/>
              </w:rPr>
              <w:t>0.6%</w:t>
            </w:r>
          </w:p>
        </w:tc>
        <w:tc>
          <w:tcPr>
            <w:tcW w:w="1213" w:type="dxa"/>
            <w:tcBorders>
              <w:top w:val="nil"/>
              <w:left w:val="nil"/>
              <w:bottom w:val="nil"/>
              <w:right w:val="nil"/>
            </w:tcBorders>
            <w:shd w:val="clear" w:color="000000" w:fill="FFFFFF"/>
            <w:noWrap/>
            <w:vAlign w:val="center"/>
            <w:hideMark/>
          </w:tcPr>
          <w:p w14:paraId="74037E4D"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E4E"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4F" w14:textId="77777777" w:rsidR="00751E59" w:rsidRPr="00DC5278" w:rsidRDefault="00751E59" w:rsidP="0085547B">
            <w:pPr>
              <w:suppressAutoHyphens/>
              <w:jc w:val="right"/>
              <w:rPr>
                <w:color w:val="000000"/>
              </w:rPr>
            </w:pPr>
            <w:r w:rsidRPr="00DC5278">
              <w:rPr>
                <w:color w:val="000000"/>
              </w:rPr>
              <w:t>4.3</w:t>
            </w:r>
          </w:p>
        </w:tc>
        <w:tc>
          <w:tcPr>
            <w:tcW w:w="874" w:type="dxa"/>
            <w:tcBorders>
              <w:top w:val="nil"/>
              <w:left w:val="nil"/>
              <w:bottom w:val="nil"/>
              <w:right w:val="nil"/>
            </w:tcBorders>
            <w:shd w:val="clear" w:color="000000" w:fill="FFFFFF"/>
            <w:noWrap/>
            <w:vAlign w:val="center"/>
            <w:hideMark/>
          </w:tcPr>
          <w:p w14:paraId="74037E50" w14:textId="77777777" w:rsidR="00751E59" w:rsidRPr="00DC5278" w:rsidRDefault="00751E59" w:rsidP="0085547B">
            <w:pPr>
              <w:suppressAutoHyphens/>
              <w:jc w:val="right"/>
              <w:rPr>
                <w:color w:val="000000"/>
              </w:rPr>
            </w:pPr>
            <w:r w:rsidRPr="00DC5278">
              <w:rPr>
                <w:color w:val="000000"/>
              </w:rPr>
              <w:t>5.0%</w:t>
            </w:r>
          </w:p>
        </w:tc>
        <w:tc>
          <w:tcPr>
            <w:tcW w:w="1979" w:type="dxa"/>
            <w:tcBorders>
              <w:top w:val="nil"/>
              <w:left w:val="nil"/>
              <w:bottom w:val="nil"/>
              <w:right w:val="nil"/>
            </w:tcBorders>
            <w:shd w:val="clear" w:color="000000" w:fill="FFFFFF"/>
            <w:noWrap/>
            <w:vAlign w:val="center"/>
            <w:hideMark/>
          </w:tcPr>
          <w:p w14:paraId="74037E51"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5B" w14:textId="77777777" w:rsidTr="00CD3ADA">
        <w:trPr>
          <w:trHeight w:val="255"/>
        </w:trPr>
        <w:tc>
          <w:tcPr>
            <w:tcW w:w="1768" w:type="dxa"/>
            <w:tcBorders>
              <w:top w:val="nil"/>
              <w:left w:val="nil"/>
              <w:bottom w:val="nil"/>
              <w:right w:val="nil"/>
            </w:tcBorders>
            <w:shd w:val="clear" w:color="000000" w:fill="FFFFFF"/>
            <w:noWrap/>
            <w:vAlign w:val="center"/>
            <w:hideMark/>
          </w:tcPr>
          <w:p w14:paraId="74037E53" w14:textId="77777777" w:rsidR="00751E59" w:rsidRPr="00DC5278" w:rsidRDefault="00751E59" w:rsidP="0085547B">
            <w:pPr>
              <w:suppressAutoHyphens/>
              <w:rPr>
                <w:color w:val="000000"/>
              </w:rPr>
            </w:pPr>
            <w:r w:rsidRPr="00DC5278">
              <w:rPr>
                <w:color w:val="000000"/>
              </w:rPr>
              <w:t>Quota</w:t>
            </w:r>
          </w:p>
        </w:tc>
        <w:tc>
          <w:tcPr>
            <w:tcW w:w="697" w:type="dxa"/>
            <w:tcBorders>
              <w:top w:val="nil"/>
              <w:left w:val="nil"/>
              <w:bottom w:val="nil"/>
              <w:right w:val="nil"/>
            </w:tcBorders>
            <w:shd w:val="clear" w:color="000000" w:fill="FFFFFF"/>
            <w:noWrap/>
            <w:vAlign w:val="center"/>
            <w:hideMark/>
          </w:tcPr>
          <w:p w14:paraId="74037E54" w14:textId="67D12980" w:rsidR="00751E59" w:rsidRPr="00DC5278" w:rsidRDefault="00751E59" w:rsidP="00E62D2A">
            <w:pPr>
              <w:suppressAutoHyphens/>
              <w:jc w:val="right"/>
              <w:rPr>
                <w:color w:val="000000"/>
              </w:rPr>
            </w:pPr>
            <w:r w:rsidRPr="00DC5278">
              <w:rPr>
                <w:color w:val="000000"/>
              </w:rPr>
              <w:t xml:space="preserve">-   </w:t>
            </w:r>
          </w:p>
        </w:tc>
        <w:tc>
          <w:tcPr>
            <w:tcW w:w="874" w:type="dxa"/>
            <w:tcBorders>
              <w:top w:val="nil"/>
              <w:left w:val="nil"/>
              <w:bottom w:val="nil"/>
              <w:right w:val="nil"/>
            </w:tcBorders>
            <w:shd w:val="clear" w:color="000000" w:fill="FFFFFF"/>
            <w:noWrap/>
            <w:vAlign w:val="center"/>
            <w:hideMark/>
          </w:tcPr>
          <w:p w14:paraId="74037E55" w14:textId="5E31F069" w:rsidR="00751E59" w:rsidRPr="00DC5278" w:rsidRDefault="00751E59" w:rsidP="00E62D2A">
            <w:pPr>
              <w:suppressAutoHyphens/>
              <w:jc w:val="right"/>
              <w:rPr>
                <w:color w:val="000000"/>
              </w:rPr>
            </w:pPr>
            <w:r w:rsidRPr="00DC5278">
              <w:rPr>
                <w:color w:val="000000"/>
              </w:rPr>
              <w:t xml:space="preserve">-   </w:t>
            </w:r>
          </w:p>
        </w:tc>
        <w:tc>
          <w:tcPr>
            <w:tcW w:w="1213" w:type="dxa"/>
            <w:tcBorders>
              <w:top w:val="nil"/>
              <w:left w:val="nil"/>
              <w:bottom w:val="nil"/>
              <w:right w:val="nil"/>
            </w:tcBorders>
            <w:shd w:val="clear" w:color="000000" w:fill="FFFFFF"/>
            <w:noWrap/>
            <w:vAlign w:val="center"/>
            <w:hideMark/>
          </w:tcPr>
          <w:p w14:paraId="74037E56" w14:textId="77777777" w:rsidR="00751E59" w:rsidRPr="00DC5278" w:rsidRDefault="00751E59" w:rsidP="00E62D2A">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E57" w14:textId="77777777" w:rsidR="00751E59" w:rsidRPr="00DC5278" w:rsidRDefault="00751E59" w:rsidP="00E62D2A">
            <w:pPr>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58" w14:textId="77777777" w:rsidR="00751E59" w:rsidRPr="00DC5278" w:rsidRDefault="00751E59" w:rsidP="00E62D2A">
            <w:pPr>
              <w:suppressAutoHyphens/>
              <w:jc w:val="right"/>
              <w:rPr>
                <w:color w:val="000000"/>
              </w:rPr>
            </w:pPr>
            <w:r w:rsidRPr="00DC5278">
              <w:rPr>
                <w:color w:val="000000"/>
              </w:rPr>
              <w:t>0.0</w:t>
            </w:r>
          </w:p>
        </w:tc>
        <w:tc>
          <w:tcPr>
            <w:tcW w:w="874" w:type="dxa"/>
            <w:tcBorders>
              <w:top w:val="nil"/>
              <w:left w:val="nil"/>
              <w:bottom w:val="nil"/>
              <w:right w:val="nil"/>
            </w:tcBorders>
            <w:shd w:val="clear" w:color="000000" w:fill="FFFFFF"/>
            <w:noWrap/>
            <w:vAlign w:val="center"/>
            <w:hideMark/>
          </w:tcPr>
          <w:p w14:paraId="74037E59" w14:textId="3CE0CEFA" w:rsidR="00751E59" w:rsidRPr="00DC5278" w:rsidRDefault="00751E59" w:rsidP="00E62D2A">
            <w:pPr>
              <w:suppressAutoHyphens/>
              <w:jc w:val="right"/>
              <w:rPr>
                <w:color w:val="000000"/>
              </w:rPr>
            </w:pPr>
            <w:r w:rsidRPr="00DC5278">
              <w:rPr>
                <w:color w:val="000000"/>
              </w:rPr>
              <w:t xml:space="preserve">-   </w:t>
            </w:r>
          </w:p>
        </w:tc>
        <w:tc>
          <w:tcPr>
            <w:tcW w:w="1979" w:type="dxa"/>
            <w:tcBorders>
              <w:top w:val="nil"/>
              <w:left w:val="nil"/>
              <w:bottom w:val="nil"/>
              <w:right w:val="nil"/>
            </w:tcBorders>
            <w:shd w:val="clear" w:color="000000" w:fill="FFFFFF"/>
            <w:noWrap/>
            <w:vAlign w:val="center"/>
            <w:hideMark/>
          </w:tcPr>
          <w:p w14:paraId="74037E5A" w14:textId="77777777" w:rsidR="00751E59" w:rsidRPr="00DC5278" w:rsidRDefault="00751E59" w:rsidP="00E62D2A">
            <w:pPr>
              <w:suppressAutoHyphens/>
              <w:jc w:val="right"/>
              <w:rPr>
                <w:color w:val="000000"/>
              </w:rPr>
            </w:pPr>
            <w:r w:rsidRPr="00DC5278">
              <w:rPr>
                <w:color w:val="000000"/>
              </w:rPr>
              <w:t>100.0%</w:t>
            </w:r>
          </w:p>
        </w:tc>
      </w:tr>
      <w:tr w:rsidR="00751E59" w:rsidRPr="00DC5278" w14:paraId="74037E64" w14:textId="77777777" w:rsidTr="00CD3ADA">
        <w:trPr>
          <w:trHeight w:val="270"/>
        </w:trPr>
        <w:tc>
          <w:tcPr>
            <w:tcW w:w="1768" w:type="dxa"/>
            <w:tcBorders>
              <w:top w:val="nil"/>
              <w:left w:val="nil"/>
              <w:bottom w:val="single" w:sz="8" w:space="0" w:color="auto"/>
              <w:right w:val="nil"/>
            </w:tcBorders>
            <w:noWrap/>
            <w:vAlign w:val="bottom"/>
            <w:hideMark/>
          </w:tcPr>
          <w:p w14:paraId="74037E5C" w14:textId="77777777" w:rsidR="00751E59" w:rsidRPr="00DC5278" w:rsidRDefault="00751E59" w:rsidP="0085547B">
            <w:pPr>
              <w:suppressAutoHyphens/>
              <w:rPr>
                <w:color w:val="000000"/>
              </w:rPr>
            </w:pPr>
            <w:r w:rsidRPr="00DC5278">
              <w:rPr>
                <w:color w:val="000000"/>
              </w:rPr>
              <w:t>Total</w:t>
            </w:r>
          </w:p>
        </w:tc>
        <w:tc>
          <w:tcPr>
            <w:tcW w:w="697" w:type="dxa"/>
            <w:tcBorders>
              <w:top w:val="nil"/>
              <w:left w:val="nil"/>
              <w:bottom w:val="single" w:sz="8" w:space="0" w:color="auto"/>
              <w:right w:val="nil"/>
            </w:tcBorders>
            <w:shd w:val="clear" w:color="000000" w:fill="FFFFFF"/>
            <w:noWrap/>
            <w:vAlign w:val="center"/>
            <w:hideMark/>
          </w:tcPr>
          <w:p w14:paraId="74037E5D" w14:textId="77777777" w:rsidR="00751E59" w:rsidRPr="00DC5278" w:rsidRDefault="00751E59" w:rsidP="0085547B">
            <w:pPr>
              <w:suppressAutoHyphens/>
              <w:jc w:val="right"/>
              <w:rPr>
                <w:color w:val="000000"/>
              </w:rPr>
            </w:pPr>
            <w:r w:rsidRPr="00DC5278">
              <w:rPr>
                <w:color w:val="000000"/>
              </w:rPr>
              <w:t>7,370</w:t>
            </w:r>
          </w:p>
        </w:tc>
        <w:tc>
          <w:tcPr>
            <w:tcW w:w="874" w:type="dxa"/>
            <w:tcBorders>
              <w:top w:val="nil"/>
              <w:left w:val="nil"/>
              <w:bottom w:val="single" w:sz="8" w:space="0" w:color="auto"/>
              <w:right w:val="nil"/>
            </w:tcBorders>
            <w:shd w:val="clear" w:color="000000" w:fill="FFFFFF"/>
            <w:noWrap/>
            <w:vAlign w:val="center"/>
            <w:hideMark/>
          </w:tcPr>
          <w:p w14:paraId="74037E5E" w14:textId="77777777" w:rsidR="00751E59" w:rsidRPr="00DC5278" w:rsidRDefault="00751E59" w:rsidP="0085547B">
            <w:pPr>
              <w:suppressAutoHyphens/>
              <w:jc w:val="right"/>
              <w:rPr>
                <w:color w:val="000000"/>
              </w:rPr>
            </w:pPr>
            <w:r w:rsidRPr="00DC5278">
              <w:rPr>
                <w:color w:val="000000"/>
              </w:rPr>
              <w:t>100.0%</w:t>
            </w:r>
          </w:p>
        </w:tc>
        <w:tc>
          <w:tcPr>
            <w:tcW w:w="1213" w:type="dxa"/>
            <w:tcBorders>
              <w:top w:val="nil"/>
              <w:left w:val="nil"/>
              <w:bottom w:val="single" w:sz="8" w:space="0" w:color="auto"/>
              <w:right w:val="nil"/>
            </w:tcBorders>
            <w:shd w:val="clear" w:color="000000" w:fill="FFFFFF"/>
            <w:noWrap/>
            <w:vAlign w:val="center"/>
            <w:hideMark/>
          </w:tcPr>
          <w:p w14:paraId="74037E5F"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single" w:sz="8" w:space="0" w:color="auto"/>
              <w:right w:val="nil"/>
            </w:tcBorders>
            <w:shd w:val="clear" w:color="000000" w:fill="FFFFFF"/>
            <w:noWrap/>
            <w:vAlign w:val="center"/>
            <w:hideMark/>
          </w:tcPr>
          <w:p w14:paraId="74037E60"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single" w:sz="8" w:space="0" w:color="auto"/>
              <w:right w:val="nil"/>
            </w:tcBorders>
            <w:shd w:val="clear" w:color="000000" w:fill="FFFFFF"/>
            <w:noWrap/>
            <w:vAlign w:val="center"/>
            <w:hideMark/>
          </w:tcPr>
          <w:p w14:paraId="74037E61" w14:textId="77777777" w:rsidR="00751E59" w:rsidRPr="00DC5278" w:rsidRDefault="00751E59" w:rsidP="0085547B">
            <w:pPr>
              <w:suppressAutoHyphens/>
              <w:jc w:val="right"/>
              <w:rPr>
                <w:color w:val="000000"/>
              </w:rPr>
            </w:pPr>
            <w:r w:rsidRPr="00DC5278">
              <w:rPr>
                <w:color w:val="000000"/>
              </w:rPr>
              <w:t>84.9</w:t>
            </w:r>
          </w:p>
        </w:tc>
        <w:tc>
          <w:tcPr>
            <w:tcW w:w="874" w:type="dxa"/>
            <w:tcBorders>
              <w:top w:val="nil"/>
              <w:left w:val="nil"/>
              <w:bottom w:val="single" w:sz="8" w:space="0" w:color="auto"/>
              <w:right w:val="nil"/>
            </w:tcBorders>
            <w:shd w:val="clear" w:color="000000" w:fill="FFFFFF"/>
            <w:noWrap/>
            <w:vAlign w:val="center"/>
            <w:hideMark/>
          </w:tcPr>
          <w:p w14:paraId="74037E62" w14:textId="77777777" w:rsidR="00751E59" w:rsidRPr="00DC5278" w:rsidRDefault="00751E59" w:rsidP="0085547B">
            <w:pPr>
              <w:suppressAutoHyphens/>
              <w:jc w:val="right"/>
              <w:rPr>
                <w:color w:val="000000"/>
              </w:rPr>
            </w:pPr>
            <w:r w:rsidRPr="00DC5278">
              <w:rPr>
                <w:color w:val="000000"/>
              </w:rPr>
              <w:t>100.0%</w:t>
            </w:r>
          </w:p>
        </w:tc>
        <w:tc>
          <w:tcPr>
            <w:tcW w:w="1979" w:type="dxa"/>
            <w:tcBorders>
              <w:top w:val="nil"/>
              <w:left w:val="nil"/>
              <w:bottom w:val="single" w:sz="8" w:space="0" w:color="auto"/>
              <w:right w:val="nil"/>
            </w:tcBorders>
            <w:shd w:val="clear" w:color="000000" w:fill="FFFFFF"/>
            <w:noWrap/>
            <w:vAlign w:val="center"/>
            <w:hideMark/>
          </w:tcPr>
          <w:p w14:paraId="74037E63" w14:textId="77777777" w:rsidR="00751E59" w:rsidRPr="00DC5278" w:rsidRDefault="00751E59" w:rsidP="0085547B">
            <w:pPr>
              <w:suppressAutoHyphens/>
              <w:jc w:val="right"/>
              <w:rPr>
                <w:color w:val="000000"/>
              </w:rPr>
            </w:pPr>
            <w:r w:rsidRPr="00DC5278">
              <w:rPr>
                <w:color w:val="000000"/>
              </w:rPr>
              <w:t>100.0%</w:t>
            </w:r>
          </w:p>
        </w:tc>
      </w:tr>
    </w:tbl>
    <w:p w14:paraId="74037E65" w14:textId="403ED8C7" w:rsidR="00751E59" w:rsidRDefault="00751E59" w:rsidP="0085547B">
      <w:pPr>
        <w:suppressAutoHyphens/>
        <w:rPr>
          <w:b/>
          <w:u w:val="single"/>
        </w:rPr>
      </w:pPr>
    </w:p>
    <w:p w14:paraId="460F1F09" w14:textId="77777777" w:rsidR="00CD3ADA" w:rsidRPr="00DC5278" w:rsidRDefault="00CD3ADA" w:rsidP="0085547B">
      <w:pPr>
        <w:suppressAutoHyphens/>
        <w:rPr>
          <w:b/>
          <w:u w:val="single"/>
        </w:rPr>
      </w:pPr>
    </w:p>
    <w:p w14:paraId="74037E66" w14:textId="77777777" w:rsidR="00751E59" w:rsidRPr="00DC5278" w:rsidRDefault="00751E59" w:rsidP="0085547B">
      <w:pPr>
        <w:keepNext/>
        <w:suppressAutoHyphens/>
        <w:rPr>
          <w:b/>
          <w:u w:val="single"/>
        </w:rPr>
      </w:pPr>
      <w:r w:rsidRPr="00DC5278">
        <w:rPr>
          <w:b/>
          <w:u w:val="single"/>
        </w:rPr>
        <w:lastRenderedPageBreak/>
        <w:t xml:space="preserve">Elimination schedule for Singapore’s tariffs on imports of Australian goods </w:t>
      </w:r>
    </w:p>
    <w:p w14:paraId="74037E67" w14:textId="77777777" w:rsidR="00751E59" w:rsidRPr="00DC5278" w:rsidRDefault="00751E59" w:rsidP="0085547B">
      <w:pPr>
        <w:keepNext/>
        <w:suppressAutoHyphens/>
      </w:pPr>
    </w:p>
    <w:tbl>
      <w:tblPr>
        <w:tblW w:w="8979" w:type="dxa"/>
        <w:tblInd w:w="93" w:type="dxa"/>
        <w:tblLook w:val="04A0" w:firstRow="1" w:lastRow="0" w:firstColumn="1" w:lastColumn="0" w:noHBand="0" w:noVBand="1"/>
      </w:tblPr>
      <w:tblGrid>
        <w:gridCol w:w="1768"/>
        <w:gridCol w:w="756"/>
        <w:gridCol w:w="956"/>
        <w:gridCol w:w="1336"/>
        <w:gridCol w:w="276"/>
        <w:gridCol w:w="1305"/>
        <w:gridCol w:w="956"/>
        <w:gridCol w:w="1979"/>
      </w:tblGrid>
      <w:tr w:rsidR="00751E59" w:rsidRPr="00DC5278" w14:paraId="74037E6C" w14:textId="77777777" w:rsidTr="00CD3ADA">
        <w:trPr>
          <w:trHeight w:val="285"/>
        </w:trPr>
        <w:tc>
          <w:tcPr>
            <w:tcW w:w="1768" w:type="dxa"/>
            <w:vMerge w:val="restart"/>
            <w:tcBorders>
              <w:top w:val="single" w:sz="12" w:space="0" w:color="auto"/>
              <w:left w:val="nil"/>
              <w:bottom w:val="single" w:sz="8" w:space="0" w:color="000000"/>
              <w:right w:val="nil"/>
            </w:tcBorders>
            <w:shd w:val="clear" w:color="000000" w:fill="D8D8D8"/>
            <w:vAlign w:val="center"/>
            <w:hideMark/>
          </w:tcPr>
          <w:p w14:paraId="74037E68"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784" w:type="dxa"/>
            <w:gridSpan w:val="3"/>
            <w:tcBorders>
              <w:top w:val="single" w:sz="12" w:space="0" w:color="auto"/>
              <w:left w:val="nil"/>
              <w:bottom w:val="single" w:sz="8" w:space="0" w:color="auto"/>
              <w:right w:val="nil"/>
            </w:tcBorders>
            <w:shd w:val="clear" w:color="000000" w:fill="D8D8D8"/>
            <w:vAlign w:val="center"/>
            <w:hideMark/>
          </w:tcPr>
          <w:p w14:paraId="74037E69"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69" w:type="dxa"/>
            <w:tcBorders>
              <w:top w:val="single" w:sz="12" w:space="0" w:color="auto"/>
              <w:left w:val="nil"/>
              <w:bottom w:val="nil"/>
              <w:right w:val="nil"/>
            </w:tcBorders>
            <w:shd w:val="clear" w:color="000000" w:fill="D8D8D8"/>
            <w:vAlign w:val="center"/>
            <w:hideMark/>
          </w:tcPr>
          <w:p w14:paraId="74037E6A" w14:textId="77777777" w:rsidR="00751E59" w:rsidRPr="00DC5278" w:rsidRDefault="00751E59" w:rsidP="0085547B">
            <w:pPr>
              <w:keepNext/>
              <w:suppressAutoHyphens/>
              <w:jc w:val="center"/>
              <w:rPr>
                <w:b/>
                <w:bCs/>
                <w:color w:val="000000"/>
              </w:rPr>
            </w:pPr>
            <w:r w:rsidRPr="00DC5278">
              <w:rPr>
                <w:b/>
                <w:bCs/>
                <w:color w:val="000000"/>
              </w:rPr>
              <w:t> </w:t>
            </w:r>
          </w:p>
        </w:tc>
        <w:tc>
          <w:tcPr>
            <w:tcW w:w="4158" w:type="dxa"/>
            <w:gridSpan w:val="3"/>
            <w:tcBorders>
              <w:top w:val="single" w:sz="12" w:space="0" w:color="auto"/>
              <w:left w:val="nil"/>
              <w:bottom w:val="single" w:sz="8" w:space="0" w:color="auto"/>
              <w:right w:val="nil"/>
            </w:tcBorders>
            <w:shd w:val="clear" w:color="000000" w:fill="D8D8D8"/>
            <w:noWrap/>
            <w:vAlign w:val="center"/>
            <w:hideMark/>
          </w:tcPr>
          <w:p w14:paraId="74037E6B" w14:textId="77777777" w:rsidR="00751E59" w:rsidRPr="00DC5278" w:rsidRDefault="00751E59" w:rsidP="0085547B">
            <w:pPr>
              <w:keepNext/>
              <w:suppressAutoHyphens/>
              <w:jc w:val="center"/>
              <w:rPr>
                <w:b/>
                <w:bCs/>
                <w:color w:val="000000"/>
              </w:rPr>
            </w:pPr>
            <w:r w:rsidRPr="00DC5278">
              <w:rPr>
                <w:b/>
                <w:bCs/>
                <w:color w:val="000000"/>
              </w:rPr>
              <w:t xml:space="preserve">Singapore's imports from Australia </w:t>
            </w:r>
          </w:p>
        </w:tc>
      </w:tr>
      <w:tr w:rsidR="00751E59" w:rsidRPr="00DC5278" w14:paraId="74037E75" w14:textId="77777777" w:rsidTr="00CD3ADA">
        <w:trPr>
          <w:trHeight w:val="525"/>
        </w:trPr>
        <w:tc>
          <w:tcPr>
            <w:tcW w:w="1768" w:type="dxa"/>
            <w:vMerge/>
            <w:tcBorders>
              <w:top w:val="single" w:sz="12" w:space="0" w:color="auto"/>
              <w:left w:val="nil"/>
              <w:bottom w:val="single" w:sz="8" w:space="0" w:color="000000"/>
              <w:right w:val="nil"/>
            </w:tcBorders>
            <w:vAlign w:val="center"/>
            <w:hideMark/>
          </w:tcPr>
          <w:p w14:paraId="74037E6D" w14:textId="77777777" w:rsidR="00751E59" w:rsidRPr="00DC5278" w:rsidRDefault="00751E59" w:rsidP="0085547B">
            <w:pPr>
              <w:keepNext/>
              <w:suppressAutoHyphens/>
              <w:rPr>
                <w:b/>
                <w:bCs/>
                <w:color w:val="000000"/>
              </w:rPr>
            </w:pPr>
          </w:p>
        </w:tc>
        <w:tc>
          <w:tcPr>
            <w:tcW w:w="697" w:type="dxa"/>
            <w:tcBorders>
              <w:top w:val="nil"/>
              <w:left w:val="nil"/>
              <w:bottom w:val="single" w:sz="8" w:space="0" w:color="auto"/>
              <w:right w:val="nil"/>
            </w:tcBorders>
            <w:shd w:val="clear" w:color="000000" w:fill="D8D8D8"/>
            <w:noWrap/>
            <w:vAlign w:val="center"/>
            <w:hideMark/>
          </w:tcPr>
          <w:p w14:paraId="74037E6E" w14:textId="77777777" w:rsidR="00751E59" w:rsidRPr="00DC5278" w:rsidRDefault="00751E59" w:rsidP="0085547B">
            <w:pPr>
              <w:keepNext/>
              <w:suppressAutoHyphens/>
              <w:jc w:val="center"/>
              <w:rPr>
                <w:color w:val="000000"/>
              </w:rPr>
            </w:pPr>
            <w:r w:rsidRPr="00DC5278">
              <w:rPr>
                <w:color w:val="000000"/>
              </w:rPr>
              <w:t xml:space="preserve"> No. </w:t>
            </w:r>
          </w:p>
        </w:tc>
        <w:tc>
          <w:tcPr>
            <w:tcW w:w="874" w:type="dxa"/>
            <w:tcBorders>
              <w:top w:val="nil"/>
              <w:left w:val="nil"/>
              <w:bottom w:val="single" w:sz="8" w:space="0" w:color="auto"/>
              <w:right w:val="nil"/>
            </w:tcBorders>
            <w:shd w:val="clear" w:color="000000" w:fill="D8D8D8"/>
            <w:vAlign w:val="center"/>
            <w:hideMark/>
          </w:tcPr>
          <w:p w14:paraId="74037E6F"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213" w:type="dxa"/>
            <w:tcBorders>
              <w:top w:val="nil"/>
              <w:left w:val="nil"/>
              <w:bottom w:val="single" w:sz="8" w:space="0" w:color="auto"/>
              <w:right w:val="nil"/>
            </w:tcBorders>
            <w:shd w:val="clear" w:color="000000" w:fill="D8D8D8"/>
            <w:vAlign w:val="center"/>
            <w:hideMark/>
          </w:tcPr>
          <w:p w14:paraId="74037E70"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69" w:type="dxa"/>
            <w:tcBorders>
              <w:top w:val="nil"/>
              <w:left w:val="nil"/>
              <w:bottom w:val="single" w:sz="8" w:space="0" w:color="auto"/>
              <w:right w:val="nil"/>
            </w:tcBorders>
            <w:shd w:val="clear" w:color="000000" w:fill="D8D8D8"/>
            <w:vAlign w:val="center"/>
            <w:hideMark/>
          </w:tcPr>
          <w:p w14:paraId="74037E71" w14:textId="77777777" w:rsidR="00751E59" w:rsidRPr="00DC5278" w:rsidRDefault="00751E59" w:rsidP="0085547B">
            <w:pPr>
              <w:keepNext/>
              <w:suppressAutoHyphens/>
              <w:jc w:val="center"/>
              <w:rPr>
                <w:color w:val="000000"/>
              </w:rPr>
            </w:pPr>
            <w:r w:rsidRPr="00DC5278">
              <w:rPr>
                <w:color w:val="000000"/>
              </w:rPr>
              <w:t> </w:t>
            </w:r>
          </w:p>
        </w:tc>
        <w:tc>
          <w:tcPr>
            <w:tcW w:w="1305" w:type="dxa"/>
            <w:tcBorders>
              <w:top w:val="nil"/>
              <w:left w:val="nil"/>
              <w:bottom w:val="single" w:sz="8" w:space="0" w:color="auto"/>
              <w:right w:val="nil"/>
            </w:tcBorders>
            <w:shd w:val="clear" w:color="000000" w:fill="D8D8D8"/>
            <w:vAlign w:val="center"/>
            <w:hideMark/>
          </w:tcPr>
          <w:p w14:paraId="74037E72"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874" w:type="dxa"/>
            <w:tcBorders>
              <w:top w:val="nil"/>
              <w:left w:val="nil"/>
              <w:bottom w:val="single" w:sz="8" w:space="0" w:color="auto"/>
              <w:right w:val="nil"/>
            </w:tcBorders>
            <w:shd w:val="clear" w:color="000000" w:fill="D8D8D8"/>
            <w:vAlign w:val="center"/>
            <w:hideMark/>
          </w:tcPr>
          <w:p w14:paraId="74037E73"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979" w:type="dxa"/>
            <w:tcBorders>
              <w:top w:val="nil"/>
              <w:left w:val="nil"/>
              <w:bottom w:val="single" w:sz="8" w:space="0" w:color="auto"/>
              <w:right w:val="nil"/>
            </w:tcBorders>
            <w:shd w:val="clear" w:color="000000" w:fill="D8D8D8"/>
            <w:vAlign w:val="center"/>
            <w:hideMark/>
          </w:tcPr>
          <w:p w14:paraId="74037E74"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E7E" w14:textId="77777777" w:rsidTr="00CD3ADA">
        <w:trPr>
          <w:trHeight w:val="255"/>
        </w:trPr>
        <w:tc>
          <w:tcPr>
            <w:tcW w:w="1768" w:type="dxa"/>
            <w:tcBorders>
              <w:top w:val="nil"/>
              <w:left w:val="nil"/>
              <w:bottom w:val="nil"/>
              <w:right w:val="nil"/>
            </w:tcBorders>
            <w:shd w:val="clear" w:color="000000" w:fill="FFFFFF"/>
            <w:noWrap/>
            <w:vAlign w:val="center"/>
            <w:hideMark/>
          </w:tcPr>
          <w:p w14:paraId="74037E76" w14:textId="77777777" w:rsidR="00751E59" w:rsidRPr="00DC5278" w:rsidRDefault="00751E59" w:rsidP="0085547B">
            <w:pPr>
              <w:keepNext/>
              <w:suppressAutoHyphens/>
              <w:rPr>
                <w:color w:val="000000"/>
              </w:rPr>
            </w:pPr>
            <w:r w:rsidRPr="00DC5278">
              <w:rPr>
                <w:color w:val="000000"/>
              </w:rPr>
              <w:t>MFN 0%</w:t>
            </w:r>
          </w:p>
        </w:tc>
        <w:tc>
          <w:tcPr>
            <w:tcW w:w="697" w:type="dxa"/>
            <w:tcBorders>
              <w:top w:val="nil"/>
              <w:left w:val="nil"/>
              <w:bottom w:val="nil"/>
              <w:right w:val="nil"/>
            </w:tcBorders>
            <w:shd w:val="clear" w:color="000000" w:fill="FFFFFF"/>
            <w:noWrap/>
            <w:vAlign w:val="center"/>
            <w:hideMark/>
          </w:tcPr>
          <w:p w14:paraId="74037E77" w14:textId="77777777" w:rsidR="00751E59" w:rsidRPr="00DC5278" w:rsidRDefault="00751E59" w:rsidP="0085547B">
            <w:pPr>
              <w:keepNext/>
              <w:suppressAutoHyphens/>
              <w:jc w:val="right"/>
              <w:rPr>
                <w:color w:val="000000"/>
              </w:rPr>
            </w:pPr>
            <w:r w:rsidRPr="00DC5278">
              <w:rPr>
                <w:color w:val="000000"/>
              </w:rPr>
              <w:t>7,637</w:t>
            </w:r>
          </w:p>
        </w:tc>
        <w:tc>
          <w:tcPr>
            <w:tcW w:w="874" w:type="dxa"/>
            <w:tcBorders>
              <w:top w:val="nil"/>
              <w:left w:val="nil"/>
              <w:bottom w:val="nil"/>
              <w:right w:val="nil"/>
            </w:tcBorders>
            <w:shd w:val="clear" w:color="000000" w:fill="FFFFFF"/>
            <w:noWrap/>
            <w:vAlign w:val="center"/>
            <w:hideMark/>
          </w:tcPr>
          <w:p w14:paraId="74037E78" w14:textId="77777777" w:rsidR="00751E59" w:rsidRPr="00DC5278" w:rsidRDefault="00751E59" w:rsidP="0085547B">
            <w:pPr>
              <w:keepNext/>
              <w:suppressAutoHyphens/>
              <w:jc w:val="right"/>
              <w:rPr>
                <w:color w:val="000000"/>
              </w:rPr>
            </w:pPr>
            <w:r w:rsidRPr="00DC5278">
              <w:rPr>
                <w:color w:val="000000"/>
              </w:rPr>
              <w:t>99.9%</w:t>
            </w:r>
          </w:p>
        </w:tc>
        <w:tc>
          <w:tcPr>
            <w:tcW w:w="1213" w:type="dxa"/>
            <w:tcBorders>
              <w:top w:val="nil"/>
              <w:left w:val="nil"/>
              <w:bottom w:val="nil"/>
              <w:right w:val="nil"/>
            </w:tcBorders>
            <w:shd w:val="clear" w:color="000000" w:fill="FFFFFF"/>
            <w:noWrap/>
            <w:vAlign w:val="center"/>
            <w:hideMark/>
          </w:tcPr>
          <w:p w14:paraId="74037E79" w14:textId="77777777" w:rsidR="00751E59" w:rsidRPr="00DC5278" w:rsidRDefault="00751E59" w:rsidP="0085547B">
            <w:pPr>
              <w:keepNext/>
              <w:suppressAutoHyphens/>
              <w:jc w:val="right"/>
              <w:rPr>
                <w:color w:val="000000"/>
              </w:rPr>
            </w:pPr>
            <w:r w:rsidRPr="00DC5278">
              <w:rPr>
                <w:color w:val="000000"/>
              </w:rPr>
              <w:t>99.9%</w:t>
            </w:r>
          </w:p>
        </w:tc>
        <w:tc>
          <w:tcPr>
            <w:tcW w:w="269" w:type="dxa"/>
            <w:tcBorders>
              <w:top w:val="nil"/>
              <w:left w:val="nil"/>
              <w:bottom w:val="nil"/>
              <w:right w:val="nil"/>
            </w:tcBorders>
            <w:shd w:val="clear" w:color="000000" w:fill="FFFFFF"/>
            <w:noWrap/>
            <w:vAlign w:val="center"/>
            <w:hideMark/>
          </w:tcPr>
          <w:p w14:paraId="74037E7A" w14:textId="77777777" w:rsidR="00751E59" w:rsidRPr="00DC5278" w:rsidRDefault="00751E59" w:rsidP="0085547B">
            <w:pPr>
              <w:keepNext/>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7B" w14:textId="77777777" w:rsidR="00751E59" w:rsidRPr="00DC5278" w:rsidRDefault="00751E59" w:rsidP="0085547B">
            <w:pPr>
              <w:keepNext/>
              <w:suppressAutoHyphens/>
              <w:jc w:val="right"/>
              <w:rPr>
                <w:color w:val="000000"/>
              </w:rPr>
            </w:pPr>
            <w:r w:rsidRPr="00DC5278">
              <w:rPr>
                <w:color w:val="000000"/>
              </w:rPr>
              <w:t>4,998.7</w:t>
            </w:r>
          </w:p>
        </w:tc>
        <w:tc>
          <w:tcPr>
            <w:tcW w:w="874" w:type="dxa"/>
            <w:tcBorders>
              <w:top w:val="nil"/>
              <w:left w:val="nil"/>
              <w:bottom w:val="nil"/>
              <w:right w:val="nil"/>
            </w:tcBorders>
            <w:shd w:val="clear" w:color="000000" w:fill="FFFFFF"/>
            <w:noWrap/>
            <w:vAlign w:val="center"/>
            <w:hideMark/>
          </w:tcPr>
          <w:p w14:paraId="74037E7C" w14:textId="77777777" w:rsidR="00751E59" w:rsidRPr="00DC5278" w:rsidRDefault="00751E59" w:rsidP="0085547B">
            <w:pPr>
              <w:keepNext/>
              <w:suppressAutoHyphens/>
              <w:jc w:val="right"/>
              <w:rPr>
                <w:color w:val="000000"/>
              </w:rPr>
            </w:pPr>
            <w:r w:rsidRPr="00DC5278">
              <w:rPr>
                <w:color w:val="000000"/>
              </w:rPr>
              <w:t>99.9%</w:t>
            </w:r>
          </w:p>
        </w:tc>
        <w:tc>
          <w:tcPr>
            <w:tcW w:w="1979" w:type="dxa"/>
            <w:tcBorders>
              <w:top w:val="nil"/>
              <w:left w:val="nil"/>
              <w:bottom w:val="nil"/>
              <w:right w:val="nil"/>
            </w:tcBorders>
            <w:shd w:val="clear" w:color="000000" w:fill="FFFFFF"/>
            <w:noWrap/>
            <w:vAlign w:val="center"/>
            <w:hideMark/>
          </w:tcPr>
          <w:p w14:paraId="74037E7D" w14:textId="77777777" w:rsidR="00751E59" w:rsidRPr="00DC5278" w:rsidRDefault="00751E59" w:rsidP="0085547B">
            <w:pPr>
              <w:keepNext/>
              <w:suppressAutoHyphens/>
              <w:jc w:val="right"/>
              <w:rPr>
                <w:color w:val="000000"/>
              </w:rPr>
            </w:pPr>
            <w:r w:rsidRPr="00DC5278">
              <w:rPr>
                <w:color w:val="000000"/>
              </w:rPr>
              <w:t>99.9%</w:t>
            </w:r>
          </w:p>
        </w:tc>
      </w:tr>
      <w:tr w:rsidR="00751E59" w:rsidRPr="00DC5278" w14:paraId="74037E87" w14:textId="77777777" w:rsidTr="00CD3ADA">
        <w:trPr>
          <w:trHeight w:val="255"/>
        </w:trPr>
        <w:tc>
          <w:tcPr>
            <w:tcW w:w="1768" w:type="dxa"/>
            <w:tcBorders>
              <w:top w:val="nil"/>
              <w:left w:val="nil"/>
              <w:bottom w:val="nil"/>
              <w:right w:val="nil"/>
            </w:tcBorders>
            <w:shd w:val="clear" w:color="000000" w:fill="FFFFFF"/>
            <w:noWrap/>
            <w:vAlign w:val="center"/>
            <w:hideMark/>
          </w:tcPr>
          <w:p w14:paraId="74037E7F" w14:textId="77777777" w:rsidR="00751E59" w:rsidRPr="00DC5278" w:rsidRDefault="00751E59" w:rsidP="0085547B">
            <w:pPr>
              <w:suppressAutoHyphens/>
              <w:rPr>
                <w:color w:val="000000"/>
              </w:rPr>
            </w:pPr>
            <w:r w:rsidRPr="00DC5278">
              <w:rPr>
                <w:color w:val="000000"/>
              </w:rPr>
              <w:t>A: 0% tariff on EIF</w:t>
            </w:r>
          </w:p>
        </w:tc>
        <w:tc>
          <w:tcPr>
            <w:tcW w:w="697" w:type="dxa"/>
            <w:tcBorders>
              <w:top w:val="nil"/>
              <w:left w:val="nil"/>
              <w:bottom w:val="nil"/>
              <w:right w:val="nil"/>
            </w:tcBorders>
            <w:shd w:val="clear" w:color="000000" w:fill="FFFFFF"/>
            <w:noWrap/>
            <w:vAlign w:val="center"/>
            <w:hideMark/>
          </w:tcPr>
          <w:p w14:paraId="74037E80" w14:textId="77777777" w:rsidR="00751E59" w:rsidRPr="00DC5278" w:rsidRDefault="00751E59" w:rsidP="0085547B">
            <w:pPr>
              <w:suppressAutoHyphens/>
              <w:jc w:val="right"/>
              <w:rPr>
                <w:color w:val="000000"/>
              </w:rPr>
            </w:pPr>
            <w:r w:rsidRPr="00DC5278">
              <w:rPr>
                <w:color w:val="000000"/>
              </w:rPr>
              <w:t>6</w:t>
            </w:r>
          </w:p>
        </w:tc>
        <w:tc>
          <w:tcPr>
            <w:tcW w:w="874" w:type="dxa"/>
            <w:tcBorders>
              <w:top w:val="nil"/>
              <w:left w:val="nil"/>
              <w:bottom w:val="nil"/>
              <w:right w:val="nil"/>
            </w:tcBorders>
            <w:shd w:val="clear" w:color="000000" w:fill="FFFFFF"/>
            <w:noWrap/>
            <w:vAlign w:val="center"/>
            <w:hideMark/>
          </w:tcPr>
          <w:p w14:paraId="74037E81" w14:textId="77777777" w:rsidR="00751E59" w:rsidRPr="00DC5278" w:rsidRDefault="00751E59" w:rsidP="0085547B">
            <w:pPr>
              <w:suppressAutoHyphens/>
              <w:jc w:val="right"/>
              <w:rPr>
                <w:color w:val="000000"/>
              </w:rPr>
            </w:pPr>
            <w:r w:rsidRPr="00DC5278">
              <w:rPr>
                <w:color w:val="000000"/>
              </w:rPr>
              <w:t>0.1%</w:t>
            </w:r>
          </w:p>
        </w:tc>
        <w:tc>
          <w:tcPr>
            <w:tcW w:w="1213" w:type="dxa"/>
            <w:tcBorders>
              <w:top w:val="nil"/>
              <w:left w:val="nil"/>
              <w:bottom w:val="nil"/>
              <w:right w:val="nil"/>
            </w:tcBorders>
            <w:shd w:val="clear" w:color="000000" w:fill="FFFFFF"/>
            <w:noWrap/>
            <w:vAlign w:val="center"/>
            <w:hideMark/>
          </w:tcPr>
          <w:p w14:paraId="74037E82"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E83"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84" w14:textId="77777777" w:rsidR="00751E59" w:rsidRPr="00DC5278" w:rsidRDefault="00751E59" w:rsidP="0085547B">
            <w:pPr>
              <w:suppressAutoHyphens/>
              <w:jc w:val="right"/>
              <w:rPr>
                <w:color w:val="000000"/>
              </w:rPr>
            </w:pPr>
            <w:r w:rsidRPr="00DC5278">
              <w:rPr>
                <w:color w:val="000000"/>
              </w:rPr>
              <w:t>3.8</w:t>
            </w:r>
          </w:p>
        </w:tc>
        <w:tc>
          <w:tcPr>
            <w:tcW w:w="874" w:type="dxa"/>
            <w:tcBorders>
              <w:top w:val="nil"/>
              <w:left w:val="nil"/>
              <w:bottom w:val="nil"/>
              <w:right w:val="nil"/>
            </w:tcBorders>
            <w:shd w:val="clear" w:color="000000" w:fill="FFFFFF"/>
            <w:noWrap/>
            <w:vAlign w:val="center"/>
            <w:hideMark/>
          </w:tcPr>
          <w:p w14:paraId="74037E85" w14:textId="77777777" w:rsidR="00751E59" w:rsidRPr="00DC5278" w:rsidRDefault="00751E59" w:rsidP="0085547B">
            <w:pPr>
              <w:suppressAutoHyphens/>
              <w:jc w:val="right"/>
              <w:rPr>
                <w:color w:val="000000"/>
              </w:rPr>
            </w:pPr>
            <w:r w:rsidRPr="00DC5278">
              <w:rPr>
                <w:color w:val="000000"/>
              </w:rPr>
              <w:t>0.1%</w:t>
            </w:r>
          </w:p>
        </w:tc>
        <w:tc>
          <w:tcPr>
            <w:tcW w:w="1979" w:type="dxa"/>
            <w:tcBorders>
              <w:top w:val="nil"/>
              <w:left w:val="nil"/>
              <w:bottom w:val="nil"/>
              <w:right w:val="nil"/>
            </w:tcBorders>
            <w:shd w:val="clear" w:color="000000" w:fill="FFFFFF"/>
            <w:noWrap/>
            <w:vAlign w:val="center"/>
            <w:hideMark/>
          </w:tcPr>
          <w:p w14:paraId="74037E86"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90" w14:textId="77777777" w:rsidTr="00CD3ADA">
        <w:trPr>
          <w:trHeight w:val="255"/>
        </w:trPr>
        <w:tc>
          <w:tcPr>
            <w:tcW w:w="1768" w:type="dxa"/>
            <w:tcBorders>
              <w:top w:val="nil"/>
              <w:left w:val="nil"/>
              <w:bottom w:val="nil"/>
              <w:right w:val="nil"/>
            </w:tcBorders>
            <w:shd w:val="clear" w:color="000000" w:fill="FFFFFF"/>
            <w:noWrap/>
            <w:vAlign w:val="center"/>
            <w:hideMark/>
          </w:tcPr>
          <w:p w14:paraId="74037E88" w14:textId="77777777" w:rsidR="00751E59" w:rsidRPr="00DC5278" w:rsidRDefault="00751E59" w:rsidP="0085547B">
            <w:pPr>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697" w:type="dxa"/>
            <w:tcBorders>
              <w:top w:val="nil"/>
              <w:left w:val="nil"/>
              <w:bottom w:val="nil"/>
              <w:right w:val="nil"/>
            </w:tcBorders>
            <w:shd w:val="clear" w:color="000000" w:fill="FFFFFF"/>
            <w:noWrap/>
            <w:vAlign w:val="center"/>
            <w:hideMark/>
          </w:tcPr>
          <w:p w14:paraId="74037E89" w14:textId="177116B4" w:rsidR="00751E59" w:rsidRPr="00DC5278" w:rsidRDefault="00751E59" w:rsidP="00E62D2A">
            <w:pPr>
              <w:suppressAutoHyphens/>
              <w:jc w:val="right"/>
              <w:rPr>
                <w:color w:val="000000"/>
              </w:rPr>
            </w:pPr>
            <w:r w:rsidRPr="00DC5278">
              <w:rPr>
                <w:color w:val="000000"/>
              </w:rPr>
              <w:t xml:space="preserve">-   </w:t>
            </w:r>
          </w:p>
        </w:tc>
        <w:tc>
          <w:tcPr>
            <w:tcW w:w="874" w:type="dxa"/>
            <w:tcBorders>
              <w:top w:val="nil"/>
              <w:left w:val="nil"/>
              <w:bottom w:val="nil"/>
              <w:right w:val="nil"/>
            </w:tcBorders>
            <w:shd w:val="clear" w:color="000000" w:fill="FFFFFF"/>
            <w:noWrap/>
            <w:vAlign w:val="center"/>
            <w:hideMark/>
          </w:tcPr>
          <w:p w14:paraId="74037E8A" w14:textId="6880AE9C" w:rsidR="00751E59" w:rsidRPr="00DC5278" w:rsidRDefault="00751E59" w:rsidP="00E62D2A">
            <w:pPr>
              <w:suppressAutoHyphens/>
              <w:jc w:val="right"/>
              <w:rPr>
                <w:color w:val="000000"/>
              </w:rPr>
            </w:pPr>
            <w:r w:rsidRPr="00DC5278">
              <w:rPr>
                <w:color w:val="000000"/>
              </w:rPr>
              <w:t xml:space="preserve">-   </w:t>
            </w:r>
          </w:p>
        </w:tc>
        <w:tc>
          <w:tcPr>
            <w:tcW w:w="1213" w:type="dxa"/>
            <w:tcBorders>
              <w:top w:val="nil"/>
              <w:left w:val="nil"/>
              <w:bottom w:val="nil"/>
              <w:right w:val="nil"/>
            </w:tcBorders>
            <w:shd w:val="clear" w:color="000000" w:fill="FFFFFF"/>
            <w:noWrap/>
            <w:vAlign w:val="center"/>
            <w:hideMark/>
          </w:tcPr>
          <w:p w14:paraId="74037E8B" w14:textId="77777777" w:rsidR="00751E59" w:rsidRPr="00DC5278" w:rsidRDefault="00751E59" w:rsidP="00E62D2A">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E8C" w14:textId="77777777" w:rsidR="00751E59" w:rsidRPr="00DC5278" w:rsidRDefault="00751E59" w:rsidP="00E62D2A">
            <w:pPr>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8D" w14:textId="77777777" w:rsidR="00751E59" w:rsidRPr="00DC5278" w:rsidRDefault="00751E59" w:rsidP="00E62D2A">
            <w:pPr>
              <w:suppressAutoHyphens/>
              <w:jc w:val="right"/>
              <w:rPr>
                <w:color w:val="000000"/>
              </w:rPr>
            </w:pPr>
            <w:r w:rsidRPr="00DC5278">
              <w:rPr>
                <w:color w:val="000000"/>
              </w:rPr>
              <w:t>0.0</w:t>
            </w:r>
          </w:p>
        </w:tc>
        <w:tc>
          <w:tcPr>
            <w:tcW w:w="874" w:type="dxa"/>
            <w:tcBorders>
              <w:top w:val="nil"/>
              <w:left w:val="nil"/>
              <w:bottom w:val="nil"/>
              <w:right w:val="nil"/>
            </w:tcBorders>
            <w:shd w:val="clear" w:color="000000" w:fill="FFFFFF"/>
            <w:noWrap/>
            <w:vAlign w:val="center"/>
            <w:hideMark/>
          </w:tcPr>
          <w:p w14:paraId="74037E8E" w14:textId="2BB791DB" w:rsidR="00751E59" w:rsidRPr="00DC5278" w:rsidRDefault="00751E59" w:rsidP="00E62D2A">
            <w:pPr>
              <w:suppressAutoHyphens/>
              <w:jc w:val="right"/>
              <w:rPr>
                <w:color w:val="000000"/>
              </w:rPr>
            </w:pPr>
            <w:r w:rsidRPr="00DC5278">
              <w:rPr>
                <w:color w:val="000000"/>
              </w:rPr>
              <w:t xml:space="preserve">-   </w:t>
            </w:r>
          </w:p>
        </w:tc>
        <w:tc>
          <w:tcPr>
            <w:tcW w:w="1979" w:type="dxa"/>
            <w:tcBorders>
              <w:top w:val="nil"/>
              <w:left w:val="nil"/>
              <w:bottom w:val="nil"/>
              <w:right w:val="nil"/>
            </w:tcBorders>
            <w:shd w:val="clear" w:color="000000" w:fill="FFFFFF"/>
            <w:noWrap/>
            <w:vAlign w:val="center"/>
            <w:hideMark/>
          </w:tcPr>
          <w:p w14:paraId="74037E8F"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99" w14:textId="77777777" w:rsidTr="00CD3ADA">
        <w:trPr>
          <w:trHeight w:val="255"/>
        </w:trPr>
        <w:tc>
          <w:tcPr>
            <w:tcW w:w="1768" w:type="dxa"/>
            <w:tcBorders>
              <w:top w:val="nil"/>
              <w:left w:val="nil"/>
              <w:bottom w:val="nil"/>
              <w:right w:val="nil"/>
            </w:tcBorders>
            <w:shd w:val="clear" w:color="000000" w:fill="FFFFFF"/>
            <w:noWrap/>
            <w:vAlign w:val="center"/>
            <w:hideMark/>
          </w:tcPr>
          <w:p w14:paraId="74037E91" w14:textId="77777777" w:rsidR="00751E59" w:rsidRPr="00DC5278" w:rsidRDefault="00751E59" w:rsidP="0085547B">
            <w:pPr>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697" w:type="dxa"/>
            <w:tcBorders>
              <w:top w:val="nil"/>
              <w:left w:val="nil"/>
              <w:bottom w:val="nil"/>
              <w:right w:val="nil"/>
            </w:tcBorders>
            <w:shd w:val="clear" w:color="000000" w:fill="FFFFFF"/>
            <w:noWrap/>
            <w:vAlign w:val="center"/>
            <w:hideMark/>
          </w:tcPr>
          <w:p w14:paraId="74037E92" w14:textId="3C6349B6" w:rsidR="00751E59" w:rsidRPr="00DC5278" w:rsidRDefault="00751E59" w:rsidP="00E62D2A">
            <w:pPr>
              <w:suppressAutoHyphens/>
              <w:jc w:val="right"/>
              <w:rPr>
                <w:color w:val="000000"/>
              </w:rPr>
            </w:pPr>
            <w:r w:rsidRPr="00DC5278">
              <w:rPr>
                <w:color w:val="000000"/>
              </w:rPr>
              <w:t xml:space="preserve">-   </w:t>
            </w:r>
          </w:p>
        </w:tc>
        <w:tc>
          <w:tcPr>
            <w:tcW w:w="874" w:type="dxa"/>
            <w:tcBorders>
              <w:top w:val="nil"/>
              <w:left w:val="nil"/>
              <w:bottom w:val="nil"/>
              <w:right w:val="nil"/>
            </w:tcBorders>
            <w:shd w:val="clear" w:color="000000" w:fill="FFFFFF"/>
            <w:noWrap/>
            <w:vAlign w:val="center"/>
            <w:hideMark/>
          </w:tcPr>
          <w:p w14:paraId="74037E93" w14:textId="480FAC13" w:rsidR="00751E59" w:rsidRPr="00DC5278" w:rsidRDefault="00751E59" w:rsidP="00E62D2A">
            <w:pPr>
              <w:suppressAutoHyphens/>
              <w:jc w:val="right"/>
              <w:rPr>
                <w:color w:val="000000"/>
              </w:rPr>
            </w:pPr>
            <w:r w:rsidRPr="00DC5278">
              <w:rPr>
                <w:color w:val="000000"/>
              </w:rPr>
              <w:t xml:space="preserve">-   </w:t>
            </w:r>
          </w:p>
        </w:tc>
        <w:tc>
          <w:tcPr>
            <w:tcW w:w="1213" w:type="dxa"/>
            <w:tcBorders>
              <w:top w:val="nil"/>
              <w:left w:val="nil"/>
              <w:bottom w:val="nil"/>
              <w:right w:val="nil"/>
            </w:tcBorders>
            <w:shd w:val="clear" w:color="000000" w:fill="FFFFFF"/>
            <w:noWrap/>
            <w:vAlign w:val="center"/>
            <w:hideMark/>
          </w:tcPr>
          <w:p w14:paraId="74037E94" w14:textId="77777777" w:rsidR="00751E59" w:rsidRPr="00DC5278" w:rsidRDefault="00751E59" w:rsidP="00E62D2A">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E95" w14:textId="77777777" w:rsidR="00751E59" w:rsidRPr="00DC5278" w:rsidRDefault="00751E59" w:rsidP="00E62D2A">
            <w:pPr>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96" w14:textId="77777777" w:rsidR="00751E59" w:rsidRPr="00DC5278" w:rsidRDefault="00751E59" w:rsidP="00E62D2A">
            <w:pPr>
              <w:suppressAutoHyphens/>
              <w:jc w:val="right"/>
              <w:rPr>
                <w:color w:val="000000"/>
              </w:rPr>
            </w:pPr>
            <w:r w:rsidRPr="00DC5278">
              <w:rPr>
                <w:color w:val="000000"/>
              </w:rPr>
              <w:t>0.0</w:t>
            </w:r>
          </w:p>
        </w:tc>
        <w:tc>
          <w:tcPr>
            <w:tcW w:w="874" w:type="dxa"/>
            <w:tcBorders>
              <w:top w:val="nil"/>
              <w:left w:val="nil"/>
              <w:bottom w:val="nil"/>
              <w:right w:val="nil"/>
            </w:tcBorders>
            <w:shd w:val="clear" w:color="000000" w:fill="FFFFFF"/>
            <w:noWrap/>
            <w:vAlign w:val="center"/>
            <w:hideMark/>
          </w:tcPr>
          <w:p w14:paraId="74037E97" w14:textId="1C493064" w:rsidR="00751E59" w:rsidRPr="00DC5278" w:rsidRDefault="00751E59" w:rsidP="00E62D2A">
            <w:pPr>
              <w:suppressAutoHyphens/>
              <w:jc w:val="right"/>
              <w:rPr>
                <w:color w:val="000000"/>
              </w:rPr>
            </w:pPr>
            <w:r w:rsidRPr="00DC5278">
              <w:rPr>
                <w:color w:val="000000"/>
              </w:rPr>
              <w:t xml:space="preserve">-   </w:t>
            </w:r>
          </w:p>
        </w:tc>
        <w:tc>
          <w:tcPr>
            <w:tcW w:w="1979" w:type="dxa"/>
            <w:tcBorders>
              <w:top w:val="nil"/>
              <w:left w:val="nil"/>
              <w:bottom w:val="nil"/>
              <w:right w:val="nil"/>
            </w:tcBorders>
            <w:shd w:val="clear" w:color="000000" w:fill="FFFFFF"/>
            <w:noWrap/>
            <w:vAlign w:val="center"/>
            <w:hideMark/>
          </w:tcPr>
          <w:p w14:paraId="74037E98"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A2" w14:textId="77777777" w:rsidTr="00CD3ADA">
        <w:trPr>
          <w:trHeight w:val="255"/>
        </w:trPr>
        <w:tc>
          <w:tcPr>
            <w:tcW w:w="1768" w:type="dxa"/>
            <w:tcBorders>
              <w:top w:val="nil"/>
              <w:left w:val="nil"/>
              <w:bottom w:val="nil"/>
              <w:right w:val="nil"/>
            </w:tcBorders>
            <w:shd w:val="clear" w:color="000000" w:fill="FFFFFF"/>
            <w:noWrap/>
            <w:vAlign w:val="center"/>
            <w:hideMark/>
          </w:tcPr>
          <w:p w14:paraId="74037E9A" w14:textId="77777777" w:rsidR="00751E59" w:rsidRPr="00DC5278" w:rsidRDefault="00751E59" w:rsidP="0085547B">
            <w:pPr>
              <w:suppressAutoHyphens/>
              <w:rPr>
                <w:color w:val="000000"/>
              </w:rPr>
            </w:pPr>
            <w:r w:rsidRPr="00DC5278">
              <w:rPr>
                <w:color w:val="000000"/>
              </w:rPr>
              <w:t>D: 11+ year phasing</w:t>
            </w:r>
          </w:p>
        </w:tc>
        <w:tc>
          <w:tcPr>
            <w:tcW w:w="697" w:type="dxa"/>
            <w:tcBorders>
              <w:top w:val="nil"/>
              <w:left w:val="nil"/>
              <w:bottom w:val="nil"/>
              <w:right w:val="nil"/>
            </w:tcBorders>
            <w:shd w:val="clear" w:color="000000" w:fill="FFFFFF"/>
            <w:noWrap/>
            <w:vAlign w:val="center"/>
            <w:hideMark/>
          </w:tcPr>
          <w:p w14:paraId="74037E9B" w14:textId="0A4FEA2E" w:rsidR="00751E59" w:rsidRPr="00DC5278" w:rsidRDefault="00751E59" w:rsidP="008B4F98">
            <w:pPr>
              <w:suppressAutoHyphens/>
              <w:jc w:val="right"/>
              <w:rPr>
                <w:color w:val="000000"/>
              </w:rPr>
            </w:pPr>
            <w:r w:rsidRPr="00DC5278">
              <w:rPr>
                <w:color w:val="000000"/>
              </w:rPr>
              <w:t xml:space="preserve">-   </w:t>
            </w:r>
          </w:p>
        </w:tc>
        <w:tc>
          <w:tcPr>
            <w:tcW w:w="874" w:type="dxa"/>
            <w:tcBorders>
              <w:top w:val="nil"/>
              <w:left w:val="nil"/>
              <w:bottom w:val="nil"/>
              <w:right w:val="nil"/>
            </w:tcBorders>
            <w:shd w:val="clear" w:color="000000" w:fill="FFFFFF"/>
            <w:noWrap/>
            <w:vAlign w:val="center"/>
            <w:hideMark/>
          </w:tcPr>
          <w:p w14:paraId="74037E9C" w14:textId="36D7A940" w:rsidR="00751E59" w:rsidRPr="00DC5278" w:rsidRDefault="00751E59" w:rsidP="008B4F98">
            <w:pPr>
              <w:suppressAutoHyphens/>
              <w:jc w:val="right"/>
              <w:rPr>
                <w:color w:val="000000"/>
              </w:rPr>
            </w:pPr>
            <w:r w:rsidRPr="00DC5278">
              <w:rPr>
                <w:color w:val="000000"/>
              </w:rPr>
              <w:t xml:space="preserve">-   </w:t>
            </w:r>
          </w:p>
        </w:tc>
        <w:tc>
          <w:tcPr>
            <w:tcW w:w="1213" w:type="dxa"/>
            <w:tcBorders>
              <w:top w:val="nil"/>
              <w:left w:val="nil"/>
              <w:bottom w:val="nil"/>
              <w:right w:val="nil"/>
            </w:tcBorders>
            <w:shd w:val="clear" w:color="000000" w:fill="FFFFFF"/>
            <w:noWrap/>
            <w:vAlign w:val="center"/>
            <w:hideMark/>
          </w:tcPr>
          <w:p w14:paraId="74037E9D" w14:textId="77777777" w:rsidR="00751E59" w:rsidRPr="00DC5278" w:rsidRDefault="00751E59" w:rsidP="008B4F98">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E9E" w14:textId="77777777" w:rsidR="00751E59" w:rsidRPr="00DC5278" w:rsidRDefault="00751E59" w:rsidP="008B4F98">
            <w:pPr>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9F" w14:textId="77777777" w:rsidR="00751E59" w:rsidRPr="00DC5278" w:rsidRDefault="00751E59" w:rsidP="008B4F98">
            <w:pPr>
              <w:suppressAutoHyphens/>
              <w:jc w:val="right"/>
              <w:rPr>
                <w:color w:val="000000"/>
              </w:rPr>
            </w:pPr>
            <w:r w:rsidRPr="00DC5278">
              <w:rPr>
                <w:color w:val="000000"/>
              </w:rPr>
              <w:t>0.0</w:t>
            </w:r>
          </w:p>
        </w:tc>
        <w:tc>
          <w:tcPr>
            <w:tcW w:w="874" w:type="dxa"/>
            <w:tcBorders>
              <w:top w:val="nil"/>
              <w:left w:val="nil"/>
              <w:bottom w:val="nil"/>
              <w:right w:val="nil"/>
            </w:tcBorders>
            <w:shd w:val="clear" w:color="000000" w:fill="FFFFFF"/>
            <w:noWrap/>
            <w:vAlign w:val="center"/>
            <w:hideMark/>
          </w:tcPr>
          <w:p w14:paraId="74037EA0" w14:textId="0A84BB1E" w:rsidR="00751E59" w:rsidRPr="00DC5278" w:rsidRDefault="00751E59" w:rsidP="008B4F98">
            <w:pPr>
              <w:suppressAutoHyphens/>
              <w:jc w:val="right"/>
              <w:rPr>
                <w:color w:val="000000"/>
              </w:rPr>
            </w:pPr>
            <w:r w:rsidRPr="00DC5278">
              <w:rPr>
                <w:color w:val="000000"/>
              </w:rPr>
              <w:t xml:space="preserve">-   </w:t>
            </w:r>
          </w:p>
        </w:tc>
        <w:tc>
          <w:tcPr>
            <w:tcW w:w="1979" w:type="dxa"/>
            <w:tcBorders>
              <w:top w:val="nil"/>
              <w:left w:val="nil"/>
              <w:bottom w:val="nil"/>
              <w:right w:val="nil"/>
            </w:tcBorders>
            <w:shd w:val="clear" w:color="000000" w:fill="FFFFFF"/>
            <w:noWrap/>
            <w:vAlign w:val="center"/>
            <w:hideMark/>
          </w:tcPr>
          <w:p w14:paraId="74037EA1"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AB" w14:textId="77777777" w:rsidTr="00CD3ADA">
        <w:trPr>
          <w:trHeight w:val="255"/>
        </w:trPr>
        <w:tc>
          <w:tcPr>
            <w:tcW w:w="1768" w:type="dxa"/>
            <w:tcBorders>
              <w:top w:val="nil"/>
              <w:left w:val="nil"/>
              <w:bottom w:val="nil"/>
              <w:right w:val="nil"/>
            </w:tcBorders>
            <w:shd w:val="clear" w:color="000000" w:fill="FFFFFF"/>
            <w:noWrap/>
            <w:vAlign w:val="center"/>
            <w:hideMark/>
          </w:tcPr>
          <w:p w14:paraId="74037EA3" w14:textId="77777777" w:rsidR="00751E59" w:rsidRPr="00DC5278" w:rsidRDefault="00751E59" w:rsidP="0085547B">
            <w:pPr>
              <w:suppressAutoHyphens/>
              <w:rPr>
                <w:color w:val="000000"/>
              </w:rPr>
            </w:pPr>
            <w:r w:rsidRPr="00DC5278">
              <w:rPr>
                <w:color w:val="000000"/>
              </w:rPr>
              <w:t>Tariff reduction</w:t>
            </w:r>
          </w:p>
        </w:tc>
        <w:tc>
          <w:tcPr>
            <w:tcW w:w="697" w:type="dxa"/>
            <w:tcBorders>
              <w:top w:val="nil"/>
              <w:left w:val="nil"/>
              <w:bottom w:val="nil"/>
              <w:right w:val="nil"/>
            </w:tcBorders>
            <w:shd w:val="clear" w:color="000000" w:fill="FFFFFF"/>
            <w:noWrap/>
            <w:vAlign w:val="center"/>
            <w:hideMark/>
          </w:tcPr>
          <w:p w14:paraId="74037EA4" w14:textId="210B3096" w:rsidR="00751E59" w:rsidRPr="00DC5278" w:rsidRDefault="00751E59" w:rsidP="008B4F98">
            <w:pPr>
              <w:suppressAutoHyphens/>
              <w:jc w:val="right"/>
              <w:rPr>
                <w:color w:val="000000"/>
              </w:rPr>
            </w:pPr>
            <w:r w:rsidRPr="00DC5278">
              <w:rPr>
                <w:color w:val="000000"/>
              </w:rPr>
              <w:t xml:space="preserve">-   </w:t>
            </w:r>
          </w:p>
        </w:tc>
        <w:tc>
          <w:tcPr>
            <w:tcW w:w="874" w:type="dxa"/>
            <w:tcBorders>
              <w:top w:val="nil"/>
              <w:left w:val="nil"/>
              <w:bottom w:val="nil"/>
              <w:right w:val="nil"/>
            </w:tcBorders>
            <w:shd w:val="clear" w:color="000000" w:fill="FFFFFF"/>
            <w:noWrap/>
            <w:vAlign w:val="center"/>
            <w:hideMark/>
          </w:tcPr>
          <w:p w14:paraId="74037EA5" w14:textId="4553B74B" w:rsidR="00751E59" w:rsidRPr="00DC5278" w:rsidRDefault="00751E59" w:rsidP="008B4F98">
            <w:pPr>
              <w:suppressAutoHyphens/>
              <w:jc w:val="right"/>
              <w:rPr>
                <w:color w:val="000000"/>
              </w:rPr>
            </w:pPr>
            <w:r w:rsidRPr="00DC5278">
              <w:rPr>
                <w:color w:val="000000"/>
              </w:rPr>
              <w:t xml:space="preserve">-   </w:t>
            </w:r>
          </w:p>
        </w:tc>
        <w:tc>
          <w:tcPr>
            <w:tcW w:w="1213" w:type="dxa"/>
            <w:tcBorders>
              <w:top w:val="nil"/>
              <w:left w:val="nil"/>
              <w:bottom w:val="nil"/>
              <w:right w:val="nil"/>
            </w:tcBorders>
            <w:shd w:val="clear" w:color="000000" w:fill="FFFFFF"/>
            <w:noWrap/>
            <w:vAlign w:val="center"/>
            <w:hideMark/>
          </w:tcPr>
          <w:p w14:paraId="74037EA6" w14:textId="77777777" w:rsidR="00751E59" w:rsidRPr="00DC5278" w:rsidRDefault="00751E59" w:rsidP="008B4F98">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EA7" w14:textId="77777777" w:rsidR="00751E59" w:rsidRPr="00DC5278" w:rsidRDefault="00751E59" w:rsidP="008B4F98">
            <w:pPr>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A8" w14:textId="77777777" w:rsidR="00751E59" w:rsidRPr="00DC5278" w:rsidRDefault="00751E59" w:rsidP="008B4F98">
            <w:pPr>
              <w:suppressAutoHyphens/>
              <w:jc w:val="right"/>
              <w:rPr>
                <w:color w:val="000000"/>
              </w:rPr>
            </w:pPr>
            <w:r w:rsidRPr="00DC5278">
              <w:rPr>
                <w:color w:val="000000"/>
              </w:rPr>
              <w:t>0.0</w:t>
            </w:r>
          </w:p>
        </w:tc>
        <w:tc>
          <w:tcPr>
            <w:tcW w:w="874" w:type="dxa"/>
            <w:tcBorders>
              <w:top w:val="nil"/>
              <w:left w:val="nil"/>
              <w:bottom w:val="nil"/>
              <w:right w:val="nil"/>
            </w:tcBorders>
            <w:shd w:val="clear" w:color="000000" w:fill="FFFFFF"/>
            <w:noWrap/>
            <w:vAlign w:val="center"/>
            <w:hideMark/>
          </w:tcPr>
          <w:p w14:paraId="74037EA9" w14:textId="37AB990E" w:rsidR="00751E59" w:rsidRPr="00DC5278" w:rsidRDefault="00751E59" w:rsidP="008B4F98">
            <w:pPr>
              <w:suppressAutoHyphens/>
              <w:jc w:val="right"/>
              <w:rPr>
                <w:color w:val="000000"/>
              </w:rPr>
            </w:pPr>
            <w:r w:rsidRPr="00DC5278">
              <w:rPr>
                <w:color w:val="000000"/>
              </w:rPr>
              <w:t xml:space="preserve">-   </w:t>
            </w:r>
          </w:p>
        </w:tc>
        <w:tc>
          <w:tcPr>
            <w:tcW w:w="1979" w:type="dxa"/>
            <w:tcBorders>
              <w:top w:val="nil"/>
              <w:left w:val="nil"/>
              <w:bottom w:val="nil"/>
              <w:right w:val="nil"/>
            </w:tcBorders>
            <w:shd w:val="clear" w:color="000000" w:fill="FFFFFF"/>
            <w:noWrap/>
            <w:vAlign w:val="center"/>
            <w:hideMark/>
          </w:tcPr>
          <w:p w14:paraId="74037EAA"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B4" w14:textId="77777777" w:rsidTr="00CD3ADA">
        <w:trPr>
          <w:trHeight w:val="255"/>
        </w:trPr>
        <w:tc>
          <w:tcPr>
            <w:tcW w:w="1768" w:type="dxa"/>
            <w:tcBorders>
              <w:top w:val="nil"/>
              <w:left w:val="nil"/>
              <w:bottom w:val="nil"/>
              <w:right w:val="nil"/>
            </w:tcBorders>
            <w:shd w:val="clear" w:color="000000" w:fill="FFFFFF"/>
            <w:noWrap/>
            <w:vAlign w:val="center"/>
            <w:hideMark/>
          </w:tcPr>
          <w:p w14:paraId="74037EAC" w14:textId="77777777" w:rsidR="00751E59" w:rsidRPr="00DC5278" w:rsidRDefault="00751E59" w:rsidP="0085547B">
            <w:pPr>
              <w:suppressAutoHyphens/>
              <w:rPr>
                <w:color w:val="000000"/>
              </w:rPr>
            </w:pPr>
            <w:r w:rsidRPr="00DC5278">
              <w:rPr>
                <w:color w:val="000000"/>
              </w:rPr>
              <w:t>Quota</w:t>
            </w:r>
          </w:p>
        </w:tc>
        <w:tc>
          <w:tcPr>
            <w:tcW w:w="697" w:type="dxa"/>
            <w:tcBorders>
              <w:top w:val="nil"/>
              <w:left w:val="nil"/>
              <w:bottom w:val="nil"/>
              <w:right w:val="nil"/>
            </w:tcBorders>
            <w:shd w:val="clear" w:color="000000" w:fill="FFFFFF"/>
            <w:noWrap/>
            <w:vAlign w:val="center"/>
            <w:hideMark/>
          </w:tcPr>
          <w:p w14:paraId="74037EAD" w14:textId="4D1B7BA3" w:rsidR="00751E59" w:rsidRPr="00DC5278" w:rsidRDefault="00751E59" w:rsidP="008B4F98">
            <w:pPr>
              <w:suppressAutoHyphens/>
              <w:jc w:val="right"/>
              <w:rPr>
                <w:color w:val="000000"/>
              </w:rPr>
            </w:pPr>
            <w:r w:rsidRPr="00DC5278">
              <w:rPr>
                <w:color w:val="000000"/>
              </w:rPr>
              <w:t xml:space="preserve">-   </w:t>
            </w:r>
          </w:p>
        </w:tc>
        <w:tc>
          <w:tcPr>
            <w:tcW w:w="874" w:type="dxa"/>
            <w:tcBorders>
              <w:top w:val="nil"/>
              <w:left w:val="nil"/>
              <w:bottom w:val="nil"/>
              <w:right w:val="nil"/>
            </w:tcBorders>
            <w:shd w:val="clear" w:color="000000" w:fill="FFFFFF"/>
            <w:noWrap/>
            <w:vAlign w:val="center"/>
            <w:hideMark/>
          </w:tcPr>
          <w:p w14:paraId="74037EAE" w14:textId="3262F5FB" w:rsidR="00751E59" w:rsidRPr="00DC5278" w:rsidRDefault="00751E59" w:rsidP="008B4F98">
            <w:pPr>
              <w:suppressAutoHyphens/>
              <w:jc w:val="right"/>
              <w:rPr>
                <w:color w:val="000000"/>
              </w:rPr>
            </w:pPr>
            <w:r w:rsidRPr="00DC5278">
              <w:rPr>
                <w:color w:val="000000"/>
              </w:rPr>
              <w:t xml:space="preserve">-   </w:t>
            </w:r>
          </w:p>
        </w:tc>
        <w:tc>
          <w:tcPr>
            <w:tcW w:w="1213" w:type="dxa"/>
            <w:tcBorders>
              <w:top w:val="nil"/>
              <w:left w:val="nil"/>
              <w:bottom w:val="nil"/>
              <w:right w:val="nil"/>
            </w:tcBorders>
            <w:shd w:val="clear" w:color="000000" w:fill="FFFFFF"/>
            <w:noWrap/>
            <w:vAlign w:val="center"/>
            <w:hideMark/>
          </w:tcPr>
          <w:p w14:paraId="74037EAF" w14:textId="77777777" w:rsidR="00751E59" w:rsidRPr="00DC5278" w:rsidRDefault="00751E59" w:rsidP="008B4F98">
            <w:pPr>
              <w:suppressAutoHyphens/>
              <w:jc w:val="right"/>
              <w:rPr>
                <w:color w:val="000000"/>
              </w:rPr>
            </w:pPr>
            <w:r w:rsidRPr="00DC5278">
              <w:rPr>
                <w:color w:val="000000"/>
              </w:rPr>
              <w:t>100.0%</w:t>
            </w:r>
          </w:p>
        </w:tc>
        <w:tc>
          <w:tcPr>
            <w:tcW w:w="269" w:type="dxa"/>
            <w:tcBorders>
              <w:top w:val="nil"/>
              <w:left w:val="nil"/>
              <w:bottom w:val="nil"/>
              <w:right w:val="nil"/>
            </w:tcBorders>
            <w:shd w:val="clear" w:color="000000" w:fill="FFFFFF"/>
            <w:noWrap/>
            <w:vAlign w:val="center"/>
            <w:hideMark/>
          </w:tcPr>
          <w:p w14:paraId="74037EB0" w14:textId="77777777" w:rsidR="00751E59" w:rsidRPr="00DC5278" w:rsidRDefault="00751E59" w:rsidP="008B4F98">
            <w:pPr>
              <w:suppressAutoHyphens/>
              <w:jc w:val="right"/>
              <w:rPr>
                <w:color w:val="000000"/>
              </w:rPr>
            </w:pPr>
            <w:r w:rsidRPr="00DC5278">
              <w:rPr>
                <w:color w:val="000000"/>
              </w:rPr>
              <w:t> </w:t>
            </w:r>
          </w:p>
        </w:tc>
        <w:tc>
          <w:tcPr>
            <w:tcW w:w="1305" w:type="dxa"/>
            <w:tcBorders>
              <w:top w:val="nil"/>
              <w:left w:val="nil"/>
              <w:bottom w:val="nil"/>
              <w:right w:val="nil"/>
            </w:tcBorders>
            <w:shd w:val="clear" w:color="000000" w:fill="FFFFFF"/>
            <w:noWrap/>
            <w:vAlign w:val="center"/>
            <w:hideMark/>
          </w:tcPr>
          <w:p w14:paraId="74037EB1" w14:textId="77777777" w:rsidR="00751E59" w:rsidRPr="00DC5278" w:rsidRDefault="00751E59" w:rsidP="008B4F98">
            <w:pPr>
              <w:suppressAutoHyphens/>
              <w:jc w:val="right"/>
              <w:rPr>
                <w:color w:val="000000"/>
              </w:rPr>
            </w:pPr>
            <w:r w:rsidRPr="00DC5278">
              <w:rPr>
                <w:color w:val="000000"/>
              </w:rPr>
              <w:t>0.0</w:t>
            </w:r>
          </w:p>
        </w:tc>
        <w:tc>
          <w:tcPr>
            <w:tcW w:w="874" w:type="dxa"/>
            <w:tcBorders>
              <w:top w:val="nil"/>
              <w:left w:val="nil"/>
              <w:bottom w:val="nil"/>
              <w:right w:val="nil"/>
            </w:tcBorders>
            <w:shd w:val="clear" w:color="000000" w:fill="FFFFFF"/>
            <w:noWrap/>
            <w:vAlign w:val="center"/>
            <w:hideMark/>
          </w:tcPr>
          <w:p w14:paraId="74037EB2" w14:textId="198368E4" w:rsidR="00751E59" w:rsidRPr="00DC5278" w:rsidRDefault="00751E59" w:rsidP="008B4F98">
            <w:pPr>
              <w:suppressAutoHyphens/>
              <w:jc w:val="right"/>
              <w:rPr>
                <w:color w:val="000000"/>
              </w:rPr>
            </w:pPr>
            <w:r w:rsidRPr="00DC5278">
              <w:rPr>
                <w:color w:val="000000"/>
              </w:rPr>
              <w:t xml:space="preserve">-   </w:t>
            </w:r>
          </w:p>
        </w:tc>
        <w:tc>
          <w:tcPr>
            <w:tcW w:w="1979" w:type="dxa"/>
            <w:tcBorders>
              <w:top w:val="nil"/>
              <w:left w:val="nil"/>
              <w:bottom w:val="nil"/>
              <w:right w:val="nil"/>
            </w:tcBorders>
            <w:shd w:val="clear" w:color="000000" w:fill="FFFFFF"/>
            <w:noWrap/>
            <w:vAlign w:val="center"/>
            <w:hideMark/>
          </w:tcPr>
          <w:p w14:paraId="74037EB3" w14:textId="77777777" w:rsidR="00751E59" w:rsidRPr="00DC5278" w:rsidRDefault="00751E59" w:rsidP="0085547B">
            <w:pPr>
              <w:suppressAutoHyphens/>
              <w:jc w:val="right"/>
              <w:rPr>
                <w:color w:val="000000"/>
              </w:rPr>
            </w:pPr>
            <w:r w:rsidRPr="00DC5278">
              <w:rPr>
                <w:color w:val="000000"/>
              </w:rPr>
              <w:t>100.0%</w:t>
            </w:r>
          </w:p>
        </w:tc>
      </w:tr>
      <w:tr w:rsidR="00751E59" w:rsidRPr="00DC5278" w14:paraId="74037EBD" w14:textId="77777777" w:rsidTr="00CD3ADA">
        <w:trPr>
          <w:trHeight w:val="270"/>
        </w:trPr>
        <w:tc>
          <w:tcPr>
            <w:tcW w:w="1768" w:type="dxa"/>
            <w:tcBorders>
              <w:top w:val="nil"/>
              <w:left w:val="nil"/>
              <w:bottom w:val="single" w:sz="8" w:space="0" w:color="auto"/>
              <w:right w:val="nil"/>
            </w:tcBorders>
            <w:noWrap/>
            <w:vAlign w:val="bottom"/>
            <w:hideMark/>
          </w:tcPr>
          <w:p w14:paraId="74037EB5" w14:textId="77777777" w:rsidR="00751E59" w:rsidRPr="00DC5278" w:rsidRDefault="00751E59" w:rsidP="0085547B">
            <w:pPr>
              <w:suppressAutoHyphens/>
              <w:rPr>
                <w:color w:val="000000"/>
              </w:rPr>
            </w:pPr>
            <w:r w:rsidRPr="00DC5278">
              <w:rPr>
                <w:color w:val="000000"/>
              </w:rPr>
              <w:t>Total</w:t>
            </w:r>
          </w:p>
        </w:tc>
        <w:tc>
          <w:tcPr>
            <w:tcW w:w="697" w:type="dxa"/>
            <w:tcBorders>
              <w:top w:val="nil"/>
              <w:left w:val="nil"/>
              <w:bottom w:val="single" w:sz="8" w:space="0" w:color="auto"/>
              <w:right w:val="nil"/>
            </w:tcBorders>
            <w:shd w:val="clear" w:color="000000" w:fill="FFFFFF"/>
            <w:noWrap/>
            <w:vAlign w:val="center"/>
            <w:hideMark/>
          </w:tcPr>
          <w:p w14:paraId="74037EB6" w14:textId="77777777" w:rsidR="00751E59" w:rsidRPr="00DC5278" w:rsidRDefault="00751E59" w:rsidP="0085547B">
            <w:pPr>
              <w:suppressAutoHyphens/>
              <w:jc w:val="right"/>
              <w:rPr>
                <w:color w:val="000000"/>
              </w:rPr>
            </w:pPr>
            <w:r w:rsidRPr="00DC5278">
              <w:rPr>
                <w:color w:val="000000"/>
              </w:rPr>
              <w:t>7,643</w:t>
            </w:r>
          </w:p>
        </w:tc>
        <w:tc>
          <w:tcPr>
            <w:tcW w:w="874" w:type="dxa"/>
            <w:tcBorders>
              <w:top w:val="nil"/>
              <w:left w:val="nil"/>
              <w:bottom w:val="single" w:sz="8" w:space="0" w:color="auto"/>
              <w:right w:val="nil"/>
            </w:tcBorders>
            <w:shd w:val="clear" w:color="000000" w:fill="FFFFFF"/>
            <w:noWrap/>
            <w:vAlign w:val="center"/>
            <w:hideMark/>
          </w:tcPr>
          <w:p w14:paraId="74037EB7" w14:textId="77777777" w:rsidR="00751E59" w:rsidRPr="00DC5278" w:rsidRDefault="00751E59" w:rsidP="0085547B">
            <w:pPr>
              <w:suppressAutoHyphens/>
              <w:jc w:val="right"/>
              <w:rPr>
                <w:color w:val="000000"/>
              </w:rPr>
            </w:pPr>
            <w:r w:rsidRPr="00DC5278">
              <w:rPr>
                <w:color w:val="000000"/>
              </w:rPr>
              <w:t>100.0%</w:t>
            </w:r>
          </w:p>
        </w:tc>
        <w:tc>
          <w:tcPr>
            <w:tcW w:w="1213" w:type="dxa"/>
            <w:tcBorders>
              <w:top w:val="nil"/>
              <w:left w:val="nil"/>
              <w:bottom w:val="single" w:sz="8" w:space="0" w:color="auto"/>
              <w:right w:val="nil"/>
            </w:tcBorders>
            <w:shd w:val="clear" w:color="000000" w:fill="FFFFFF"/>
            <w:noWrap/>
            <w:vAlign w:val="center"/>
            <w:hideMark/>
          </w:tcPr>
          <w:p w14:paraId="74037EB8" w14:textId="77777777" w:rsidR="00751E59" w:rsidRPr="00DC5278" w:rsidRDefault="00751E59" w:rsidP="0085547B">
            <w:pPr>
              <w:suppressAutoHyphens/>
              <w:jc w:val="right"/>
              <w:rPr>
                <w:color w:val="000000"/>
              </w:rPr>
            </w:pPr>
            <w:r w:rsidRPr="00DC5278">
              <w:rPr>
                <w:color w:val="000000"/>
              </w:rPr>
              <w:t>100.0%</w:t>
            </w:r>
          </w:p>
        </w:tc>
        <w:tc>
          <w:tcPr>
            <w:tcW w:w="269" w:type="dxa"/>
            <w:tcBorders>
              <w:top w:val="nil"/>
              <w:left w:val="nil"/>
              <w:bottom w:val="single" w:sz="8" w:space="0" w:color="auto"/>
              <w:right w:val="nil"/>
            </w:tcBorders>
            <w:shd w:val="clear" w:color="000000" w:fill="FFFFFF"/>
            <w:noWrap/>
            <w:vAlign w:val="center"/>
            <w:hideMark/>
          </w:tcPr>
          <w:p w14:paraId="74037EB9" w14:textId="77777777" w:rsidR="00751E59" w:rsidRPr="00DC5278" w:rsidRDefault="00751E59" w:rsidP="0085547B">
            <w:pPr>
              <w:suppressAutoHyphens/>
              <w:rPr>
                <w:color w:val="000000"/>
              </w:rPr>
            </w:pPr>
            <w:r w:rsidRPr="00DC5278">
              <w:rPr>
                <w:color w:val="000000"/>
              </w:rPr>
              <w:t> </w:t>
            </w:r>
          </w:p>
        </w:tc>
        <w:tc>
          <w:tcPr>
            <w:tcW w:w="1305" w:type="dxa"/>
            <w:tcBorders>
              <w:top w:val="nil"/>
              <w:left w:val="nil"/>
              <w:bottom w:val="single" w:sz="8" w:space="0" w:color="auto"/>
              <w:right w:val="nil"/>
            </w:tcBorders>
            <w:shd w:val="clear" w:color="000000" w:fill="FFFFFF"/>
            <w:noWrap/>
            <w:vAlign w:val="center"/>
            <w:hideMark/>
          </w:tcPr>
          <w:p w14:paraId="74037EBA" w14:textId="77777777" w:rsidR="00751E59" w:rsidRPr="00DC5278" w:rsidRDefault="00751E59" w:rsidP="0085547B">
            <w:pPr>
              <w:suppressAutoHyphens/>
              <w:jc w:val="right"/>
              <w:rPr>
                <w:color w:val="000000"/>
              </w:rPr>
            </w:pPr>
            <w:r w:rsidRPr="00DC5278">
              <w:rPr>
                <w:color w:val="000000"/>
              </w:rPr>
              <w:t>5,002.5</w:t>
            </w:r>
          </w:p>
        </w:tc>
        <w:tc>
          <w:tcPr>
            <w:tcW w:w="874" w:type="dxa"/>
            <w:tcBorders>
              <w:top w:val="nil"/>
              <w:left w:val="nil"/>
              <w:bottom w:val="single" w:sz="8" w:space="0" w:color="auto"/>
              <w:right w:val="nil"/>
            </w:tcBorders>
            <w:shd w:val="clear" w:color="000000" w:fill="FFFFFF"/>
            <w:noWrap/>
            <w:vAlign w:val="center"/>
            <w:hideMark/>
          </w:tcPr>
          <w:p w14:paraId="74037EBB" w14:textId="77777777" w:rsidR="00751E59" w:rsidRPr="00DC5278" w:rsidRDefault="00751E59" w:rsidP="0085547B">
            <w:pPr>
              <w:suppressAutoHyphens/>
              <w:jc w:val="right"/>
              <w:rPr>
                <w:color w:val="000000"/>
              </w:rPr>
            </w:pPr>
            <w:r w:rsidRPr="00DC5278">
              <w:rPr>
                <w:color w:val="000000"/>
              </w:rPr>
              <w:t>100.0%</w:t>
            </w:r>
          </w:p>
        </w:tc>
        <w:tc>
          <w:tcPr>
            <w:tcW w:w="1979" w:type="dxa"/>
            <w:tcBorders>
              <w:top w:val="nil"/>
              <w:left w:val="nil"/>
              <w:bottom w:val="single" w:sz="8" w:space="0" w:color="auto"/>
              <w:right w:val="nil"/>
            </w:tcBorders>
            <w:shd w:val="clear" w:color="000000" w:fill="FFFFFF"/>
            <w:noWrap/>
            <w:vAlign w:val="center"/>
            <w:hideMark/>
          </w:tcPr>
          <w:p w14:paraId="74037EBC" w14:textId="77777777" w:rsidR="00751E59" w:rsidRPr="00DC5278" w:rsidRDefault="00751E59" w:rsidP="0085547B">
            <w:pPr>
              <w:suppressAutoHyphens/>
              <w:jc w:val="right"/>
              <w:rPr>
                <w:color w:val="000000"/>
              </w:rPr>
            </w:pPr>
            <w:r w:rsidRPr="00DC5278">
              <w:rPr>
                <w:color w:val="000000"/>
              </w:rPr>
              <w:t>100.0%</w:t>
            </w:r>
          </w:p>
        </w:tc>
      </w:tr>
    </w:tbl>
    <w:p w14:paraId="74037EBE" w14:textId="77777777" w:rsidR="00751E59" w:rsidRPr="00DC5278" w:rsidRDefault="00751E59" w:rsidP="0085547B">
      <w:pPr>
        <w:suppressAutoHyphens/>
      </w:pPr>
    </w:p>
    <w:p w14:paraId="74037F18" w14:textId="77777777" w:rsidR="00751E59" w:rsidRPr="00DC5278" w:rsidRDefault="00751E59" w:rsidP="0085547B">
      <w:pPr>
        <w:keepNext/>
        <w:suppressAutoHyphens/>
      </w:pPr>
      <w:r w:rsidRPr="00DC5278">
        <w:rPr>
          <w:b/>
          <w:u w:val="single"/>
        </w:rPr>
        <w:t>Elimination schedule for Vietnam’s tariffs on imports of Australian goods</w:t>
      </w:r>
    </w:p>
    <w:p w14:paraId="74037F19" w14:textId="77777777" w:rsidR="00751E59" w:rsidRPr="00DC5278" w:rsidRDefault="00751E59" w:rsidP="0085547B">
      <w:pPr>
        <w:keepNext/>
        <w:suppressAutoHyphens/>
      </w:pPr>
    </w:p>
    <w:tbl>
      <w:tblPr>
        <w:tblW w:w="9121" w:type="dxa"/>
        <w:tblInd w:w="93" w:type="dxa"/>
        <w:tblLook w:val="04A0" w:firstRow="1" w:lastRow="0" w:firstColumn="1" w:lastColumn="0" w:noHBand="0" w:noVBand="1"/>
      </w:tblPr>
      <w:tblGrid>
        <w:gridCol w:w="1795"/>
        <w:gridCol w:w="756"/>
        <w:gridCol w:w="836"/>
        <w:gridCol w:w="1336"/>
        <w:gridCol w:w="276"/>
        <w:gridCol w:w="1323"/>
        <w:gridCol w:w="956"/>
        <w:gridCol w:w="2137"/>
      </w:tblGrid>
      <w:tr w:rsidR="00751E59" w:rsidRPr="00DC5278" w14:paraId="74037F1E" w14:textId="77777777" w:rsidTr="00CD3ADA">
        <w:trPr>
          <w:trHeight w:val="285"/>
        </w:trPr>
        <w:tc>
          <w:tcPr>
            <w:tcW w:w="1795" w:type="dxa"/>
            <w:vMerge w:val="restart"/>
            <w:tcBorders>
              <w:top w:val="single" w:sz="12" w:space="0" w:color="auto"/>
              <w:left w:val="nil"/>
              <w:bottom w:val="single" w:sz="8" w:space="0" w:color="000000"/>
              <w:right w:val="nil"/>
            </w:tcBorders>
            <w:shd w:val="clear" w:color="000000" w:fill="D8D8D8"/>
            <w:vAlign w:val="center"/>
            <w:hideMark/>
          </w:tcPr>
          <w:p w14:paraId="74037F1A" w14:textId="77777777" w:rsidR="00751E59" w:rsidRPr="00DC5278" w:rsidRDefault="00751E59" w:rsidP="0085547B">
            <w:pPr>
              <w:keepNext/>
              <w:suppressAutoHyphens/>
              <w:jc w:val="center"/>
              <w:rPr>
                <w:b/>
                <w:bCs/>
                <w:color w:val="000000"/>
              </w:rPr>
            </w:pPr>
            <w:r w:rsidRPr="00DC5278">
              <w:rPr>
                <w:b/>
                <w:bCs/>
                <w:color w:val="000000"/>
              </w:rPr>
              <w:t>Staging category</w:t>
            </w:r>
          </w:p>
        </w:tc>
        <w:tc>
          <w:tcPr>
            <w:tcW w:w="2711" w:type="dxa"/>
            <w:gridSpan w:val="3"/>
            <w:tcBorders>
              <w:top w:val="single" w:sz="12" w:space="0" w:color="auto"/>
              <w:left w:val="nil"/>
              <w:bottom w:val="single" w:sz="8" w:space="0" w:color="auto"/>
              <w:right w:val="nil"/>
            </w:tcBorders>
            <w:shd w:val="clear" w:color="000000" w:fill="D8D8D8"/>
            <w:vAlign w:val="center"/>
            <w:hideMark/>
          </w:tcPr>
          <w:p w14:paraId="74037F1B" w14:textId="77777777" w:rsidR="00751E59" w:rsidRPr="00DC5278" w:rsidRDefault="00751E59" w:rsidP="0085547B">
            <w:pPr>
              <w:keepNext/>
              <w:suppressAutoHyphens/>
              <w:jc w:val="center"/>
              <w:rPr>
                <w:b/>
                <w:bCs/>
                <w:color w:val="000000"/>
              </w:rPr>
            </w:pPr>
            <w:r w:rsidRPr="00DC5278">
              <w:rPr>
                <w:b/>
                <w:bCs/>
                <w:color w:val="000000"/>
              </w:rPr>
              <w:t xml:space="preserve"> Tariff lines </w:t>
            </w:r>
          </w:p>
        </w:tc>
        <w:tc>
          <w:tcPr>
            <w:tcW w:w="270" w:type="dxa"/>
            <w:tcBorders>
              <w:top w:val="single" w:sz="12" w:space="0" w:color="auto"/>
              <w:left w:val="nil"/>
              <w:bottom w:val="nil"/>
              <w:right w:val="nil"/>
            </w:tcBorders>
            <w:shd w:val="clear" w:color="000000" w:fill="D8D8D8"/>
            <w:vAlign w:val="center"/>
            <w:hideMark/>
          </w:tcPr>
          <w:p w14:paraId="74037F1C" w14:textId="77777777" w:rsidR="00751E59" w:rsidRPr="00DC5278" w:rsidRDefault="00751E59" w:rsidP="0085547B">
            <w:pPr>
              <w:keepNext/>
              <w:suppressAutoHyphens/>
              <w:jc w:val="center"/>
              <w:rPr>
                <w:b/>
                <w:bCs/>
                <w:color w:val="000000"/>
              </w:rPr>
            </w:pPr>
            <w:r w:rsidRPr="00DC5278">
              <w:rPr>
                <w:b/>
                <w:bCs/>
                <w:color w:val="000000"/>
              </w:rPr>
              <w:t> </w:t>
            </w:r>
          </w:p>
        </w:tc>
        <w:tc>
          <w:tcPr>
            <w:tcW w:w="4345" w:type="dxa"/>
            <w:gridSpan w:val="3"/>
            <w:tcBorders>
              <w:top w:val="single" w:sz="12" w:space="0" w:color="auto"/>
              <w:left w:val="nil"/>
              <w:bottom w:val="single" w:sz="8" w:space="0" w:color="auto"/>
              <w:right w:val="nil"/>
            </w:tcBorders>
            <w:shd w:val="clear" w:color="000000" w:fill="D8D8D8"/>
            <w:noWrap/>
            <w:vAlign w:val="center"/>
            <w:hideMark/>
          </w:tcPr>
          <w:p w14:paraId="74037F1D" w14:textId="77777777" w:rsidR="00751E59" w:rsidRPr="00DC5278" w:rsidRDefault="00751E59" w:rsidP="0085547B">
            <w:pPr>
              <w:keepNext/>
              <w:suppressAutoHyphens/>
              <w:jc w:val="center"/>
              <w:rPr>
                <w:b/>
                <w:bCs/>
                <w:color w:val="000000"/>
              </w:rPr>
            </w:pPr>
            <w:r w:rsidRPr="00DC5278">
              <w:rPr>
                <w:b/>
                <w:bCs/>
                <w:color w:val="000000"/>
              </w:rPr>
              <w:t xml:space="preserve">Vietnam's imports from Australia </w:t>
            </w:r>
          </w:p>
        </w:tc>
      </w:tr>
      <w:tr w:rsidR="00751E59" w:rsidRPr="00DC5278" w14:paraId="74037F27" w14:textId="77777777" w:rsidTr="00CD3ADA">
        <w:trPr>
          <w:trHeight w:val="525"/>
        </w:trPr>
        <w:tc>
          <w:tcPr>
            <w:tcW w:w="1795" w:type="dxa"/>
            <w:vMerge/>
            <w:tcBorders>
              <w:top w:val="single" w:sz="12" w:space="0" w:color="auto"/>
              <w:left w:val="nil"/>
              <w:bottom w:val="single" w:sz="8" w:space="0" w:color="000000"/>
              <w:right w:val="nil"/>
            </w:tcBorders>
            <w:vAlign w:val="center"/>
            <w:hideMark/>
          </w:tcPr>
          <w:p w14:paraId="74037F1F" w14:textId="77777777" w:rsidR="00751E59" w:rsidRPr="00DC5278" w:rsidRDefault="00751E59" w:rsidP="0085547B">
            <w:pPr>
              <w:keepNext/>
              <w:suppressAutoHyphens/>
              <w:rPr>
                <w:b/>
                <w:bCs/>
                <w:color w:val="000000"/>
              </w:rPr>
            </w:pPr>
          </w:p>
        </w:tc>
        <w:tc>
          <w:tcPr>
            <w:tcW w:w="705" w:type="dxa"/>
            <w:tcBorders>
              <w:top w:val="nil"/>
              <w:left w:val="nil"/>
              <w:bottom w:val="single" w:sz="8" w:space="0" w:color="auto"/>
              <w:right w:val="nil"/>
            </w:tcBorders>
            <w:shd w:val="clear" w:color="000000" w:fill="D8D8D8"/>
            <w:noWrap/>
            <w:vAlign w:val="center"/>
            <w:hideMark/>
          </w:tcPr>
          <w:p w14:paraId="74037F20" w14:textId="77777777" w:rsidR="00751E59" w:rsidRPr="00DC5278" w:rsidRDefault="00751E59" w:rsidP="0085547B">
            <w:pPr>
              <w:keepNext/>
              <w:suppressAutoHyphens/>
              <w:jc w:val="center"/>
              <w:rPr>
                <w:color w:val="000000"/>
              </w:rPr>
            </w:pPr>
            <w:r w:rsidRPr="00DC5278">
              <w:rPr>
                <w:color w:val="000000"/>
              </w:rPr>
              <w:t xml:space="preserve"> No. </w:t>
            </w:r>
          </w:p>
        </w:tc>
        <w:tc>
          <w:tcPr>
            <w:tcW w:w="777" w:type="dxa"/>
            <w:tcBorders>
              <w:top w:val="nil"/>
              <w:left w:val="nil"/>
              <w:bottom w:val="single" w:sz="8" w:space="0" w:color="auto"/>
              <w:right w:val="nil"/>
            </w:tcBorders>
            <w:shd w:val="clear" w:color="000000" w:fill="D8D8D8"/>
            <w:vAlign w:val="center"/>
            <w:hideMark/>
          </w:tcPr>
          <w:p w14:paraId="74037F21"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1229" w:type="dxa"/>
            <w:tcBorders>
              <w:top w:val="nil"/>
              <w:left w:val="nil"/>
              <w:bottom w:val="single" w:sz="8" w:space="0" w:color="auto"/>
              <w:right w:val="nil"/>
            </w:tcBorders>
            <w:shd w:val="clear" w:color="000000" w:fill="D8D8D8"/>
            <w:vAlign w:val="center"/>
            <w:hideMark/>
          </w:tcPr>
          <w:p w14:paraId="74037F22" w14:textId="77777777" w:rsidR="00751E59" w:rsidRPr="00DC5278" w:rsidRDefault="00751E59" w:rsidP="0085547B">
            <w:pPr>
              <w:keepNext/>
              <w:suppressAutoHyphens/>
              <w:jc w:val="center"/>
              <w:rPr>
                <w:color w:val="000000"/>
              </w:rPr>
            </w:pPr>
            <w:r w:rsidRPr="00DC5278">
              <w:rPr>
                <w:color w:val="000000"/>
              </w:rPr>
              <w:t xml:space="preserve"> Cumulative (%) </w:t>
            </w:r>
          </w:p>
        </w:tc>
        <w:tc>
          <w:tcPr>
            <w:tcW w:w="270" w:type="dxa"/>
            <w:tcBorders>
              <w:top w:val="nil"/>
              <w:left w:val="nil"/>
              <w:bottom w:val="single" w:sz="8" w:space="0" w:color="auto"/>
              <w:right w:val="nil"/>
            </w:tcBorders>
            <w:shd w:val="clear" w:color="000000" w:fill="D8D8D8"/>
            <w:vAlign w:val="center"/>
            <w:hideMark/>
          </w:tcPr>
          <w:p w14:paraId="74037F23" w14:textId="77777777" w:rsidR="00751E59" w:rsidRPr="00DC5278" w:rsidRDefault="00751E59" w:rsidP="0085547B">
            <w:pPr>
              <w:keepNext/>
              <w:suppressAutoHyphens/>
              <w:jc w:val="center"/>
              <w:rPr>
                <w:color w:val="000000"/>
              </w:rPr>
            </w:pPr>
            <w:r w:rsidRPr="00DC5278">
              <w:rPr>
                <w:color w:val="000000"/>
              </w:rPr>
              <w:t> </w:t>
            </w:r>
          </w:p>
        </w:tc>
        <w:tc>
          <w:tcPr>
            <w:tcW w:w="1323" w:type="dxa"/>
            <w:tcBorders>
              <w:top w:val="nil"/>
              <w:left w:val="nil"/>
              <w:bottom w:val="single" w:sz="8" w:space="0" w:color="auto"/>
              <w:right w:val="nil"/>
            </w:tcBorders>
            <w:shd w:val="clear" w:color="000000" w:fill="D8D8D8"/>
            <w:vAlign w:val="center"/>
            <w:hideMark/>
          </w:tcPr>
          <w:p w14:paraId="74037F24" w14:textId="77777777" w:rsidR="00751E59" w:rsidRPr="00DC5278" w:rsidRDefault="00751E59" w:rsidP="0085547B">
            <w:pPr>
              <w:keepNext/>
              <w:suppressAutoHyphens/>
              <w:jc w:val="center"/>
              <w:rPr>
                <w:color w:val="000000"/>
              </w:rPr>
            </w:pPr>
            <w:r w:rsidRPr="00DC5278">
              <w:rPr>
                <w:color w:val="000000"/>
              </w:rPr>
              <w:t xml:space="preserve"> US $m </w:t>
            </w:r>
            <w:r w:rsidRPr="00DC5278">
              <w:rPr>
                <w:color w:val="000000"/>
              </w:rPr>
              <w:br/>
              <w:t xml:space="preserve">(2007-10) </w:t>
            </w:r>
          </w:p>
        </w:tc>
        <w:tc>
          <w:tcPr>
            <w:tcW w:w="885" w:type="dxa"/>
            <w:tcBorders>
              <w:top w:val="nil"/>
              <w:left w:val="nil"/>
              <w:bottom w:val="single" w:sz="8" w:space="0" w:color="auto"/>
              <w:right w:val="nil"/>
            </w:tcBorders>
            <w:shd w:val="clear" w:color="000000" w:fill="D8D8D8"/>
            <w:vAlign w:val="center"/>
            <w:hideMark/>
          </w:tcPr>
          <w:p w14:paraId="74037F25" w14:textId="77777777" w:rsidR="00751E59" w:rsidRPr="00DC5278" w:rsidRDefault="00751E59" w:rsidP="0085547B">
            <w:pPr>
              <w:keepNext/>
              <w:suppressAutoHyphens/>
              <w:jc w:val="center"/>
              <w:rPr>
                <w:color w:val="000000"/>
              </w:rPr>
            </w:pPr>
            <w:r w:rsidRPr="00DC5278">
              <w:rPr>
                <w:color w:val="000000"/>
              </w:rPr>
              <w:t xml:space="preserve">  % of total </w:t>
            </w:r>
          </w:p>
        </w:tc>
        <w:tc>
          <w:tcPr>
            <w:tcW w:w="2137" w:type="dxa"/>
            <w:tcBorders>
              <w:top w:val="nil"/>
              <w:left w:val="nil"/>
              <w:bottom w:val="single" w:sz="8" w:space="0" w:color="auto"/>
              <w:right w:val="nil"/>
            </w:tcBorders>
            <w:shd w:val="clear" w:color="000000" w:fill="D8D8D8"/>
            <w:vAlign w:val="center"/>
            <w:hideMark/>
          </w:tcPr>
          <w:p w14:paraId="74037F26" w14:textId="77777777" w:rsidR="00751E59" w:rsidRPr="00DC5278" w:rsidRDefault="00751E59" w:rsidP="0085547B">
            <w:pPr>
              <w:keepNext/>
              <w:suppressAutoHyphens/>
              <w:jc w:val="center"/>
              <w:rPr>
                <w:color w:val="000000"/>
              </w:rPr>
            </w:pPr>
            <w:r w:rsidRPr="00DC5278">
              <w:rPr>
                <w:color w:val="000000"/>
              </w:rPr>
              <w:t xml:space="preserve"> Cumulative (%) </w:t>
            </w:r>
          </w:p>
        </w:tc>
      </w:tr>
      <w:tr w:rsidR="00751E59" w:rsidRPr="00DC5278" w14:paraId="74037F30" w14:textId="77777777" w:rsidTr="00CD3ADA">
        <w:trPr>
          <w:trHeight w:val="255"/>
        </w:trPr>
        <w:tc>
          <w:tcPr>
            <w:tcW w:w="1795" w:type="dxa"/>
            <w:tcBorders>
              <w:top w:val="nil"/>
              <w:left w:val="nil"/>
              <w:bottom w:val="nil"/>
              <w:right w:val="nil"/>
            </w:tcBorders>
            <w:shd w:val="clear" w:color="000000" w:fill="FFFFFF"/>
            <w:noWrap/>
            <w:vAlign w:val="center"/>
            <w:hideMark/>
          </w:tcPr>
          <w:p w14:paraId="74037F28" w14:textId="77777777" w:rsidR="00751E59" w:rsidRPr="00DC5278" w:rsidRDefault="00751E59" w:rsidP="0085547B">
            <w:pPr>
              <w:keepNext/>
              <w:suppressAutoHyphens/>
              <w:rPr>
                <w:color w:val="000000"/>
              </w:rPr>
            </w:pPr>
            <w:r w:rsidRPr="00DC5278">
              <w:rPr>
                <w:color w:val="000000"/>
              </w:rPr>
              <w:t>MFN 0%</w:t>
            </w:r>
          </w:p>
        </w:tc>
        <w:tc>
          <w:tcPr>
            <w:tcW w:w="705" w:type="dxa"/>
            <w:tcBorders>
              <w:top w:val="nil"/>
              <w:left w:val="nil"/>
              <w:bottom w:val="nil"/>
              <w:right w:val="nil"/>
            </w:tcBorders>
            <w:shd w:val="clear" w:color="000000" w:fill="FFFFFF"/>
            <w:noWrap/>
            <w:vAlign w:val="center"/>
            <w:hideMark/>
          </w:tcPr>
          <w:p w14:paraId="74037F29" w14:textId="77777777" w:rsidR="00751E59" w:rsidRPr="00DC5278" w:rsidRDefault="00751E59" w:rsidP="0085547B">
            <w:pPr>
              <w:keepNext/>
              <w:suppressAutoHyphens/>
              <w:jc w:val="right"/>
              <w:rPr>
                <w:color w:val="000000"/>
              </w:rPr>
            </w:pPr>
            <w:r w:rsidRPr="00DC5278">
              <w:rPr>
                <w:color w:val="000000"/>
              </w:rPr>
              <w:t>3,030</w:t>
            </w:r>
          </w:p>
        </w:tc>
        <w:tc>
          <w:tcPr>
            <w:tcW w:w="777" w:type="dxa"/>
            <w:tcBorders>
              <w:top w:val="nil"/>
              <w:left w:val="nil"/>
              <w:bottom w:val="nil"/>
              <w:right w:val="nil"/>
            </w:tcBorders>
            <w:shd w:val="clear" w:color="000000" w:fill="FFFFFF"/>
            <w:noWrap/>
            <w:vAlign w:val="center"/>
            <w:hideMark/>
          </w:tcPr>
          <w:p w14:paraId="74037F2A" w14:textId="77777777" w:rsidR="00751E59" w:rsidRPr="00DC5278" w:rsidRDefault="00751E59" w:rsidP="0085547B">
            <w:pPr>
              <w:keepNext/>
              <w:suppressAutoHyphens/>
              <w:jc w:val="right"/>
              <w:rPr>
                <w:color w:val="000000"/>
              </w:rPr>
            </w:pPr>
            <w:r w:rsidRPr="00DC5278">
              <w:rPr>
                <w:color w:val="000000"/>
              </w:rPr>
              <w:t>33.1%</w:t>
            </w:r>
          </w:p>
        </w:tc>
        <w:tc>
          <w:tcPr>
            <w:tcW w:w="1229" w:type="dxa"/>
            <w:tcBorders>
              <w:top w:val="nil"/>
              <w:left w:val="nil"/>
              <w:bottom w:val="nil"/>
              <w:right w:val="nil"/>
            </w:tcBorders>
            <w:shd w:val="clear" w:color="000000" w:fill="FFFFFF"/>
            <w:noWrap/>
            <w:vAlign w:val="center"/>
            <w:hideMark/>
          </w:tcPr>
          <w:p w14:paraId="74037F2B" w14:textId="77777777" w:rsidR="00751E59" w:rsidRPr="00DC5278" w:rsidRDefault="00751E59" w:rsidP="0085547B">
            <w:pPr>
              <w:keepNext/>
              <w:suppressAutoHyphens/>
              <w:jc w:val="right"/>
              <w:rPr>
                <w:color w:val="000000"/>
              </w:rPr>
            </w:pPr>
            <w:r w:rsidRPr="00DC5278">
              <w:rPr>
                <w:color w:val="000000"/>
              </w:rPr>
              <w:t>33.1%</w:t>
            </w:r>
          </w:p>
        </w:tc>
        <w:tc>
          <w:tcPr>
            <w:tcW w:w="270" w:type="dxa"/>
            <w:tcBorders>
              <w:top w:val="nil"/>
              <w:left w:val="nil"/>
              <w:bottom w:val="nil"/>
              <w:right w:val="nil"/>
            </w:tcBorders>
            <w:shd w:val="clear" w:color="000000" w:fill="FFFFFF"/>
            <w:noWrap/>
            <w:vAlign w:val="center"/>
            <w:hideMark/>
          </w:tcPr>
          <w:p w14:paraId="74037F2C" w14:textId="77777777" w:rsidR="00751E59" w:rsidRPr="00DC5278" w:rsidRDefault="00751E59" w:rsidP="0085547B">
            <w:pPr>
              <w:keepNext/>
              <w:suppressAutoHyphens/>
              <w:rPr>
                <w:color w:val="000000"/>
              </w:rPr>
            </w:pPr>
            <w:r w:rsidRPr="00DC5278">
              <w:rPr>
                <w:color w:val="000000"/>
              </w:rPr>
              <w:t> </w:t>
            </w:r>
          </w:p>
        </w:tc>
        <w:tc>
          <w:tcPr>
            <w:tcW w:w="1323" w:type="dxa"/>
            <w:tcBorders>
              <w:top w:val="nil"/>
              <w:left w:val="nil"/>
              <w:bottom w:val="nil"/>
              <w:right w:val="nil"/>
            </w:tcBorders>
            <w:shd w:val="clear" w:color="000000" w:fill="FFFFFF"/>
            <w:noWrap/>
            <w:vAlign w:val="center"/>
            <w:hideMark/>
          </w:tcPr>
          <w:p w14:paraId="74037F2D" w14:textId="77777777" w:rsidR="00751E59" w:rsidRPr="00DC5278" w:rsidRDefault="00751E59" w:rsidP="0085547B">
            <w:pPr>
              <w:keepNext/>
              <w:suppressAutoHyphens/>
              <w:jc w:val="right"/>
              <w:rPr>
                <w:color w:val="000000"/>
              </w:rPr>
            </w:pPr>
            <w:r w:rsidRPr="00DC5278">
              <w:rPr>
                <w:color w:val="000000"/>
              </w:rPr>
              <w:t>774.4</w:t>
            </w:r>
          </w:p>
        </w:tc>
        <w:tc>
          <w:tcPr>
            <w:tcW w:w="885" w:type="dxa"/>
            <w:tcBorders>
              <w:top w:val="nil"/>
              <w:left w:val="nil"/>
              <w:bottom w:val="nil"/>
              <w:right w:val="nil"/>
            </w:tcBorders>
            <w:shd w:val="clear" w:color="000000" w:fill="FFFFFF"/>
            <w:noWrap/>
            <w:vAlign w:val="center"/>
            <w:hideMark/>
          </w:tcPr>
          <w:p w14:paraId="74037F2E" w14:textId="77777777" w:rsidR="00751E59" w:rsidRPr="00DC5278" w:rsidRDefault="00751E59" w:rsidP="0085547B">
            <w:pPr>
              <w:keepNext/>
              <w:suppressAutoHyphens/>
              <w:jc w:val="right"/>
              <w:rPr>
                <w:color w:val="000000"/>
              </w:rPr>
            </w:pPr>
            <w:r w:rsidRPr="00DC5278">
              <w:rPr>
                <w:color w:val="000000"/>
              </w:rPr>
              <w:t>50.3%</w:t>
            </w:r>
          </w:p>
        </w:tc>
        <w:tc>
          <w:tcPr>
            <w:tcW w:w="2137" w:type="dxa"/>
            <w:tcBorders>
              <w:top w:val="nil"/>
              <w:left w:val="nil"/>
              <w:bottom w:val="nil"/>
              <w:right w:val="nil"/>
            </w:tcBorders>
            <w:shd w:val="clear" w:color="000000" w:fill="FFFFFF"/>
            <w:noWrap/>
            <w:vAlign w:val="center"/>
            <w:hideMark/>
          </w:tcPr>
          <w:p w14:paraId="74037F2F" w14:textId="77777777" w:rsidR="00751E59" w:rsidRPr="00DC5278" w:rsidRDefault="00751E59" w:rsidP="0085547B">
            <w:pPr>
              <w:keepNext/>
              <w:suppressAutoHyphens/>
              <w:jc w:val="right"/>
              <w:rPr>
                <w:color w:val="000000"/>
              </w:rPr>
            </w:pPr>
            <w:r w:rsidRPr="00DC5278">
              <w:rPr>
                <w:color w:val="000000"/>
              </w:rPr>
              <w:t>50.3%</w:t>
            </w:r>
          </w:p>
        </w:tc>
      </w:tr>
      <w:tr w:rsidR="00751E59" w:rsidRPr="00DC5278" w14:paraId="74037F39" w14:textId="77777777" w:rsidTr="00CD3ADA">
        <w:trPr>
          <w:trHeight w:val="255"/>
        </w:trPr>
        <w:tc>
          <w:tcPr>
            <w:tcW w:w="1795" w:type="dxa"/>
            <w:tcBorders>
              <w:top w:val="nil"/>
              <w:left w:val="nil"/>
              <w:bottom w:val="nil"/>
              <w:right w:val="nil"/>
            </w:tcBorders>
            <w:shd w:val="clear" w:color="000000" w:fill="FFFFFF"/>
            <w:noWrap/>
            <w:vAlign w:val="center"/>
            <w:hideMark/>
          </w:tcPr>
          <w:p w14:paraId="74037F31" w14:textId="77777777" w:rsidR="00751E59" w:rsidRPr="00DC5278" w:rsidRDefault="00751E59" w:rsidP="0085547B">
            <w:pPr>
              <w:keepNext/>
              <w:suppressAutoHyphens/>
              <w:rPr>
                <w:color w:val="000000"/>
              </w:rPr>
            </w:pPr>
            <w:r w:rsidRPr="00DC5278">
              <w:rPr>
                <w:color w:val="000000"/>
              </w:rPr>
              <w:t>A: 0% tariff on EIF</w:t>
            </w:r>
          </w:p>
        </w:tc>
        <w:tc>
          <w:tcPr>
            <w:tcW w:w="705" w:type="dxa"/>
            <w:tcBorders>
              <w:top w:val="nil"/>
              <w:left w:val="nil"/>
              <w:bottom w:val="nil"/>
              <w:right w:val="nil"/>
            </w:tcBorders>
            <w:shd w:val="clear" w:color="000000" w:fill="FFFFFF"/>
            <w:noWrap/>
            <w:vAlign w:val="center"/>
            <w:hideMark/>
          </w:tcPr>
          <w:p w14:paraId="74037F32" w14:textId="77777777" w:rsidR="00751E59" w:rsidRPr="00DC5278" w:rsidRDefault="00751E59" w:rsidP="0085547B">
            <w:pPr>
              <w:keepNext/>
              <w:suppressAutoHyphens/>
              <w:jc w:val="right"/>
              <w:rPr>
                <w:color w:val="000000"/>
              </w:rPr>
            </w:pPr>
            <w:r w:rsidRPr="00DC5278">
              <w:rPr>
                <w:color w:val="000000"/>
              </w:rPr>
              <w:t>2,999</w:t>
            </w:r>
          </w:p>
        </w:tc>
        <w:tc>
          <w:tcPr>
            <w:tcW w:w="777" w:type="dxa"/>
            <w:tcBorders>
              <w:top w:val="nil"/>
              <w:left w:val="nil"/>
              <w:bottom w:val="nil"/>
              <w:right w:val="nil"/>
            </w:tcBorders>
            <w:shd w:val="clear" w:color="000000" w:fill="FFFFFF"/>
            <w:noWrap/>
            <w:vAlign w:val="center"/>
            <w:hideMark/>
          </w:tcPr>
          <w:p w14:paraId="74037F33" w14:textId="77777777" w:rsidR="00751E59" w:rsidRPr="00DC5278" w:rsidRDefault="00751E59" w:rsidP="0085547B">
            <w:pPr>
              <w:keepNext/>
              <w:suppressAutoHyphens/>
              <w:jc w:val="right"/>
              <w:rPr>
                <w:color w:val="000000"/>
              </w:rPr>
            </w:pPr>
            <w:r w:rsidRPr="00DC5278">
              <w:rPr>
                <w:color w:val="000000"/>
              </w:rPr>
              <w:t>32.7%</w:t>
            </w:r>
          </w:p>
        </w:tc>
        <w:tc>
          <w:tcPr>
            <w:tcW w:w="1229" w:type="dxa"/>
            <w:tcBorders>
              <w:top w:val="nil"/>
              <w:left w:val="nil"/>
              <w:bottom w:val="nil"/>
              <w:right w:val="nil"/>
            </w:tcBorders>
            <w:shd w:val="clear" w:color="000000" w:fill="FFFFFF"/>
            <w:noWrap/>
            <w:vAlign w:val="center"/>
            <w:hideMark/>
          </w:tcPr>
          <w:p w14:paraId="74037F34" w14:textId="77777777" w:rsidR="00751E59" w:rsidRPr="00DC5278" w:rsidRDefault="00751E59" w:rsidP="0085547B">
            <w:pPr>
              <w:keepNext/>
              <w:suppressAutoHyphens/>
              <w:jc w:val="right"/>
              <w:rPr>
                <w:color w:val="000000"/>
              </w:rPr>
            </w:pPr>
            <w:r w:rsidRPr="00DC5278">
              <w:rPr>
                <w:color w:val="000000"/>
              </w:rPr>
              <w:t>65.8%</w:t>
            </w:r>
          </w:p>
        </w:tc>
        <w:tc>
          <w:tcPr>
            <w:tcW w:w="270" w:type="dxa"/>
            <w:tcBorders>
              <w:top w:val="nil"/>
              <w:left w:val="nil"/>
              <w:bottom w:val="nil"/>
              <w:right w:val="nil"/>
            </w:tcBorders>
            <w:shd w:val="clear" w:color="000000" w:fill="FFFFFF"/>
            <w:noWrap/>
            <w:vAlign w:val="center"/>
            <w:hideMark/>
          </w:tcPr>
          <w:p w14:paraId="74037F35" w14:textId="77777777" w:rsidR="00751E59" w:rsidRPr="00DC5278" w:rsidRDefault="00751E59" w:rsidP="0085547B">
            <w:pPr>
              <w:keepNext/>
              <w:suppressAutoHyphens/>
              <w:rPr>
                <w:color w:val="000000"/>
              </w:rPr>
            </w:pPr>
            <w:r w:rsidRPr="00DC5278">
              <w:rPr>
                <w:color w:val="000000"/>
              </w:rPr>
              <w:t> </w:t>
            </w:r>
          </w:p>
        </w:tc>
        <w:tc>
          <w:tcPr>
            <w:tcW w:w="1323" w:type="dxa"/>
            <w:tcBorders>
              <w:top w:val="nil"/>
              <w:left w:val="nil"/>
              <w:bottom w:val="nil"/>
              <w:right w:val="nil"/>
            </w:tcBorders>
            <w:shd w:val="clear" w:color="000000" w:fill="FFFFFF"/>
            <w:noWrap/>
            <w:vAlign w:val="center"/>
            <w:hideMark/>
          </w:tcPr>
          <w:p w14:paraId="74037F36" w14:textId="77777777" w:rsidR="00751E59" w:rsidRPr="00DC5278" w:rsidRDefault="00751E59" w:rsidP="0085547B">
            <w:pPr>
              <w:keepNext/>
              <w:suppressAutoHyphens/>
              <w:jc w:val="right"/>
              <w:rPr>
                <w:color w:val="000000"/>
              </w:rPr>
            </w:pPr>
            <w:r w:rsidRPr="00DC5278">
              <w:rPr>
                <w:color w:val="000000"/>
              </w:rPr>
              <w:t>572.6</w:t>
            </w:r>
          </w:p>
        </w:tc>
        <w:tc>
          <w:tcPr>
            <w:tcW w:w="885" w:type="dxa"/>
            <w:tcBorders>
              <w:top w:val="nil"/>
              <w:left w:val="nil"/>
              <w:bottom w:val="nil"/>
              <w:right w:val="nil"/>
            </w:tcBorders>
            <w:shd w:val="clear" w:color="000000" w:fill="FFFFFF"/>
            <w:noWrap/>
            <w:vAlign w:val="center"/>
            <w:hideMark/>
          </w:tcPr>
          <w:p w14:paraId="74037F37" w14:textId="77777777" w:rsidR="00751E59" w:rsidRPr="00DC5278" w:rsidRDefault="00751E59" w:rsidP="0085547B">
            <w:pPr>
              <w:keepNext/>
              <w:suppressAutoHyphens/>
              <w:jc w:val="right"/>
              <w:rPr>
                <w:color w:val="000000"/>
              </w:rPr>
            </w:pPr>
            <w:r w:rsidRPr="00DC5278">
              <w:rPr>
                <w:color w:val="000000"/>
              </w:rPr>
              <w:t>37.2%</w:t>
            </w:r>
          </w:p>
        </w:tc>
        <w:tc>
          <w:tcPr>
            <w:tcW w:w="2137" w:type="dxa"/>
            <w:tcBorders>
              <w:top w:val="nil"/>
              <w:left w:val="nil"/>
              <w:bottom w:val="nil"/>
              <w:right w:val="nil"/>
            </w:tcBorders>
            <w:shd w:val="clear" w:color="000000" w:fill="FFFFFF"/>
            <w:noWrap/>
            <w:vAlign w:val="center"/>
            <w:hideMark/>
          </w:tcPr>
          <w:p w14:paraId="74037F38" w14:textId="77777777" w:rsidR="00751E59" w:rsidRPr="00DC5278" w:rsidRDefault="00751E59" w:rsidP="0085547B">
            <w:pPr>
              <w:keepNext/>
              <w:suppressAutoHyphens/>
              <w:jc w:val="right"/>
              <w:rPr>
                <w:color w:val="000000"/>
              </w:rPr>
            </w:pPr>
            <w:r w:rsidRPr="00DC5278">
              <w:rPr>
                <w:color w:val="000000"/>
              </w:rPr>
              <w:t>87.6%</w:t>
            </w:r>
          </w:p>
        </w:tc>
      </w:tr>
      <w:tr w:rsidR="00751E59" w:rsidRPr="00DC5278" w14:paraId="74037F42" w14:textId="77777777" w:rsidTr="00CD3ADA">
        <w:trPr>
          <w:trHeight w:val="255"/>
        </w:trPr>
        <w:tc>
          <w:tcPr>
            <w:tcW w:w="1795" w:type="dxa"/>
            <w:tcBorders>
              <w:top w:val="nil"/>
              <w:left w:val="nil"/>
              <w:bottom w:val="nil"/>
              <w:right w:val="nil"/>
            </w:tcBorders>
            <w:shd w:val="clear" w:color="000000" w:fill="FFFFFF"/>
            <w:noWrap/>
            <w:vAlign w:val="center"/>
            <w:hideMark/>
          </w:tcPr>
          <w:p w14:paraId="74037F3A" w14:textId="77777777" w:rsidR="00751E59" w:rsidRPr="00DC5278" w:rsidRDefault="00751E59" w:rsidP="0085547B">
            <w:pPr>
              <w:keepNext/>
              <w:suppressAutoHyphens/>
              <w:rPr>
                <w:color w:val="000000"/>
              </w:rPr>
            </w:pPr>
            <w:r w:rsidRPr="00DC5278">
              <w:rPr>
                <w:color w:val="000000"/>
              </w:rPr>
              <w:t xml:space="preserve">B: </w:t>
            </w:r>
            <w:proofErr w:type="gramStart"/>
            <w:r w:rsidRPr="00DC5278">
              <w:rPr>
                <w:color w:val="000000"/>
              </w:rPr>
              <w:t>1-5 year</w:t>
            </w:r>
            <w:proofErr w:type="gramEnd"/>
            <w:r w:rsidRPr="00DC5278">
              <w:rPr>
                <w:color w:val="000000"/>
              </w:rPr>
              <w:t xml:space="preserve"> phasing </w:t>
            </w:r>
          </w:p>
        </w:tc>
        <w:tc>
          <w:tcPr>
            <w:tcW w:w="705" w:type="dxa"/>
            <w:tcBorders>
              <w:top w:val="nil"/>
              <w:left w:val="nil"/>
              <w:bottom w:val="nil"/>
              <w:right w:val="nil"/>
            </w:tcBorders>
            <w:shd w:val="clear" w:color="000000" w:fill="FFFFFF"/>
            <w:noWrap/>
            <w:vAlign w:val="center"/>
            <w:hideMark/>
          </w:tcPr>
          <w:p w14:paraId="74037F3B" w14:textId="77777777" w:rsidR="00751E59" w:rsidRPr="00DC5278" w:rsidRDefault="00751E59" w:rsidP="0085547B">
            <w:pPr>
              <w:keepNext/>
              <w:suppressAutoHyphens/>
              <w:jc w:val="right"/>
              <w:rPr>
                <w:color w:val="000000"/>
              </w:rPr>
            </w:pPr>
            <w:r w:rsidRPr="00DC5278">
              <w:rPr>
                <w:color w:val="000000"/>
              </w:rPr>
              <w:t>2,177</w:t>
            </w:r>
          </w:p>
        </w:tc>
        <w:tc>
          <w:tcPr>
            <w:tcW w:w="777" w:type="dxa"/>
            <w:tcBorders>
              <w:top w:val="nil"/>
              <w:left w:val="nil"/>
              <w:bottom w:val="nil"/>
              <w:right w:val="nil"/>
            </w:tcBorders>
            <w:shd w:val="clear" w:color="000000" w:fill="FFFFFF"/>
            <w:noWrap/>
            <w:vAlign w:val="center"/>
            <w:hideMark/>
          </w:tcPr>
          <w:p w14:paraId="74037F3C" w14:textId="77777777" w:rsidR="00751E59" w:rsidRPr="00DC5278" w:rsidRDefault="00751E59" w:rsidP="0085547B">
            <w:pPr>
              <w:keepNext/>
              <w:suppressAutoHyphens/>
              <w:jc w:val="right"/>
              <w:rPr>
                <w:color w:val="000000"/>
              </w:rPr>
            </w:pPr>
            <w:r w:rsidRPr="00DC5278">
              <w:rPr>
                <w:color w:val="000000"/>
              </w:rPr>
              <w:t>23.8%</w:t>
            </w:r>
          </w:p>
        </w:tc>
        <w:tc>
          <w:tcPr>
            <w:tcW w:w="1229" w:type="dxa"/>
            <w:tcBorders>
              <w:top w:val="nil"/>
              <w:left w:val="nil"/>
              <w:bottom w:val="nil"/>
              <w:right w:val="nil"/>
            </w:tcBorders>
            <w:shd w:val="clear" w:color="000000" w:fill="FFFFFF"/>
            <w:noWrap/>
            <w:vAlign w:val="center"/>
            <w:hideMark/>
          </w:tcPr>
          <w:p w14:paraId="74037F3D" w14:textId="77777777" w:rsidR="00751E59" w:rsidRPr="00DC5278" w:rsidRDefault="00751E59" w:rsidP="0085547B">
            <w:pPr>
              <w:keepNext/>
              <w:suppressAutoHyphens/>
              <w:jc w:val="right"/>
              <w:rPr>
                <w:color w:val="000000"/>
              </w:rPr>
            </w:pPr>
            <w:r w:rsidRPr="00DC5278">
              <w:rPr>
                <w:color w:val="000000"/>
              </w:rPr>
              <w:t>95.3%</w:t>
            </w:r>
          </w:p>
        </w:tc>
        <w:tc>
          <w:tcPr>
            <w:tcW w:w="270" w:type="dxa"/>
            <w:tcBorders>
              <w:top w:val="nil"/>
              <w:left w:val="nil"/>
              <w:bottom w:val="nil"/>
              <w:right w:val="nil"/>
            </w:tcBorders>
            <w:shd w:val="clear" w:color="000000" w:fill="FFFFFF"/>
            <w:noWrap/>
            <w:vAlign w:val="center"/>
            <w:hideMark/>
          </w:tcPr>
          <w:p w14:paraId="74037F3E" w14:textId="77777777" w:rsidR="00751E59" w:rsidRPr="00DC5278" w:rsidRDefault="00751E59" w:rsidP="0085547B">
            <w:pPr>
              <w:keepNext/>
              <w:suppressAutoHyphens/>
              <w:rPr>
                <w:color w:val="000000"/>
              </w:rPr>
            </w:pPr>
            <w:r w:rsidRPr="00DC5278">
              <w:rPr>
                <w:color w:val="000000"/>
              </w:rPr>
              <w:t> </w:t>
            </w:r>
          </w:p>
        </w:tc>
        <w:tc>
          <w:tcPr>
            <w:tcW w:w="1323" w:type="dxa"/>
            <w:tcBorders>
              <w:top w:val="nil"/>
              <w:left w:val="nil"/>
              <w:bottom w:val="nil"/>
              <w:right w:val="nil"/>
            </w:tcBorders>
            <w:shd w:val="clear" w:color="000000" w:fill="FFFFFF"/>
            <w:noWrap/>
            <w:vAlign w:val="center"/>
            <w:hideMark/>
          </w:tcPr>
          <w:p w14:paraId="74037F3F" w14:textId="77777777" w:rsidR="00751E59" w:rsidRPr="00DC5278" w:rsidRDefault="00751E59" w:rsidP="0085547B">
            <w:pPr>
              <w:keepNext/>
              <w:suppressAutoHyphens/>
              <w:jc w:val="right"/>
              <w:rPr>
                <w:color w:val="000000"/>
              </w:rPr>
            </w:pPr>
            <w:r w:rsidRPr="00DC5278">
              <w:rPr>
                <w:color w:val="000000"/>
              </w:rPr>
              <w:t>122.8</w:t>
            </w:r>
          </w:p>
        </w:tc>
        <w:tc>
          <w:tcPr>
            <w:tcW w:w="885" w:type="dxa"/>
            <w:tcBorders>
              <w:top w:val="nil"/>
              <w:left w:val="nil"/>
              <w:bottom w:val="nil"/>
              <w:right w:val="nil"/>
            </w:tcBorders>
            <w:shd w:val="clear" w:color="000000" w:fill="FFFFFF"/>
            <w:noWrap/>
            <w:vAlign w:val="center"/>
            <w:hideMark/>
          </w:tcPr>
          <w:p w14:paraId="74037F40" w14:textId="77777777" w:rsidR="00751E59" w:rsidRPr="00DC5278" w:rsidRDefault="00751E59" w:rsidP="0085547B">
            <w:pPr>
              <w:keepNext/>
              <w:suppressAutoHyphens/>
              <w:jc w:val="right"/>
              <w:rPr>
                <w:color w:val="000000"/>
              </w:rPr>
            </w:pPr>
            <w:r w:rsidRPr="00DC5278">
              <w:rPr>
                <w:color w:val="000000"/>
              </w:rPr>
              <w:t>8.0%</w:t>
            </w:r>
          </w:p>
        </w:tc>
        <w:tc>
          <w:tcPr>
            <w:tcW w:w="2137" w:type="dxa"/>
            <w:tcBorders>
              <w:top w:val="nil"/>
              <w:left w:val="nil"/>
              <w:bottom w:val="nil"/>
              <w:right w:val="nil"/>
            </w:tcBorders>
            <w:shd w:val="clear" w:color="000000" w:fill="FFFFFF"/>
            <w:noWrap/>
            <w:vAlign w:val="center"/>
            <w:hideMark/>
          </w:tcPr>
          <w:p w14:paraId="74037F41" w14:textId="77777777" w:rsidR="00751E59" w:rsidRPr="00DC5278" w:rsidRDefault="00751E59" w:rsidP="0085547B">
            <w:pPr>
              <w:keepNext/>
              <w:suppressAutoHyphens/>
              <w:jc w:val="right"/>
              <w:rPr>
                <w:color w:val="000000"/>
              </w:rPr>
            </w:pPr>
            <w:r w:rsidRPr="00DC5278">
              <w:rPr>
                <w:color w:val="000000"/>
              </w:rPr>
              <w:t>99.6%</w:t>
            </w:r>
          </w:p>
        </w:tc>
      </w:tr>
      <w:tr w:rsidR="00751E59" w:rsidRPr="00DC5278" w14:paraId="74037F4B" w14:textId="77777777" w:rsidTr="00CD3ADA">
        <w:trPr>
          <w:trHeight w:val="255"/>
        </w:trPr>
        <w:tc>
          <w:tcPr>
            <w:tcW w:w="1795" w:type="dxa"/>
            <w:tcBorders>
              <w:top w:val="nil"/>
              <w:left w:val="nil"/>
              <w:bottom w:val="nil"/>
              <w:right w:val="nil"/>
            </w:tcBorders>
            <w:shd w:val="clear" w:color="000000" w:fill="FFFFFF"/>
            <w:noWrap/>
            <w:vAlign w:val="center"/>
            <w:hideMark/>
          </w:tcPr>
          <w:p w14:paraId="74037F43" w14:textId="77777777" w:rsidR="00751E59" w:rsidRPr="00DC5278" w:rsidRDefault="00751E59" w:rsidP="0085547B">
            <w:pPr>
              <w:keepNext/>
              <w:suppressAutoHyphens/>
              <w:rPr>
                <w:color w:val="000000"/>
              </w:rPr>
            </w:pPr>
            <w:r w:rsidRPr="00DC5278">
              <w:rPr>
                <w:color w:val="000000"/>
              </w:rPr>
              <w:t xml:space="preserve">C: </w:t>
            </w:r>
            <w:proofErr w:type="gramStart"/>
            <w:r w:rsidRPr="00DC5278">
              <w:rPr>
                <w:color w:val="000000"/>
              </w:rPr>
              <w:t>6-10 year</w:t>
            </w:r>
            <w:proofErr w:type="gramEnd"/>
            <w:r w:rsidRPr="00DC5278">
              <w:rPr>
                <w:color w:val="000000"/>
              </w:rPr>
              <w:t xml:space="preserve"> phasing </w:t>
            </w:r>
          </w:p>
        </w:tc>
        <w:tc>
          <w:tcPr>
            <w:tcW w:w="705" w:type="dxa"/>
            <w:tcBorders>
              <w:top w:val="nil"/>
              <w:left w:val="nil"/>
              <w:bottom w:val="nil"/>
              <w:right w:val="nil"/>
            </w:tcBorders>
            <w:shd w:val="clear" w:color="000000" w:fill="FFFFFF"/>
            <w:noWrap/>
            <w:vAlign w:val="center"/>
            <w:hideMark/>
          </w:tcPr>
          <w:p w14:paraId="74037F44" w14:textId="77777777" w:rsidR="00751E59" w:rsidRPr="00DC5278" w:rsidRDefault="00751E59" w:rsidP="0085547B">
            <w:pPr>
              <w:keepNext/>
              <w:suppressAutoHyphens/>
              <w:jc w:val="right"/>
              <w:rPr>
                <w:color w:val="000000"/>
              </w:rPr>
            </w:pPr>
            <w:r w:rsidRPr="00DC5278">
              <w:rPr>
                <w:color w:val="000000"/>
              </w:rPr>
              <w:t>681</w:t>
            </w:r>
          </w:p>
        </w:tc>
        <w:tc>
          <w:tcPr>
            <w:tcW w:w="777" w:type="dxa"/>
            <w:tcBorders>
              <w:top w:val="nil"/>
              <w:left w:val="nil"/>
              <w:bottom w:val="nil"/>
              <w:right w:val="nil"/>
            </w:tcBorders>
            <w:shd w:val="clear" w:color="000000" w:fill="FFFFFF"/>
            <w:noWrap/>
            <w:vAlign w:val="center"/>
            <w:hideMark/>
          </w:tcPr>
          <w:p w14:paraId="74037F45" w14:textId="77777777" w:rsidR="00751E59" w:rsidRPr="00DC5278" w:rsidRDefault="00751E59" w:rsidP="0085547B">
            <w:pPr>
              <w:keepNext/>
              <w:suppressAutoHyphens/>
              <w:jc w:val="right"/>
              <w:rPr>
                <w:color w:val="000000"/>
              </w:rPr>
            </w:pPr>
            <w:r w:rsidRPr="00DC5278">
              <w:rPr>
                <w:color w:val="000000"/>
              </w:rPr>
              <w:t>7.4%</w:t>
            </w:r>
          </w:p>
        </w:tc>
        <w:tc>
          <w:tcPr>
            <w:tcW w:w="1229" w:type="dxa"/>
            <w:tcBorders>
              <w:top w:val="nil"/>
              <w:left w:val="nil"/>
              <w:bottom w:val="nil"/>
              <w:right w:val="nil"/>
            </w:tcBorders>
            <w:shd w:val="clear" w:color="000000" w:fill="FFFFFF"/>
            <w:noWrap/>
            <w:vAlign w:val="center"/>
            <w:hideMark/>
          </w:tcPr>
          <w:p w14:paraId="74037F46" w14:textId="77777777" w:rsidR="00751E59" w:rsidRPr="00DC5278" w:rsidRDefault="00751E59" w:rsidP="0085547B">
            <w:pPr>
              <w:keepNext/>
              <w:suppressAutoHyphens/>
              <w:jc w:val="right"/>
              <w:rPr>
                <w:color w:val="000000"/>
              </w:rPr>
            </w:pPr>
            <w:r w:rsidRPr="00DC5278">
              <w:rPr>
                <w:color w:val="000000"/>
              </w:rPr>
              <w:t>96.4%</w:t>
            </w:r>
          </w:p>
        </w:tc>
        <w:tc>
          <w:tcPr>
            <w:tcW w:w="270" w:type="dxa"/>
            <w:tcBorders>
              <w:top w:val="nil"/>
              <w:left w:val="nil"/>
              <w:bottom w:val="nil"/>
              <w:right w:val="nil"/>
            </w:tcBorders>
            <w:shd w:val="clear" w:color="000000" w:fill="FFFFFF"/>
            <w:noWrap/>
            <w:vAlign w:val="center"/>
            <w:hideMark/>
          </w:tcPr>
          <w:p w14:paraId="74037F47" w14:textId="77777777" w:rsidR="00751E59" w:rsidRPr="00DC5278" w:rsidRDefault="00751E59" w:rsidP="0085547B">
            <w:pPr>
              <w:keepNext/>
              <w:suppressAutoHyphens/>
              <w:rPr>
                <w:color w:val="000000"/>
              </w:rPr>
            </w:pPr>
            <w:r w:rsidRPr="00DC5278">
              <w:rPr>
                <w:color w:val="000000"/>
              </w:rPr>
              <w:t> </w:t>
            </w:r>
          </w:p>
        </w:tc>
        <w:tc>
          <w:tcPr>
            <w:tcW w:w="1323" w:type="dxa"/>
            <w:tcBorders>
              <w:top w:val="nil"/>
              <w:left w:val="nil"/>
              <w:bottom w:val="nil"/>
              <w:right w:val="nil"/>
            </w:tcBorders>
            <w:shd w:val="clear" w:color="000000" w:fill="FFFFFF"/>
            <w:noWrap/>
            <w:vAlign w:val="center"/>
            <w:hideMark/>
          </w:tcPr>
          <w:p w14:paraId="74037F48" w14:textId="77777777" w:rsidR="00751E59" w:rsidRPr="00DC5278" w:rsidRDefault="00751E59" w:rsidP="0085547B">
            <w:pPr>
              <w:keepNext/>
              <w:suppressAutoHyphens/>
              <w:jc w:val="right"/>
              <w:rPr>
                <w:color w:val="000000"/>
              </w:rPr>
            </w:pPr>
            <w:r w:rsidRPr="00DC5278">
              <w:rPr>
                <w:color w:val="000000"/>
              </w:rPr>
              <w:t>23.2</w:t>
            </w:r>
          </w:p>
        </w:tc>
        <w:tc>
          <w:tcPr>
            <w:tcW w:w="885" w:type="dxa"/>
            <w:tcBorders>
              <w:top w:val="nil"/>
              <w:left w:val="nil"/>
              <w:bottom w:val="nil"/>
              <w:right w:val="nil"/>
            </w:tcBorders>
            <w:shd w:val="clear" w:color="000000" w:fill="FFFFFF"/>
            <w:noWrap/>
            <w:vAlign w:val="center"/>
            <w:hideMark/>
          </w:tcPr>
          <w:p w14:paraId="74037F49" w14:textId="77777777" w:rsidR="00751E59" w:rsidRPr="00DC5278" w:rsidRDefault="00751E59" w:rsidP="0085547B">
            <w:pPr>
              <w:keepNext/>
              <w:suppressAutoHyphens/>
              <w:jc w:val="right"/>
              <w:rPr>
                <w:color w:val="000000"/>
              </w:rPr>
            </w:pPr>
            <w:r w:rsidRPr="00DC5278">
              <w:rPr>
                <w:color w:val="000000"/>
              </w:rPr>
              <w:t>1.5%</w:t>
            </w:r>
          </w:p>
        </w:tc>
        <w:tc>
          <w:tcPr>
            <w:tcW w:w="2137" w:type="dxa"/>
            <w:tcBorders>
              <w:top w:val="nil"/>
              <w:left w:val="nil"/>
              <w:bottom w:val="nil"/>
              <w:right w:val="nil"/>
            </w:tcBorders>
            <w:shd w:val="clear" w:color="000000" w:fill="FFFFFF"/>
            <w:noWrap/>
            <w:vAlign w:val="center"/>
            <w:hideMark/>
          </w:tcPr>
          <w:p w14:paraId="74037F4A" w14:textId="77777777" w:rsidR="00751E59" w:rsidRPr="00DC5278" w:rsidRDefault="00751E59" w:rsidP="0085547B">
            <w:pPr>
              <w:keepNext/>
              <w:suppressAutoHyphens/>
              <w:jc w:val="right"/>
              <w:rPr>
                <w:color w:val="000000"/>
              </w:rPr>
            </w:pPr>
            <w:r w:rsidRPr="00DC5278">
              <w:rPr>
                <w:color w:val="000000"/>
              </w:rPr>
              <w:t>99.6%</w:t>
            </w:r>
          </w:p>
        </w:tc>
      </w:tr>
      <w:tr w:rsidR="00751E59" w:rsidRPr="00DC5278" w14:paraId="74037F54" w14:textId="77777777" w:rsidTr="00CD3ADA">
        <w:trPr>
          <w:trHeight w:val="255"/>
        </w:trPr>
        <w:tc>
          <w:tcPr>
            <w:tcW w:w="1795" w:type="dxa"/>
            <w:tcBorders>
              <w:top w:val="nil"/>
              <w:left w:val="nil"/>
              <w:bottom w:val="nil"/>
              <w:right w:val="nil"/>
            </w:tcBorders>
            <w:shd w:val="clear" w:color="000000" w:fill="FFFFFF"/>
            <w:noWrap/>
            <w:vAlign w:val="center"/>
            <w:hideMark/>
          </w:tcPr>
          <w:p w14:paraId="74037F4C" w14:textId="77777777" w:rsidR="00751E59" w:rsidRPr="00DC5278" w:rsidRDefault="00751E59" w:rsidP="0085547B">
            <w:pPr>
              <w:keepNext/>
              <w:suppressAutoHyphens/>
              <w:rPr>
                <w:color w:val="000000"/>
              </w:rPr>
            </w:pPr>
            <w:r w:rsidRPr="00DC5278">
              <w:rPr>
                <w:color w:val="000000"/>
              </w:rPr>
              <w:t>D: 11+ year phasing</w:t>
            </w:r>
          </w:p>
        </w:tc>
        <w:tc>
          <w:tcPr>
            <w:tcW w:w="705" w:type="dxa"/>
            <w:tcBorders>
              <w:top w:val="nil"/>
              <w:left w:val="nil"/>
              <w:bottom w:val="nil"/>
              <w:right w:val="nil"/>
            </w:tcBorders>
            <w:shd w:val="clear" w:color="000000" w:fill="FFFFFF"/>
            <w:noWrap/>
            <w:vAlign w:val="center"/>
            <w:hideMark/>
          </w:tcPr>
          <w:p w14:paraId="74037F4D" w14:textId="77777777" w:rsidR="00751E59" w:rsidRPr="00DC5278" w:rsidRDefault="00751E59" w:rsidP="0085547B">
            <w:pPr>
              <w:keepNext/>
              <w:suppressAutoHyphens/>
              <w:jc w:val="right"/>
              <w:rPr>
                <w:color w:val="000000"/>
              </w:rPr>
            </w:pPr>
            <w:r w:rsidRPr="00DC5278">
              <w:rPr>
                <w:color w:val="000000"/>
              </w:rPr>
              <w:t>241</w:t>
            </w:r>
          </w:p>
        </w:tc>
        <w:tc>
          <w:tcPr>
            <w:tcW w:w="777" w:type="dxa"/>
            <w:tcBorders>
              <w:top w:val="nil"/>
              <w:left w:val="nil"/>
              <w:bottom w:val="nil"/>
              <w:right w:val="nil"/>
            </w:tcBorders>
            <w:shd w:val="clear" w:color="000000" w:fill="FFFFFF"/>
            <w:noWrap/>
            <w:vAlign w:val="center"/>
            <w:hideMark/>
          </w:tcPr>
          <w:p w14:paraId="74037F4E" w14:textId="77777777" w:rsidR="00751E59" w:rsidRPr="00DC5278" w:rsidRDefault="00751E59" w:rsidP="0085547B">
            <w:pPr>
              <w:keepNext/>
              <w:suppressAutoHyphens/>
              <w:jc w:val="right"/>
              <w:rPr>
                <w:color w:val="000000"/>
              </w:rPr>
            </w:pPr>
            <w:r w:rsidRPr="00DC5278">
              <w:rPr>
                <w:color w:val="000000"/>
              </w:rPr>
              <w:t>2.1%</w:t>
            </w:r>
          </w:p>
        </w:tc>
        <w:tc>
          <w:tcPr>
            <w:tcW w:w="1229" w:type="dxa"/>
            <w:tcBorders>
              <w:top w:val="nil"/>
              <w:left w:val="nil"/>
              <w:bottom w:val="nil"/>
              <w:right w:val="nil"/>
            </w:tcBorders>
            <w:shd w:val="clear" w:color="000000" w:fill="FFFFFF"/>
            <w:noWrap/>
            <w:vAlign w:val="center"/>
            <w:hideMark/>
          </w:tcPr>
          <w:p w14:paraId="74037F4F" w14:textId="77777777" w:rsidR="00751E59" w:rsidRPr="00DC5278" w:rsidRDefault="00751E59" w:rsidP="0085547B">
            <w:pPr>
              <w:keepNext/>
              <w:suppressAutoHyphens/>
              <w:jc w:val="right"/>
              <w:rPr>
                <w:color w:val="000000"/>
              </w:rPr>
            </w:pPr>
            <w:r w:rsidRPr="00DC5278">
              <w:rPr>
                <w:color w:val="000000"/>
              </w:rPr>
              <w:t>98.5%</w:t>
            </w:r>
          </w:p>
        </w:tc>
        <w:tc>
          <w:tcPr>
            <w:tcW w:w="270" w:type="dxa"/>
            <w:tcBorders>
              <w:top w:val="nil"/>
              <w:left w:val="nil"/>
              <w:bottom w:val="nil"/>
              <w:right w:val="nil"/>
            </w:tcBorders>
            <w:shd w:val="clear" w:color="000000" w:fill="FFFFFF"/>
            <w:noWrap/>
            <w:vAlign w:val="center"/>
            <w:hideMark/>
          </w:tcPr>
          <w:p w14:paraId="74037F50" w14:textId="77777777" w:rsidR="00751E59" w:rsidRPr="00DC5278" w:rsidRDefault="00751E59" w:rsidP="0085547B">
            <w:pPr>
              <w:keepNext/>
              <w:suppressAutoHyphens/>
              <w:rPr>
                <w:color w:val="000000"/>
              </w:rPr>
            </w:pPr>
            <w:r w:rsidRPr="00DC5278">
              <w:rPr>
                <w:color w:val="000000"/>
              </w:rPr>
              <w:t> </w:t>
            </w:r>
          </w:p>
        </w:tc>
        <w:tc>
          <w:tcPr>
            <w:tcW w:w="1323" w:type="dxa"/>
            <w:tcBorders>
              <w:top w:val="nil"/>
              <w:left w:val="nil"/>
              <w:bottom w:val="nil"/>
              <w:right w:val="nil"/>
            </w:tcBorders>
            <w:shd w:val="clear" w:color="000000" w:fill="FFFFFF"/>
            <w:noWrap/>
            <w:vAlign w:val="center"/>
            <w:hideMark/>
          </w:tcPr>
          <w:p w14:paraId="74037F51" w14:textId="77777777" w:rsidR="00751E59" w:rsidRPr="00DC5278" w:rsidRDefault="00751E59" w:rsidP="0085547B">
            <w:pPr>
              <w:keepNext/>
              <w:suppressAutoHyphens/>
              <w:jc w:val="right"/>
              <w:rPr>
                <w:color w:val="000000"/>
              </w:rPr>
            </w:pPr>
            <w:r w:rsidRPr="00DC5278">
              <w:rPr>
                <w:color w:val="000000"/>
              </w:rPr>
              <w:t>45.2</w:t>
            </w:r>
          </w:p>
        </w:tc>
        <w:tc>
          <w:tcPr>
            <w:tcW w:w="885" w:type="dxa"/>
            <w:tcBorders>
              <w:top w:val="nil"/>
              <w:left w:val="nil"/>
              <w:bottom w:val="nil"/>
              <w:right w:val="nil"/>
            </w:tcBorders>
            <w:shd w:val="clear" w:color="000000" w:fill="FFFFFF"/>
            <w:noWrap/>
            <w:vAlign w:val="center"/>
            <w:hideMark/>
          </w:tcPr>
          <w:p w14:paraId="74037F52" w14:textId="77777777" w:rsidR="00751E59" w:rsidRPr="00DC5278" w:rsidRDefault="00751E59" w:rsidP="0085547B">
            <w:pPr>
              <w:keepNext/>
              <w:suppressAutoHyphens/>
              <w:jc w:val="right"/>
              <w:rPr>
                <w:color w:val="000000"/>
              </w:rPr>
            </w:pPr>
            <w:r w:rsidRPr="00DC5278">
              <w:rPr>
                <w:color w:val="000000"/>
              </w:rPr>
              <w:t>2.9%</w:t>
            </w:r>
          </w:p>
        </w:tc>
        <w:tc>
          <w:tcPr>
            <w:tcW w:w="2137" w:type="dxa"/>
            <w:tcBorders>
              <w:top w:val="nil"/>
              <w:left w:val="nil"/>
              <w:bottom w:val="nil"/>
              <w:right w:val="nil"/>
            </w:tcBorders>
            <w:shd w:val="clear" w:color="000000" w:fill="FFFFFF"/>
            <w:noWrap/>
            <w:vAlign w:val="center"/>
            <w:hideMark/>
          </w:tcPr>
          <w:p w14:paraId="74037F53" w14:textId="77777777" w:rsidR="00751E59" w:rsidRPr="00DC5278" w:rsidRDefault="00751E59" w:rsidP="0085547B">
            <w:pPr>
              <w:keepNext/>
              <w:suppressAutoHyphens/>
              <w:jc w:val="right"/>
              <w:rPr>
                <w:color w:val="000000"/>
              </w:rPr>
            </w:pPr>
            <w:r w:rsidRPr="00DC5278">
              <w:rPr>
                <w:color w:val="000000"/>
              </w:rPr>
              <w:t>99.7%</w:t>
            </w:r>
          </w:p>
        </w:tc>
      </w:tr>
      <w:tr w:rsidR="00751E59" w:rsidRPr="00DC5278" w14:paraId="74037F5D" w14:textId="77777777" w:rsidTr="00CD3ADA">
        <w:trPr>
          <w:trHeight w:val="255"/>
        </w:trPr>
        <w:tc>
          <w:tcPr>
            <w:tcW w:w="1795" w:type="dxa"/>
            <w:tcBorders>
              <w:top w:val="nil"/>
              <w:left w:val="nil"/>
              <w:bottom w:val="nil"/>
              <w:right w:val="nil"/>
            </w:tcBorders>
            <w:shd w:val="clear" w:color="000000" w:fill="FFFFFF"/>
            <w:noWrap/>
            <w:vAlign w:val="center"/>
            <w:hideMark/>
          </w:tcPr>
          <w:p w14:paraId="74037F55" w14:textId="77777777" w:rsidR="00751E59" w:rsidRPr="00DC5278" w:rsidRDefault="00751E59" w:rsidP="0085547B">
            <w:pPr>
              <w:keepNext/>
              <w:suppressAutoHyphens/>
              <w:rPr>
                <w:color w:val="000000"/>
              </w:rPr>
            </w:pPr>
            <w:r w:rsidRPr="00DC5278">
              <w:rPr>
                <w:color w:val="000000"/>
              </w:rPr>
              <w:t>Tariff reduction</w:t>
            </w:r>
          </w:p>
        </w:tc>
        <w:tc>
          <w:tcPr>
            <w:tcW w:w="705" w:type="dxa"/>
            <w:tcBorders>
              <w:top w:val="nil"/>
              <w:left w:val="nil"/>
              <w:bottom w:val="nil"/>
              <w:right w:val="nil"/>
            </w:tcBorders>
            <w:shd w:val="clear" w:color="000000" w:fill="FFFFFF"/>
            <w:noWrap/>
            <w:vAlign w:val="center"/>
            <w:hideMark/>
          </w:tcPr>
          <w:p w14:paraId="74037F56" w14:textId="32C9C50F" w:rsidR="00751E59" w:rsidRPr="00DC5278" w:rsidRDefault="00751E59" w:rsidP="008B4F98">
            <w:pPr>
              <w:keepNext/>
              <w:suppressAutoHyphens/>
              <w:jc w:val="right"/>
              <w:rPr>
                <w:color w:val="000000"/>
              </w:rPr>
            </w:pPr>
            <w:r w:rsidRPr="00DC5278">
              <w:rPr>
                <w:color w:val="000000"/>
              </w:rPr>
              <w:t xml:space="preserve">-   </w:t>
            </w:r>
          </w:p>
        </w:tc>
        <w:tc>
          <w:tcPr>
            <w:tcW w:w="777" w:type="dxa"/>
            <w:tcBorders>
              <w:top w:val="nil"/>
              <w:left w:val="nil"/>
              <w:bottom w:val="nil"/>
              <w:right w:val="nil"/>
            </w:tcBorders>
            <w:shd w:val="clear" w:color="000000" w:fill="FFFFFF"/>
            <w:noWrap/>
            <w:vAlign w:val="center"/>
            <w:hideMark/>
          </w:tcPr>
          <w:p w14:paraId="74037F57" w14:textId="0199AF76" w:rsidR="00751E59" w:rsidRPr="00DC5278" w:rsidRDefault="00751E59" w:rsidP="008B4F98">
            <w:pPr>
              <w:keepNext/>
              <w:suppressAutoHyphens/>
              <w:jc w:val="right"/>
              <w:rPr>
                <w:color w:val="000000"/>
              </w:rPr>
            </w:pPr>
            <w:r w:rsidRPr="00DC5278">
              <w:rPr>
                <w:color w:val="000000"/>
              </w:rPr>
              <w:t xml:space="preserve">-   </w:t>
            </w:r>
          </w:p>
        </w:tc>
        <w:tc>
          <w:tcPr>
            <w:tcW w:w="1229" w:type="dxa"/>
            <w:tcBorders>
              <w:top w:val="nil"/>
              <w:left w:val="nil"/>
              <w:bottom w:val="nil"/>
              <w:right w:val="nil"/>
            </w:tcBorders>
            <w:shd w:val="clear" w:color="000000" w:fill="FFFFFF"/>
            <w:noWrap/>
            <w:vAlign w:val="center"/>
            <w:hideMark/>
          </w:tcPr>
          <w:p w14:paraId="74037F58" w14:textId="77777777" w:rsidR="00751E59" w:rsidRPr="00DC5278" w:rsidRDefault="00751E59" w:rsidP="008B4F98">
            <w:pPr>
              <w:keepNext/>
              <w:suppressAutoHyphens/>
              <w:jc w:val="right"/>
              <w:rPr>
                <w:color w:val="000000"/>
              </w:rPr>
            </w:pPr>
            <w:r w:rsidRPr="00DC5278">
              <w:rPr>
                <w:color w:val="000000"/>
              </w:rPr>
              <w:t>98.5%</w:t>
            </w:r>
          </w:p>
        </w:tc>
        <w:tc>
          <w:tcPr>
            <w:tcW w:w="270" w:type="dxa"/>
            <w:tcBorders>
              <w:top w:val="nil"/>
              <w:left w:val="nil"/>
              <w:bottom w:val="nil"/>
              <w:right w:val="nil"/>
            </w:tcBorders>
            <w:shd w:val="clear" w:color="000000" w:fill="FFFFFF"/>
            <w:noWrap/>
            <w:vAlign w:val="center"/>
            <w:hideMark/>
          </w:tcPr>
          <w:p w14:paraId="74037F59" w14:textId="77777777" w:rsidR="00751E59" w:rsidRPr="00DC5278" w:rsidRDefault="00751E59" w:rsidP="008B4F98">
            <w:pPr>
              <w:keepNext/>
              <w:suppressAutoHyphens/>
              <w:jc w:val="right"/>
              <w:rPr>
                <w:color w:val="000000"/>
              </w:rPr>
            </w:pPr>
            <w:r w:rsidRPr="00DC5278">
              <w:rPr>
                <w:color w:val="000000"/>
              </w:rPr>
              <w:t> </w:t>
            </w:r>
          </w:p>
        </w:tc>
        <w:tc>
          <w:tcPr>
            <w:tcW w:w="1323" w:type="dxa"/>
            <w:tcBorders>
              <w:top w:val="nil"/>
              <w:left w:val="nil"/>
              <w:bottom w:val="nil"/>
              <w:right w:val="nil"/>
            </w:tcBorders>
            <w:shd w:val="clear" w:color="000000" w:fill="FFFFFF"/>
            <w:noWrap/>
            <w:vAlign w:val="center"/>
            <w:hideMark/>
          </w:tcPr>
          <w:p w14:paraId="74037F5A" w14:textId="77777777" w:rsidR="00751E59" w:rsidRPr="00DC5278" w:rsidRDefault="00751E59" w:rsidP="008B4F98">
            <w:pPr>
              <w:keepNext/>
              <w:suppressAutoHyphens/>
              <w:jc w:val="right"/>
              <w:rPr>
                <w:color w:val="000000"/>
              </w:rPr>
            </w:pPr>
            <w:r w:rsidRPr="00DC5278">
              <w:rPr>
                <w:color w:val="000000"/>
              </w:rPr>
              <w:t>0.0</w:t>
            </w:r>
          </w:p>
        </w:tc>
        <w:tc>
          <w:tcPr>
            <w:tcW w:w="885" w:type="dxa"/>
            <w:tcBorders>
              <w:top w:val="nil"/>
              <w:left w:val="nil"/>
              <w:bottom w:val="nil"/>
              <w:right w:val="nil"/>
            </w:tcBorders>
            <w:shd w:val="clear" w:color="000000" w:fill="FFFFFF"/>
            <w:noWrap/>
            <w:vAlign w:val="center"/>
            <w:hideMark/>
          </w:tcPr>
          <w:p w14:paraId="74037F5B" w14:textId="7FED01A1" w:rsidR="00751E59" w:rsidRPr="00DC5278" w:rsidRDefault="00751E59" w:rsidP="008B4F98">
            <w:pPr>
              <w:keepNext/>
              <w:suppressAutoHyphens/>
              <w:jc w:val="right"/>
              <w:rPr>
                <w:color w:val="000000"/>
              </w:rPr>
            </w:pPr>
            <w:r w:rsidRPr="00DC5278">
              <w:rPr>
                <w:color w:val="000000"/>
              </w:rPr>
              <w:t xml:space="preserve">-   </w:t>
            </w:r>
          </w:p>
        </w:tc>
        <w:tc>
          <w:tcPr>
            <w:tcW w:w="2137" w:type="dxa"/>
            <w:tcBorders>
              <w:top w:val="nil"/>
              <w:left w:val="nil"/>
              <w:bottom w:val="nil"/>
              <w:right w:val="nil"/>
            </w:tcBorders>
            <w:shd w:val="clear" w:color="000000" w:fill="FFFFFF"/>
            <w:noWrap/>
            <w:vAlign w:val="center"/>
            <w:hideMark/>
          </w:tcPr>
          <w:p w14:paraId="74037F5C" w14:textId="77777777" w:rsidR="00751E59" w:rsidRPr="00DC5278" w:rsidRDefault="00751E59" w:rsidP="008B4F98">
            <w:pPr>
              <w:keepNext/>
              <w:suppressAutoHyphens/>
              <w:jc w:val="right"/>
              <w:rPr>
                <w:color w:val="000000"/>
              </w:rPr>
            </w:pPr>
            <w:r w:rsidRPr="00DC5278">
              <w:rPr>
                <w:color w:val="000000"/>
              </w:rPr>
              <w:t>99.7%</w:t>
            </w:r>
          </w:p>
        </w:tc>
      </w:tr>
      <w:tr w:rsidR="00751E59" w:rsidRPr="00DC5278" w14:paraId="74037F66" w14:textId="77777777" w:rsidTr="00CD3ADA">
        <w:trPr>
          <w:trHeight w:val="255"/>
        </w:trPr>
        <w:tc>
          <w:tcPr>
            <w:tcW w:w="1795" w:type="dxa"/>
            <w:tcBorders>
              <w:top w:val="nil"/>
              <w:left w:val="nil"/>
              <w:bottom w:val="nil"/>
              <w:right w:val="nil"/>
            </w:tcBorders>
            <w:shd w:val="clear" w:color="000000" w:fill="FFFFFF"/>
            <w:noWrap/>
            <w:vAlign w:val="center"/>
            <w:hideMark/>
          </w:tcPr>
          <w:p w14:paraId="74037F5E" w14:textId="77777777" w:rsidR="00751E59" w:rsidRPr="00DC5278" w:rsidRDefault="00751E59" w:rsidP="0085547B">
            <w:pPr>
              <w:keepNext/>
              <w:suppressAutoHyphens/>
              <w:rPr>
                <w:color w:val="000000"/>
              </w:rPr>
            </w:pPr>
            <w:r w:rsidRPr="00DC5278">
              <w:rPr>
                <w:color w:val="000000"/>
              </w:rPr>
              <w:t>Quota</w:t>
            </w:r>
          </w:p>
        </w:tc>
        <w:tc>
          <w:tcPr>
            <w:tcW w:w="705" w:type="dxa"/>
            <w:tcBorders>
              <w:top w:val="nil"/>
              <w:left w:val="nil"/>
              <w:bottom w:val="nil"/>
              <w:right w:val="nil"/>
            </w:tcBorders>
            <w:shd w:val="clear" w:color="000000" w:fill="FFFFFF"/>
            <w:noWrap/>
            <w:vAlign w:val="center"/>
            <w:hideMark/>
          </w:tcPr>
          <w:p w14:paraId="74037F5F" w14:textId="77777777" w:rsidR="00751E59" w:rsidRPr="00DC5278" w:rsidRDefault="00751E59" w:rsidP="0085547B">
            <w:pPr>
              <w:keepNext/>
              <w:suppressAutoHyphens/>
              <w:jc w:val="right"/>
              <w:rPr>
                <w:color w:val="000000"/>
              </w:rPr>
            </w:pPr>
            <w:r w:rsidRPr="00DC5278">
              <w:rPr>
                <w:color w:val="000000"/>
              </w:rPr>
              <w:t>31</w:t>
            </w:r>
          </w:p>
        </w:tc>
        <w:tc>
          <w:tcPr>
            <w:tcW w:w="777" w:type="dxa"/>
            <w:tcBorders>
              <w:top w:val="nil"/>
              <w:left w:val="nil"/>
              <w:bottom w:val="nil"/>
              <w:right w:val="nil"/>
            </w:tcBorders>
            <w:shd w:val="clear" w:color="000000" w:fill="FFFFFF"/>
            <w:noWrap/>
            <w:vAlign w:val="center"/>
            <w:hideMark/>
          </w:tcPr>
          <w:p w14:paraId="74037F60" w14:textId="77777777" w:rsidR="00751E59" w:rsidRPr="00DC5278" w:rsidRDefault="00751E59" w:rsidP="0085547B">
            <w:pPr>
              <w:keepNext/>
              <w:suppressAutoHyphens/>
              <w:jc w:val="right"/>
              <w:rPr>
                <w:color w:val="000000"/>
              </w:rPr>
            </w:pPr>
            <w:r w:rsidRPr="00DC5278">
              <w:rPr>
                <w:color w:val="000000"/>
              </w:rPr>
              <w:t>0.3%</w:t>
            </w:r>
          </w:p>
        </w:tc>
        <w:tc>
          <w:tcPr>
            <w:tcW w:w="1229" w:type="dxa"/>
            <w:tcBorders>
              <w:top w:val="nil"/>
              <w:left w:val="nil"/>
              <w:bottom w:val="nil"/>
              <w:right w:val="nil"/>
            </w:tcBorders>
            <w:shd w:val="clear" w:color="000000" w:fill="FFFFFF"/>
            <w:noWrap/>
            <w:vAlign w:val="center"/>
            <w:hideMark/>
          </w:tcPr>
          <w:p w14:paraId="74037F61" w14:textId="77777777" w:rsidR="00751E59" w:rsidRPr="00DC5278" w:rsidRDefault="00751E59" w:rsidP="0085547B">
            <w:pPr>
              <w:keepNext/>
              <w:suppressAutoHyphens/>
              <w:jc w:val="right"/>
              <w:rPr>
                <w:color w:val="000000"/>
              </w:rPr>
            </w:pPr>
            <w:r w:rsidRPr="00DC5278">
              <w:rPr>
                <w:color w:val="000000"/>
              </w:rPr>
              <w:t>100.0%</w:t>
            </w:r>
          </w:p>
        </w:tc>
        <w:tc>
          <w:tcPr>
            <w:tcW w:w="270" w:type="dxa"/>
            <w:tcBorders>
              <w:top w:val="nil"/>
              <w:left w:val="nil"/>
              <w:bottom w:val="nil"/>
              <w:right w:val="nil"/>
            </w:tcBorders>
            <w:shd w:val="clear" w:color="000000" w:fill="FFFFFF"/>
            <w:noWrap/>
            <w:vAlign w:val="center"/>
            <w:hideMark/>
          </w:tcPr>
          <w:p w14:paraId="74037F62" w14:textId="77777777" w:rsidR="00751E59" w:rsidRPr="00DC5278" w:rsidRDefault="00751E59" w:rsidP="0085547B">
            <w:pPr>
              <w:keepNext/>
              <w:suppressAutoHyphens/>
              <w:rPr>
                <w:color w:val="000000"/>
              </w:rPr>
            </w:pPr>
            <w:r w:rsidRPr="00DC5278">
              <w:rPr>
                <w:color w:val="000000"/>
              </w:rPr>
              <w:t> </w:t>
            </w:r>
          </w:p>
        </w:tc>
        <w:tc>
          <w:tcPr>
            <w:tcW w:w="1323" w:type="dxa"/>
            <w:tcBorders>
              <w:top w:val="nil"/>
              <w:left w:val="nil"/>
              <w:bottom w:val="nil"/>
              <w:right w:val="nil"/>
            </w:tcBorders>
            <w:shd w:val="clear" w:color="000000" w:fill="FFFFFF"/>
            <w:noWrap/>
            <w:vAlign w:val="center"/>
            <w:hideMark/>
          </w:tcPr>
          <w:p w14:paraId="74037F63" w14:textId="77777777" w:rsidR="00751E59" w:rsidRPr="00DC5278" w:rsidRDefault="00751E59" w:rsidP="0085547B">
            <w:pPr>
              <w:keepNext/>
              <w:suppressAutoHyphens/>
              <w:jc w:val="right"/>
              <w:rPr>
                <w:color w:val="000000"/>
              </w:rPr>
            </w:pPr>
            <w:r w:rsidRPr="00DC5278">
              <w:rPr>
                <w:color w:val="000000"/>
              </w:rPr>
              <w:t>0.3</w:t>
            </w:r>
          </w:p>
        </w:tc>
        <w:tc>
          <w:tcPr>
            <w:tcW w:w="885" w:type="dxa"/>
            <w:tcBorders>
              <w:top w:val="nil"/>
              <w:left w:val="nil"/>
              <w:bottom w:val="nil"/>
              <w:right w:val="nil"/>
            </w:tcBorders>
            <w:shd w:val="clear" w:color="000000" w:fill="FFFFFF"/>
            <w:noWrap/>
            <w:vAlign w:val="center"/>
            <w:hideMark/>
          </w:tcPr>
          <w:p w14:paraId="74037F64" w14:textId="77777777" w:rsidR="00751E59" w:rsidRPr="00DC5278" w:rsidRDefault="00751E59" w:rsidP="0085547B">
            <w:pPr>
              <w:keepNext/>
              <w:suppressAutoHyphens/>
              <w:jc w:val="right"/>
              <w:rPr>
                <w:color w:val="000000"/>
              </w:rPr>
            </w:pPr>
            <w:r w:rsidRPr="00DC5278">
              <w:rPr>
                <w:color w:val="000000"/>
              </w:rPr>
              <w:t>0.0%</w:t>
            </w:r>
          </w:p>
        </w:tc>
        <w:tc>
          <w:tcPr>
            <w:tcW w:w="2137" w:type="dxa"/>
            <w:tcBorders>
              <w:top w:val="nil"/>
              <w:left w:val="nil"/>
              <w:bottom w:val="nil"/>
              <w:right w:val="nil"/>
            </w:tcBorders>
            <w:shd w:val="clear" w:color="000000" w:fill="FFFFFF"/>
            <w:noWrap/>
            <w:vAlign w:val="center"/>
            <w:hideMark/>
          </w:tcPr>
          <w:p w14:paraId="74037F65" w14:textId="77777777" w:rsidR="00751E59" w:rsidRPr="00DC5278" w:rsidRDefault="00751E59" w:rsidP="0085547B">
            <w:pPr>
              <w:keepNext/>
              <w:suppressAutoHyphens/>
              <w:jc w:val="right"/>
              <w:rPr>
                <w:color w:val="000000"/>
              </w:rPr>
            </w:pPr>
            <w:r w:rsidRPr="00DC5278">
              <w:rPr>
                <w:color w:val="000000"/>
              </w:rPr>
              <w:t>100.0%</w:t>
            </w:r>
          </w:p>
        </w:tc>
      </w:tr>
      <w:tr w:rsidR="00751E59" w:rsidRPr="00DC5278" w14:paraId="74037F6F" w14:textId="77777777" w:rsidTr="00CD3ADA">
        <w:trPr>
          <w:trHeight w:val="270"/>
        </w:trPr>
        <w:tc>
          <w:tcPr>
            <w:tcW w:w="1795" w:type="dxa"/>
            <w:tcBorders>
              <w:top w:val="nil"/>
              <w:left w:val="nil"/>
              <w:bottom w:val="single" w:sz="8" w:space="0" w:color="auto"/>
              <w:right w:val="nil"/>
            </w:tcBorders>
            <w:noWrap/>
            <w:vAlign w:val="bottom"/>
            <w:hideMark/>
          </w:tcPr>
          <w:p w14:paraId="74037F67" w14:textId="77777777" w:rsidR="00751E59" w:rsidRPr="00DC5278" w:rsidRDefault="00751E59" w:rsidP="0085547B">
            <w:pPr>
              <w:keepNext/>
              <w:suppressAutoHyphens/>
              <w:rPr>
                <w:color w:val="000000"/>
              </w:rPr>
            </w:pPr>
            <w:r w:rsidRPr="00DC5278">
              <w:rPr>
                <w:color w:val="000000"/>
              </w:rPr>
              <w:t>Total</w:t>
            </w:r>
          </w:p>
        </w:tc>
        <w:tc>
          <w:tcPr>
            <w:tcW w:w="705" w:type="dxa"/>
            <w:tcBorders>
              <w:top w:val="nil"/>
              <w:left w:val="nil"/>
              <w:bottom w:val="single" w:sz="8" w:space="0" w:color="auto"/>
              <w:right w:val="nil"/>
            </w:tcBorders>
            <w:shd w:val="clear" w:color="000000" w:fill="FFFFFF"/>
            <w:noWrap/>
            <w:vAlign w:val="center"/>
            <w:hideMark/>
          </w:tcPr>
          <w:p w14:paraId="74037F68" w14:textId="77777777" w:rsidR="00751E59" w:rsidRPr="00DC5278" w:rsidRDefault="00751E59" w:rsidP="0085547B">
            <w:pPr>
              <w:keepNext/>
              <w:suppressAutoHyphens/>
              <w:jc w:val="right"/>
              <w:rPr>
                <w:color w:val="000000"/>
              </w:rPr>
            </w:pPr>
            <w:r w:rsidRPr="00DC5278">
              <w:rPr>
                <w:color w:val="000000"/>
              </w:rPr>
              <w:t>9,159</w:t>
            </w:r>
          </w:p>
        </w:tc>
        <w:tc>
          <w:tcPr>
            <w:tcW w:w="777" w:type="dxa"/>
            <w:tcBorders>
              <w:top w:val="nil"/>
              <w:left w:val="nil"/>
              <w:bottom w:val="single" w:sz="8" w:space="0" w:color="auto"/>
              <w:right w:val="nil"/>
            </w:tcBorders>
            <w:shd w:val="clear" w:color="000000" w:fill="FFFFFF"/>
            <w:noWrap/>
            <w:vAlign w:val="center"/>
            <w:hideMark/>
          </w:tcPr>
          <w:p w14:paraId="74037F69" w14:textId="77777777" w:rsidR="00751E59" w:rsidRPr="00DC5278" w:rsidRDefault="00751E59" w:rsidP="0085547B">
            <w:pPr>
              <w:keepNext/>
              <w:suppressAutoHyphens/>
              <w:jc w:val="right"/>
              <w:rPr>
                <w:color w:val="000000"/>
              </w:rPr>
            </w:pPr>
            <w:r w:rsidRPr="00DC5278">
              <w:rPr>
                <w:color w:val="000000"/>
              </w:rPr>
              <w:t>99.4%</w:t>
            </w:r>
          </w:p>
        </w:tc>
        <w:tc>
          <w:tcPr>
            <w:tcW w:w="1229" w:type="dxa"/>
            <w:tcBorders>
              <w:top w:val="nil"/>
              <w:left w:val="nil"/>
              <w:bottom w:val="single" w:sz="8" w:space="0" w:color="auto"/>
              <w:right w:val="nil"/>
            </w:tcBorders>
            <w:shd w:val="clear" w:color="000000" w:fill="FFFFFF"/>
            <w:noWrap/>
            <w:vAlign w:val="center"/>
            <w:hideMark/>
          </w:tcPr>
          <w:p w14:paraId="74037F6A" w14:textId="77777777" w:rsidR="00751E59" w:rsidRPr="00DC5278" w:rsidRDefault="00751E59" w:rsidP="0085547B">
            <w:pPr>
              <w:keepNext/>
              <w:suppressAutoHyphens/>
              <w:jc w:val="right"/>
              <w:rPr>
                <w:color w:val="000000"/>
              </w:rPr>
            </w:pPr>
            <w:r w:rsidRPr="00DC5278">
              <w:rPr>
                <w:color w:val="000000"/>
              </w:rPr>
              <w:t>100.0%</w:t>
            </w:r>
          </w:p>
        </w:tc>
        <w:tc>
          <w:tcPr>
            <w:tcW w:w="270" w:type="dxa"/>
            <w:tcBorders>
              <w:top w:val="nil"/>
              <w:left w:val="nil"/>
              <w:bottom w:val="single" w:sz="8" w:space="0" w:color="auto"/>
              <w:right w:val="nil"/>
            </w:tcBorders>
            <w:shd w:val="clear" w:color="000000" w:fill="FFFFFF"/>
            <w:noWrap/>
            <w:vAlign w:val="center"/>
            <w:hideMark/>
          </w:tcPr>
          <w:p w14:paraId="74037F6B" w14:textId="77777777" w:rsidR="00751E59" w:rsidRPr="00DC5278" w:rsidRDefault="00751E59" w:rsidP="0085547B">
            <w:pPr>
              <w:keepNext/>
              <w:suppressAutoHyphens/>
              <w:rPr>
                <w:color w:val="000000"/>
              </w:rPr>
            </w:pPr>
            <w:r w:rsidRPr="00DC5278">
              <w:rPr>
                <w:color w:val="000000"/>
              </w:rPr>
              <w:t> </w:t>
            </w:r>
          </w:p>
        </w:tc>
        <w:tc>
          <w:tcPr>
            <w:tcW w:w="1323" w:type="dxa"/>
            <w:tcBorders>
              <w:top w:val="nil"/>
              <w:left w:val="nil"/>
              <w:bottom w:val="single" w:sz="8" w:space="0" w:color="auto"/>
              <w:right w:val="nil"/>
            </w:tcBorders>
            <w:shd w:val="clear" w:color="000000" w:fill="FFFFFF"/>
            <w:noWrap/>
            <w:vAlign w:val="center"/>
            <w:hideMark/>
          </w:tcPr>
          <w:p w14:paraId="74037F6C" w14:textId="77777777" w:rsidR="00751E59" w:rsidRPr="00DC5278" w:rsidRDefault="00751E59" w:rsidP="0085547B">
            <w:pPr>
              <w:keepNext/>
              <w:suppressAutoHyphens/>
              <w:jc w:val="right"/>
              <w:rPr>
                <w:color w:val="000000"/>
              </w:rPr>
            </w:pPr>
            <w:r w:rsidRPr="00DC5278">
              <w:rPr>
                <w:color w:val="000000"/>
              </w:rPr>
              <w:t>1,538.4</w:t>
            </w:r>
          </w:p>
        </w:tc>
        <w:tc>
          <w:tcPr>
            <w:tcW w:w="885" w:type="dxa"/>
            <w:tcBorders>
              <w:top w:val="nil"/>
              <w:left w:val="nil"/>
              <w:bottom w:val="single" w:sz="8" w:space="0" w:color="auto"/>
              <w:right w:val="nil"/>
            </w:tcBorders>
            <w:shd w:val="clear" w:color="000000" w:fill="FFFFFF"/>
            <w:noWrap/>
            <w:vAlign w:val="center"/>
            <w:hideMark/>
          </w:tcPr>
          <w:p w14:paraId="74037F6D" w14:textId="77777777" w:rsidR="00751E59" w:rsidRPr="00DC5278" w:rsidRDefault="00751E59" w:rsidP="0085547B">
            <w:pPr>
              <w:keepNext/>
              <w:suppressAutoHyphens/>
              <w:jc w:val="right"/>
              <w:rPr>
                <w:color w:val="000000"/>
              </w:rPr>
            </w:pPr>
            <w:r w:rsidRPr="00DC5278">
              <w:rPr>
                <w:color w:val="000000"/>
              </w:rPr>
              <w:t>100.0%</w:t>
            </w:r>
          </w:p>
        </w:tc>
        <w:tc>
          <w:tcPr>
            <w:tcW w:w="2137" w:type="dxa"/>
            <w:tcBorders>
              <w:top w:val="nil"/>
              <w:left w:val="nil"/>
              <w:bottom w:val="single" w:sz="8" w:space="0" w:color="auto"/>
              <w:right w:val="nil"/>
            </w:tcBorders>
            <w:shd w:val="clear" w:color="000000" w:fill="FFFFFF"/>
            <w:noWrap/>
            <w:vAlign w:val="center"/>
            <w:hideMark/>
          </w:tcPr>
          <w:p w14:paraId="74037F6E" w14:textId="77777777" w:rsidR="00751E59" w:rsidRPr="00DC5278" w:rsidRDefault="00751E59" w:rsidP="0085547B">
            <w:pPr>
              <w:keepNext/>
              <w:suppressAutoHyphens/>
              <w:jc w:val="right"/>
              <w:rPr>
                <w:color w:val="000000"/>
              </w:rPr>
            </w:pPr>
            <w:r w:rsidRPr="00DC5278">
              <w:rPr>
                <w:color w:val="000000"/>
              </w:rPr>
              <w:t>100.0%</w:t>
            </w:r>
          </w:p>
        </w:tc>
      </w:tr>
    </w:tbl>
    <w:p w14:paraId="74037F70" w14:textId="77777777" w:rsidR="00BC1E8B" w:rsidRPr="00DC5278" w:rsidRDefault="00BC1E8B" w:rsidP="0085547B">
      <w:pPr>
        <w:pStyle w:val="Body"/>
        <w:keepNext/>
        <w:suppressAutoHyphens/>
        <w:spacing w:after="120"/>
        <w:rPr>
          <w:rFonts w:hAnsi="Times New Roman" w:cs="Times New Roman"/>
          <w:b/>
          <w:i/>
          <w:color w:val="auto"/>
          <w:u w:color="414042"/>
          <w:lang w:val="en-AU"/>
        </w:rPr>
      </w:pPr>
    </w:p>
    <w:p w14:paraId="74037F71" w14:textId="77777777" w:rsidR="005B6B31" w:rsidRPr="00DC5278" w:rsidRDefault="005B6B31" w:rsidP="0085547B">
      <w:pPr>
        <w:pStyle w:val="Body"/>
        <w:widowControl w:val="0"/>
        <w:suppressAutoHyphens/>
        <w:spacing w:after="200"/>
        <w:rPr>
          <w:rFonts w:hAnsi="Times New Roman" w:cs="Times New Roman"/>
          <w:color w:val="auto"/>
          <w:u w:color="414042"/>
          <w:lang w:val="en-AU"/>
        </w:rPr>
      </w:pPr>
      <w:r w:rsidRPr="00DC5278">
        <w:rPr>
          <w:rFonts w:hAnsi="Times New Roman" w:cs="Times New Roman"/>
          <w:b/>
          <w:bCs/>
          <w:i/>
          <w:iCs/>
          <w:color w:val="auto"/>
          <w:u w:color="414042"/>
          <w:lang w:val="en-AU"/>
        </w:rPr>
        <w:t>Agriculture</w:t>
      </w:r>
    </w:p>
    <w:p w14:paraId="2F920222" w14:textId="7608AA7D" w:rsidR="0067614A" w:rsidRPr="0067614A" w:rsidRDefault="0067614A" w:rsidP="0067614A">
      <w:pPr>
        <w:pStyle w:val="Body"/>
        <w:keepNext/>
        <w:widowControl w:val="0"/>
        <w:numPr>
          <w:ilvl w:val="0"/>
          <w:numId w:val="68"/>
        </w:numPr>
        <w:suppressAutoHyphens/>
        <w:spacing w:after="200"/>
        <w:rPr>
          <w:rFonts w:hAnsi="Times New Roman" w:cs="Times New Roman"/>
          <w:bCs/>
          <w:color w:val="auto"/>
          <w:u w:color="414042"/>
          <w:lang w:val="en-AU"/>
        </w:rPr>
      </w:pPr>
      <w:r w:rsidRPr="0067614A">
        <w:rPr>
          <w:rFonts w:hAnsi="Times New Roman" w:cs="Times New Roman"/>
          <w:color w:val="auto"/>
          <w:u w:color="414042"/>
          <w:lang w:val="en-AU"/>
        </w:rPr>
        <w:t xml:space="preserve">Australia exported around $12 billion worth of agricultural goods to TPP-11 countries in 2016-17, representing close to 23 per cent of Australia’s total exports of these products.  The TPP-11 will eliminate tariffs on more than $4.3 billion of Australia’s dutiable exports of agricultural goods to TPP-11 countries.  A further $2.1 billion of Australia’s dutiable exports will receive significant preferential </w:t>
      </w:r>
      <w:r w:rsidRPr="0067614A">
        <w:rPr>
          <w:rFonts w:hAnsi="Times New Roman" w:cs="Times New Roman"/>
          <w:color w:val="auto"/>
          <w:u w:color="414042"/>
          <w:lang w:val="en-AU"/>
        </w:rPr>
        <w:lastRenderedPageBreak/>
        <w:t>access through new quotas and tariff reductions.</w:t>
      </w:r>
    </w:p>
    <w:p w14:paraId="74037F73" w14:textId="50703B25" w:rsidR="00BC1E8B" w:rsidRPr="0067614A" w:rsidRDefault="005B6B31" w:rsidP="0067614A">
      <w:pPr>
        <w:pStyle w:val="Body"/>
        <w:keepNext/>
        <w:widowControl w:val="0"/>
        <w:suppressAutoHyphens/>
        <w:spacing w:after="200"/>
        <w:rPr>
          <w:rFonts w:hAnsi="Times New Roman" w:cs="Times New Roman"/>
          <w:b/>
          <w:bCs/>
          <w:color w:val="auto"/>
          <w:u w:color="414042"/>
          <w:lang w:val="en-AU"/>
        </w:rPr>
      </w:pPr>
      <w:r w:rsidRPr="0067614A">
        <w:rPr>
          <w:rFonts w:hAnsi="Times New Roman" w:cs="Times New Roman"/>
          <w:b/>
          <w:bCs/>
          <w:color w:val="auto"/>
          <w:u w:color="414042"/>
          <w:lang w:val="en-AU"/>
        </w:rPr>
        <w:t xml:space="preserve">Table </w:t>
      </w:r>
      <w:r w:rsidR="00E009F5" w:rsidRPr="0067614A">
        <w:rPr>
          <w:rFonts w:hAnsi="Times New Roman" w:cs="Times New Roman"/>
          <w:b/>
          <w:bCs/>
          <w:color w:val="auto"/>
          <w:u w:color="414042"/>
          <w:lang w:val="en-AU"/>
        </w:rPr>
        <w:t>3</w:t>
      </w:r>
      <w:r w:rsidRPr="0067614A">
        <w:rPr>
          <w:rFonts w:hAnsi="Times New Roman" w:cs="Times New Roman"/>
          <w:b/>
          <w:bCs/>
          <w:color w:val="auto"/>
          <w:u w:color="414042"/>
          <w:lang w:val="en-AU"/>
        </w:rPr>
        <w:t>: Key agricultural market access outcomes for Australia</w:t>
      </w:r>
    </w:p>
    <w:tbl>
      <w:tblPr>
        <w:tblStyle w:val="TableGrid"/>
        <w:tblW w:w="0" w:type="auto"/>
        <w:tblLook w:val="04A0" w:firstRow="1" w:lastRow="0" w:firstColumn="1" w:lastColumn="0" w:noHBand="0" w:noVBand="1"/>
        <w:tblDescription w:val="This table summarises the key agricultural market access outcomes for Australia."/>
      </w:tblPr>
      <w:tblGrid>
        <w:gridCol w:w="1597"/>
        <w:gridCol w:w="6699"/>
      </w:tblGrid>
      <w:tr w:rsidR="005B6B31" w:rsidRPr="00DC5278" w14:paraId="74037F76" w14:textId="77777777" w:rsidTr="005B6B31">
        <w:trPr>
          <w:trHeight w:val="248"/>
          <w:tblHeader/>
        </w:trPr>
        <w:tc>
          <w:tcPr>
            <w:tcW w:w="0" w:type="auto"/>
            <w:shd w:val="clear" w:color="auto" w:fill="BFBFBF" w:themeFill="background2"/>
          </w:tcPr>
          <w:p w14:paraId="74037F74" w14:textId="77777777" w:rsidR="005B6B31" w:rsidRPr="00DC5278" w:rsidRDefault="005B6B31" w:rsidP="0085547B">
            <w:pPr>
              <w:pStyle w:val="Body"/>
              <w:keepNext/>
              <w:suppressAutoHyphens/>
              <w:jc w:val="center"/>
              <w:rPr>
                <w:rFonts w:hAnsi="Times New Roman" w:cs="Times New Roman"/>
                <w:color w:val="auto"/>
                <w:lang w:val="en-AU"/>
              </w:rPr>
            </w:pPr>
            <w:r w:rsidRPr="00DC5278">
              <w:rPr>
                <w:rFonts w:hAnsi="Times New Roman" w:cs="Times New Roman"/>
                <w:b/>
                <w:bCs/>
                <w:color w:val="auto"/>
                <w:u w:color="414042"/>
                <w:lang w:val="en-AU"/>
              </w:rPr>
              <w:t>Sector</w:t>
            </w:r>
          </w:p>
        </w:tc>
        <w:tc>
          <w:tcPr>
            <w:tcW w:w="0" w:type="auto"/>
            <w:shd w:val="clear" w:color="auto" w:fill="BFBFBF" w:themeFill="background2"/>
          </w:tcPr>
          <w:p w14:paraId="74037F75" w14:textId="77777777" w:rsidR="005B6B31" w:rsidRPr="00DC5278" w:rsidRDefault="005B6B31" w:rsidP="0085547B">
            <w:pPr>
              <w:pStyle w:val="Body"/>
              <w:keepNext/>
              <w:suppressAutoHyphens/>
              <w:jc w:val="center"/>
              <w:rPr>
                <w:rFonts w:hAnsi="Times New Roman" w:cs="Times New Roman"/>
                <w:color w:val="auto"/>
                <w:lang w:val="en-AU"/>
              </w:rPr>
            </w:pPr>
            <w:r w:rsidRPr="00DC5278">
              <w:rPr>
                <w:rFonts w:hAnsi="Times New Roman" w:cs="Times New Roman"/>
                <w:b/>
                <w:bCs/>
                <w:color w:val="auto"/>
                <w:u w:color="414042"/>
                <w:lang w:val="en-AU"/>
              </w:rPr>
              <w:t>Summary Outcomes</w:t>
            </w:r>
          </w:p>
        </w:tc>
      </w:tr>
      <w:tr w:rsidR="005B6B31" w:rsidRPr="00DC5278" w14:paraId="74037F86" w14:textId="77777777" w:rsidTr="00E33A00">
        <w:trPr>
          <w:trHeight w:val="5996"/>
        </w:trPr>
        <w:tc>
          <w:tcPr>
            <w:tcW w:w="0" w:type="auto"/>
          </w:tcPr>
          <w:p w14:paraId="74037F7B" w14:textId="21C70894" w:rsidR="005B6B31" w:rsidRPr="00DC5278" w:rsidRDefault="005B6B31" w:rsidP="008B4F98">
            <w:pPr>
              <w:pStyle w:val="Body"/>
              <w:keepNext/>
              <w:suppressAutoHyphens/>
              <w:spacing w:after="200"/>
              <w:rPr>
                <w:rFonts w:hAnsi="Times New Roman" w:cs="Times New Roman"/>
                <w:color w:val="auto"/>
                <w:lang w:val="en-AU"/>
              </w:rPr>
            </w:pPr>
            <w:r w:rsidRPr="00DC5278">
              <w:rPr>
                <w:rFonts w:hAnsi="Times New Roman" w:cs="Times New Roman"/>
                <w:b/>
                <w:bCs/>
                <w:color w:val="auto"/>
                <w:u w:color="414042"/>
                <w:lang w:val="en-AU"/>
              </w:rPr>
              <w:t>Beef</w:t>
            </w:r>
          </w:p>
        </w:tc>
        <w:tc>
          <w:tcPr>
            <w:tcW w:w="0" w:type="auto"/>
          </w:tcPr>
          <w:p w14:paraId="74037F7D" w14:textId="4C99E0D6" w:rsidR="005B6B31" w:rsidRPr="00DC5278" w:rsidRDefault="00E33A00" w:rsidP="0085547B">
            <w:pPr>
              <w:pStyle w:val="Body"/>
              <w:keepNext/>
              <w:suppressAutoHyphens/>
              <w:rPr>
                <w:rFonts w:eastAsia="Arial" w:hAnsi="Times New Roman" w:cs="Times New Roman"/>
                <w:color w:val="auto"/>
                <w:u w:color="414042"/>
                <w:lang w:val="en-AU"/>
              </w:rPr>
            </w:pPr>
            <w:r w:rsidRPr="00E33A00">
              <w:rPr>
                <w:rFonts w:hAnsi="Times New Roman" w:cs="Times New Roman"/>
                <w:color w:val="auto"/>
                <w:u w:color="414042"/>
                <w:lang w:val="en-AU"/>
              </w:rPr>
              <w:t>Around 33 per cent of Australia’s beef exports go to TPP-11 markets. Beef is Australia’s largest single agricultural goods export, worth $7.8 billion in 2016-17.</w:t>
            </w:r>
            <w:r w:rsidR="00360013">
              <w:rPr>
                <w:rFonts w:hAnsi="Times New Roman" w:cs="Times New Roman"/>
                <w:color w:val="auto"/>
                <w:u w:color="414042"/>
                <w:lang w:val="en-AU"/>
              </w:rPr>
              <w:t xml:space="preserve">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market access outcomes for Australian beef producers and exporters include:</w:t>
            </w:r>
          </w:p>
          <w:p w14:paraId="5C031C4B" w14:textId="77E221BD" w:rsidR="00E33A00" w:rsidRPr="00E33A00" w:rsidRDefault="00E33A00" w:rsidP="00E33A00">
            <w:pPr>
              <w:pStyle w:val="ListParagraph"/>
              <w:keepNext/>
              <w:numPr>
                <w:ilvl w:val="0"/>
                <w:numId w:val="73"/>
              </w:numPr>
              <w:suppressAutoHyphens/>
              <w:rPr>
                <w:rFonts w:ascii="Times New Roman" w:hAnsi="Times New Roman" w:cs="Times New Roman"/>
                <w:sz w:val="24"/>
                <w:szCs w:val="24"/>
                <w:u w:color="414042"/>
              </w:rPr>
            </w:pPr>
            <w:r w:rsidRPr="00E33A00">
              <w:rPr>
                <w:rFonts w:ascii="Times New Roman" w:hAnsi="Times New Roman" w:cs="Times New Roman"/>
                <w:sz w:val="24"/>
                <w:szCs w:val="24"/>
                <w:u w:color="414042"/>
              </w:rPr>
              <w:t xml:space="preserve">Japan’s beef tariffs will be reduced to 9 per cent within 15 years of entry into force of the TPP-11.  Australian fresh, chilled and frozen beef exports to Japan were valued at $2.1 billion in </w:t>
            </w:r>
            <w:proofErr w:type="gramStart"/>
            <w:r w:rsidRPr="00E33A00">
              <w:rPr>
                <w:rFonts w:ascii="Times New Roman" w:hAnsi="Times New Roman" w:cs="Times New Roman"/>
                <w:sz w:val="24"/>
                <w:szCs w:val="24"/>
                <w:u w:color="414042"/>
              </w:rPr>
              <w:t>2016-17;</w:t>
            </w:r>
            <w:proofErr w:type="gramEnd"/>
            <w:r w:rsidRPr="00E33A00">
              <w:rPr>
                <w:rFonts w:ascii="Times New Roman" w:hAnsi="Times New Roman" w:cs="Times New Roman"/>
                <w:sz w:val="24"/>
                <w:szCs w:val="24"/>
                <w:u w:color="414042"/>
              </w:rPr>
              <w:t xml:space="preserve">  </w:t>
            </w:r>
          </w:p>
          <w:p w14:paraId="7E61440E" w14:textId="77777777" w:rsidR="00E33A00" w:rsidRPr="00E33A00" w:rsidRDefault="00E33A00" w:rsidP="00E33A00">
            <w:pPr>
              <w:pStyle w:val="ListParagraph"/>
              <w:keepNext/>
              <w:numPr>
                <w:ilvl w:val="0"/>
                <w:numId w:val="73"/>
              </w:numPr>
              <w:suppressAutoHyphens/>
              <w:rPr>
                <w:rFonts w:ascii="Times New Roman" w:hAnsi="Times New Roman" w:cs="Times New Roman"/>
                <w:sz w:val="24"/>
                <w:szCs w:val="24"/>
                <w:u w:color="414042"/>
              </w:rPr>
            </w:pPr>
            <w:proofErr w:type="gramStart"/>
            <w:r w:rsidRPr="00E33A00">
              <w:rPr>
                <w:rFonts w:ascii="Times New Roman" w:hAnsi="Times New Roman" w:cs="Times New Roman"/>
                <w:sz w:val="24"/>
                <w:szCs w:val="24"/>
                <w:u w:color="414042"/>
              </w:rPr>
              <w:t>The majority of</w:t>
            </w:r>
            <w:proofErr w:type="gramEnd"/>
            <w:r w:rsidRPr="00E33A00">
              <w:rPr>
                <w:rFonts w:ascii="Times New Roman" w:hAnsi="Times New Roman" w:cs="Times New Roman"/>
                <w:sz w:val="24"/>
                <w:szCs w:val="24"/>
                <w:u w:color="414042"/>
              </w:rPr>
              <w:t xml:space="preserve"> Japan’s tariffs on offal will be eliminated over 10 to 15 years of entry into force of the TPP-11, and tariffs on cheek and head meat significantly reduced to 9 per cent within 15 years of entry into force of the TPP-11.  Australian offal exports to Japan were valued at $255 million in </w:t>
            </w:r>
            <w:proofErr w:type="gramStart"/>
            <w:r w:rsidRPr="00E33A00">
              <w:rPr>
                <w:rFonts w:ascii="Times New Roman" w:hAnsi="Times New Roman" w:cs="Times New Roman"/>
                <w:sz w:val="24"/>
                <w:szCs w:val="24"/>
                <w:u w:color="414042"/>
              </w:rPr>
              <w:t>2016-17;</w:t>
            </w:r>
            <w:proofErr w:type="gramEnd"/>
          </w:p>
          <w:p w14:paraId="4D1C43A6" w14:textId="77777777" w:rsidR="005B6B31" w:rsidRDefault="00E33A00" w:rsidP="00360013">
            <w:pPr>
              <w:pStyle w:val="ListParagraph"/>
              <w:keepNext/>
              <w:numPr>
                <w:ilvl w:val="0"/>
                <w:numId w:val="73"/>
              </w:numPr>
              <w:suppressAutoHyphens/>
              <w:rPr>
                <w:rFonts w:ascii="Times New Roman" w:hAnsi="Times New Roman" w:cs="Times New Roman"/>
                <w:sz w:val="24"/>
                <w:szCs w:val="24"/>
                <w:u w:color="414042"/>
              </w:rPr>
            </w:pPr>
            <w:r w:rsidRPr="00E33A00">
              <w:rPr>
                <w:rFonts w:ascii="Times New Roman" w:hAnsi="Times New Roman" w:cs="Times New Roman"/>
                <w:sz w:val="24"/>
                <w:szCs w:val="24"/>
                <w:u w:color="414042"/>
              </w:rPr>
              <w:t xml:space="preserve">Elimination of Japanese tariffs on processed meat products within 15 years of entry into force of the TPP-11.  Australian exports of these products to Japan were valued at $25 million in </w:t>
            </w:r>
            <w:proofErr w:type="gramStart"/>
            <w:r w:rsidRPr="00E33A00">
              <w:rPr>
                <w:rFonts w:ascii="Times New Roman" w:hAnsi="Times New Roman" w:cs="Times New Roman"/>
                <w:sz w:val="24"/>
                <w:szCs w:val="24"/>
                <w:u w:color="414042"/>
              </w:rPr>
              <w:t>2016-17;</w:t>
            </w:r>
            <w:proofErr w:type="gramEnd"/>
            <w:r w:rsidRPr="00E33A00">
              <w:rPr>
                <w:rFonts w:ascii="Times New Roman" w:hAnsi="Times New Roman" w:cs="Times New Roman"/>
                <w:sz w:val="24"/>
                <w:szCs w:val="24"/>
                <w:u w:color="414042"/>
              </w:rPr>
              <w:t xml:space="preserve"> </w:t>
            </w:r>
          </w:p>
          <w:p w14:paraId="67DD0BB9" w14:textId="77777777" w:rsidR="00360013" w:rsidRDefault="00360013" w:rsidP="00360013">
            <w:pPr>
              <w:pStyle w:val="ListParagraph"/>
              <w:keepNext/>
              <w:numPr>
                <w:ilvl w:val="0"/>
                <w:numId w:val="73"/>
              </w:numPr>
              <w:suppressAutoHyphens/>
              <w:rPr>
                <w:rFonts w:ascii="Times New Roman" w:hAnsi="Times New Roman" w:cs="Times New Roman"/>
                <w:sz w:val="24"/>
                <w:szCs w:val="24"/>
                <w:u w:color="414042"/>
              </w:rPr>
            </w:pPr>
            <w:r>
              <w:rPr>
                <w:rFonts w:ascii="Times New Roman" w:hAnsi="Times New Roman" w:cs="Times New Roman"/>
                <w:sz w:val="24"/>
                <w:szCs w:val="24"/>
                <w:u w:color="414042"/>
              </w:rPr>
              <w:t xml:space="preserve">Elimination of Canadian beef tariffs (currently 26.5 per cent) within five years of entry into force of the TPP-11.  Australian beef exports to Canada were valued at more than $101 million in </w:t>
            </w:r>
            <w:proofErr w:type="gramStart"/>
            <w:r>
              <w:rPr>
                <w:rFonts w:ascii="Times New Roman" w:hAnsi="Times New Roman" w:cs="Times New Roman"/>
                <w:sz w:val="24"/>
                <w:szCs w:val="24"/>
                <w:u w:color="414042"/>
              </w:rPr>
              <w:t>2016-17;</w:t>
            </w:r>
            <w:proofErr w:type="gramEnd"/>
          </w:p>
          <w:p w14:paraId="77775E4C" w14:textId="77777777" w:rsidR="00360013" w:rsidRDefault="00360013" w:rsidP="00360013">
            <w:pPr>
              <w:pStyle w:val="ListParagraph"/>
              <w:keepNext/>
              <w:numPr>
                <w:ilvl w:val="0"/>
                <w:numId w:val="73"/>
              </w:numPr>
              <w:suppressAutoHyphens/>
              <w:rPr>
                <w:rFonts w:ascii="Times New Roman" w:hAnsi="Times New Roman" w:cs="Times New Roman"/>
                <w:sz w:val="24"/>
                <w:szCs w:val="24"/>
                <w:u w:color="414042"/>
              </w:rPr>
            </w:pPr>
            <w:r>
              <w:rPr>
                <w:rFonts w:ascii="Times New Roman" w:hAnsi="Times New Roman" w:cs="Times New Roman"/>
                <w:sz w:val="24"/>
                <w:szCs w:val="24"/>
                <w:u w:color="414042"/>
              </w:rPr>
              <w:t xml:space="preserve">Elimination of all Mexican tariffs on beef carcasses and cuts (currently up to 25 per cent) within 10 years of entry into force of the TPP-11; and </w:t>
            </w:r>
          </w:p>
          <w:p w14:paraId="74037F85" w14:textId="30B8AA88" w:rsidR="00360013" w:rsidRPr="00360013" w:rsidRDefault="00360013" w:rsidP="00360013">
            <w:pPr>
              <w:pStyle w:val="ListParagraph"/>
              <w:keepNext/>
              <w:numPr>
                <w:ilvl w:val="0"/>
                <w:numId w:val="73"/>
              </w:numPr>
              <w:suppressAutoHyphens/>
              <w:rPr>
                <w:rFonts w:ascii="Times New Roman" w:hAnsi="Times New Roman" w:cs="Times New Roman"/>
                <w:sz w:val="24"/>
                <w:szCs w:val="24"/>
                <w:u w:color="414042"/>
              </w:rPr>
            </w:pPr>
            <w:r>
              <w:rPr>
                <w:rFonts w:ascii="Times New Roman" w:hAnsi="Times New Roman" w:cs="Times New Roman"/>
                <w:sz w:val="24"/>
                <w:szCs w:val="24"/>
                <w:u w:color="414042"/>
              </w:rPr>
              <w:t>Elimination of Mexico’s tariff (currently 20 per cent) on “other offal” (used for taco meat) from entry into force of the TPP-11.  Australian exports of this product were valued at around $2.2 million in 2016-17.</w:t>
            </w:r>
          </w:p>
        </w:tc>
      </w:tr>
      <w:tr w:rsidR="005B6B31" w:rsidRPr="00DC5278" w14:paraId="74037F8C" w14:textId="77777777" w:rsidTr="005B6B31">
        <w:trPr>
          <w:trHeight w:val="2721"/>
        </w:trPr>
        <w:tc>
          <w:tcPr>
            <w:tcW w:w="0" w:type="auto"/>
          </w:tcPr>
          <w:p w14:paraId="74037F87" w14:textId="7A621EF0" w:rsidR="005B6B31" w:rsidRPr="00DC5278" w:rsidRDefault="005B6B31" w:rsidP="00E33A00">
            <w:pPr>
              <w:pStyle w:val="Body"/>
              <w:widowControl w:val="0"/>
              <w:suppressAutoHyphens/>
              <w:spacing w:after="200"/>
              <w:rPr>
                <w:rFonts w:hAnsi="Times New Roman" w:cs="Times New Roman"/>
                <w:color w:val="auto"/>
                <w:lang w:val="en-AU"/>
              </w:rPr>
            </w:pPr>
            <w:proofErr w:type="spellStart"/>
            <w:r w:rsidRPr="00DC5278">
              <w:rPr>
                <w:rFonts w:hAnsi="Times New Roman" w:cs="Times New Roman"/>
                <w:b/>
                <w:bCs/>
                <w:color w:val="auto"/>
                <w:u w:color="414042"/>
                <w:lang w:val="en-AU"/>
              </w:rPr>
              <w:t>Sheepmeat</w:t>
            </w:r>
            <w:proofErr w:type="spellEnd"/>
          </w:p>
        </w:tc>
        <w:tc>
          <w:tcPr>
            <w:tcW w:w="0" w:type="auto"/>
          </w:tcPr>
          <w:p w14:paraId="55B6F0E9" w14:textId="493C70FA" w:rsidR="00E33A00" w:rsidRPr="00E33A00" w:rsidRDefault="00E33A00" w:rsidP="00E33A00">
            <w:pPr>
              <w:pStyle w:val="Body"/>
              <w:widowControl w:val="0"/>
              <w:suppressAutoHyphens/>
              <w:rPr>
                <w:rFonts w:hAnsi="Times New Roman" w:cs="Times New Roman"/>
                <w:color w:val="auto"/>
                <w:u w:color="414042"/>
                <w:lang w:val="en-AU"/>
              </w:rPr>
            </w:pPr>
            <w:r w:rsidRPr="00E33A00">
              <w:rPr>
                <w:rFonts w:hAnsi="Times New Roman" w:cs="Times New Roman"/>
                <w:color w:val="auto"/>
                <w:u w:color="414042"/>
                <w:lang w:val="en-AU"/>
              </w:rPr>
              <w:t xml:space="preserve">Australia exports around $425 million in lamb and mutton to </w:t>
            </w:r>
            <w:r w:rsidR="001F701B">
              <w:rPr>
                <w:rFonts w:hAnsi="Times New Roman" w:cs="Times New Roman"/>
                <w:color w:val="auto"/>
                <w:u w:color="414042"/>
                <w:lang w:val="en-AU"/>
              </w:rPr>
              <w:br/>
            </w:r>
            <w:r w:rsidRPr="00E33A00">
              <w:rPr>
                <w:rFonts w:hAnsi="Times New Roman" w:cs="Times New Roman"/>
                <w:color w:val="auto"/>
                <w:u w:color="414042"/>
                <w:lang w:val="en-AU"/>
              </w:rPr>
              <w:t xml:space="preserve">TPP-11 markets, </w:t>
            </w:r>
            <w:r w:rsidR="001F701B">
              <w:rPr>
                <w:rFonts w:hAnsi="Times New Roman" w:cs="Times New Roman"/>
                <w:color w:val="auto"/>
                <w:u w:color="414042"/>
                <w:lang w:val="en-AU"/>
              </w:rPr>
              <w:t xml:space="preserve">representing </w:t>
            </w:r>
            <w:r w:rsidRPr="00E33A00">
              <w:rPr>
                <w:rFonts w:hAnsi="Times New Roman" w:cs="Times New Roman"/>
                <w:color w:val="auto"/>
                <w:u w:color="414042"/>
                <w:lang w:val="en-AU"/>
              </w:rPr>
              <w:t xml:space="preserve">16 per cent of all </w:t>
            </w:r>
            <w:proofErr w:type="spellStart"/>
            <w:r w:rsidRPr="00E33A00">
              <w:rPr>
                <w:rFonts w:hAnsi="Times New Roman" w:cs="Times New Roman"/>
                <w:color w:val="auto"/>
                <w:u w:color="414042"/>
                <w:lang w:val="en-AU"/>
              </w:rPr>
              <w:t>sheepmeat</w:t>
            </w:r>
            <w:proofErr w:type="spellEnd"/>
            <w:r w:rsidRPr="00E33A00">
              <w:rPr>
                <w:rFonts w:hAnsi="Times New Roman" w:cs="Times New Roman"/>
                <w:color w:val="auto"/>
                <w:u w:color="414042"/>
                <w:lang w:val="en-AU"/>
              </w:rPr>
              <w:t xml:space="preserve"> exports. </w:t>
            </w:r>
          </w:p>
          <w:p w14:paraId="147FD68C" w14:textId="77777777" w:rsidR="00E33A00" w:rsidRDefault="00E33A00" w:rsidP="00E33A00">
            <w:pPr>
              <w:pStyle w:val="Body"/>
              <w:widowControl w:val="0"/>
              <w:suppressAutoHyphens/>
              <w:rPr>
                <w:rFonts w:hAnsi="Times New Roman" w:cs="Times New Roman"/>
                <w:color w:val="auto"/>
                <w:u w:color="414042"/>
                <w:lang w:val="en-AU"/>
              </w:rPr>
            </w:pPr>
            <w:r w:rsidRPr="00E33A00">
              <w:rPr>
                <w:rFonts w:hAnsi="Times New Roman" w:cs="Times New Roman"/>
                <w:color w:val="auto"/>
                <w:u w:color="414042"/>
                <w:lang w:val="en-AU"/>
              </w:rPr>
              <w:t>Key TPP-11 market access outcomes include:</w:t>
            </w:r>
          </w:p>
          <w:p w14:paraId="6E52E977" w14:textId="675CA64E" w:rsidR="00E33A00" w:rsidRPr="00E33A00" w:rsidRDefault="00E33A00" w:rsidP="00B6114F">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E33A00">
              <w:rPr>
                <w:rFonts w:ascii="Times New Roman" w:eastAsia="Times New Roman" w:hAnsi="Times New Roman" w:cs="Times New Roman"/>
                <w:sz w:val="24"/>
                <w:szCs w:val="24"/>
                <w:u w:color="414042"/>
              </w:rPr>
              <w:t xml:space="preserve">Tariffs on exports to Mexico will be eliminated within 8 years of entry into force of the TPP-11.  Australia </w:t>
            </w:r>
            <w:proofErr w:type="spellStart"/>
            <w:r w:rsidRPr="00E33A00">
              <w:rPr>
                <w:rFonts w:ascii="Times New Roman" w:eastAsia="Times New Roman" w:hAnsi="Times New Roman" w:cs="Times New Roman"/>
                <w:sz w:val="24"/>
                <w:szCs w:val="24"/>
                <w:u w:color="414042"/>
              </w:rPr>
              <w:t>sheepmeat</w:t>
            </w:r>
            <w:proofErr w:type="spellEnd"/>
            <w:r w:rsidRPr="00E33A00">
              <w:rPr>
                <w:rFonts w:ascii="Times New Roman" w:eastAsia="Times New Roman" w:hAnsi="Times New Roman" w:cs="Times New Roman"/>
                <w:sz w:val="24"/>
                <w:szCs w:val="24"/>
                <w:u w:color="414042"/>
              </w:rPr>
              <w:t xml:space="preserve"> e</w:t>
            </w:r>
            <w:r>
              <w:rPr>
                <w:rFonts w:ascii="Times New Roman" w:eastAsia="Times New Roman" w:hAnsi="Times New Roman" w:cs="Times New Roman"/>
                <w:sz w:val="24"/>
                <w:szCs w:val="24"/>
                <w:u w:color="414042"/>
              </w:rPr>
              <w:t xml:space="preserve">xports to Mexico were valued at </w:t>
            </w:r>
            <w:r w:rsidRPr="00E33A00">
              <w:rPr>
                <w:rFonts w:ascii="Times New Roman" w:eastAsia="Times New Roman" w:hAnsi="Times New Roman" w:cs="Times New Roman"/>
                <w:sz w:val="24"/>
                <w:szCs w:val="24"/>
                <w:u w:color="414042"/>
              </w:rPr>
              <w:t>$13 million in 2016-17; and</w:t>
            </w:r>
          </w:p>
          <w:p w14:paraId="74037F8B" w14:textId="64830AC7" w:rsidR="005B6B31" w:rsidRPr="00DC5278" w:rsidRDefault="00E33A00" w:rsidP="00E33A00">
            <w:pPr>
              <w:pStyle w:val="ListParagraph"/>
              <w:keepNext/>
              <w:widowControl w:val="0"/>
              <w:numPr>
                <w:ilvl w:val="0"/>
                <w:numId w:val="73"/>
              </w:numPr>
              <w:suppressAutoHyphens/>
              <w:rPr>
                <w:rFonts w:ascii="Times New Roman" w:eastAsia="Arial" w:hAnsi="Times New Roman" w:cs="Times New Roman"/>
                <w:sz w:val="24"/>
                <w:szCs w:val="24"/>
                <w:u w:color="414042"/>
              </w:rPr>
            </w:pPr>
            <w:r w:rsidRPr="00E33A00">
              <w:rPr>
                <w:rFonts w:ascii="Times New Roman" w:eastAsia="Times New Roman" w:hAnsi="Times New Roman" w:cs="Times New Roman"/>
                <w:sz w:val="24"/>
                <w:szCs w:val="24"/>
                <w:u w:color="414042"/>
              </w:rPr>
              <w:t xml:space="preserve">Tariffs on </w:t>
            </w:r>
            <w:proofErr w:type="spellStart"/>
            <w:r w:rsidRPr="00E33A00">
              <w:rPr>
                <w:rFonts w:ascii="Times New Roman" w:eastAsia="Times New Roman" w:hAnsi="Times New Roman" w:cs="Times New Roman"/>
                <w:sz w:val="24"/>
                <w:szCs w:val="24"/>
                <w:u w:color="414042"/>
              </w:rPr>
              <w:t>sheepmeat</w:t>
            </w:r>
            <w:proofErr w:type="spellEnd"/>
            <w:r w:rsidRPr="00E33A00">
              <w:rPr>
                <w:rFonts w:ascii="Times New Roman" w:eastAsia="Times New Roman" w:hAnsi="Times New Roman" w:cs="Times New Roman"/>
                <w:sz w:val="24"/>
                <w:szCs w:val="24"/>
                <w:u w:color="414042"/>
              </w:rPr>
              <w:t xml:space="preserve"> exports to all other TPP-11 countries will be eliminated upon entry into force of the TPP-11.</w:t>
            </w:r>
          </w:p>
        </w:tc>
      </w:tr>
      <w:tr w:rsidR="005B6B31" w:rsidRPr="00DC5278" w14:paraId="74037F90" w14:textId="77777777" w:rsidTr="005B6B31">
        <w:trPr>
          <w:trHeight w:val="2154"/>
        </w:trPr>
        <w:tc>
          <w:tcPr>
            <w:tcW w:w="0" w:type="auto"/>
          </w:tcPr>
          <w:p w14:paraId="74037F8D"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Wool</w:t>
            </w:r>
          </w:p>
        </w:tc>
        <w:tc>
          <w:tcPr>
            <w:tcW w:w="0" w:type="auto"/>
          </w:tcPr>
          <w:p w14:paraId="2111B682" w14:textId="2691D5FE" w:rsidR="00F968CF" w:rsidRDefault="00E02220" w:rsidP="00E02220">
            <w:pPr>
              <w:pStyle w:val="Body"/>
              <w:widowControl w:val="0"/>
              <w:suppressAutoHyphens/>
              <w:rPr>
                <w:rFonts w:hAnsi="Times New Roman" w:cs="Times New Roman"/>
                <w:color w:val="auto"/>
                <w:u w:color="414042"/>
                <w:lang w:val="en-AU"/>
              </w:rPr>
            </w:pPr>
            <w:r w:rsidRPr="00E02220">
              <w:rPr>
                <w:rFonts w:hAnsi="Times New Roman" w:cs="Times New Roman"/>
                <w:color w:val="auto"/>
                <w:u w:color="414042"/>
                <w:lang w:val="en-AU"/>
              </w:rPr>
              <w:t>Total Australian exports of wool were valued at around $3.2 billion in 2016-17, and wool exports to TPP-11 countries were valued at around $35 million in that period.</w:t>
            </w:r>
          </w:p>
          <w:p w14:paraId="4E31AA65" w14:textId="77777777" w:rsidR="00CD54B6" w:rsidRPr="00E02220" w:rsidRDefault="00CD54B6" w:rsidP="00E02220">
            <w:pPr>
              <w:pStyle w:val="Body"/>
              <w:widowControl w:val="0"/>
              <w:suppressAutoHyphens/>
              <w:rPr>
                <w:rFonts w:hAnsi="Times New Roman" w:cs="Times New Roman"/>
                <w:color w:val="auto"/>
                <w:u w:color="414042"/>
                <w:lang w:val="en-AU"/>
              </w:rPr>
            </w:pPr>
          </w:p>
          <w:p w14:paraId="74037F8F" w14:textId="43F06F93" w:rsidR="005B6B31" w:rsidRPr="00DC5278" w:rsidRDefault="00E02220" w:rsidP="003242EC">
            <w:pPr>
              <w:pStyle w:val="Body"/>
              <w:widowControl w:val="0"/>
              <w:suppressAutoHyphens/>
              <w:rPr>
                <w:rFonts w:hAnsi="Times New Roman" w:cs="Times New Roman"/>
                <w:color w:val="auto"/>
                <w:lang w:val="en-AU"/>
              </w:rPr>
            </w:pPr>
            <w:r w:rsidRPr="00E02220">
              <w:rPr>
                <w:rFonts w:hAnsi="Times New Roman" w:cs="Times New Roman"/>
                <w:color w:val="auto"/>
                <w:u w:color="414042"/>
                <w:lang w:val="en-AU"/>
              </w:rPr>
              <w:t>The TPP-11 will eliminate all remaining tariffs on Australian raw wool exports to TPP-11 countries from entry into force of the Agreement.  Products produced using Australian wool in Malaysia, Vietnam or any other TPP-11 partner will receive preferential treatment throughout the TPP-11 region.  The rules of origin for textiles will encourage greater demand for the Australian wool used to produce high quality yarns.</w:t>
            </w:r>
          </w:p>
        </w:tc>
      </w:tr>
      <w:tr w:rsidR="005B6B31" w:rsidRPr="00DC5278" w14:paraId="74037F98" w14:textId="77777777" w:rsidTr="005B6B31">
        <w:trPr>
          <w:trHeight w:val="3855"/>
        </w:trPr>
        <w:tc>
          <w:tcPr>
            <w:tcW w:w="0" w:type="auto"/>
          </w:tcPr>
          <w:p w14:paraId="74037F91"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 xml:space="preserve">Pork </w:t>
            </w:r>
          </w:p>
        </w:tc>
        <w:tc>
          <w:tcPr>
            <w:tcW w:w="0" w:type="auto"/>
          </w:tcPr>
          <w:p w14:paraId="394E7590" w14:textId="178BA36C" w:rsidR="002E6361" w:rsidRPr="002E6361" w:rsidRDefault="002E6361" w:rsidP="002E6361">
            <w:pPr>
              <w:pStyle w:val="Body"/>
              <w:widowControl w:val="0"/>
              <w:suppressAutoHyphens/>
              <w:rPr>
                <w:rFonts w:hAnsi="Times New Roman" w:cs="Times New Roman"/>
                <w:color w:val="auto"/>
                <w:u w:color="414042"/>
                <w:lang w:val="en-AU"/>
              </w:rPr>
            </w:pPr>
            <w:r w:rsidRPr="002E6361">
              <w:rPr>
                <w:rFonts w:hAnsi="Times New Roman" w:cs="Times New Roman"/>
                <w:color w:val="auto"/>
                <w:u w:color="414042"/>
                <w:lang w:val="en-AU"/>
              </w:rPr>
              <w:t>In 2016-17, 71 per cent of Australia’s pork exports went to TPP-11 countries, valued at almost $84 million.</w:t>
            </w:r>
            <w:r w:rsidR="00CD54B6">
              <w:rPr>
                <w:rFonts w:hAnsi="Times New Roman" w:cs="Times New Roman"/>
                <w:color w:val="auto"/>
                <w:u w:color="414042"/>
                <w:lang w:val="en-AU"/>
              </w:rPr>
              <w:t xml:space="preserve">  </w:t>
            </w:r>
            <w:r w:rsidRPr="002E6361">
              <w:rPr>
                <w:rFonts w:hAnsi="Times New Roman" w:cs="Times New Roman"/>
                <w:color w:val="auto"/>
                <w:u w:color="414042"/>
                <w:lang w:val="en-AU"/>
              </w:rPr>
              <w:t>Key TPP-11 market access gains for Australian pork producers and exporters include:</w:t>
            </w:r>
          </w:p>
          <w:p w14:paraId="3055C849" w14:textId="337929AD" w:rsidR="002E6361" w:rsidRDefault="002E6361" w:rsidP="002E6361">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2E6361">
              <w:rPr>
                <w:rFonts w:ascii="Times New Roman" w:eastAsia="Times New Roman" w:hAnsi="Times New Roman" w:cs="Times New Roman"/>
                <w:sz w:val="24"/>
                <w:szCs w:val="24"/>
                <w:u w:color="414042"/>
              </w:rPr>
              <w:t xml:space="preserve">Building on </w:t>
            </w:r>
            <w:r w:rsidR="004B4033">
              <w:rPr>
                <w:rFonts w:ascii="Times New Roman" w:eastAsia="Times New Roman" w:hAnsi="Times New Roman" w:cs="Times New Roman"/>
                <w:sz w:val="24"/>
                <w:szCs w:val="24"/>
                <w:u w:color="414042"/>
              </w:rPr>
              <w:t>JAEPA</w:t>
            </w:r>
            <w:r w:rsidRPr="002E6361">
              <w:rPr>
                <w:rFonts w:ascii="Times New Roman" w:eastAsia="Times New Roman" w:hAnsi="Times New Roman" w:cs="Times New Roman"/>
                <w:sz w:val="24"/>
                <w:szCs w:val="24"/>
                <w:u w:color="414042"/>
              </w:rPr>
              <w:t xml:space="preserve">, elimination of the </w:t>
            </w:r>
            <w:r w:rsidRPr="004B4033">
              <w:rPr>
                <w:rFonts w:ascii="Times New Roman" w:eastAsia="Times New Roman" w:hAnsi="Times New Roman" w:cs="Times New Roman"/>
                <w:i/>
                <w:sz w:val="24"/>
                <w:szCs w:val="24"/>
                <w:u w:color="414042"/>
              </w:rPr>
              <w:t>ad valorem</w:t>
            </w:r>
            <w:r w:rsidRPr="002E6361">
              <w:rPr>
                <w:rFonts w:ascii="Times New Roman" w:eastAsia="Times New Roman" w:hAnsi="Times New Roman" w:cs="Times New Roman"/>
                <w:sz w:val="24"/>
                <w:szCs w:val="24"/>
                <w:u w:color="414042"/>
              </w:rPr>
              <w:t xml:space="preserve"> component of Japan’s pork tariffs within 10 years of entry into force of the TPP-</w:t>
            </w:r>
            <w:proofErr w:type="gramStart"/>
            <w:r w:rsidRPr="002E6361">
              <w:rPr>
                <w:rFonts w:ascii="Times New Roman" w:eastAsia="Times New Roman" w:hAnsi="Times New Roman" w:cs="Times New Roman"/>
                <w:sz w:val="24"/>
                <w:szCs w:val="24"/>
                <w:u w:color="414042"/>
              </w:rPr>
              <w:t>11;</w:t>
            </w:r>
            <w:proofErr w:type="gramEnd"/>
          </w:p>
          <w:p w14:paraId="14E45705" w14:textId="77777777" w:rsidR="002E6361" w:rsidRPr="002E6361" w:rsidRDefault="002E6361" w:rsidP="002E6361">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2E6361">
              <w:rPr>
                <w:rFonts w:ascii="Times New Roman" w:eastAsia="Times New Roman" w:hAnsi="Times New Roman" w:cs="Times New Roman"/>
                <w:sz w:val="24"/>
                <w:szCs w:val="24"/>
                <w:u w:color="414042"/>
              </w:rPr>
              <w:t>Building on JAEPA, a 90 per cent reduction in Japan’s specific tariff applied to pork cuts and carcasses within 10 years of entry into force of the TPP-</w:t>
            </w:r>
            <w:proofErr w:type="gramStart"/>
            <w:r w:rsidRPr="002E6361">
              <w:rPr>
                <w:rFonts w:ascii="Times New Roman" w:eastAsia="Times New Roman" w:hAnsi="Times New Roman" w:cs="Times New Roman"/>
                <w:sz w:val="24"/>
                <w:szCs w:val="24"/>
                <w:u w:color="414042"/>
              </w:rPr>
              <w:t>11;</w:t>
            </w:r>
            <w:proofErr w:type="gramEnd"/>
          </w:p>
          <w:p w14:paraId="30B0585E" w14:textId="694A6E88" w:rsidR="002E6361" w:rsidRPr="002E6361" w:rsidRDefault="002E6361" w:rsidP="002E6361">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2E6361">
              <w:rPr>
                <w:rFonts w:ascii="Times New Roman" w:eastAsia="Times New Roman" w:hAnsi="Times New Roman" w:cs="Times New Roman"/>
                <w:sz w:val="24"/>
                <w:szCs w:val="24"/>
                <w:u w:color="414042"/>
              </w:rPr>
              <w:t>Building on the Malaysia-Australia Free</w:t>
            </w:r>
            <w:r w:rsidR="004B4033">
              <w:rPr>
                <w:rFonts w:ascii="Times New Roman" w:eastAsia="Times New Roman" w:hAnsi="Times New Roman" w:cs="Times New Roman"/>
                <w:sz w:val="24"/>
                <w:szCs w:val="24"/>
                <w:u w:color="414042"/>
              </w:rPr>
              <w:t xml:space="preserve"> Trade Agreement (MAFTA) and AANZFTA</w:t>
            </w:r>
            <w:r w:rsidRPr="002E6361">
              <w:rPr>
                <w:rFonts w:ascii="Times New Roman" w:eastAsia="Times New Roman" w:hAnsi="Times New Roman" w:cs="Times New Roman"/>
                <w:sz w:val="24"/>
                <w:szCs w:val="24"/>
                <w:u w:color="414042"/>
              </w:rPr>
              <w:t>, elimination of all Malaysian pork tariffs within 15 years; and</w:t>
            </w:r>
          </w:p>
          <w:p w14:paraId="74037F97" w14:textId="0D4BD17D" w:rsidR="005B6B31" w:rsidRPr="002E6361" w:rsidRDefault="002E6361" w:rsidP="002E6361">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2E6361">
              <w:rPr>
                <w:rFonts w:ascii="Times New Roman" w:eastAsia="Times New Roman" w:hAnsi="Times New Roman" w:cs="Times New Roman"/>
                <w:sz w:val="24"/>
                <w:szCs w:val="24"/>
                <w:u w:color="414042"/>
              </w:rPr>
              <w:t>Elimination of Mexico’s 20 per cent pork tariff on entry into force of the TPP-11.</w:t>
            </w:r>
          </w:p>
        </w:tc>
      </w:tr>
      <w:tr w:rsidR="005B6B31" w:rsidRPr="00DC5278" w14:paraId="74037FA4" w14:textId="77777777" w:rsidTr="005B6B31">
        <w:trPr>
          <w:trHeight w:val="624"/>
        </w:trPr>
        <w:tc>
          <w:tcPr>
            <w:tcW w:w="0" w:type="auto"/>
          </w:tcPr>
          <w:p w14:paraId="74037F99"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Cereals and grains</w:t>
            </w:r>
          </w:p>
        </w:tc>
        <w:tc>
          <w:tcPr>
            <w:tcW w:w="0" w:type="auto"/>
          </w:tcPr>
          <w:p w14:paraId="36998D0C" w14:textId="5AF4A1DC" w:rsidR="00ED38F6" w:rsidRPr="00ED38F6" w:rsidRDefault="00ED38F6" w:rsidP="00ED38F6">
            <w:pPr>
              <w:pStyle w:val="Body"/>
              <w:widowControl w:val="0"/>
              <w:suppressAutoHyphens/>
              <w:rPr>
                <w:rFonts w:hAnsi="Times New Roman" w:cs="Times New Roman"/>
                <w:color w:val="auto"/>
                <w:u w:color="414042"/>
                <w:lang w:val="en-AU"/>
              </w:rPr>
            </w:pPr>
            <w:r w:rsidRPr="00ED38F6">
              <w:rPr>
                <w:rFonts w:hAnsi="Times New Roman" w:cs="Times New Roman"/>
                <w:color w:val="auto"/>
                <w:u w:color="414042"/>
                <w:lang w:val="en-AU"/>
              </w:rPr>
              <w:t>Total Australian exports of cereals and grains were valued at around $8.5 billion in 2016-17, more than 19 per cent (or $1.6 billion) of which was exported to TPP-11 countries.</w:t>
            </w:r>
            <w:r w:rsidR="004B4033">
              <w:rPr>
                <w:rFonts w:hAnsi="Times New Roman" w:cs="Times New Roman"/>
                <w:color w:val="auto"/>
                <w:u w:color="414042"/>
                <w:lang w:val="en-AU"/>
              </w:rPr>
              <w:t xml:space="preserve">  </w:t>
            </w:r>
            <w:r w:rsidR="007C3DC8">
              <w:rPr>
                <w:rFonts w:hAnsi="Times New Roman" w:cs="Times New Roman"/>
                <w:color w:val="auto"/>
                <w:u w:color="414042"/>
                <w:lang w:val="en-AU"/>
              </w:rPr>
              <w:br/>
            </w:r>
            <w:r w:rsidRPr="00ED38F6">
              <w:rPr>
                <w:rFonts w:hAnsi="Times New Roman" w:cs="Times New Roman"/>
                <w:color w:val="auto"/>
                <w:u w:color="414042"/>
                <w:lang w:val="en-AU"/>
              </w:rPr>
              <w:t xml:space="preserve">TPP-11 market access outcomes for Australian cereals and grains producers and exporters include: </w:t>
            </w:r>
          </w:p>
          <w:p w14:paraId="015B5842" w14:textId="77777777" w:rsidR="00ED38F6" w:rsidRDefault="00ED38F6" w:rsidP="00ED38F6">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ED38F6">
              <w:rPr>
                <w:rFonts w:ascii="Times New Roman" w:eastAsia="Times New Roman" w:hAnsi="Times New Roman" w:cs="Times New Roman"/>
                <w:sz w:val="24"/>
                <w:szCs w:val="24"/>
                <w:u w:color="414042"/>
              </w:rPr>
              <w:t>Significant market access improvements in Japan for wheat, barley and malt, building on JAEPA, including:</w:t>
            </w:r>
          </w:p>
          <w:p w14:paraId="4078675F" w14:textId="619DE4B2" w:rsidR="00ED38F6" w:rsidRPr="00ED38F6" w:rsidRDefault="00ED38F6" w:rsidP="00ED38F6">
            <w:pPr>
              <w:pStyle w:val="ListParagraph"/>
              <w:keepNext/>
              <w:widowControl w:val="0"/>
              <w:numPr>
                <w:ilvl w:val="1"/>
                <w:numId w:val="73"/>
              </w:numPr>
              <w:suppressAutoHyphens/>
              <w:rPr>
                <w:rFonts w:ascii="Times New Roman" w:eastAsia="Times New Roman" w:hAnsi="Times New Roman" w:cs="Times New Roman"/>
                <w:sz w:val="24"/>
                <w:szCs w:val="24"/>
                <w:u w:color="414042"/>
              </w:rPr>
            </w:pPr>
            <w:r w:rsidRPr="00ED38F6">
              <w:rPr>
                <w:rFonts w:ascii="Times New Roman" w:eastAsia="Times New Roman" w:hAnsi="Times New Roman" w:cs="Times New Roman"/>
                <w:sz w:val="24"/>
                <w:szCs w:val="24"/>
                <w:u w:color="414042"/>
              </w:rPr>
              <w:t>reduction of the mark up on wheat and barley by 45 per cent within 8 years of entry into force of the TPP-</w:t>
            </w:r>
            <w:proofErr w:type="gramStart"/>
            <w:r w:rsidRPr="00ED38F6">
              <w:rPr>
                <w:rFonts w:ascii="Times New Roman" w:eastAsia="Times New Roman" w:hAnsi="Times New Roman" w:cs="Times New Roman"/>
                <w:sz w:val="24"/>
                <w:szCs w:val="24"/>
                <w:u w:color="414042"/>
              </w:rPr>
              <w:t>11;</w:t>
            </w:r>
            <w:proofErr w:type="gramEnd"/>
          </w:p>
          <w:p w14:paraId="66228492" w14:textId="77777777" w:rsidR="00ED38F6" w:rsidRPr="00ED38F6" w:rsidRDefault="00ED38F6" w:rsidP="00ED38F6">
            <w:pPr>
              <w:pStyle w:val="ListParagraph"/>
              <w:keepNext/>
              <w:widowControl w:val="0"/>
              <w:numPr>
                <w:ilvl w:val="1"/>
                <w:numId w:val="73"/>
              </w:numPr>
              <w:suppressAutoHyphens/>
              <w:rPr>
                <w:rFonts w:ascii="Times New Roman" w:eastAsia="Times New Roman" w:hAnsi="Times New Roman" w:cs="Times New Roman"/>
                <w:sz w:val="24"/>
                <w:szCs w:val="24"/>
                <w:u w:color="414042"/>
              </w:rPr>
            </w:pPr>
            <w:r w:rsidRPr="00ED38F6">
              <w:rPr>
                <w:rFonts w:ascii="Times New Roman" w:eastAsia="Times New Roman" w:hAnsi="Times New Roman" w:cs="Times New Roman"/>
                <w:sz w:val="24"/>
                <w:szCs w:val="24"/>
                <w:u w:color="414042"/>
              </w:rPr>
              <w:t>the creation of new quota volumes for wheat and barley under the simultaneous buy-sell mechanism. Australia’s exports of these products to Japan were worth $568 million in 2016-17; and</w:t>
            </w:r>
          </w:p>
          <w:p w14:paraId="5544C5CE" w14:textId="77777777" w:rsidR="00ED38F6" w:rsidRPr="00ED38F6" w:rsidRDefault="00ED38F6" w:rsidP="00ED38F6">
            <w:pPr>
              <w:pStyle w:val="ListParagraph"/>
              <w:keepNext/>
              <w:widowControl w:val="0"/>
              <w:numPr>
                <w:ilvl w:val="1"/>
                <w:numId w:val="73"/>
              </w:numPr>
              <w:suppressAutoHyphens/>
              <w:rPr>
                <w:rFonts w:ascii="Times New Roman" w:eastAsia="Times New Roman" w:hAnsi="Times New Roman" w:cs="Times New Roman"/>
                <w:sz w:val="24"/>
                <w:szCs w:val="24"/>
                <w:u w:color="414042"/>
              </w:rPr>
            </w:pPr>
            <w:r w:rsidRPr="00ED38F6">
              <w:rPr>
                <w:rFonts w:ascii="Times New Roman" w:eastAsia="Times New Roman" w:hAnsi="Times New Roman" w:cs="Times New Roman"/>
                <w:sz w:val="24"/>
                <w:szCs w:val="24"/>
                <w:u w:color="414042"/>
              </w:rPr>
              <w:t xml:space="preserve">new quota access for malt </w:t>
            </w:r>
            <w:proofErr w:type="gramStart"/>
            <w:r w:rsidRPr="00ED38F6">
              <w:rPr>
                <w:rFonts w:ascii="Times New Roman" w:eastAsia="Times New Roman" w:hAnsi="Times New Roman" w:cs="Times New Roman"/>
                <w:sz w:val="24"/>
                <w:szCs w:val="24"/>
                <w:u w:color="414042"/>
              </w:rPr>
              <w:t>exports;</w:t>
            </w:r>
            <w:proofErr w:type="gramEnd"/>
          </w:p>
          <w:p w14:paraId="4A6557D6" w14:textId="77777777" w:rsidR="00ED38F6" w:rsidRPr="00ED38F6" w:rsidRDefault="00ED38F6" w:rsidP="00ED38F6">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ED38F6">
              <w:rPr>
                <w:rFonts w:ascii="Times New Roman" w:eastAsia="Times New Roman" w:hAnsi="Times New Roman" w:cs="Times New Roman"/>
                <w:sz w:val="24"/>
                <w:szCs w:val="24"/>
                <w:u w:color="414042"/>
              </w:rPr>
              <w:t>Elimination of Mexican tariffs on wheat (currently 67 per cent) within 10 years of entry into force of the TPP-</w:t>
            </w:r>
            <w:proofErr w:type="gramStart"/>
            <w:r w:rsidRPr="00ED38F6">
              <w:rPr>
                <w:rFonts w:ascii="Times New Roman" w:eastAsia="Times New Roman" w:hAnsi="Times New Roman" w:cs="Times New Roman"/>
                <w:sz w:val="24"/>
                <w:szCs w:val="24"/>
                <w:u w:color="414042"/>
              </w:rPr>
              <w:t>11;</w:t>
            </w:r>
            <w:proofErr w:type="gramEnd"/>
          </w:p>
          <w:p w14:paraId="19228EC9" w14:textId="307F0807" w:rsidR="003326DD" w:rsidRPr="003326DD" w:rsidRDefault="00ED38F6" w:rsidP="003326DD">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ED38F6">
              <w:rPr>
                <w:rFonts w:ascii="Times New Roman" w:eastAsia="Times New Roman" w:hAnsi="Times New Roman" w:cs="Times New Roman"/>
                <w:sz w:val="24"/>
                <w:szCs w:val="24"/>
                <w:u w:color="414042"/>
              </w:rPr>
              <w:t>Elimination of Mexican tariffs on barley (currently 115 per cent) within 5 years of entry into force of the TPP-11; and</w:t>
            </w:r>
          </w:p>
          <w:p w14:paraId="74037FA3" w14:textId="07EDD687" w:rsidR="005B6B31" w:rsidRPr="00ED38F6" w:rsidRDefault="00ED38F6" w:rsidP="00ED38F6">
            <w:pPr>
              <w:pStyle w:val="ListParagraph"/>
              <w:keepNext/>
              <w:widowControl w:val="0"/>
              <w:numPr>
                <w:ilvl w:val="0"/>
                <w:numId w:val="73"/>
              </w:numPr>
              <w:suppressAutoHyphens/>
              <w:rPr>
                <w:rFonts w:ascii="Times New Roman" w:eastAsia="Arial" w:hAnsi="Times New Roman" w:cs="Times New Roman"/>
                <w:sz w:val="24"/>
                <w:szCs w:val="24"/>
                <w:u w:color="414042"/>
              </w:rPr>
            </w:pPr>
            <w:r w:rsidRPr="00ED38F6">
              <w:rPr>
                <w:rFonts w:ascii="Times New Roman" w:eastAsia="Times New Roman" w:hAnsi="Times New Roman" w:cs="Times New Roman"/>
                <w:sz w:val="24"/>
                <w:szCs w:val="24"/>
                <w:u w:color="414042"/>
              </w:rPr>
              <w:t>Elimination of all Canadian tariffs on cereals and grains upon entry into force of the TPP-11.</w:t>
            </w:r>
          </w:p>
        </w:tc>
      </w:tr>
      <w:tr w:rsidR="005B6B31" w:rsidRPr="00DC5278" w14:paraId="74037FAF" w14:textId="77777777" w:rsidTr="000F0553">
        <w:trPr>
          <w:trHeight w:val="1417"/>
        </w:trPr>
        <w:tc>
          <w:tcPr>
            <w:tcW w:w="0" w:type="auto"/>
          </w:tcPr>
          <w:p w14:paraId="74037FA5"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Dairy</w:t>
            </w:r>
          </w:p>
        </w:tc>
        <w:tc>
          <w:tcPr>
            <w:tcW w:w="0" w:type="auto"/>
          </w:tcPr>
          <w:p w14:paraId="4BC98C37" w14:textId="19E36211" w:rsidR="002B62DC" w:rsidRPr="003326DD" w:rsidRDefault="004B73DD" w:rsidP="007C3DC8">
            <w:pPr>
              <w:widowControl w:val="0"/>
              <w:suppressAutoHyphens/>
              <w:rPr>
                <w:rFonts w:eastAsia="Times New Roman"/>
                <w:u w:color="414042"/>
              </w:rPr>
            </w:pPr>
            <w:r w:rsidRPr="002B62DC">
              <w:rPr>
                <w:rFonts w:eastAsia="Arial"/>
                <w:u w:color="414042"/>
              </w:rPr>
              <w:t>Total Australian dairy products exports were valued at more than $2.1 billion in 2016-17, and 40.5 per cent (valued at $878 million) was exported to TPP-11 countries.</w:t>
            </w:r>
            <w:r w:rsidR="007C3DC8">
              <w:rPr>
                <w:rFonts w:eastAsia="Arial"/>
                <w:u w:color="414042"/>
              </w:rPr>
              <w:t xml:space="preserve">  </w:t>
            </w:r>
            <w:r w:rsidRPr="003326DD">
              <w:rPr>
                <w:rFonts w:eastAsia="Times New Roman"/>
                <w:u w:color="414042"/>
              </w:rPr>
              <w:t>Key TPP-11 market access outcomes for Australian dairy producers and exporters include:</w:t>
            </w:r>
          </w:p>
          <w:p w14:paraId="68602994" w14:textId="77777777" w:rsidR="002B62DC" w:rsidRPr="002B62DC" w:rsidRDefault="004B73DD" w:rsidP="003326DD">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2B62DC">
              <w:rPr>
                <w:rFonts w:ascii="Times New Roman" w:eastAsia="Arial" w:hAnsi="Times New Roman" w:cs="Times New Roman"/>
                <w:sz w:val="24"/>
                <w:szCs w:val="24"/>
                <w:u w:color="414042"/>
              </w:rPr>
              <w:t xml:space="preserve">Significant market access improvements in Japan for </w:t>
            </w:r>
            <w:r w:rsidRPr="003326DD">
              <w:rPr>
                <w:rFonts w:ascii="Times New Roman" w:hAnsi="Times New Roman" w:cs="Times New Roman"/>
                <w:sz w:val="24"/>
                <w:szCs w:val="24"/>
              </w:rPr>
              <w:t>Australian</w:t>
            </w:r>
            <w:r w:rsidRPr="002B62DC">
              <w:rPr>
                <w:rFonts w:ascii="Times New Roman" w:eastAsia="Arial" w:hAnsi="Times New Roman" w:cs="Times New Roman"/>
                <w:sz w:val="24"/>
                <w:szCs w:val="24"/>
                <w:u w:color="414042"/>
              </w:rPr>
              <w:t xml:space="preserve"> dairy.  Australian dairy exports to Japan were worth $406 million in 2016-17.  Building on JAEPA, outcomes include:</w:t>
            </w:r>
          </w:p>
          <w:p w14:paraId="6E52E9C5" w14:textId="77777777" w:rsidR="002B62DC" w:rsidRPr="003326DD" w:rsidRDefault="004B73DD" w:rsidP="003326DD">
            <w:pPr>
              <w:pStyle w:val="ListParagraph"/>
              <w:keepNext/>
              <w:widowControl w:val="0"/>
              <w:numPr>
                <w:ilvl w:val="1"/>
                <w:numId w:val="73"/>
              </w:numPr>
              <w:suppressAutoHyphens/>
              <w:rPr>
                <w:rFonts w:ascii="Times New Roman" w:eastAsia="Arial" w:hAnsi="Times New Roman" w:cs="Times New Roman"/>
                <w:sz w:val="24"/>
                <w:szCs w:val="24"/>
                <w:u w:color="414042"/>
              </w:rPr>
            </w:pPr>
            <w:r w:rsidRPr="002B62DC">
              <w:rPr>
                <w:rFonts w:ascii="Times New Roman" w:eastAsia="Arial" w:hAnsi="Times New Roman" w:cs="Times New Roman"/>
                <w:sz w:val="24"/>
                <w:szCs w:val="24"/>
                <w:u w:color="414042"/>
              </w:rPr>
              <w:t xml:space="preserve">elimination of tariffs on certain cheese products, and tariff reductions and new quota allocations for remaining cheese </w:t>
            </w:r>
            <w:proofErr w:type="gramStart"/>
            <w:r w:rsidRPr="002B62DC">
              <w:rPr>
                <w:rFonts w:ascii="Times New Roman" w:eastAsia="Arial" w:hAnsi="Times New Roman" w:cs="Times New Roman"/>
                <w:sz w:val="24"/>
                <w:szCs w:val="24"/>
                <w:u w:color="414042"/>
              </w:rPr>
              <w:t>products;</w:t>
            </w:r>
            <w:proofErr w:type="gramEnd"/>
          </w:p>
          <w:p w14:paraId="23DD1E70" w14:textId="77777777" w:rsidR="002B62DC" w:rsidRPr="003326DD" w:rsidRDefault="004B73DD" w:rsidP="003326DD">
            <w:pPr>
              <w:pStyle w:val="ListParagraph"/>
              <w:keepNext/>
              <w:widowControl w:val="0"/>
              <w:numPr>
                <w:ilvl w:val="1"/>
                <w:numId w:val="73"/>
              </w:numPr>
              <w:suppressAutoHyphens/>
              <w:rPr>
                <w:rFonts w:ascii="Times New Roman" w:eastAsia="Arial" w:hAnsi="Times New Roman" w:cs="Times New Roman"/>
                <w:sz w:val="24"/>
                <w:szCs w:val="24"/>
                <w:u w:color="414042"/>
              </w:rPr>
            </w:pPr>
            <w:r w:rsidRPr="002B62DC">
              <w:rPr>
                <w:rFonts w:ascii="Times New Roman" w:eastAsia="Arial" w:hAnsi="Times New Roman" w:cs="Times New Roman"/>
                <w:sz w:val="24"/>
                <w:szCs w:val="24"/>
                <w:u w:color="414042"/>
              </w:rPr>
              <w:t>new quotas for butter and skim milk powder with the in-quota mark-up eliminated within 10 years of entry into force of the TPP-11; and</w:t>
            </w:r>
          </w:p>
          <w:p w14:paraId="23795931" w14:textId="3010322B" w:rsidR="002B62DC" w:rsidRPr="003326DD" w:rsidRDefault="002B62DC" w:rsidP="003326DD">
            <w:pPr>
              <w:pStyle w:val="ListParagraph"/>
              <w:keepNext/>
              <w:widowControl w:val="0"/>
              <w:numPr>
                <w:ilvl w:val="1"/>
                <w:numId w:val="73"/>
              </w:numPr>
              <w:suppressAutoHyphens/>
              <w:rPr>
                <w:rFonts w:ascii="Times New Roman" w:eastAsia="Arial" w:hAnsi="Times New Roman" w:cs="Times New Roman"/>
                <w:sz w:val="24"/>
                <w:szCs w:val="24"/>
                <w:u w:color="414042"/>
              </w:rPr>
            </w:pPr>
            <w:r w:rsidRPr="003326DD">
              <w:rPr>
                <w:rFonts w:ascii="Times New Roman" w:eastAsia="Arial" w:hAnsi="Times New Roman" w:cs="Times New Roman"/>
                <w:sz w:val="24"/>
                <w:szCs w:val="24"/>
                <w:u w:color="414042"/>
              </w:rPr>
              <w:t xml:space="preserve">new quotas and tariff reductions for a range of dairy products including ice cream, whole milk powder, condensed milk, yoghurt and infant </w:t>
            </w:r>
            <w:proofErr w:type="gramStart"/>
            <w:r w:rsidRPr="003326DD">
              <w:rPr>
                <w:rFonts w:ascii="Times New Roman" w:eastAsia="Arial" w:hAnsi="Times New Roman" w:cs="Times New Roman"/>
                <w:sz w:val="24"/>
                <w:szCs w:val="24"/>
                <w:u w:color="414042"/>
              </w:rPr>
              <w:t>formula;</w:t>
            </w:r>
            <w:proofErr w:type="gramEnd"/>
          </w:p>
          <w:p w14:paraId="1FA6E09F" w14:textId="77777777" w:rsidR="002B62DC" w:rsidRPr="002B62DC" w:rsidRDefault="002B62DC" w:rsidP="002B62DC">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2B62DC">
              <w:rPr>
                <w:rFonts w:ascii="Times New Roman" w:hAnsi="Times New Roman" w:cs="Times New Roman"/>
                <w:sz w:val="24"/>
                <w:szCs w:val="24"/>
              </w:rPr>
              <w:t xml:space="preserve">Preferential access into the highly protected Canadian market with new quotas for dairy products including, cheese, milk powders and butter.  Tariffs on milk protein concentrates will be eliminated on entry into force; and </w:t>
            </w:r>
          </w:p>
          <w:p w14:paraId="74037FAE" w14:textId="48349E2F" w:rsidR="002B62DC" w:rsidRPr="002B62DC" w:rsidRDefault="002B62DC" w:rsidP="00613E35">
            <w:pPr>
              <w:pStyle w:val="ListParagraph"/>
              <w:keepNext/>
              <w:widowControl w:val="0"/>
              <w:numPr>
                <w:ilvl w:val="0"/>
                <w:numId w:val="73"/>
              </w:numPr>
              <w:suppressAutoHyphens/>
              <w:rPr>
                <w:rFonts w:ascii="Times New Roman" w:eastAsia="Times New Roman" w:hAnsi="Times New Roman" w:cs="Times New Roman"/>
                <w:sz w:val="24"/>
                <w:szCs w:val="24"/>
                <w:u w:color="414042"/>
              </w:rPr>
            </w:pPr>
            <w:r w:rsidRPr="002B62DC">
              <w:rPr>
                <w:rFonts w:ascii="Times New Roman" w:hAnsi="Times New Roman" w:cs="Times New Roman"/>
                <w:sz w:val="24"/>
                <w:szCs w:val="24"/>
              </w:rPr>
              <w:t>Mexico will create new quota access, including for butter, cheese and milk powders, and will eliminate tariffs on yoghurt.</w:t>
            </w:r>
          </w:p>
        </w:tc>
      </w:tr>
      <w:tr w:rsidR="005B6B31" w:rsidRPr="00DC5278" w14:paraId="74037FB8" w14:textId="77777777" w:rsidTr="00432FB8">
        <w:trPr>
          <w:trHeight w:val="265"/>
        </w:trPr>
        <w:tc>
          <w:tcPr>
            <w:tcW w:w="0" w:type="auto"/>
          </w:tcPr>
          <w:p w14:paraId="74037FB0" w14:textId="77777777" w:rsidR="005B6B31" w:rsidRPr="00DC5278" w:rsidRDefault="005B6B31" w:rsidP="0085547B">
            <w:pPr>
              <w:pStyle w:val="Body"/>
              <w:widowControl w:val="0"/>
              <w:suppressAutoHyphens/>
              <w:spacing w:after="200"/>
              <w:rPr>
                <w:rFonts w:eastAsia="Arial" w:hAnsi="Times New Roman" w:cs="Times New Roman"/>
                <w:b/>
                <w:bCs/>
                <w:color w:val="auto"/>
                <w:u w:color="414042"/>
                <w:lang w:val="en-AU"/>
              </w:rPr>
            </w:pPr>
            <w:r w:rsidRPr="00DC5278">
              <w:rPr>
                <w:rFonts w:hAnsi="Times New Roman" w:cs="Times New Roman"/>
                <w:b/>
                <w:bCs/>
                <w:color w:val="auto"/>
                <w:u w:color="414042"/>
                <w:lang w:val="en-AU"/>
              </w:rPr>
              <w:t>Rice</w:t>
            </w:r>
          </w:p>
          <w:p w14:paraId="74037FB1" w14:textId="77777777" w:rsidR="005B6B31" w:rsidRPr="00DC5278" w:rsidRDefault="005B6B31" w:rsidP="0085547B">
            <w:pPr>
              <w:pStyle w:val="Body"/>
              <w:widowControl w:val="0"/>
              <w:suppressAutoHyphens/>
              <w:spacing w:after="200"/>
              <w:rPr>
                <w:rFonts w:eastAsia="Arial" w:hAnsi="Times New Roman" w:cs="Times New Roman"/>
                <w:b/>
                <w:bCs/>
                <w:color w:val="auto"/>
                <w:u w:color="414042"/>
                <w:lang w:val="en-AU"/>
              </w:rPr>
            </w:pPr>
          </w:p>
          <w:p w14:paraId="74037FB2" w14:textId="77777777" w:rsidR="005B6B31" w:rsidRPr="00DC5278" w:rsidRDefault="005B6B31" w:rsidP="0085547B">
            <w:pPr>
              <w:pStyle w:val="Body"/>
              <w:widowControl w:val="0"/>
              <w:suppressAutoHyphens/>
              <w:spacing w:after="200"/>
              <w:rPr>
                <w:rFonts w:hAnsi="Times New Roman" w:cs="Times New Roman"/>
                <w:color w:val="auto"/>
                <w:lang w:val="en-AU"/>
              </w:rPr>
            </w:pPr>
          </w:p>
        </w:tc>
        <w:tc>
          <w:tcPr>
            <w:tcW w:w="0" w:type="auto"/>
          </w:tcPr>
          <w:p w14:paraId="54741D14" w14:textId="77777777" w:rsidR="003C6C8F" w:rsidRPr="003C6C8F" w:rsidRDefault="003C6C8F" w:rsidP="003C6C8F">
            <w:pPr>
              <w:widowControl w:val="0"/>
              <w:suppressAutoHyphens/>
              <w:rPr>
                <w:rFonts w:eastAsia="Arial"/>
                <w:u w:color="414042"/>
              </w:rPr>
            </w:pPr>
            <w:r w:rsidRPr="003C6C8F">
              <w:rPr>
                <w:rFonts w:eastAsia="Arial"/>
                <w:u w:color="414042"/>
              </w:rPr>
              <w:t xml:space="preserve">Total Australian rice exports were estimated to be valued at around $416 million in 2015-16.  Key TPP-11 market access outcomes include: </w:t>
            </w:r>
          </w:p>
          <w:p w14:paraId="058C6781" w14:textId="77777777" w:rsidR="003C6C8F" w:rsidRPr="003C6C8F" w:rsidRDefault="003C6C8F" w:rsidP="00BD58FB">
            <w:pPr>
              <w:pStyle w:val="ListParagraph"/>
              <w:widowControl w:val="0"/>
              <w:numPr>
                <w:ilvl w:val="0"/>
                <w:numId w:val="74"/>
              </w:numPr>
              <w:suppressAutoHyphens/>
              <w:rPr>
                <w:rFonts w:ascii="Times New Roman" w:eastAsia="Arial" w:hAnsi="Times New Roman" w:cs="Times New Roman"/>
                <w:sz w:val="24"/>
                <w:szCs w:val="24"/>
                <w:u w:color="414042"/>
              </w:rPr>
            </w:pPr>
            <w:r w:rsidRPr="003C6C8F">
              <w:rPr>
                <w:rFonts w:ascii="Times New Roman" w:eastAsia="Arial" w:hAnsi="Times New Roman" w:cs="Times New Roman"/>
                <w:sz w:val="24"/>
                <w:szCs w:val="24"/>
                <w:u w:color="414042"/>
              </w:rPr>
              <w:t xml:space="preserve">For the first time since 1995, new quota access for Australia into Japan with a new 6,000 </w:t>
            </w:r>
            <w:proofErr w:type="spellStart"/>
            <w:r w:rsidRPr="003C6C8F">
              <w:rPr>
                <w:rFonts w:ascii="Times New Roman" w:eastAsia="Arial" w:hAnsi="Times New Roman" w:cs="Times New Roman"/>
                <w:sz w:val="24"/>
                <w:szCs w:val="24"/>
                <w:u w:color="414042"/>
              </w:rPr>
              <w:t>tonne</w:t>
            </w:r>
            <w:proofErr w:type="spellEnd"/>
            <w:r w:rsidRPr="003C6C8F">
              <w:rPr>
                <w:rFonts w:ascii="Times New Roman" w:eastAsia="Arial" w:hAnsi="Times New Roman" w:cs="Times New Roman"/>
                <w:sz w:val="24"/>
                <w:szCs w:val="24"/>
                <w:u w:color="414042"/>
              </w:rPr>
              <w:t xml:space="preserve"> quota from entry into force of the TPP-11, growing to 8,400 </w:t>
            </w:r>
            <w:proofErr w:type="spellStart"/>
            <w:r w:rsidRPr="003C6C8F">
              <w:rPr>
                <w:rFonts w:ascii="Times New Roman" w:eastAsia="Arial" w:hAnsi="Times New Roman" w:cs="Times New Roman"/>
                <w:sz w:val="24"/>
                <w:szCs w:val="24"/>
                <w:u w:color="414042"/>
              </w:rPr>
              <w:t>tonnes</w:t>
            </w:r>
            <w:proofErr w:type="spellEnd"/>
            <w:r w:rsidRPr="003C6C8F">
              <w:rPr>
                <w:rFonts w:ascii="Times New Roman" w:eastAsia="Arial" w:hAnsi="Times New Roman" w:cs="Times New Roman"/>
                <w:sz w:val="24"/>
                <w:szCs w:val="24"/>
                <w:u w:color="414042"/>
              </w:rPr>
              <w:t xml:space="preserve"> after 12 years, for Australian rice and rice flour exports.  Japan will also reduce tariffs on </w:t>
            </w:r>
            <w:proofErr w:type="gramStart"/>
            <w:r w:rsidRPr="003C6C8F">
              <w:rPr>
                <w:rFonts w:ascii="Times New Roman" w:eastAsia="Arial" w:hAnsi="Times New Roman" w:cs="Times New Roman"/>
                <w:sz w:val="24"/>
                <w:szCs w:val="24"/>
                <w:u w:color="414042"/>
              </w:rPr>
              <w:t>a number of</w:t>
            </w:r>
            <w:proofErr w:type="gramEnd"/>
            <w:r w:rsidRPr="003C6C8F">
              <w:rPr>
                <w:rFonts w:ascii="Times New Roman" w:eastAsia="Arial" w:hAnsi="Times New Roman" w:cs="Times New Roman"/>
                <w:sz w:val="24"/>
                <w:szCs w:val="24"/>
                <w:u w:color="414042"/>
              </w:rPr>
              <w:t xml:space="preserve"> rice preparation products; and</w:t>
            </w:r>
          </w:p>
          <w:p w14:paraId="74037FB7" w14:textId="0A0994C1" w:rsidR="005B6B31" w:rsidRPr="003C6C8F" w:rsidRDefault="003C6C8F" w:rsidP="00BD58FB">
            <w:pPr>
              <w:pStyle w:val="ListParagraph"/>
              <w:widowControl w:val="0"/>
              <w:numPr>
                <w:ilvl w:val="0"/>
                <w:numId w:val="74"/>
              </w:numPr>
              <w:suppressAutoHyphens/>
              <w:rPr>
                <w:rFonts w:ascii="Times New Roman" w:eastAsia="Arial" w:hAnsi="Times New Roman" w:cs="Times New Roman"/>
                <w:sz w:val="24"/>
                <w:szCs w:val="24"/>
                <w:u w:color="414042"/>
              </w:rPr>
            </w:pPr>
            <w:r w:rsidRPr="003C6C8F">
              <w:rPr>
                <w:rFonts w:ascii="Times New Roman" w:eastAsia="Arial" w:hAnsi="Times New Roman" w:cs="Times New Roman"/>
                <w:sz w:val="24"/>
                <w:szCs w:val="24"/>
                <w:u w:color="414042"/>
              </w:rPr>
              <w:t>Improvements to Japan’s tendering process for rice.  Japan will now offer tenders 6 times a year, including an additional tender in May in line with Australia’s growing season.</w:t>
            </w:r>
          </w:p>
        </w:tc>
      </w:tr>
      <w:tr w:rsidR="005B6B31" w:rsidRPr="00DC5278" w14:paraId="74037FC2" w14:textId="77777777" w:rsidTr="00BD58FB">
        <w:trPr>
          <w:trHeight w:val="561"/>
        </w:trPr>
        <w:tc>
          <w:tcPr>
            <w:tcW w:w="0" w:type="auto"/>
          </w:tcPr>
          <w:p w14:paraId="74037FB9"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 xml:space="preserve">Sugar </w:t>
            </w:r>
          </w:p>
        </w:tc>
        <w:tc>
          <w:tcPr>
            <w:tcW w:w="0" w:type="auto"/>
          </w:tcPr>
          <w:p w14:paraId="4EE210E6" w14:textId="7CC91745" w:rsidR="00BD58FB" w:rsidRDefault="003C6C8F" w:rsidP="003C6C8F">
            <w:pPr>
              <w:widowControl w:val="0"/>
              <w:suppressAutoHyphens/>
              <w:rPr>
                <w:rFonts w:eastAsia="Arial"/>
                <w:u w:color="414042"/>
              </w:rPr>
            </w:pPr>
            <w:r w:rsidRPr="003C6C8F">
              <w:rPr>
                <w:rFonts w:eastAsia="Arial"/>
                <w:u w:color="414042"/>
              </w:rPr>
              <w:t>Total Australian exports of sugar were estimated to be valued at $2.4 billion in 2016-17, and around one third of these exports (valued at $659 million) went to TPP-11 countries.</w:t>
            </w:r>
            <w:r w:rsidR="00613E35">
              <w:rPr>
                <w:rFonts w:eastAsia="Arial"/>
                <w:u w:color="414042"/>
              </w:rPr>
              <w:t xml:space="preserve">  T</w:t>
            </w:r>
            <w:r w:rsidRPr="003C6C8F">
              <w:rPr>
                <w:rFonts w:eastAsia="Arial"/>
                <w:u w:color="414042"/>
              </w:rPr>
              <w:t xml:space="preserve">PP-11 market access gains for Australian sugar producers and exporters include: </w:t>
            </w:r>
          </w:p>
          <w:p w14:paraId="5D27B4B9" w14:textId="77777777" w:rsidR="00BD58FB" w:rsidRDefault="003C6C8F" w:rsidP="00BD58FB">
            <w:pPr>
              <w:pStyle w:val="ListParagraph"/>
              <w:widowControl w:val="0"/>
              <w:numPr>
                <w:ilvl w:val="0"/>
                <w:numId w:val="74"/>
              </w:numPr>
              <w:suppressAutoHyphens/>
              <w:rPr>
                <w:rFonts w:ascii="Times New Roman" w:eastAsia="Arial" w:hAnsi="Times New Roman" w:cs="Times New Roman"/>
                <w:sz w:val="24"/>
                <w:szCs w:val="24"/>
                <w:u w:color="414042"/>
              </w:rPr>
            </w:pPr>
            <w:r w:rsidRPr="00BD58FB">
              <w:rPr>
                <w:rFonts w:ascii="Times New Roman" w:eastAsia="Arial" w:hAnsi="Times New Roman" w:cs="Times New Roman"/>
                <w:sz w:val="24"/>
                <w:szCs w:val="24"/>
                <w:u w:color="414042"/>
              </w:rPr>
              <w:t xml:space="preserve">Building on the JAEPA, elimination of Japan’s tariff and reduction in the levy on high polarity sugar exports on entry into force of the TPP-11.  In 2016-17, Australian sugar exports to Japan were estimated to be valued at $439 </w:t>
            </w:r>
            <w:proofErr w:type="gramStart"/>
            <w:r w:rsidRPr="00BD58FB">
              <w:rPr>
                <w:rFonts w:ascii="Times New Roman" w:eastAsia="Arial" w:hAnsi="Times New Roman" w:cs="Times New Roman"/>
                <w:sz w:val="24"/>
                <w:szCs w:val="24"/>
                <w:u w:color="414042"/>
              </w:rPr>
              <w:t>million;</w:t>
            </w:r>
            <w:proofErr w:type="gramEnd"/>
          </w:p>
          <w:p w14:paraId="52285C6B" w14:textId="77777777" w:rsidR="00BD58FB" w:rsidRDefault="003C6C8F" w:rsidP="00BD58FB">
            <w:pPr>
              <w:pStyle w:val="ListParagraph"/>
              <w:widowControl w:val="0"/>
              <w:numPr>
                <w:ilvl w:val="0"/>
                <w:numId w:val="74"/>
              </w:numPr>
              <w:suppressAutoHyphens/>
              <w:rPr>
                <w:rFonts w:ascii="Times New Roman" w:eastAsia="Arial" w:hAnsi="Times New Roman" w:cs="Times New Roman"/>
                <w:sz w:val="24"/>
                <w:szCs w:val="24"/>
                <w:u w:color="414042"/>
              </w:rPr>
            </w:pPr>
            <w:r w:rsidRPr="00BD58FB">
              <w:rPr>
                <w:rFonts w:ascii="Times New Roman" w:eastAsia="Arial" w:hAnsi="Times New Roman" w:cs="Times New Roman"/>
                <w:sz w:val="24"/>
                <w:szCs w:val="24"/>
                <w:u w:color="414042"/>
              </w:rPr>
              <w:t>Elimination of Canada’s tariffs on refined sugar (currently CA$30.86/</w:t>
            </w:r>
            <w:proofErr w:type="spellStart"/>
            <w:r w:rsidRPr="00BD58FB">
              <w:rPr>
                <w:rFonts w:ascii="Times New Roman" w:eastAsia="Arial" w:hAnsi="Times New Roman" w:cs="Times New Roman"/>
                <w:sz w:val="24"/>
                <w:szCs w:val="24"/>
                <w:u w:color="414042"/>
              </w:rPr>
              <w:t>tonne</w:t>
            </w:r>
            <w:proofErr w:type="spellEnd"/>
            <w:r w:rsidRPr="00BD58FB">
              <w:rPr>
                <w:rFonts w:ascii="Times New Roman" w:eastAsia="Arial" w:hAnsi="Times New Roman" w:cs="Times New Roman"/>
                <w:sz w:val="24"/>
                <w:szCs w:val="24"/>
                <w:u w:color="414042"/>
              </w:rPr>
              <w:t xml:space="preserve">) within 5 years of entry into force of the TPP-11.  Australia already has duty free access for raw sugar </w:t>
            </w:r>
            <w:r w:rsidRPr="00BD58FB">
              <w:rPr>
                <w:rFonts w:ascii="Times New Roman" w:eastAsia="Arial" w:hAnsi="Times New Roman" w:cs="Times New Roman"/>
                <w:sz w:val="24"/>
                <w:szCs w:val="24"/>
                <w:u w:color="414042"/>
              </w:rPr>
              <w:lastRenderedPageBreak/>
              <w:t xml:space="preserve">into </w:t>
            </w:r>
            <w:proofErr w:type="gramStart"/>
            <w:r w:rsidRPr="00BD58FB">
              <w:rPr>
                <w:rFonts w:ascii="Times New Roman" w:eastAsia="Arial" w:hAnsi="Times New Roman" w:cs="Times New Roman"/>
                <w:sz w:val="24"/>
                <w:szCs w:val="24"/>
                <w:u w:color="414042"/>
              </w:rPr>
              <w:t>Canada;</w:t>
            </w:r>
            <w:proofErr w:type="gramEnd"/>
          </w:p>
          <w:p w14:paraId="40327669" w14:textId="77777777" w:rsidR="00BD58FB" w:rsidRPr="00BD58FB" w:rsidRDefault="003C6C8F" w:rsidP="00BD58FB">
            <w:pPr>
              <w:pStyle w:val="ListParagraph"/>
              <w:widowControl w:val="0"/>
              <w:numPr>
                <w:ilvl w:val="0"/>
                <w:numId w:val="74"/>
              </w:numPr>
              <w:suppressAutoHyphens/>
              <w:rPr>
                <w:rFonts w:ascii="Times New Roman" w:eastAsia="Arial" w:hAnsi="Times New Roman" w:cs="Times New Roman"/>
                <w:sz w:val="24"/>
                <w:szCs w:val="24"/>
                <w:u w:color="414042"/>
              </w:rPr>
            </w:pPr>
            <w:r w:rsidRPr="00BD58FB">
              <w:rPr>
                <w:rFonts w:ascii="Times New Roman" w:eastAsia="Arial" w:hAnsi="Times New Roman" w:cs="Times New Roman"/>
                <w:sz w:val="24"/>
                <w:szCs w:val="24"/>
                <w:u w:color="414042"/>
              </w:rPr>
              <w:t>Mexico will also apportion Australia a guaranteed 7 per cent of any tariff rate quota for raw sugar in the years in which it is offered.  Australia is only the sixth country Mexico has offered</w:t>
            </w:r>
            <w:r w:rsidRPr="003C6C8F">
              <w:rPr>
                <w:rFonts w:ascii="Times New Roman" w:hAnsi="Times New Roman" w:cs="Times New Roman"/>
                <w:sz w:val="24"/>
                <w:szCs w:val="24"/>
              </w:rPr>
              <w:t xml:space="preserve"> such an </w:t>
            </w:r>
            <w:proofErr w:type="gramStart"/>
            <w:r w:rsidRPr="003C6C8F">
              <w:rPr>
                <w:rFonts w:ascii="Times New Roman" w:hAnsi="Times New Roman" w:cs="Times New Roman"/>
                <w:sz w:val="24"/>
                <w:szCs w:val="24"/>
              </w:rPr>
              <w:t>outcome;</w:t>
            </w:r>
            <w:proofErr w:type="gramEnd"/>
          </w:p>
          <w:p w14:paraId="47EC88EF" w14:textId="2AC868C4" w:rsidR="005B6B31" w:rsidRPr="00BD58FB" w:rsidRDefault="003C6C8F" w:rsidP="00BD58FB">
            <w:pPr>
              <w:pStyle w:val="ListParagraph"/>
              <w:widowControl w:val="0"/>
              <w:numPr>
                <w:ilvl w:val="0"/>
                <w:numId w:val="74"/>
              </w:numPr>
              <w:suppressAutoHyphens/>
              <w:rPr>
                <w:rFonts w:ascii="Times New Roman" w:eastAsia="Arial" w:hAnsi="Times New Roman" w:cs="Times New Roman"/>
                <w:sz w:val="24"/>
                <w:szCs w:val="24"/>
                <w:u w:color="414042"/>
              </w:rPr>
            </w:pPr>
            <w:r w:rsidRPr="003C6C8F">
              <w:rPr>
                <w:rFonts w:ascii="Times New Roman" w:hAnsi="Times New Roman" w:cs="Times New Roman"/>
                <w:sz w:val="24"/>
                <w:szCs w:val="24"/>
              </w:rPr>
              <w:t xml:space="preserve">Elimination of in-quota tariffs on Vietnam’s </w:t>
            </w:r>
            <w:r w:rsidR="00182359">
              <w:rPr>
                <w:rFonts w:ascii="Times New Roman" w:hAnsi="Times New Roman" w:cs="Times New Roman"/>
                <w:sz w:val="24"/>
                <w:szCs w:val="24"/>
              </w:rPr>
              <w:t>WTO</w:t>
            </w:r>
            <w:r w:rsidRPr="003C6C8F">
              <w:rPr>
                <w:rFonts w:ascii="Times New Roman" w:hAnsi="Times New Roman" w:cs="Times New Roman"/>
                <w:sz w:val="24"/>
                <w:szCs w:val="24"/>
              </w:rPr>
              <w:t xml:space="preserve"> sugar quota </w:t>
            </w:r>
            <w:r w:rsidR="003952CE">
              <w:rPr>
                <w:rFonts w:ascii="Times New Roman" w:hAnsi="Times New Roman" w:cs="Times New Roman"/>
                <w:sz w:val="24"/>
                <w:szCs w:val="24"/>
              </w:rPr>
              <w:t>within 11 years of entry into force</w:t>
            </w:r>
            <w:r w:rsidRPr="003C6C8F">
              <w:rPr>
                <w:rFonts w:ascii="Times New Roman" w:hAnsi="Times New Roman" w:cs="Times New Roman"/>
                <w:sz w:val="24"/>
                <w:szCs w:val="24"/>
              </w:rPr>
              <w:t>; and</w:t>
            </w:r>
          </w:p>
          <w:p w14:paraId="74037FC1" w14:textId="08D10CCA" w:rsidR="00BD58FB" w:rsidRPr="00BD58FB" w:rsidRDefault="00BD58FB" w:rsidP="00BD58FB">
            <w:pPr>
              <w:pStyle w:val="ListParagraph"/>
              <w:widowControl w:val="0"/>
              <w:numPr>
                <w:ilvl w:val="0"/>
                <w:numId w:val="74"/>
              </w:numPr>
              <w:suppressAutoHyphens/>
              <w:rPr>
                <w:rFonts w:ascii="Times New Roman" w:eastAsia="Arial" w:hAnsi="Times New Roman" w:cs="Times New Roman"/>
                <w:sz w:val="24"/>
                <w:szCs w:val="24"/>
                <w:u w:color="414042"/>
              </w:rPr>
            </w:pPr>
            <w:r w:rsidRPr="00BD58FB">
              <w:rPr>
                <w:rFonts w:ascii="Times New Roman" w:eastAsia="Arial" w:hAnsi="Times New Roman" w:cs="Times New Roman"/>
                <w:sz w:val="24"/>
                <w:szCs w:val="24"/>
                <w:u w:color="414042"/>
              </w:rPr>
              <w:t>Malaysia has committed to allow Australia to engage in the wholesale distribution of refined sugar in Malaysia for use in the food and beverage industry.</w:t>
            </w:r>
          </w:p>
        </w:tc>
      </w:tr>
      <w:tr w:rsidR="005B6B31" w:rsidRPr="00DC5278" w14:paraId="74037FC9" w14:textId="77777777" w:rsidTr="005B6B31">
        <w:trPr>
          <w:trHeight w:val="2946"/>
        </w:trPr>
        <w:tc>
          <w:tcPr>
            <w:tcW w:w="0" w:type="auto"/>
          </w:tcPr>
          <w:p w14:paraId="74037FC3"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Cotton</w:t>
            </w:r>
          </w:p>
        </w:tc>
        <w:tc>
          <w:tcPr>
            <w:tcW w:w="0" w:type="auto"/>
          </w:tcPr>
          <w:p w14:paraId="7FB57894" w14:textId="337E2B1A" w:rsidR="00182359" w:rsidRDefault="00BD58FB" w:rsidP="00182359">
            <w:pPr>
              <w:pStyle w:val="Body"/>
              <w:widowControl w:val="0"/>
              <w:suppressAutoHyphens/>
              <w:rPr>
                <w:rFonts w:hAnsi="Times New Roman" w:cs="Times New Roman"/>
                <w:color w:val="auto"/>
                <w:u w:color="414042"/>
                <w:lang w:val="en-AU"/>
              </w:rPr>
            </w:pPr>
            <w:r w:rsidRPr="00BD58FB">
              <w:rPr>
                <w:rFonts w:hAnsi="Times New Roman" w:cs="Times New Roman"/>
                <w:color w:val="auto"/>
                <w:u w:color="414042"/>
                <w:lang w:val="en-AU"/>
              </w:rPr>
              <w:t>Total Australian exports of cotton were valued at nearly $1.8 billion in 2016-17, and 15 per cent of cotton exports (valued at $274 million) were sent to TPP-11 countries.</w:t>
            </w:r>
          </w:p>
          <w:p w14:paraId="7D47C911" w14:textId="77777777" w:rsidR="00182359" w:rsidRDefault="00182359" w:rsidP="00182359">
            <w:pPr>
              <w:pStyle w:val="Body"/>
              <w:widowControl w:val="0"/>
              <w:suppressAutoHyphens/>
              <w:rPr>
                <w:rFonts w:hAnsi="Times New Roman" w:cs="Times New Roman"/>
                <w:color w:val="auto"/>
                <w:u w:color="414042"/>
                <w:lang w:val="en-AU"/>
              </w:rPr>
            </w:pPr>
          </w:p>
          <w:p w14:paraId="74037FC8" w14:textId="6F752CE2" w:rsidR="005B6B31" w:rsidRPr="00DC5278" w:rsidRDefault="00BD58FB" w:rsidP="00182359">
            <w:pPr>
              <w:pStyle w:val="Body"/>
              <w:widowControl w:val="0"/>
              <w:suppressAutoHyphens/>
              <w:rPr>
                <w:rFonts w:hAnsi="Times New Roman" w:cs="Times New Roman"/>
                <w:color w:val="auto"/>
                <w:lang w:val="en-AU"/>
              </w:rPr>
            </w:pPr>
            <w:r w:rsidRPr="00BD58FB">
              <w:rPr>
                <w:rFonts w:hAnsi="Times New Roman" w:cs="Times New Roman"/>
                <w:color w:val="auto"/>
                <w:u w:color="414042"/>
                <w:lang w:val="en-AU"/>
              </w:rPr>
              <w:t>All tariffs on Australian cotton exports will be eliminated under the TPP-11, with most eliminated from entry into force.</w:t>
            </w:r>
            <w:r w:rsidR="00182359">
              <w:rPr>
                <w:rFonts w:hAnsi="Times New Roman" w:cs="Times New Roman"/>
                <w:color w:val="auto"/>
                <w:u w:color="414042"/>
                <w:lang w:val="en-AU"/>
              </w:rPr>
              <w:t xml:space="preserve"> </w:t>
            </w:r>
            <w:r w:rsidRPr="00BD58FB">
              <w:rPr>
                <w:rFonts w:hAnsi="Times New Roman" w:cs="Times New Roman"/>
                <w:color w:val="auto"/>
                <w:u w:color="414042"/>
                <w:lang w:val="en-AU"/>
              </w:rPr>
              <w:t xml:space="preserve"> Australian cotton producers will also benefit from creation of new regional supply chains into the Japanese consumer market.  For example, clothing produced in Vietnam from Australian cotton will benefit from the elimination of Japanese tariffs on cotton products over 10 to 15 years – encouraging greater demand for Australian cotton in the TPP-11 region.</w:t>
            </w:r>
          </w:p>
        </w:tc>
      </w:tr>
      <w:tr w:rsidR="005B6B31" w:rsidRPr="00DC5278" w14:paraId="74037FD2" w14:textId="77777777" w:rsidTr="005B6B31">
        <w:trPr>
          <w:trHeight w:val="5329"/>
        </w:trPr>
        <w:tc>
          <w:tcPr>
            <w:tcW w:w="0" w:type="auto"/>
          </w:tcPr>
          <w:p w14:paraId="74037FCA" w14:textId="77777777" w:rsidR="005B6B31" w:rsidRPr="00DC5278" w:rsidRDefault="005B6B31" w:rsidP="0085547B">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 xml:space="preserve">Wine </w:t>
            </w:r>
          </w:p>
        </w:tc>
        <w:tc>
          <w:tcPr>
            <w:tcW w:w="0" w:type="auto"/>
          </w:tcPr>
          <w:p w14:paraId="5DCF6DF6" w14:textId="3F8247A1" w:rsidR="00BD58FB" w:rsidRPr="00BD58FB" w:rsidRDefault="00BD58FB" w:rsidP="00BD58FB">
            <w:pPr>
              <w:pStyle w:val="Body"/>
              <w:widowControl w:val="0"/>
              <w:suppressAutoHyphens/>
              <w:rPr>
                <w:rFonts w:hAnsi="Times New Roman" w:cs="Times New Roman"/>
                <w:color w:val="auto"/>
                <w:u w:color="414042"/>
                <w:lang w:val="en-AU"/>
              </w:rPr>
            </w:pPr>
            <w:r w:rsidRPr="00BD58FB">
              <w:rPr>
                <w:rFonts w:hAnsi="Times New Roman" w:cs="Times New Roman"/>
                <w:color w:val="auto"/>
                <w:u w:color="414042"/>
                <w:lang w:val="en-AU"/>
              </w:rPr>
              <w:t xml:space="preserve">Total Australian wine exports were valued at more than $2.3 billion in 2016-17, and around 19 per cent of these exports (valued at $442 million) went to TPP-11 countries. </w:t>
            </w:r>
            <w:r w:rsidR="00182359">
              <w:rPr>
                <w:rFonts w:hAnsi="Times New Roman" w:cs="Times New Roman"/>
                <w:color w:val="auto"/>
                <w:u w:color="414042"/>
                <w:lang w:val="en-AU"/>
              </w:rPr>
              <w:t xml:space="preserve"> </w:t>
            </w:r>
            <w:r w:rsidRPr="00BD58FB">
              <w:rPr>
                <w:rFonts w:hAnsi="Times New Roman" w:cs="Times New Roman"/>
                <w:color w:val="auto"/>
                <w:u w:color="414042"/>
                <w:lang w:val="en-AU"/>
              </w:rPr>
              <w:t xml:space="preserve">TPP-11 market access gains for Australian wine producers and exporters include: </w:t>
            </w:r>
          </w:p>
          <w:p w14:paraId="79BA5872" w14:textId="17B67F47" w:rsidR="00BD58FB" w:rsidRPr="00BD58FB" w:rsidRDefault="00BD58FB" w:rsidP="00BD58FB">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imes New Roman" w:eastAsia="Arial" w:hAnsi="Times New Roman" w:cs="Times New Roman"/>
                <w:sz w:val="24"/>
                <w:szCs w:val="24"/>
                <w:u w:color="414042"/>
              </w:rPr>
            </w:pPr>
            <w:r w:rsidRPr="00BD58FB">
              <w:rPr>
                <w:rFonts w:ascii="Times New Roman" w:eastAsia="Arial" w:hAnsi="Times New Roman" w:cs="Times New Roman"/>
                <w:sz w:val="24"/>
                <w:szCs w:val="24"/>
                <w:u w:color="414042"/>
              </w:rPr>
              <w:t>Elimination of Ca</w:t>
            </w:r>
            <w:r w:rsidR="00182359">
              <w:rPr>
                <w:rFonts w:ascii="Times New Roman" w:eastAsia="Arial" w:hAnsi="Times New Roman" w:cs="Times New Roman"/>
                <w:sz w:val="24"/>
                <w:szCs w:val="24"/>
                <w:u w:color="414042"/>
              </w:rPr>
              <w:t>nada’s tariffs (currently 1.87 c</w:t>
            </w:r>
            <w:r w:rsidR="00810236">
              <w:rPr>
                <w:rFonts w:ascii="Times New Roman" w:eastAsia="Arial" w:hAnsi="Times New Roman" w:cs="Times New Roman"/>
                <w:sz w:val="24"/>
                <w:szCs w:val="24"/>
                <w:u w:color="414042"/>
              </w:rPr>
              <w:t>/</w:t>
            </w:r>
            <w:proofErr w:type="spellStart"/>
            <w:r w:rsidR="00810236">
              <w:rPr>
                <w:rFonts w:ascii="Times New Roman" w:eastAsia="Arial" w:hAnsi="Times New Roman" w:cs="Times New Roman"/>
                <w:sz w:val="24"/>
                <w:szCs w:val="24"/>
                <w:u w:color="414042"/>
              </w:rPr>
              <w:t>litre</w:t>
            </w:r>
            <w:proofErr w:type="spellEnd"/>
            <w:r w:rsidR="00810236">
              <w:rPr>
                <w:rFonts w:ascii="Times New Roman" w:eastAsia="Arial" w:hAnsi="Times New Roman" w:cs="Times New Roman"/>
                <w:sz w:val="24"/>
                <w:szCs w:val="24"/>
                <w:u w:color="414042"/>
              </w:rPr>
              <w:t xml:space="preserve"> and 4.68 c</w:t>
            </w:r>
            <w:r w:rsidRPr="00BD58FB">
              <w:rPr>
                <w:rFonts w:ascii="Times New Roman" w:eastAsia="Arial" w:hAnsi="Times New Roman" w:cs="Times New Roman"/>
                <w:sz w:val="24"/>
                <w:szCs w:val="24"/>
                <w:u w:color="414042"/>
              </w:rPr>
              <w:t>/</w:t>
            </w:r>
            <w:proofErr w:type="spellStart"/>
            <w:r w:rsidRPr="00BD58FB">
              <w:rPr>
                <w:rFonts w:ascii="Times New Roman" w:eastAsia="Arial" w:hAnsi="Times New Roman" w:cs="Times New Roman"/>
                <w:sz w:val="24"/>
                <w:szCs w:val="24"/>
                <w:u w:color="414042"/>
              </w:rPr>
              <w:t>litre</w:t>
            </w:r>
            <w:proofErr w:type="spellEnd"/>
            <w:r w:rsidRPr="00BD58FB">
              <w:rPr>
                <w:rFonts w:ascii="Times New Roman" w:eastAsia="Arial" w:hAnsi="Times New Roman" w:cs="Times New Roman"/>
                <w:sz w:val="24"/>
                <w:szCs w:val="24"/>
                <w:u w:color="414042"/>
              </w:rPr>
              <w:t xml:space="preserve">) upon entry into force of the TPP-11.  Australian wine exports to Canada were valued at $184 million in </w:t>
            </w:r>
            <w:r w:rsidR="00BD3386">
              <w:rPr>
                <w:rFonts w:ascii="Times New Roman" w:eastAsia="Arial" w:hAnsi="Times New Roman" w:cs="Times New Roman"/>
                <w:sz w:val="24"/>
                <w:szCs w:val="24"/>
                <w:u w:color="414042"/>
              </w:rPr>
              <w:br/>
            </w:r>
            <w:r w:rsidRPr="00BD58FB">
              <w:rPr>
                <w:rFonts w:ascii="Times New Roman" w:eastAsia="Arial" w:hAnsi="Times New Roman" w:cs="Times New Roman"/>
                <w:sz w:val="24"/>
                <w:szCs w:val="24"/>
                <w:u w:color="414042"/>
              </w:rPr>
              <w:t>2016-</w:t>
            </w:r>
            <w:proofErr w:type="gramStart"/>
            <w:r w:rsidRPr="00BD58FB">
              <w:rPr>
                <w:rFonts w:ascii="Times New Roman" w:eastAsia="Arial" w:hAnsi="Times New Roman" w:cs="Times New Roman"/>
                <w:sz w:val="24"/>
                <w:szCs w:val="24"/>
                <w:u w:color="414042"/>
              </w:rPr>
              <w:t>17;</w:t>
            </w:r>
            <w:proofErr w:type="gramEnd"/>
            <w:r w:rsidRPr="00BD58FB">
              <w:rPr>
                <w:rFonts w:ascii="Times New Roman" w:eastAsia="Arial" w:hAnsi="Times New Roman" w:cs="Times New Roman"/>
                <w:sz w:val="24"/>
                <w:szCs w:val="24"/>
                <w:u w:color="414042"/>
              </w:rPr>
              <w:t xml:space="preserve"> </w:t>
            </w:r>
          </w:p>
          <w:p w14:paraId="7CE004B2" w14:textId="16770B2A" w:rsidR="00BD58FB" w:rsidRPr="00BD58FB" w:rsidRDefault="00BD58FB" w:rsidP="00BD58FB">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imes New Roman" w:eastAsia="Arial" w:hAnsi="Times New Roman" w:cs="Times New Roman"/>
                <w:sz w:val="24"/>
                <w:szCs w:val="24"/>
                <w:u w:color="414042"/>
              </w:rPr>
            </w:pPr>
            <w:r w:rsidRPr="00BD58FB">
              <w:rPr>
                <w:rFonts w:ascii="Times New Roman" w:eastAsia="Arial" w:hAnsi="Times New Roman" w:cs="Times New Roman"/>
                <w:sz w:val="24"/>
                <w:szCs w:val="24"/>
                <w:u w:color="414042"/>
              </w:rPr>
              <w:t xml:space="preserve">Elimination of Malaysian tariffs within 15 years of entry into force of the TPP-11.  Australian wine exports to Malaysia were valued at nearly $51 million in 2016-17 and are currently subject to tariffs ranging from 7 to 23 Malaysian Ringgit per </w:t>
            </w:r>
            <w:proofErr w:type="spellStart"/>
            <w:proofErr w:type="gramStart"/>
            <w:r w:rsidRPr="00BD58FB">
              <w:rPr>
                <w:rFonts w:ascii="Times New Roman" w:eastAsia="Arial" w:hAnsi="Times New Roman" w:cs="Times New Roman"/>
                <w:sz w:val="24"/>
                <w:szCs w:val="24"/>
                <w:u w:color="414042"/>
              </w:rPr>
              <w:t>litre</w:t>
            </w:r>
            <w:proofErr w:type="spellEnd"/>
            <w:r w:rsidRPr="00BD58FB">
              <w:rPr>
                <w:rFonts w:ascii="Times New Roman" w:eastAsia="Arial" w:hAnsi="Times New Roman" w:cs="Times New Roman"/>
                <w:sz w:val="24"/>
                <w:szCs w:val="24"/>
                <w:u w:color="414042"/>
              </w:rPr>
              <w:t>;</w:t>
            </w:r>
            <w:proofErr w:type="gramEnd"/>
            <w:r w:rsidRPr="00BD58FB">
              <w:rPr>
                <w:rFonts w:ascii="Times New Roman" w:eastAsia="Arial" w:hAnsi="Times New Roman" w:cs="Times New Roman"/>
                <w:sz w:val="24"/>
                <w:szCs w:val="24"/>
                <w:u w:color="414042"/>
              </w:rPr>
              <w:t xml:space="preserve">  </w:t>
            </w:r>
          </w:p>
          <w:p w14:paraId="39212776" w14:textId="5EC19BA8" w:rsidR="00BD58FB" w:rsidRPr="00BD58FB" w:rsidRDefault="00BD58FB" w:rsidP="00BD58FB">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imes New Roman" w:eastAsia="Arial" w:hAnsi="Times New Roman" w:cs="Times New Roman"/>
                <w:sz w:val="24"/>
                <w:szCs w:val="24"/>
                <w:u w:color="414042"/>
              </w:rPr>
            </w:pPr>
            <w:r w:rsidRPr="00BD58FB">
              <w:rPr>
                <w:rFonts w:ascii="Times New Roman" w:eastAsia="Arial" w:hAnsi="Times New Roman" w:cs="Times New Roman"/>
                <w:sz w:val="24"/>
                <w:szCs w:val="24"/>
                <w:u w:color="414042"/>
              </w:rPr>
              <w:t>Elimination of Vietnamese tariffs within 11 years of entry into force of the TPP-11.  Australian wine exports to Vietnam were valued at $5.8 million in 2016-17 and are currently subject to tariffs of up to 59 per cent; and</w:t>
            </w:r>
          </w:p>
          <w:p w14:paraId="74037FD1" w14:textId="16D39D42" w:rsidR="005B6B31" w:rsidRPr="00BD58FB" w:rsidRDefault="00BD58FB" w:rsidP="00BD58FB">
            <w:pPr>
              <w:pStyle w:val="ListParagraph"/>
              <w:widowControl w:val="0"/>
              <w:numPr>
                <w:ilvl w:val="0"/>
                <w:numId w:val="74"/>
              </w:numPr>
              <w:suppressAutoHyphens/>
              <w:rPr>
                <w:rFonts w:ascii="Times New Roman" w:eastAsia="Arial Unicode MS" w:hAnsi="Times New Roman" w:cs="Times New Roman"/>
                <w:color w:val="auto"/>
                <w:sz w:val="24"/>
                <w:szCs w:val="24"/>
                <w:u w:color="414042"/>
                <w:lang w:val="en-AU"/>
              </w:rPr>
            </w:pPr>
            <w:r w:rsidRPr="00BD58FB">
              <w:rPr>
                <w:rFonts w:ascii="Times New Roman" w:eastAsia="Arial" w:hAnsi="Times New Roman" w:cs="Times New Roman"/>
                <w:sz w:val="24"/>
                <w:szCs w:val="24"/>
                <w:u w:color="414042"/>
              </w:rPr>
              <w:t>Elimination of Mexican tariffs (currently 20 per cent) within 3 years of entry into force of the TPP-11 for higher quality wine and elimination of all tariffs within 10 years of entry into force of the TPP-11 for all wine.</w:t>
            </w:r>
          </w:p>
        </w:tc>
      </w:tr>
      <w:tr w:rsidR="00980CD5" w:rsidRPr="00DC5278" w14:paraId="74037FDB" w14:textId="77777777" w:rsidTr="005B6B31">
        <w:trPr>
          <w:trHeight w:val="6064"/>
        </w:trPr>
        <w:tc>
          <w:tcPr>
            <w:tcW w:w="0" w:type="auto"/>
          </w:tcPr>
          <w:p w14:paraId="74037FD3" w14:textId="77777777" w:rsidR="00980CD5" w:rsidRPr="00DC5278" w:rsidRDefault="00980CD5" w:rsidP="00980CD5">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lastRenderedPageBreak/>
              <w:t xml:space="preserve">Horticulture </w:t>
            </w:r>
          </w:p>
        </w:tc>
        <w:tc>
          <w:tcPr>
            <w:tcW w:w="0" w:type="auto"/>
          </w:tcPr>
          <w:p w14:paraId="2ED469E0" w14:textId="4B439F3D" w:rsidR="00980CD5" w:rsidRPr="00980CD5" w:rsidRDefault="00980CD5" w:rsidP="00980CD5">
            <w:pPr>
              <w:widowControl w:val="0"/>
              <w:suppressAutoHyphens/>
              <w:rPr>
                <w:rFonts w:eastAsia="Arial"/>
                <w:u w:color="414042"/>
              </w:rPr>
            </w:pPr>
            <w:r w:rsidRPr="00980CD5">
              <w:rPr>
                <w:rFonts w:eastAsia="Arial"/>
                <w:u w:color="414042"/>
              </w:rPr>
              <w:t>Total Australian horticulture exports were valued at $5.2 billion in 2016-17, and 14 per cent of these exports (valued at $729 million) went to TPP-11 countries.</w:t>
            </w:r>
            <w:r w:rsidR="00906299">
              <w:rPr>
                <w:rFonts w:eastAsia="Arial"/>
                <w:u w:color="414042"/>
              </w:rPr>
              <w:t xml:space="preserve">  </w:t>
            </w:r>
            <w:r w:rsidRPr="00980CD5">
              <w:rPr>
                <w:rFonts w:eastAsia="Arial"/>
                <w:u w:color="414042"/>
              </w:rPr>
              <w:t xml:space="preserve">TPP-11 market access outcomes for Australian horticultural producers and exporters include: </w:t>
            </w:r>
          </w:p>
          <w:p w14:paraId="25EE8401" w14:textId="6D23C8D9" w:rsidR="00980CD5" w:rsidRPr="00980CD5" w:rsidRDefault="00980CD5" w:rsidP="00980CD5">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imes New Roman" w:eastAsia="Arial" w:hAnsi="Times New Roman" w:cs="Times New Roman"/>
                <w:sz w:val="24"/>
                <w:szCs w:val="24"/>
                <w:u w:color="414042"/>
              </w:rPr>
            </w:pPr>
            <w:r w:rsidRPr="00980CD5">
              <w:rPr>
                <w:rFonts w:ascii="Times New Roman" w:eastAsia="Arial" w:hAnsi="Times New Roman" w:cs="Times New Roman"/>
                <w:sz w:val="24"/>
                <w:szCs w:val="24"/>
                <w:u w:color="414042"/>
              </w:rPr>
              <w:t xml:space="preserve">Building on JAEPA, Japan will extend the period by which oranges will face the lower “out of season” tariff (corresponding to the main growing season in Australia) to an </w:t>
            </w:r>
            <w:proofErr w:type="gramStart"/>
            <w:r w:rsidRPr="00980CD5">
              <w:rPr>
                <w:rFonts w:ascii="Times New Roman" w:eastAsia="Arial" w:hAnsi="Times New Roman" w:cs="Times New Roman"/>
                <w:sz w:val="24"/>
                <w:szCs w:val="24"/>
                <w:u w:color="414042"/>
              </w:rPr>
              <w:t>8 month</w:t>
            </w:r>
            <w:proofErr w:type="gramEnd"/>
            <w:r w:rsidRPr="00980CD5">
              <w:rPr>
                <w:rFonts w:ascii="Times New Roman" w:eastAsia="Arial" w:hAnsi="Times New Roman" w:cs="Times New Roman"/>
                <w:sz w:val="24"/>
                <w:szCs w:val="24"/>
                <w:u w:color="414042"/>
              </w:rPr>
              <w:t xml:space="preserve"> period (from 1 April to 30 November</w:t>
            </w:r>
            <w:proofErr w:type="gramStart"/>
            <w:r w:rsidRPr="00980CD5">
              <w:rPr>
                <w:rFonts w:ascii="Times New Roman" w:eastAsia="Arial" w:hAnsi="Times New Roman" w:cs="Times New Roman"/>
                <w:sz w:val="24"/>
                <w:szCs w:val="24"/>
                <w:u w:color="414042"/>
              </w:rPr>
              <w:t>), and</w:t>
            </w:r>
            <w:proofErr w:type="gramEnd"/>
            <w:r w:rsidRPr="00980CD5">
              <w:rPr>
                <w:rFonts w:ascii="Times New Roman" w:eastAsia="Arial" w:hAnsi="Times New Roman" w:cs="Times New Roman"/>
                <w:sz w:val="24"/>
                <w:szCs w:val="24"/>
                <w:u w:color="414042"/>
              </w:rPr>
              <w:t xml:space="preserve"> will eliminate that tariff over 6 years.  The higher “in season” tariff will be eliminated over 7 years. </w:t>
            </w:r>
            <w:r w:rsidR="007D6738">
              <w:rPr>
                <w:rFonts w:ascii="Times New Roman" w:eastAsia="Arial" w:hAnsi="Times New Roman" w:cs="Times New Roman"/>
                <w:sz w:val="24"/>
                <w:szCs w:val="24"/>
                <w:u w:color="414042"/>
              </w:rPr>
              <w:t xml:space="preserve"> </w:t>
            </w:r>
            <w:r w:rsidRPr="00980CD5">
              <w:rPr>
                <w:rFonts w:ascii="Times New Roman" w:eastAsia="Arial" w:hAnsi="Times New Roman" w:cs="Times New Roman"/>
                <w:sz w:val="24"/>
                <w:szCs w:val="24"/>
                <w:u w:color="414042"/>
              </w:rPr>
              <w:t xml:space="preserve">Australian orange exports to Japan were valued at $46 million in </w:t>
            </w:r>
            <w:proofErr w:type="gramStart"/>
            <w:r w:rsidRPr="00980CD5">
              <w:rPr>
                <w:rFonts w:ascii="Times New Roman" w:eastAsia="Arial" w:hAnsi="Times New Roman" w:cs="Times New Roman"/>
                <w:sz w:val="24"/>
                <w:szCs w:val="24"/>
                <w:u w:color="414042"/>
              </w:rPr>
              <w:t>2016-17;</w:t>
            </w:r>
            <w:proofErr w:type="gramEnd"/>
          </w:p>
          <w:p w14:paraId="4A4AD4BB" w14:textId="6E80D579" w:rsidR="00980CD5" w:rsidRPr="00980CD5" w:rsidRDefault="00980CD5" w:rsidP="00980CD5">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imes New Roman" w:eastAsia="Arial" w:hAnsi="Times New Roman" w:cs="Times New Roman"/>
                <w:sz w:val="24"/>
                <w:szCs w:val="24"/>
                <w:u w:color="414042"/>
              </w:rPr>
            </w:pPr>
            <w:r w:rsidRPr="00980CD5">
              <w:rPr>
                <w:rFonts w:ascii="Times New Roman" w:eastAsia="Arial" w:hAnsi="Times New Roman" w:cs="Times New Roman"/>
                <w:sz w:val="24"/>
                <w:szCs w:val="24"/>
                <w:u w:color="414042"/>
              </w:rPr>
              <w:t>Japan will also eliminate all tariffs on fruit juices within 10 years of entry into force of the TPP-11, building on the quota arrangements achieved under JAEPA.  Australia</w:t>
            </w:r>
            <w:r w:rsidR="007D6738">
              <w:rPr>
                <w:rFonts w:ascii="Times New Roman" w:eastAsia="Arial" w:hAnsi="Times New Roman" w:cs="Times New Roman"/>
                <w:sz w:val="24"/>
                <w:szCs w:val="24"/>
                <w:u w:color="414042"/>
              </w:rPr>
              <w:t>n</w:t>
            </w:r>
            <w:r w:rsidRPr="00980CD5">
              <w:rPr>
                <w:rFonts w:ascii="Times New Roman" w:eastAsia="Arial" w:hAnsi="Times New Roman" w:cs="Times New Roman"/>
                <w:sz w:val="24"/>
                <w:szCs w:val="24"/>
                <w:u w:color="414042"/>
              </w:rPr>
              <w:t xml:space="preserve"> fruit juice exports to Japan were valued at $12 million in </w:t>
            </w:r>
            <w:proofErr w:type="gramStart"/>
            <w:r w:rsidRPr="00980CD5">
              <w:rPr>
                <w:rFonts w:ascii="Times New Roman" w:eastAsia="Arial" w:hAnsi="Times New Roman" w:cs="Times New Roman"/>
                <w:sz w:val="24"/>
                <w:szCs w:val="24"/>
                <w:u w:color="414042"/>
              </w:rPr>
              <w:t>2016-17;</w:t>
            </w:r>
            <w:proofErr w:type="gramEnd"/>
          </w:p>
          <w:p w14:paraId="33CFF6E1" w14:textId="22978693" w:rsidR="00980CD5" w:rsidRPr="00980CD5" w:rsidRDefault="00980CD5" w:rsidP="00980CD5">
            <w:pPr>
              <w:pStyle w:val="ListParagraph"/>
              <w:widowControl w:val="0"/>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imes New Roman" w:eastAsia="Arial" w:hAnsi="Times New Roman" w:cs="Times New Roman"/>
                <w:sz w:val="24"/>
                <w:szCs w:val="24"/>
                <w:u w:color="414042"/>
              </w:rPr>
            </w:pPr>
            <w:r w:rsidRPr="00980CD5">
              <w:rPr>
                <w:rFonts w:ascii="Times New Roman" w:eastAsia="Arial" w:hAnsi="Times New Roman" w:cs="Times New Roman"/>
                <w:sz w:val="24"/>
                <w:szCs w:val="24"/>
                <w:u w:color="414042"/>
              </w:rPr>
              <w:t>Elimination of all Canada’s horticulture tariffs upon entry into force of the TPP-11.  Australia</w:t>
            </w:r>
            <w:r w:rsidR="007D6738">
              <w:rPr>
                <w:rFonts w:ascii="Times New Roman" w:eastAsia="Arial" w:hAnsi="Times New Roman" w:cs="Times New Roman"/>
                <w:sz w:val="24"/>
                <w:szCs w:val="24"/>
                <w:u w:color="414042"/>
              </w:rPr>
              <w:t>n</w:t>
            </w:r>
            <w:r w:rsidRPr="00980CD5">
              <w:rPr>
                <w:rFonts w:ascii="Times New Roman" w:eastAsia="Arial" w:hAnsi="Times New Roman" w:cs="Times New Roman"/>
                <w:sz w:val="24"/>
                <w:szCs w:val="24"/>
                <w:u w:color="414042"/>
              </w:rPr>
              <w:t xml:space="preserve"> horticultural exports to Canada were valued at $34 million in 2016-17; and</w:t>
            </w:r>
          </w:p>
          <w:p w14:paraId="74037FDA" w14:textId="4C3EF39F" w:rsidR="00980CD5" w:rsidRPr="00980CD5" w:rsidRDefault="00980CD5" w:rsidP="00980CD5">
            <w:pPr>
              <w:pStyle w:val="ListParagraph"/>
              <w:widowControl w:val="0"/>
              <w:numPr>
                <w:ilvl w:val="0"/>
                <w:numId w:val="74"/>
              </w:numPr>
              <w:suppressAutoHyphens/>
              <w:rPr>
                <w:rFonts w:ascii="Times New Roman" w:eastAsia="Arial" w:hAnsi="Times New Roman" w:cs="Times New Roman"/>
                <w:sz w:val="24"/>
                <w:szCs w:val="24"/>
                <w:u w:color="414042"/>
              </w:rPr>
            </w:pPr>
            <w:r w:rsidRPr="00980CD5">
              <w:rPr>
                <w:rFonts w:ascii="Times New Roman" w:eastAsia="Arial" w:hAnsi="Times New Roman" w:cs="Times New Roman"/>
                <w:sz w:val="24"/>
                <w:szCs w:val="24"/>
                <w:u w:color="414042"/>
              </w:rPr>
              <w:t>Elimination of most of Mexico’s horticulture tariffs upon entry into force of the TPP-11 and elimination of all tariffs within 15 years of entry into force.</w:t>
            </w:r>
          </w:p>
        </w:tc>
      </w:tr>
      <w:tr w:rsidR="00980CD5" w:rsidRPr="00DC5278" w14:paraId="74037FE3" w14:textId="77777777" w:rsidTr="005B6B31">
        <w:trPr>
          <w:trHeight w:val="3402"/>
        </w:trPr>
        <w:tc>
          <w:tcPr>
            <w:tcW w:w="0" w:type="auto"/>
          </w:tcPr>
          <w:p w14:paraId="74037FDC" w14:textId="77777777" w:rsidR="00980CD5" w:rsidRPr="00DC5278" w:rsidRDefault="00980CD5" w:rsidP="00980CD5">
            <w:pPr>
              <w:pStyle w:val="Body"/>
              <w:widowControl w:val="0"/>
              <w:suppressAutoHyphens/>
              <w:spacing w:after="200"/>
              <w:rPr>
                <w:rFonts w:hAnsi="Times New Roman" w:cs="Times New Roman"/>
                <w:color w:val="auto"/>
                <w:lang w:val="en-AU"/>
              </w:rPr>
            </w:pPr>
            <w:r w:rsidRPr="00DC5278">
              <w:rPr>
                <w:rFonts w:hAnsi="Times New Roman" w:cs="Times New Roman"/>
                <w:b/>
                <w:bCs/>
                <w:color w:val="auto"/>
                <w:u w:color="414042"/>
                <w:lang w:val="en-AU"/>
              </w:rPr>
              <w:t>Seafood</w:t>
            </w:r>
          </w:p>
        </w:tc>
        <w:tc>
          <w:tcPr>
            <w:tcW w:w="0" w:type="auto"/>
          </w:tcPr>
          <w:p w14:paraId="19D269DD" w14:textId="62C4F397" w:rsidR="00980CD5" w:rsidRPr="00980CD5" w:rsidRDefault="00980CD5" w:rsidP="00980CD5">
            <w:pPr>
              <w:widowControl w:val="0"/>
              <w:suppressAutoHyphens/>
              <w:rPr>
                <w:rFonts w:eastAsia="Arial"/>
                <w:u w:color="414042"/>
              </w:rPr>
            </w:pPr>
            <w:r w:rsidRPr="00980CD5">
              <w:rPr>
                <w:rFonts w:eastAsia="Arial"/>
                <w:u w:color="414042"/>
              </w:rPr>
              <w:t xml:space="preserve">Australia’s total seafood exports in 2016-17 were worth nearly $1.3 billion, with exports to TPP-11 countries valued at $816 million. </w:t>
            </w:r>
            <w:r w:rsidR="007D6738">
              <w:rPr>
                <w:rFonts w:eastAsia="Arial"/>
                <w:u w:color="414042"/>
              </w:rPr>
              <w:t xml:space="preserve"> </w:t>
            </w:r>
            <w:r w:rsidRPr="00980CD5">
              <w:rPr>
                <w:rFonts w:eastAsia="Arial"/>
                <w:u w:color="414042"/>
              </w:rPr>
              <w:t xml:space="preserve">TPP-11 market access outcomes for Australian seafood producers and exporters include: </w:t>
            </w:r>
          </w:p>
          <w:p w14:paraId="38340479" w14:textId="5237E492" w:rsidR="00980CD5" w:rsidRPr="00980CD5" w:rsidRDefault="00980CD5" w:rsidP="00980CD5">
            <w:pPr>
              <w:pStyle w:val="ListParagraph"/>
              <w:widowControl w:val="0"/>
              <w:numPr>
                <w:ilvl w:val="0"/>
                <w:numId w:val="74"/>
              </w:numPr>
              <w:suppressAutoHyphens/>
              <w:rPr>
                <w:rFonts w:ascii="Times New Roman" w:eastAsia="Arial" w:hAnsi="Times New Roman" w:cs="Times New Roman"/>
                <w:sz w:val="24"/>
                <w:szCs w:val="24"/>
                <w:u w:color="414042"/>
              </w:rPr>
            </w:pPr>
            <w:r w:rsidRPr="00980CD5">
              <w:rPr>
                <w:rFonts w:ascii="Times New Roman" w:eastAsia="Arial" w:hAnsi="Times New Roman" w:cs="Times New Roman"/>
                <w:sz w:val="24"/>
                <w:szCs w:val="24"/>
                <w:u w:color="414042"/>
              </w:rPr>
              <w:t>All Japanese seafood tariffs will be eliminated within 15 years of entry into force of the TPP-</w:t>
            </w:r>
            <w:proofErr w:type="gramStart"/>
            <w:r w:rsidRPr="00980CD5">
              <w:rPr>
                <w:rFonts w:ascii="Times New Roman" w:eastAsia="Arial" w:hAnsi="Times New Roman" w:cs="Times New Roman"/>
                <w:sz w:val="24"/>
                <w:szCs w:val="24"/>
                <w:u w:color="414042"/>
              </w:rPr>
              <w:t>11;</w:t>
            </w:r>
            <w:proofErr w:type="gramEnd"/>
          </w:p>
          <w:p w14:paraId="12A1F4F9" w14:textId="513BE9F6" w:rsidR="00980CD5" w:rsidRPr="00980CD5" w:rsidRDefault="00980CD5" w:rsidP="00980CD5">
            <w:pPr>
              <w:pStyle w:val="ListParagraph"/>
              <w:widowControl w:val="0"/>
              <w:numPr>
                <w:ilvl w:val="0"/>
                <w:numId w:val="74"/>
              </w:numPr>
              <w:suppressAutoHyphens/>
              <w:rPr>
                <w:rFonts w:ascii="Times New Roman" w:eastAsia="Arial" w:hAnsi="Times New Roman" w:cs="Times New Roman"/>
                <w:sz w:val="24"/>
                <w:szCs w:val="24"/>
                <w:u w:color="414042"/>
              </w:rPr>
            </w:pPr>
            <w:r w:rsidRPr="00980CD5">
              <w:rPr>
                <w:rFonts w:ascii="Times New Roman" w:eastAsia="Arial" w:hAnsi="Times New Roman" w:cs="Times New Roman"/>
                <w:sz w:val="24"/>
                <w:szCs w:val="24"/>
                <w:u w:color="414042"/>
              </w:rPr>
              <w:t>All Vietnamese seafood tariffs will be eliminated on entry into force of the TPP-</w:t>
            </w:r>
            <w:proofErr w:type="gramStart"/>
            <w:r w:rsidRPr="00980CD5">
              <w:rPr>
                <w:rFonts w:ascii="Times New Roman" w:eastAsia="Arial" w:hAnsi="Times New Roman" w:cs="Times New Roman"/>
                <w:sz w:val="24"/>
                <w:szCs w:val="24"/>
                <w:u w:color="414042"/>
              </w:rPr>
              <w:t>11;</w:t>
            </w:r>
            <w:proofErr w:type="gramEnd"/>
          </w:p>
          <w:p w14:paraId="29E32D6D" w14:textId="18000F9F" w:rsidR="00980CD5" w:rsidRPr="00980CD5" w:rsidRDefault="00980CD5" w:rsidP="00980CD5">
            <w:pPr>
              <w:pStyle w:val="ListParagraph"/>
              <w:widowControl w:val="0"/>
              <w:numPr>
                <w:ilvl w:val="0"/>
                <w:numId w:val="74"/>
              </w:numPr>
              <w:suppressAutoHyphens/>
              <w:rPr>
                <w:rFonts w:ascii="Times New Roman" w:eastAsia="Arial" w:hAnsi="Times New Roman" w:cs="Times New Roman"/>
                <w:sz w:val="24"/>
                <w:szCs w:val="24"/>
                <w:u w:color="414042"/>
              </w:rPr>
            </w:pPr>
            <w:r w:rsidRPr="00980CD5">
              <w:rPr>
                <w:rFonts w:ascii="Times New Roman" w:eastAsia="Arial" w:hAnsi="Times New Roman" w:cs="Times New Roman"/>
                <w:sz w:val="24"/>
                <w:szCs w:val="24"/>
                <w:u w:color="414042"/>
              </w:rPr>
              <w:t>Canada will eliminate all tariffs on entry into force of the TPP-11; and</w:t>
            </w:r>
          </w:p>
          <w:p w14:paraId="74037FE2" w14:textId="5BB3493F" w:rsidR="00980CD5" w:rsidRPr="00980CD5" w:rsidRDefault="00980CD5" w:rsidP="00980CD5">
            <w:pPr>
              <w:pStyle w:val="ListParagraph"/>
              <w:widowControl w:val="0"/>
              <w:numPr>
                <w:ilvl w:val="0"/>
                <w:numId w:val="74"/>
              </w:numPr>
              <w:suppressAutoHyphens/>
              <w:rPr>
                <w:rFonts w:ascii="Times New Roman" w:eastAsia="Arial" w:hAnsi="Times New Roman" w:cs="Times New Roman"/>
                <w:sz w:val="24"/>
                <w:szCs w:val="24"/>
                <w:u w:color="414042"/>
              </w:rPr>
            </w:pPr>
            <w:r w:rsidRPr="00980CD5">
              <w:rPr>
                <w:rFonts w:ascii="Times New Roman" w:eastAsia="Arial" w:hAnsi="Times New Roman" w:cs="Times New Roman"/>
                <w:sz w:val="24"/>
                <w:szCs w:val="24"/>
                <w:u w:color="414042"/>
              </w:rPr>
              <w:t>Mexico’s seafood tariffs will be eliminated within 15 years of entry into force of the TPP-11, with the majority eliminated on entry into force.</w:t>
            </w:r>
          </w:p>
        </w:tc>
      </w:tr>
    </w:tbl>
    <w:p w14:paraId="74037FE4" w14:textId="77777777" w:rsidR="005B6B31" w:rsidRPr="00DC5278" w:rsidRDefault="005B6B31" w:rsidP="0085547B">
      <w:pPr>
        <w:pStyle w:val="Body"/>
        <w:suppressAutoHyphens/>
        <w:spacing w:after="200"/>
        <w:rPr>
          <w:rFonts w:hAnsi="Times New Roman" w:cs="Times New Roman"/>
          <w:color w:val="auto"/>
          <w:u w:color="414042"/>
          <w:lang w:val="en-AU"/>
        </w:rPr>
      </w:pPr>
    </w:p>
    <w:p w14:paraId="74037FE5" w14:textId="77777777" w:rsidR="005B6B31" w:rsidRPr="00DC5278" w:rsidRDefault="00C42023" w:rsidP="0085547B">
      <w:pPr>
        <w:pStyle w:val="Body"/>
        <w:suppressAutoHyphens/>
        <w:spacing w:after="120"/>
        <w:rPr>
          <w:rFonts w:hAnsi="Times New Roman" w:cs="Times New Roman"/>
          <w:b/>
          <w:bCs/>
          <w:i/>
          <w:iCs/>
          <w:color w:val="auto"/>
          <w:u w:color="414042"/>
          <w:lang w:val="en-AU"/>
        </w:rPr>
      </w:pPr>
      <w:r w:rsidRPr="00DC5278">
        <w:rPr>
          <w:rFonts w:hAnsi="Times New Roman" w:cs="Times New Roman"/>
          <w:b/>
          <w:bCs/>
          <w:i/>
          <w:iCs/>
          <w:color w:val="auto"/>
          <w:u w:color="414042"/>
          <w:lang w:val="en-AU"/>
        </w:rPr>
        <w:t>Resources, E</w:t>
      </w:r>
      <w:r w:rsidR="005B6B31" w:rsidRPr="00DC5278">
        <w:rPr>
          <w:rFonts w:hAnsi="Times New Roman" w:cs="Times New Roman"/>
          <w:b/>
          <w:bCs/>
          <w:i/>
          <w:iCs/>
          <w:color w:val="auto"/>
          <w:u w:color="414042"/>
          <w:lang w:val="en-AU"/>
        </w:rPr>
        <w:t xml:space="preserve">nergy and </w:t>
      </w:r>
      <w:r w:rsidRPr="00DC5278">
        <w:rPr>
          <w:rFonts w:hAnsi="Times New Roman" w:cs="Times New Roman"/>
          <w:b/>
          <w:bCs/>
          <w:i/>
          <w:iCs/>
          <w:color w:val="auto"/>
          <w:u w:color="414042"/>
          <w:lang w:val="en-AU"/>
        </w:rPr>
        <w:t>Manufactured G</w:t>
      </w:r>
      <w:r w:rsidR="005B6B31" w:rsidRPr="00DC5278">
        <w:rPr>
          <w:rFonts w:hAnsi="Times New Roman" w:cs="Times New Roman"/>
          <w:b/>
          <w:bCs/>
          <w:i/>
          <w:iCs/>
          <w:color w:val="auto"/>
          <w:u w:color="414042"/>
          <w:lang w:val="en-AU"/>
        </w:rPr>
        <w:t>oods</w:t>
      </w:r>
    </w:p>
    <w:p w14:paraId="3E6D9259" w14:textId="622DA4BE" w:rsidR="00174301" w:rsidRPr="00F978C8" w:rsidRDefault="00107DE3" w:rsidP="00F978C8">
      <w:pPr>
        <w:pStyle w:val="Body"/>
        <w:numPr>
          <w:ilvl w:val="0"/>
          <w:numId w:val="68"/>
        </w:numPr>
        <w:suppressAutoHyphens/>
        <w:spacing w:after="200"/>
        <w:rPr>
          <w:rFonts w:hAnsi="Times New Roman" w:cs="Times New Roman"/>
          <w:color w:val="auto"/>
          <w:u w:color="414042"/>
          <w:lang w:val="en-AU"/>
        </w:rPr>
      </w:pPr>
      <w:r w:rsidRPr="00107DE3">
        <w:rPr>
          <w:rFonts w:hAnsi="Times New Roman" w:cs="Times New Roman"/>
          <w:color w:val="auto"/>
          <w:u w:color="414042"/>
          <w:lang w:val="en-AU"/>
        </w:rPr>
        <w:t xml:space="preserve">Australian exports of resources, energy, and manufactured products generally face far lower tariff barriers than those facing agricultural goods.  Nonetheless, the TPP-11 will eliminate all remaining tariffs on Australian exports of </w:t>
      </w:r>
      <w:r w:rsidR="00174301">
        <w:rPr>
          <w:rFonts w:hAnsi="Times New Roman" w:cs="Times New Roman"/>
          <w:color w:val="auto"/>
          <w:u w:color="414042"/>
          <w:lang w:val="en-AU"/>
        </w:rPr>
        <w:br/>
      </w:r>
      <w:r w:rsidRPr="00107DE3">
        <w:rPr>
          <w:rFonts w:hAnsi="Times New Roman" w:cs="Times New Roman"/>
          <w:color w:val="auto"/>
          <w:u w:color="414042"/>
          <w:lang w:val="en-AU"/>
        </w:rPr>
        <w:t xml:space="preserve">non-agricultural products to TPP-11 countries and create new opportunities for Australian exports.  </w:t>
      </w:r>
    </w:p>
    <w:p w14:paraId="0C0CEA16" w14:textId="77777777" w:rsidR="00F978C8" w:rsidRDefault="00F978C8">
      <w:pPr>
        <w:rPr>
          <w:i/>
          <w:u w:color="414042"/>
          <w:lang w:eastAsia="ja-JP"/>
        </w:rPr>
      </w:pPr>
      <w:r>
        <w:rPr>
          <w:i/>
          <w:u w:color="414042"/>
        </w:rPr>
        <w:br w:type="page"/>
      </w:r>
    </w:p>
    <w:p w14:paraId="74037FE7" w14:textId="60ADF13F" w:rsidR="005B6B31" w:rsidRPr="00DC5278" w:rsidRDefault="005B6B31" w:rsidP="0085547B">
      <w:pPr>
        <w:pStyle w:val="Body"/>
        <w:suppressAutoHyphens/>
        <w:spacing w:after="200"/>
        <w:rPr>
          <w:rFonts w:hAnsi="Times New Roman" w:cs="Times New Roman"/>
          <w:i/>
          <w:color w:val="auto"/>
          <w:u w:color="414042"/>
          <w:lang w:val="en-AU"/>
        </w:rPr>
      </w:pPr>
      <w:r w:rsidRPr="00DC5278">
        <w:rPr>
          <w:rFonts w:hAnsi="Times New Roman" w:cs="Times New Roman"/>
          <w:i/>
          <w:color w:val="auto"/>
          <w:u w:color="414042"/>
          <w:lang w:val="en-AU"/>
        </w:rPr>
        <w:lastRenderedPageBreak/>
        <w:t xml:space="preserve">Resources and </w:t>
      </w:r>
      <w:r w:rsidR="00C42023" w:rsidRPr="00DC5278">
        <w:rPr>
          <w:rFonts w:hAnsi="Times New Roman" w:cs="Times New Roman"/>
          <w:i/>
          <w:color w:val="auto"/>
          <w:u w:color="414042"/>
          <w:lang w:val="en-AU"/>
        </w:rPr>
        <w:t>E</w:t>
      </w:r>
      <w:r w:rsidRPr="00DC5278">
        <w:rPr>
          <w:rFonts w:hAnsi="Times New Roman" w:cs="Times New Roman"/>
          <w:i/>
          <w:color w:val="auto"/>
          <w:u w:color="414042"/>
          <w:lang w:val="en-AU"/>
        </w:rPr>
        <w:t>nergy</w:t>
      </w:r>
    </w:p>
    <w:p w14:paraId="2A7A6742" w14:textId="3E7C82FA" w:rsidR="00774597" w:rsidRPr="00774597" w:rsidRDefault="00774597" w:rsidP="00774597">
      <w:pPr>
        <w:pStyle w:val="Body"/>
        <w:numPr>
          <w:ilvl w:val="0"/>
          <w:numId w:val="68"/>
        </w:numPr>
        <w:suppressAutoHyphens/>
        <w:spacing w:after="200"/>
        <w:rPr>
          <w:rFonts w:hAnsi="Times New Roman" w:cs="Times New Roman"/>
          <w:color w:val="auto"/>
          <w:u w:color="414042"/>
          <w:lang w:val="en-AU"/>
        </w:rPr>
      </w:pPr>
      <w:r w:rsidRPr="00774597">
        <w:rPr>
          <w:rFonts w:hAnsi="Times New Roman" w:cs="Times New Roman"/>
          <w:color w:val="auto"/>
          <w:u w:color="414042"/>
          <w:lang w:val="en-AU"/>
        </w:rPr>
        <w:t>Australia’s exports of resources and energy products to TPP-11 countries are worth around $42 billion, representing around 48 per cent of Australia’s total goods exports to these countries.</w:t>
      </w:r>
    </w:p>
    <w:p w14:paraId="2058110D" w14:textId="5524CEFF" w:rsidR="00774597" w:rsidRPr="00DC5278" w:rsidRDefault="00774597" w:rsidP="00774597">
      <w:pPr>
        <w:pStyle w:val="Body"/>
        <w:numPr>
          <w:ilvl w:val="0"/>
          <w:numId w:val="68"/>
        </w:numPr>
        <w:suppressAutoHyphens/>
        <w:spacing w:after="200"/>
        <w:rPr>
          <w:rFonts w:hAnsi="Times New Roman" w:cs="Times New Roman"/>
          <w:color w:val="auto"/>
          <w:u w:color="414042"/>
          <w:lang w:val="en-AU"/>
        </w:rPr>
      </w:pPr>
      <w:r w:rsidRPr="00774597">
        <w:rPr>
          <w:rFonts w:hAnsi="Times New Roman" w:cs="Times New Roman"/>
          <w:color w:val="auto"/>
          <w:u w:color="414042"/>
          <w:lang w:val="en-AU"/>
        </w:rPr>
        <w:t>TPP-11 market access outcomes for resources and energy products that are additional to Australia’s existing FTAs include tariff elimination on:</w:t>
      </w:r>
    </w:p>
    <w:p w14:paraId="74037FEB" w14:textId="682EB8AD" w:rsidR="00BC1E8B" w:rsidRPr="00DC5278" w:rsidRDefault="005B6B31" w:rsidP="00BD58FB">
      <w:pPr>
        <w:pStyle w:val="ListParagraph"/>
        <w:numPr>
          <w:ilvl w:val="0"/>
          <w:numId w:val="77"/>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butane, propane and liquified natural gas</w:t>
      </w:r>
      <w:r w:rsidRPr="00DC5278">
        <w:rPr>
          <w:rFonts w:ascii="Times New Roman" w:hAnsi="Times New Roman" w:cs="Times New Roman"/>
          <w:sz w:val="24"/>
          <w:szCs w:val="24"/>
          <w:u w:color="414042"/>
        </w:rPr>
        <w:t xml:space="preserve"> exports to Vietnam within 7 years of entry into force of 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and</w:t>
      </w:r>
    </w:p>
    <w:p w14:paraId="74037FEC" w14:textId="0C24D9F3" w:rsidR="005B6B31" w:rsidRPr="00DC5278" w:rsidRDefault="005B6B31" w:rsidP="00BD58FB">
      <w:pPr>
        <w:pStyle w:val="ListParagraph"/>
        <w:numPr>
          <w:ilvl w:val="0"/>
          <w:numId w:val="77"/>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bCs/>
          <w:sz w:val="24"/>
          <w:szCs w:val="24"/>
          <w:u w:color="414042"/>
        </w:rPr>
        <w:t>refined petroleum</w:t>
      </w:r>
      <w:r w:rsidRPr="00DC5278">
        <w:rPr>
          <w:rFonts w:ascii="Times New Roman" w:hAnsi="Times New Roman" w:cs="Times New Roman"/>
          <w:sz w:val="24"/>
          <w:szCs w:val="24"/>
          <w:u w:color="414042"/>
        </w:rPr>
        <w:t xml:space="preserve"> exports to Vietnam within 10 years of entry into force of 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w:t>
      </w:r>
      <w:r w:rsidR="00703330">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Australia exported $1</w:t>
      </w:r>
      <w:r w:rsidR="0068389D">
        <w:rPr>
          <w:rFonts w:ascii="Times New Roman" w:hAnsi="Times New Roman" w:cs="Times New Roman"/>
          <w:sz w:val="24"/>
          <w:szCs w:val="24"/>
          <w:u w:color="414042"/>
        </w:rPr>
        <w:t>4</w:t>
      </w:r>
      <w:r w:rsidRPr="00DC5278">
        <w:rPr>
          <w:rFonts w:ascii="Times New Roman" w:hAnsi="Times New Roman" w:cs="Times New Roman"/>
          <w:sz w:val="24"/>
          <w:szCs w:val="24"/>
          <w:u w:color="414042"/>
        </w:rPr>
        <w:t xml:space="preserve"> million worth of refined petroleum to Vietnam in 201</w:t>
      </w:r>
      <w:r w:rsidR="0068389D">
        <w:rPr>
          <w:rFonts w:ascii="Times New Roman" w:hAnsi="Times New Roman" w:cs="Times New Roman"/>
          <w:sz w:val="24"/>
          <w:szCs w:val="24"/>
          <w:u w:color="414042"/>
        </w:rPr>
        <w:t>6-17</w:t>
      </w:r>
      <w:r w:rsidRPr="00DC5278">
        <w:rPr>
          <w:rFonts w:ascii="Times New Roman" w:hAnsi="Times New Roman" w:cs="Times New Roman"/>
          <w:sz w:val="24"/>
          <w:szCs w:val="24"/>
          <w:u w:color="414042"/>
        </w:rPr>
        <w:t>.</w:t>
      </w:r>
    </w:p>
    <w:p w14:paraId="74037FED" w14:textId="77777777" w:rsidR="005B6B31" w:rsidRPr="00DC5278" w:rsidRDefault="005B6B31" w:rsidP="0085547B">
      <w:pPr>
        <w:pStyle w:val="Body"/>
        <w:keepNext/>
        <w:keepLines/>
        <w:suppressAutoHyphens/>
        <w:spacing w:after="200"/>
        <w:rPr>
          <w:rFonts w:hAnsi="Times New Roman" w:cs="Times New Roman"/>
          <w:i/>
          <w:color w:val="auto"/>
          <w:u w:color="414042"/>
          <w:lang w:val="en-AU"/>
        </w:rPr>
      </w:pPr>
      <w:r w:rsidRPr="00DC5278">
        <w:rPr>
          <w:rFonts w:hAnsi="Times New Roman" w:cs="Times New Roman"/>
          <w:i/>
          <w:color w:val="auto"/>
          <w:u w:color="414042"/>
          <w:lang w:val="en-AU"/>
        </w:rPr>
        <w:t xml:space="preserve">Manufactured and </w:t>
      </w:r>
      <w:r w:rsidR="00C42023" w:rsidRPr="00DC5278">
        <w:rPr>
          <w:rFonts w:hAnsi="Times New Roman" w:cs="Times New Roman"/>
          <w:i/>
          <w:color w:val="auto"/>
          <w:u w:color="414042"/>
          <w:lang w:val="en-AU"/>
        </w:rPr>
        <w:t>O</w:t>
      </w:r>
      <w:r w:rsidRPr="00DC5278">
        <w:rPr>
          <w:rFonts w:hAnsi="Times New Roman" w:cs="Times New Roman"/>
          <w:i/>
          <w:color w:val="auto"/>
          <w:u w:color="414042"/>
          <w:lang w:val="en-AU"/>
        </w:rPr>
        <w:t xml:space="preserve">ther </w:t>
      </w:r>
      <w:r w:rsidR="00C42023" w:rsidRPr="00DC5278">
        <w:rPr>
          <w:rFonts w:hAnsi="Times New Roman" w:cs="Times New Roman"/>
          <w:i/>
          <w:color w:val="auto"/>
          <w:u w:color="414042"/>
          <w:lang w:val="en-AU"/>
        </w:rPr>
        <w:t>G</w:t>
      </w:r>
      <w:r w:rsidRPr="00DC5278">
        <w:rPr>
          <w:rFonts w:hAnsi="Times New Roman" w:cs="Times New Roman"/>
          <w:i/>
          <w:color w:val="auto"/>
          <w:u w:color="414042"/>
          <w:lang w:val="en-AU"/>
        </w:rPr>
        <w:t>oods</w:t>
      </w:r>
    </w:p>
    <w:p w14:paraId="2B7E2C38" w14:textId="2A9A2565" w:rsidR="00774597" w:rsidRPr="00774597" w:rsidRDefault="00774597" w:rsidP="00B6114F">
      <w:pPr>
        <w:pStyle w:val="ListParagraph"/>
        <w:numPr>
          <w:ilvl w:val="0"/>
          <w:numId w:val="68"/>
        </w:numPr>
        <w:suppressAutoHyphens/>
        <w:spacing w:after="200"/>
        <w:rPr>
          <w:rFonts w:ascii="Times New Roman" w:eastAsia="Times New Roman" w:hAnsi="Times New Roman" w:cs="Times New Roman"/>
          <w:sz w:val="24"/>
          <w:szCs w:val="24"/>
          <w:u w:color="414042"/>
        </w:rPr>
      </w:pPr>
      <w:r w:rsidRPr="00774597">
        <w:rPr>
          <w:rFonts w:ascii="Times New Roman" w:eastAsia="Times New Roman" w:hAnsi="Times New Roman" w:cs="Times New Roman"/>
          <w:sz w:val="24"/>
          <w:szCs w:val="24"/>
          <w:u w:color="414042"/>
        </w:rPr>
        <w:t xml:space="preserve">Australia’s exports of manufactured and other goods to TPP-11 countries are worth an estimated $21 billion. </w:t>
      </w:r>
      <w:r w:rsidR="00703330">
        <w:rPr>
          <w:rFonts w:ascii="Times New Roman" w:eastAsia="Times New Roman" w:hAnsi="Times New Roman" w:cs="Times New Roman"/>
          <w:sz w:val="24"/>
          <w:szCs w:val="24"/>
          <w:u w:color="414042"/>
        </w:rPr>
        <w:t xml:space="preserve"> </w:t>
      </w:r>
      <w:r w:rsidRPr="00774597">
        <w:rPr>
          <w:rFonts w:ascii="Times New Roman" w:eastAsia="Times New Roman" w:hAnsi="Times New Roman" w:cs="Times New Roman"/>
          <w:sz w:val="24"/>
          <w:szCs w:val="24"/>
          <w:u w:color="414042"/>
        </w:rPr>
        <w:t>TPP-11 market access outcomes for manufactured and other goods additional to Australia’s existing FTAs include tariff elimination on:</w:t>
      </w:r>
    </w:p>
    <w:p w14:paraId="78E0A0C7" w14:textId="5EF9B95A" w:rsidR="00774597" w:rsidRPr="00774597" w:rsidRDefault="00774597" w:rsidP="00774597">
      <w:pPr>
        <w:pStyle w:val="ListParagraph"/>
        <w:numPr>
          <w:ilvl w:val="0"/>
          <w:numId w:val="78"/>
        </w:numPr>
        <w:rPr>
          <w:rFonts w:ascii="Times New Roman" w:hAnsi="Times New Roman" w:cs="Times New Roman"/>
          <w:bCs/>
          <w:sz w:val="24"/>
          <w:szCs w:val="24"/>
          <w:u w:color="414042"/>
        </w:rPr>
      </w:pPr>
      <w:r w:rsidRPr="00774597">
        <w:rPr>
          <w:rFonts w:ascii="Times New Roman" w:hAnsi="Times New Roman" w:cs="Times New Roman"/>
          <w:bCs/>
          <w:sz w:val="24"/>
          <w:szCs w:val="24"/>
          <w:u w:color="414042"/>
        </w:rPr>
        <w:t xml:space="preserve">iron and steel products and </w:t>
      </w:r>
      <w:proofErr w:type="spellStart"/>
      <w:r w:rsidRPr="00774597">
        <w:rPr>
          <w:rFonts w:ascii="Times New Roman" w:hAnsi="Times New Roman" w:cs="Times New Roman"/>
          <w:bCs/>
          <w:sz w:val="24"/>
          <w:szCs w:val="24"/>
          <w:u w:color="414042"/>
        </w:rPr>
        <w:t>aluminium</w:t>
      </w:r>
      <w:proofErr w:type="spellEnd"/>
      <w:r w:rsidRPr="00774597">
        <w:rPr>
          <w:rFonts w:ascii="Times New Roman" w:hAnsi="Times New Roman" w:cs="Times New Roman"/>
          <w:bCs/>
          <w:sz w:val="24"/>
          <w:szCs w:val="24"/>
          <w:u w:color="414042"/>
        </w:rPr>
        <w:t xml:space="preserve"> exported to Canada on entry into force of the TPP-11.  Australian exports of these products were worth around $11 </w:t>
      </w:r>
      <w:r w:rsidR="0056275E">
        <w:rPr>
          <w:rFonts w:ascii="Times New Roman" w:hAnsi="Times New Roman" w:cs="Times New Roman"/>
          <w:bCs/>
          <w:sz w:val="24"/>
          <w:szCs w:val="24"/>
          <w:u w:color="414042"/>
        </w:rPr>
        <w:br/>
      </w:r>
      <w:r w:rsidRPr="00774597">
        <w:rPr>
          <w:rFonts w:ascii="Times New Roman" w:hAnsi="Times New Roman" w:cs="Times New Roman"/>
          <w:bCs/>
          <w:sz w:val="24"/>
          <w:szCs w:val="24"/>
          <w:u w:color="414042"/>
        </w:rPr>
        <w:t xml:space="preserve">million in </w:t>
      </w:r>
      <w:proofErr w:type="gramStart"/>
      <w:r w:rsidRPr="00774597">
        <w:rPr>
          <w:rFonts w:ascii="Times New Roman" w:hAnsi="Times New Roman" w:cs="Times New Roman"/>
          <w:bCs/>
          <w:sz w:val="24"/>
          <w:szCs w:val="24"/>
          <w:u w:color="414042"/>
        </w:rPr>
        <w:t>2016-17;</w:t>
      </w:r>
      <w:proofErr w:type="gramEnd"/>
    </w:p>
    <w:p w14:paraId="55D9FF35" w14:textId="29D65A07" w:rsidR="00774597" w:rsidRPr="00774597" w:rsidRDefault="005B6B31" w:rsidP="00774597">
      <w:pPr>
        <w:pStyle w:val="ListParagraph"/>
        <w:numPr>
          <w:ilvl w:val="0"/>
          <w:numId w:val="78"/>
        </w:numPr>
        <w:rPr>
          <w:rFonts w:ascii="Times New Roman" w:hAnsi="Times New Roman" w:cs="Times New Roman"/>
          <w:bCs/>
          <w:sz w:val="24"/>
          <w:szCs w:val="24"/>
          <w:u w:color="414042"/>
        </w:rPr>
      </w:pPr>
      <w:r w:rsidRPr="00774597">
        <w:rPr>
          <w:rFonts w:ascii="Times New Roman" w:hAnsi="Times New Roman" w:cs="Times New Roman"/>
          <w:bCs/>
          <w:sz w:val="24"/>
          <w:szCs w:val="24"/>
          <w:u w:color="414042"/>
        </w:rPr>
        <w:t>l</w:t>
      </w:r>
      <w:r w:rsidR="00774597" w:rsidRPr="00774597">
        <w:rPr>
          <w:rFonts w:ascii="Times New Roman" w:hAnsi="Times New Roman" w:cs="Times New Roman"/>
          <w:bCs/>
          <w:sz w:val="24"/>
          <w:szCs w:val="24"/>
          <w:u w:color="414042"/>
        </w:rPr>
        <w:t xml:space="preserve">eather and sack kraft paper exported to Mexico on entry into force of the </w:t>
      </w:r>
      <w:r w:rsidR="0056275E">
        <w:rPr>
          <w:rFonts w:ascii="Times New Roman" w:hAnsi="Times New Roman" w:cs="Times New Roman"/>
          <w:bCs/>
          <w:sz w:val="24"/>
          <w:szCs w:val="24"/>
          <w:u w:color="414042"/>
        </w:rPr>
        <w:br/>
      </w:r>
      <w:r w:rsidR="00774597" w:rsidRPr="00774597">
        <w:rPr>
          <w:rFonts w:ascii="Times New Roman" w:hAnsi="Times New Roman" w:cs="Times New Roman"/>
          <w:bCs/>
          <w:sz w:val="24"/>
          <w:szCs w:val="24"/>
          <w:u w:color="414042"/>
        </w:rPr>
        <w:t xml:space="preserve">TPP-11.  In 2016-17, Australian exports to Mexico of leather were worth $0.344 million and sack kraft paper were worth $2 </w:t>
      </w:r>
      <w:proofErr w:type="gramStart"/>
      <w:r w:rsidR="00774597" w:rsidRPr="00774597">
        <w:rPr>
          <w:rFonts w:ascii="Times New Roman" w:hAnsi="Times New Roman" w:cs="Times New Roman"/>
          <w:bCs/>
          <w:sz w:val="24"/>
          <w:szCs w:val="24"/>
          <w:u w:color="414042"/>
        </w:rPr>
        <w:t>million;</w:t>
      </w:r>
      <w:proofErr w:type="gramEnd"/>
    </w:p>
    <w:p w14:paraId="5FBBD417" w14:textId="69CE6CFA" w:rsidR="00774597" w:rsidRDefault="00774597" w:rsidP="00774597">
      <w:pPr>
        <w:pStyle w:val="ListParagraph"/>
        <w:numPr>
          <w:ilvl w:val="0"/>
          <w:numId w:val="78"/>
        </w:numPr>
        <w:rPr>
          <w:rFonts w:ascii="Times New Roman" w:hAnsi="Times New Roman" w:cs="Times New Roman"/>
          <w:bCs/>
          <w:sz w:val="24"/>
          <w:szCs w:val="24"/>
          <w:u w:color="414042"/>
        </w:rPr>
      </w:pPr>
      <w:r w:rsidRPr="00774597">
        <w:rPr>
          <w:rFonts w:ascii="Times New Roman" w:hAnsi="Times New Roman" w:cs="Times New Roman"/>
          <w:bCs/>
          <w:sz w:val="24"/>
          <w:szCs w:val="24"/>
          <w:u w:color="414042"/>
        </w:rPr>
        <w:t>medicament exports to Mexico within 10 y</w:t>
      </w:r>
      <w:r w:rsidR="00F978C8">
        <w:rPr>
          <w:rFonts w:ascii="Times New Roman" w:hAnsi="Times New Roman" w:cs="Times New Roman"/>
          <w:bCs/>
          <w:sz w:val="24"/>
          <w:szCs w:val="24"/>
          <w:u w:color="414042"/>
        </w:rPr>
        <w:t xml:space="preserve">ears of entry into force of the </w:t>
      </w:r>
      <w:r w:rsidRPr="00774597">
        <w:rPr>
          <w:rFonts w:ascii="Times New Roman" w:hAnsi="Times New Roman" w:cs="Times New Roman"/>
          <w:bCs/>
          <w:sz w:val="24"/>
          <w:szCs w:val="24"/>
          <w:u w:color="414042"/>
        </w:rPr>
        <w:t xml:space="preserve">TPP-11.  In 2016-17, Australian exports of medicaments to Mexico were worth $3 </w:t>
      </w:r>
      <w:proofErr w:type="gramStart"/>
      <w:r w:rsidRPr="00774597">
        <w:rPr>
          <w:rFonts w:ascii="Times New Roman" w:hAnsi="Times New Roman" w:cs="Times New Roman"/>
          <w:bCs/>
          <w:sz w:val="24"/>
          <w:szCs w:val="24"/>
          <w:u w:color="414042"/>
        </w:rPr>
        <w:t>million;</w:t>
      </w:r>
      <w:proofErr w:type="gramEnd"/>
    </w:p>
    <w:p w14:paraId="13E4BA80" w14:textId="77777777" w:rsidR="00774597" w:rsidRPr="00774597" w:rsidRDefault="00774597" w:rsidP="00774597">
      <w:pPr>
        <w:pStyle w:val="ListParagraph"/>
        <w:numPr>
          <w:ilvl w:val="0"/>
          <w:numId w:val="78"/>
        </w:numPr>
        <w:rPr>
          <w:rFonts w:ascii="Times New Roman" w:hAnsi="Times New Roman" w:cs="Times New Roman"/>
          <w:bCs/>
          <w:sz w:val="24"/>
          <w:szCs w:val="24"/>
          <w:u w:color="414042"/>
        </w:rPr>
      </w:pPr>
      <w:r w:rsidRPr="00774597">
        <w:rPr>
          <w:rFonts w:ascii="Times New Roman" w:hAnsi="Times New Roman" w:cs="Times New Roman"/>
          <w:bCs/>
          <w:sz w:val="24"/>
          <w:szCs w:val="24"/>
          <w:u w:color="414042"/>
        </w:rPr>
        <w:t xml:space="preserve">other manufactured products exported to Mexico within 15 years of entry into force of the TPP-11.  Australia exports of these products to Mexico were valued at $115 million in </w:t>
      </w:r>
      <w:proofErr w:type="gramStart"/>
      <w:r w:rsidRPr="00774597">
        <w:rPr>
          <w:rFonts w:ascii="Times New Roman" w:hAnsi="Times New Roman" w:cs="Times New Roman"/>
          <w:bCs/>
          <w:sz w:val="24"/>
          <w:szCs w:val="24"/>
          <w:u w:color="414042"/>
        </w:rPr>
        <w:t>2016-17;</w:t>
      </w:r>
      <w:proofErr w:type="gramEnd"/>
    </w:p>
    <w:p w14:paraId="48D37181" w14:textId="2F86EAAC" w:rsidR="00774597" w:rsidRPr="00774597" w:rsidRDefault="00774597" w:rsidP="00774597">
      <w:pPr>
        <w:pStyle w:val="ListParagraph"/>
        <w:numPr>
          <w:ilvl w:val="0"/>
          <w:numId w:val="78"/>
        </w:numPr>
        <w:rPr>
          <w:rFonts w:ascii="Times New Roman" w:hAnsi="Times New Roman" w:cs="Times New Roman"/>
          <w:bCs/>
          <w:sz w:val="24"/>
          <w:szCs w:val="24"/>
          <w:u w:color="414042"/>
        </w:rPr>
      </w:pPr>
      <w:r w:rsidRPr="00774597">
        <w:rPr>
          <w:rFonts w:ascii="Times New Roman" w:hAnsi="Times New Roman" w:cs="Times New Roman"/>
          <w:bCs/>
          <w:sz w:val="24"/>
          <w:szCs w:val="24"/>
          <w:u w:color="414042"/>
        </w:rPr>
        <w:t>iron and steel products exported to Vietnam within 10 years of entry into force of the TPP-11.  Australian exports of these products to Vietnam were worth over $146 million in 2016-17; and</w:t>
      </w:r>
    </w:p>
    <w:p w14:paraId="53F25094" w14:textId="6FBFF085" w:rsidR="00774597" w:rsidRPr="00774597" w:rsidRDefault="00774597" w:rsidP="00774597">
      <w:pPr>
        <w:pStyle w:val="ListParagraph"/>
        <w:numPr>
          <w:ilvl w:val="0"/>
          <w:numId w:val="78"/>
        </w:numPr>
        <w:rPr>
          <w:rFonts w:ascii="Times New Roman" w:hAnsi="Times New Roman" w:cs="Times New Roman"/>
          <w:bCs/>
          <w:sz w:val="24"/>
          <w:szCs w:val="24"/>
          <w:u w:color="414042"/>
        </w:rPr>
      </w:pPr>
      <w:r w:rsidRPr="00774597">
        <w:rPr>
          <w:rFonts w:ascii="Times New Roman" w:hAnsi="Times New Roman" w:cs="Times New Roman"/>
          <w:bCs/>
          <w:sz w:val="24"/>
          <w:szCs w:val="24"/>
          <w:u w:color="414042"/>
        </w:rPr>
        <w:t>automotive parts to Vietnam within 10 years of entry into force of the TPP-11.</w:t>
      </w:r>
    </w:p>
    <w:p w14:paraId="3229AAE2" w14:textId="77777777" w:rsidR="00774597" w:rsidRPr="00774597" w:rsidRDefault="00774597" w:rsidP="00774597">
      <w:pPr>
        <w:rPr>
          <w:bCs/>
          <w:u w:color="414042"/>
        </w:rPr>
      </w:pPr>
    </w:p>
    <w:p w14:paraId="713B4AC8" w14:textId="770180B4" w:rsidR="000E25DA" w:rsidRDefault="000E25DA" w:rsidP="000E25DA">
      <w:pPr>
        <w:pStyle w:val="ListParagraph"/>
        <w:numPr>
          <w:ilvl w:val="0"/>
          <w:numId w:val="68"/>
        </w:numPr>
        <w:suppressAutoHyphens/>
        <w:spacing w:after="200"/>
        <w:rPr>
          <w:rFonts w:ascii="Times New Roman" w:eastAsia="Times New Roman" w:hAnsi="Times New Roman" w:cs="Times New Roman"/>
          <w:sz w:val="24"/>
          <w:szCs w:val="24"/>
          <w:u w:color="414042"/>
        </w:rPr>
      </w:pPr>
      <w:r w:rsidRPr="000E25DA">
        <w:rPr>
          <w:rFonts w:ascii="Times New Roman" w:eastAsia="Times New Roman" w:hAnsi="Times New Roman" w:cs="Times New Roman"/>
          <w:sz w:val="24"/>
          <w:szCs w:val="24"/>
          <w:u w:color="414042"/>
        </w:rPr>
        <w:t>In the TPP-11, Malaysia has committed to provide guaranteed access for Australian providers to engage in the wholesale distribution of automotive parts and components.  Malaysia has also committed to stop providing excise tax credits for locally produced automotive parts.  This scheme had provided an incentive for Malaysian manufacturers to use local parts over imported Australian products.</w:t>
      </w:r>
    </w:p>
    <w:p w14:paraId="0FB37CBE" w14:textId="5988D80C" w:rsidR="00BC41A7" w:rsidRDefault="00BC41A7" w:rsidP="00BC41A7">
      <w:pPr>
        <w:suppressAutoHyphens/>
        <w:spacing w:after="200"/>
        <w:rPr>
          <w:rFonts w:eastAsia="Times New Roman"/>
          <w:u w:color="414042"/>
        </w:rPr>
      </w:pPr>
    </w:p>
    <w:p w14:paraId="71D52444" w14:textId="77777777" w:rsidR="00BC41A7" w:rsidRPr="00BC41A7" w:rsidRDefault="00BC41A7" w:rsidP="00BC41A7">
      <w:pPr>
        <w:suppressAutoHyphens/>
        <w:spacing w:after="200"/>
        <w:rPr>
          <w:rFonts w:eastAsia="Times New Roman"/>
          <w:u w:color="414042"/>
        </w:rPr>
      </w:pPr>
    </w:p>
    <w:p w14:paraId="74037FF9" w14:textId="359B4270" w:rsidR="005B6B31" w:rsidRPr="00DC5278" w:rsidRDefault="008E21C4" w:rsidP="0085547B">
      <w:pPr>
        <w:pStyle w:val="Body"/>
        <w:suppressAutoHyphens/>
        <w:spacing w:after="200"/>
        <w:rPr>
          <w:rFonts w:hAnsi="Times New Roman" w:cs="Times New Roman"/>
          <w:b/>
          <w:i/>
          <w:color w:val="auto"/>
          <w:u w:color="414042"/>
          <w:lang w:val="en-AU"/>
        </w:rPr>
      </w:pPr>
      <w:r w:rsidRPr="00DC5278">
        <w:rPr>
          <w:rFonts w:hAnsi="Times New Roman" w:cs="Times New Roman"/>
          <w:b/>
          <w:i/>
          <w:color w:val="auto"/>
          <w:u w:color="414042"/>
          <w:lang w:val="en-AU"/>
        </w:rPr>
        <w:lastRenderedPageBreak/>
        <w:t>Key</w:t>
      </w:r>
      <w:r w:rsidR="0056275E">
        <w:rPr>
          <w:rFonts w:hAnsi="Times New Roman" w:cs="Times New Roman"/>
          <w:b/>
          <w:i/>
          <w:color w:val="auto"/>
          <w:u w:color="414042"/>
          <w:lang w:val="en-AU"/>
        </w:rPr>
        <w:t xml:space="preserve"> s</w:t>
      </w:r>
      <w:r w:rsidR="005B6B31" w:rsidRPr="00DC5278">
        <w:rPr>
          <w:rFonts w:hAnsi="Times New Roman" w:cs="Times New Roman"/>
          <w:b/>
          <w:i/>
          <w:color w:val="auto"/>
          <w:u w:color="414042"/>
          <w:lang w:val="en-AU"/>
        </w:rPr>
        <w:t>ervices</w:t>
      </w:r>
      <w:r w:rsidR="0056275E">
        <w:rPr>
          <w:rFonts w:hAnsi="Times New Roman" w:cs="Times New Roman"/>
          <w:b/>
          <w:i/>
          <w:color w:val="auto"/>
          <w:u w:color="414042"/>
          <w:lang w:val="en-AU"/>
        </w:rPr>
        <w:t xml:space="preserve"> sector o</w:t>
      </w:r>
      <w:r w:rsidRPr="00DC5278">
        <w:rPr>
          <w:rFonts w:hAnsi="Times New Roman" w:cs="Times New Roman"/>
          <w:b/>
          <w:i/>
          <w:color w:val="auto"/>
          <w:u w:color="414042"/>
          <w:lang w:val="en-AU"/>
        </w:rPr>
        <w:t>utcomes</w:t>
      </w:r>
    </w:p>
    <w:p w14:paraId="14FB126B" w14:textId="77777777" w:rsidR="002A4A1D" w:rsidRPr="002A4A1D" w:rsidRDefault="002A4A1D" w:rsidP="002A4A1D">
      <w:pPr>
        <w:pStyle w:val="Body"/>
        <w:numPr>
          <w:ilvl w:val="0"/>
          <w:numId w:val="68"/>
        </w:numPr>
        <w:suppressAutoHyphens/>
        <w:spacing w:after="200"/>
        <w:rPr>
          <w:rFonts w:hAnsi="Times New Roman" w:cs="Times New Roman"/>
          <w:color w:val="auto"/>
          <w:u w:color="414042"/>
          <w:lang w:val="en-AU"/>
        </w:rPr>
      </w:pPr>
      <w:r w:rsidRPr="002A4A1D">
        <w:rPr>
          <w:rFonts w:hAnsi="Times New Roman" w:cs="Times New Roman"/>
          <w:color w:val="auto"/>
          <w:u w:color="414042"/>
          <w:lang w:val="en-AU"/>
        </w:rPr>
        <w:t xml:space="preserve">Australia’s services exports to TPP-11 countries were worth over $18 billion in 2016-17 (22.5 per cent of total Australian services exports).  The TPP-11 will ensure Australian service suppliers have improved transparency and predictability in the operating conditions in TPP-11 markets.  </w:t>
      </w:r>
    </w:p>
    <w:p w14:paraId="59923EBC" w14:textId="6456B041" w:rsidR="002A4A1D" w:rsidRDefault="002A4A1D" w:rsidP="002A4A1D">
      <w:pPr>
        <w:pStyle w:val="Body"/>
        <w:numPr>
          <w:ilvl w:val="0"/>
          <w:numId w:val="68"/>
        </w:numPr>
        <w:suppressAutoHyphens/>
        <w:spacing w:after="200"/>
        <w:rPr>
          <w:rFonts w:hAnsi="Times New Roman" w:cs="Times New Roman"/>
          <w:color w:val="auto"/>
          <w:u w:color="414042"/>
          <w:lang w:val="en-AU"/>
        </w:rPr>
      </w:pPr>
      <w:r w:rsidRPr="002A4A1D">
        <w:rPr>
          <w:rFonts w:hAnsi="Times New Roman" w:cs="Times New Roman"/>
          <w:color w:val="auto"/>
          <w:u w:color="414042"/>
          <w:lang w:val="en-AU"/>
        </w:rPr>
        <w:t>The TPP-11 will also capture future market reforms in services sectors, meaning that any liberalisation will flow through to Australian service providers</w:t>
      </w:r>
      <w:r w:rsidR="00F72A10">
        <w:rPr>
          <w:rFonts w:hAnsi="Times New Roman" w:cs="Times New Roman"/>
          <w:color w:val="auto"/>
          <w:u w:color="414042"/>
          <w:lang w:val="en-AU"/>
        </w:rPr>
        <w:t>.</w:t>
      </w:r>
    </w:p>
    <w:p w14:paraId="74037FFC" w14:textId="5293B5D5" w:rsidR="00BC1E8B" w:rsidRPr="00DC5278" w:rsidRDefault="00240F08" w:rsidP="0085547B">
      <w:pPr>
        <w:pStyle w:val="Body"/>
        <w:numPr>
          <w:ilvl w:val="0"/>
          <w:numId w:val="68"/>
        </w:numPr>
        <w:suppressAutoHyphens/>
        <w:spacing w:after="200"/>
        <w:rPr>
          <w:rFonts w:hAnsi="Times New Roman" w:cs="Times New Roman"/>
          <w:color w:val="auto"/>
          <w:u w:color="414042"/>
          <w:lang w:val="en-AU"/>
        </w:rPr>
      </w:pPr>
      <w:r>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investment and services outcomes include:</w:t>
      </w:r>
    </w:p>
    <w:p w14:paraId="74037FFD" w14:textId="77777777" w:rsidR="00BC1E8B" w:rsidRPr="00DC5278" w:rsidRDefault="005B6B31" w:rsidP="00BD58FB">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Mining Equipment</w:t>
      </w:r>
      <w:r w:rsidR="0085547B" w:rsidRPr="00DC5278">
        <w:rPr>
          <w:rFonts w:hAnsi="Times New Roman" w:cs="Times New Roman"/>
          <w:bCs/>
          <w:color w:val="auto"/>
          <w:u w:color="414042"/>
          <w:lang w:val="en-AU"/>
        </w:rPr>
        <w:t>,</w:t>
      </w:r>
      <w:r w:rsidRPr="00DC5278">
        <w:rPr>
          <w:rFonts w:hAnsi="Times New Roman" w:cs="Times New Roman"/>
          <w:bCs/>
          <w:color w:val="auto"/>
          <w:u w:color="414042"/>
          <w:lang w:val="en-AU"/>
        </w:rPr>
        <w:t xml:space="preserve"> </w:t>
      </w:r>
      <w:r w:rsidR="0085547B" w:rsidRPr="00DC5278">
        <w:rPr>
          <w:rFonts w:hAnsi="Times New Roman" w:cs="Times New Roman"/>
          <w:bCs/>
          <w:color w:val="auto"/>
          <w:u w:color="414042"/>
          <w:lang w:val="en-AU"/>
        </w:rPr>
        <w:t xml:space="preserve">Technologies </w:t>
      </w:r>
      <w:r w:rsidRPr="00DC5278">
        <w:rPr>
          <w:rFonts w:hAnsi="Times New Roman" w:cs="Times New Roman"/>
          <w:bCs/>
          <w:color w:val="auto"/>
          <w:u w:color="414042"/>
          <w:lang w:val="en-AU"/>
        </w:rPr>
        <w:t xml:space="preserve">and </w:t>
      </w:r>
      <w:r w:rsidR="0085547B" w:rsidRPr="00DC5278">
        <w:rPr>
          <w:rFonts w:hAnsi="Times New Roman" w:cs="Times New Roman"/>
          <w:bCs/>
          <w:color w:val="auto"/>
          <w:u w:color="414042"/>
          <w:lang w:val="en-AU"/>
        </w:rPr>
        <w:t xml:space="preserve">Services </w:t>
      </w:r>
      <w:r w:rsidRPr="00DC5278">
        <w:rPr>
          <w:rFonts w:hAnsi="Times New Roman" w:cs="Times New Roman"/>
          <w:bCs/>
          <w:color w:val="auto"/>
          <w:u w:color="414042"/>
          <w:lang w:val="en-AU"/>
        </w:rPr>
        <w:t>(METS) and oilfield service</w:t>
      </w:r>
      <w:r w:rsidR="0085547B" w:rsidRPr="00DC5278">
        <w:rPr>
          <w:rFonts w:hAnsi="Times New Roman" w:cs="Times New Roman"/>
          <w:bCs/>
          <w:color w:val="auto"/>
          <w:u w:color="414042"/>
          <w:lang w:val="en-AU"/>
        </w:rPr>
        <w:t>s</w:t>
      </w:r>
      <w:r w:rsidRPr="00DC5278">
        <w:rPr>
          <w:rFonts w:hAnsi="Times New Roman" w:cs="Times New Roman"/>
          <w:bCs/>
          <w:color w:val="auto"/>
          <w:u w:color="414042"/>
          <w:lang w:val="en-AU"/>
        </w:rPr>
        <w:t xml:space="preserve"> providers: </w:t>
      </w:r>
      <w:r w:rsidR="0085547B" w:rsidRPr="00DC5278">
        <w:rPr>
          <w:rFonts w:hAnsi="Times New Roman" w:cs="Times New Roman"/>
          <w:bCs/>
          <w:color w:val="auto"/>
          <w:u w:color="414042"/>
          <w:lang w:val="en-AU"/>
        </w:rPr>
        <w:t>m</w:t>
      </w:r>
      <w:r w:rsidRPr="00DC5278">
        <w:rPr>
          <w:rFonts w:hAnsi="Times New Roman" w:cs="Times New Roman"/>
          <w:color w:val="auto"/>
          <w:u w:color="414042"/>
          <w:lang w:val="en-AU"/>
        </w:rPr>
        <w:t>ajor new commercial opportunities for our world</w:t>
      </w:r>
      <w:r w:rsidR="0085547B" w:rsidRPr="00DC5278">
        <w:rPr>
          <w:rFonts w:hAnsi="Times New Roman" w:cs="Times New Roman"/>
          <w:color w:val="auto"/>
          <w:u w:color="414042"/>
          <w:lang w:val="en-AU"/>
        </w:rPr>
        <w:t xml:space="preserve"> </w:t>
      </w:r>
      <w:r w:rsidRPr="00DC5278">
        <w:rPr>
          <w:rFonts w:hAnsi="Times New Roman" w:cs="Times New Roman"/>
          <w:color w:val="auto"/>
          <w:u w:color="414042"/>
          <w:lang w:val="en-AU"/>
        </w:rPr>
        <w:t>class service providers, including through:</w:t>
      </w:r>
    </w:p>
    <w:p w14:paraId="74037FFE" w14:textId="77777777" w:rsidR="00BC1E8B" w:rsidRPr="00DC5278" w:rsidRDefault="005B6B31" w:rsidP="00BD58FB">
      <w:pPr>
        <w:pStyle w:val="Body"/>
        <w:numPr>
          <w:ilvl w:val="1"/>
          <w:numId w:val="79"/>
        </w:numPr>
        <w:suppressAutoHyphens/>
        <w:spacing w:after="120"/>
        <w:rPr>
          <w:rFonts w:hAnsi="Times New Roman" w:cs="Times New Roman"/>
          <w:color w:val="auto"/>
          <w:u w:color="414042"/>
          <w:lang w:val="en-AU"/>
        </w:rPr>
      </w:pPr>
      <w:r w:rsidRPr="00DC5278">
        <w:rPr>
          <w:rFonts w:hAnsi="Times New Roman" w:cs="Times New Roman"/>
          <w:color w:val="auto"/>
          <w:u w:color="414042"/>
          <w:lang w:val="en-AU"/>
        </w:rPr>
        <w:t xml:space="preserve">Mexico’s liberalisation of its energy </w:t>
      </w:r>
      <w:proofErr w:type="gramStart"/>
      <w:r w:rsidRPr="00DC5278">
        <w:rPr>
          <w:rFonts w:hAnsi="Times New Roman" w:cs="Times New Roman"/>
          <w:color w:val="auto"/>
          <w:u w:color="414042"/>
          <w:lang w:val="en-AU"/>
        </w:rPr>
        <w:t>sector;</w:t>
      </w:r>
      <w:proofErr w:type="gramEnd"/>
      <w:r w:rsidRPr="00DC5278">
        <w:rPr>
          <w:rFonts w:hAnsi="Times New Roman" w:cs="Times New Roman"/>
          <w:color w:val="auto"/>
          <w:u w:color="414042"/>
          <w:lang w:val="en-AU"/>
        </w:rPr>
        <w:t xml:space="preserve">  </w:t>
      </w:r>
    </w:p>
    <w:p w14:paraId="74037FFF" w14:textId="77777777" w:rsidR="00BC1E8B" w:rsidRPr="00DC5278" w:rsidRDefault="005B6B31" w:rsidP="00BD58FB">
      <w:pPr>
        <w:pStyle w:val="Body"/>
        <w:numPr>
          <w:ilvl w:val="1"/>
          <w:numId w:val="79"/>
        </w:numPr>
        <w:suppressAutoHyphens/>
        <w:spacing w:after="120"/>
        <w:rPr>
          <w:rFonts w:hAnsi="Times New Roman" w:cs="Times New Roman"/>
          <w:color w:val="auto"/>
          <w:u w:color="414042"/>
          <w:lang w:val="en-AU"/>
        </w:rPr>
      </w:pPr>
      <w:r w:rsidRPr="00DC5278">
        <w:rPr>
          <w:rFonts w:hAnsi="Times New Roman" w:cs="Times New Roman"/>
          <w:color w:val="auto"/>
          <w:u w:color="414042"/>
          <w:lang w:val="en-AU"/>
        </w:rPr>
        <w:t xml:space="preserve">Vietnam opening its mining investment </w:t>
      </w:r>
      <w:proofErr w:type="gramStart"/>
      <w:r w:rsidRPr="00DC5278">
        <w:rPr>
          <w:rFonts w:hAnsi="Times New Roman" w:cs="Times New Roman"/>
          <w:color w:val="auto"/>
          <w:u w:color="414042"/>
          <w:lang w:val="en-AU"/>
        </w:rPr>
        <w:t>regime</w:t>
      </w:r>
      <w:r w:rsidR="0085547B" w:rsidRPr="00DC5278">
        <w:rPr>
          <w:rFonts w:hAnsi="Times New Roman" w:cs="Times New Roman"/>
          <w:color w:val="auto"/>
          <w:u w:color="414042"/>
          <w:lang w:val="en-AU"/>
        </w:rPr>
        <w:t>;</w:t>
      </w:r>
      <w:proofErr w:type="gramEnd"/>
    </w:p>
    <w:p w14:paraId="74038000" w14:textId="77777777" w:rsidR="00BC1E8B" w:rsidRPr="00DC5278" w:rsidRDefault="005B6B31" w:rsidP="00BD58FB">
      <w:pPr>
        <w:pStyle w:val="Body"/>
        <w:numPr>
          <w:ilvl w:val="1"/>
          <w:numId w:val="79"/>
        </w:numPr>
        <w:suppressAutoHyphens/>
        <w:spacing w:after="120"/>
        <w:rPr>
          <w:rFonts w:hAnsi="Times New Roman" w:cs="Times New Roman"/>
          <w:color w:val="auto"/>
          <w:u w:color="414042"/>
          <w:lang w:val="en-AU"/>
        </w:rPr>
      </w:pPr>
      <w:r w:rsidRPr="00DC5278">
        <w:rPr>
          <w:rFonts w:hAnsi="Times New Roman" w:cs="Times New Roman"/>
          <w:color w:val="auto"/>
          <w:u w:color="414042"/>
          <w:lang w:val="en-AU"/>
        </w:rPr>
        <w:t xml:space="preserve">Brunei Darussalam and Vietnam locking in future reforms to local content regimes or otherwise committing to a level playing field between Australian and foreign suppliers providing goods and services in the </w:t>
      </w:r>
      <w:r w:rsidR="00C5240C" w:rsidRPr="00DC5278">
        <w:rPr>
          <w:rFonts w:hAnsi="Times New Roman" w:cs="Times New Roman"/>
          <w:color w:val="auto"/>
          <w:u w:color="414042"/>
          <w:lang w:val="en-AU"/>
        </w:rPr>
        <w:t xml:space="preserve">mining, oil and gas </w:t>
      </w:r>
      <w:proofErr w:type="gramStart"/>
      <w:r w:rsidR="00C5240C" w:rsidRPr="00DC5278">
        <w:rPr>
          <w:rFonts w:hAnsi="Times New Roman" w:cs="Times New Roman"/>
          <w:color w:val="auto"/>
          <w:u w:color="414042"/>
          <w:lang w:val="en-AU"/>
        </w:rPr>
        <w:t>sectors;</w:t>
      </w:r>
      <w:proofErr w:type="gramEnd"/>
      <w:r w:rsidR="00C5240C" w:rsidRPr="00DC5278">
        <w:rPr>
          <w:rFonts w:hAnsi="Times New Roman" w:cs="Times New Roman"/>
          <w:color w:val="auto"/>
          <w:u w:color="414042"/>
          <w:lang w:val="en-AU"/>
        </w:rPr>
        <w:t xml:space="preserve"> </w:t>
      </w:r>
    </w:p>
    <w:p w14:paraId="74038001" w14:textId="77777777" w:rsidR="00BC1E8B" w:rsidRPr="00DC5278" w:rsidRDefault="005B6B31" w:rsidP="00BD58FB">
      <w:pPr>
        <w:pStyle w:val="Body"/>
        <w:numPr>
          <w:ilvl w:val="1"/>
          <w:numId w:val="79"/>
        </w:numPr>
        <w:suppressAutoHyphens/>
        <w:spacing w:after="120"/>
        <w:rPr>
          <w:rFonts w:hAnsi="Times New Roman" w:cs="Times New Roman"/>
          <w:color w:val="auto"/>
          <w:u w:color="414042"/>
          <w:lang w:val="en-AU"/>
        </w:rPr>
      </w:pPr>
      <w:r w:rsidRPr="00DC5278">
        <w:rPr>
          <w:rFonts w:hAnsi="Times New Roman" w:cs="Times New Roman"/>
          <w:color w:val="auto"/>
          <w:u w:color="414042"/>
          <w:lang w:val="en-AU"/>
        </w:rPr>
        <w:t xml:space="preserve">New rules on large </w:t>
      </w:r>
      <w:r w:rsidR="0085547B" w:rsidRPr="00DC5278">
        <w:rPr>
          <w:rFonts w:hAnsi="Times New Roman" w:cs="Times New Roman"/>
          <w:color w:val="auto"/>
          <w:u w:color="414042"/>
          <w:lang w:val="en-AU"/>
        </w:rPr>
        <w:t>SOEs</w:t>
      </w:r>
      <w:r w:rsidRPr="00DC5278">
        <w:rPr>
          <w:rFonts w:hAnsi="Times New Roman" w:cs="Times New Roman"/>
          <w:color w:val="auto"/>
          <w:u w:color="414042"/>
          <w:lang w:val="en-AU"/>
        </w:rPr>
        <w:t xml:space="preserve"> such as PEMEX, VINACOMIN and PETROVIETNAM, which will help ensure that Australian goods and service</w:t>
      </w:r>
      <w:r w:rsidR="0085547B" w:rsidRPr="00DC5278">
        <w:rPr>
          <w:rFonts w:hAnsi="Times New Roman" w:cs="Times New Roman"/>
          <w:color w:val="auto"/>
          <w:u w:color="414042"/>
          <w:lang w:val="en-AU"/>
        </w:rPr>
        <w:t>s</w:t>
      </w:r>
      <w:r w:rsidRPr="00DC5278">
        <w:rPr>
          <w:rFonts w:hAnsi="Times New Roman" w:cs="Times New Roman"/>
          <w:color w:val="auto"/>
          <w:u w:color="414042"/>
          <w:lang w:val="en-AU"/>
        </w:rPr>
        <w:t xml:space="preserve"> providers c</w:t>
      </w:r>
      <w:r w:rsidR="00C5240C" w:rsidRPr="00DC5278">
        <w:rPr>
          <w:rFonts w:hAnsi="Times New Roman" w:cs="Times New Roman"/>
          <w:color w:val="auto"/>
          <w:u w:color="414042"/>
          <w:lang w:val="en-AU"/>
        </w:rPr>
        <w:t xml:space="preserve">an compete fairly for </w:t>
      </w:r>
      <w:proofErr w:type="gramStart"/>
      <w:r w:rsidR="00C5240C" w:rsidRPr="00DC5278">
        <w:rPr>
          <w:rFonts w:hAnsi="Times New Roman" w:cs="Times New Roman"/>
          <w:color w:val="auto"/>
          <w:u w:color="414042"/>
          <w:lang w:val="en-AU"/>
        </w:rPr>
        <w:t>contracts;</w:t>
      </w:r>
      <w:proofErr w:type="gramEnd"/>
    </w:p>
    <w:p w14:paraId="74038002" w14:textId="77777777" w:rsidR="00BC1E8B" w:rsidRPr="00DC5278" w:rsidRDefault="00C5240C" w:rsidP="00BD58FB">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p</w:t>
      </w:r>
      <w:r w:rsidR="005B6B31" w:rsidRPr="00DC5278">
        <w:rPr>
          <w:rFonts w:hAnsi="Times New Roman" w:cs="Times New Roman"/>
          <w:bCs/>
          <w:color w:val="auto"/>
          <w:u w:color="414042"/>
          <w:lang w:val="en-AU"/>
        </w:rPr>
        <w:t>rofessional services:</w:t>
      </w:r>
      <w:r w:rsidR="005B6B31" w:rsidRPr="00DC5278">
        <w:rPr>
          <w:rFonts w:hAnsi="Times New Roman" w:cs="Times New Roman"/>
          <w:color w:val="auto"/>
          <w:u w:color="414042"/>
          <w:lang w:val="en-AU"/>
        </w:rPr>
        <w:t xml:space="preserve"> Malaysia has locked in recent reforms to the legal, architectural, engineering and surveying services sectors, removing </w:t>
      </w:r>
      <w:proofErr w:type="gramStart"/>
      <w:r w:rsidR="005B6B31" w:rsidRPr="00DC5278">
        <w:rPr>
          <w:rFonts w:hAnsi="Times New Roman" w:cs="Times New Roman"/>
          <w:color w:val="auto"/>
          <w:u w:color="414042"/>
          <w:lang w:val="en-AU"/>
        </w:rPr>
        <w:t>a number of</w:t>
      </w:r>
      <w:proofErr w:type="gramEnd"/>
      <w:r w:rsidR="005B6B31" w:rsidRPr="00DC5278">
        <w:rPr>
          <w:rFonts w:hAnsi="Times New Roman" w:cs="Times New Roman"/>
          <w:color w:val="auto"/>
          <w:u w:color="414042"/>
          <w:lang w:val="en-AU"/>
        </w:rPr>
        <w:t xml:space="preserve"> restrictions that have long been of concern to Australian </w:t>
      </w:r>
      <w:proofErr w:type="gramStart"/>
      <w:r w:rsidR="005B6B31" w:rsidRPr="00DC5278">
        <w:rPr>
          <w:rFonts w:hAnsi="Times New Roman" w:cs="Times New Roman"/>
          <w:color w:val="auto"/>
          <w:u w:color="414042"/>
          <w:lang w:val="en-AU"/>
        </w:rPr>
        <w:t>businesses;</w:t>
      </w:r>
      <w:proofErr w:type="gramEnd"/>
    </w:p>
    <w:p w14:paraId="74038003" w14:textId="10E85936" w:rsidR="00BC1E8B" w:rsidRPr="00DC5278" w:rsidRDefault="00C5240C" w:rsidP="00BD58FB">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f</w:t>
      </w:r>
      <w:r w:rsidR="005B6B31" w:rsidRPr="00DC5278">
        <w:rPr>
          <w:rFonts w:hAnsi="Times New Roman" w:cs="Times New Roman"/>
          <w:bCs/>
          <w:color w:val="auto"/>
          <w:u w:color="414042"/>
          <w:lang w:val="en-AU"/>
        </w:rPr>
        <w:t>inancial services</w:t>
      </w:r>
      <w:r w:rsidR="0085547B" w:rsidRPr="00DC5278">
        <w:rPr>
          <w:rFonts w:hAnsi="Times New Roman" w:cs="Times New Roman"/>
          <w:color w:val="auto"/>
          <w:u w:color="414042"/>
          <w:lang w:val="en-AU"/>
        </w:rPr>
        <w:t>: n</w:t>
      </w:r>
      <w:r w:rsidR="005B6B31" w:rsidRPr="00DC5278">
        <w:rPr>
          <w:rFonts w:hAnsi="Times New Roman" w:cs="Times New Roman"/>
          <w:color w:val="auto"/>
          <w:u w:color="414042"/>
          <w:lang w:val="en-AU"/>
        </w:rPr>
        <w:t xml:space="preserve">ew opportunities for Australian exporters to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countries, with guaranteed ability to provide the following cross-border services: (</w:t>
      </w:r>
      <w:proofErr w:type="spellStart"/>
      <w:r w:rsidR="005B6B31" w:rsidRPr="00DC5278">
        <w:rPr>
          <w:rFonts w:hAnsi="Times New Roman" w:cs="Times New Roman"/>
          <w:color w:val="auto"/>
          <w:u w:color="414042"/>
          <w:lang w:val="en-AU"/>
        </w:rPr>
        <w:t>i</w:t>
      </w:r>
      <w:proofErr w:type="spellEnd"/>
      <w:r w:rsidR="005B6B31" w:rsidRPr="00DC5278">
        <w:rPr>
          <w:rFonts w:hAnsi="Times New Roman" w:cs="Times New Roman"/>
          <w:color w:val="auto"/>
          <w:u w:color="414042"/>
          <w:lang w:val="en-AU"/>
        </w:rPr>
        <w:t xml:space="preserve">) investment advice and portfolio management services to a collective investment scheme and (ii) insurance of risks relating to maritime shipping and international commercial aviation and freight, and related </w:t>
      </w:r>
      <w:proofErr w:type="gramStart"/>
      <w:r w:rsidR="005B6B31" w:rsidRPr="00DC5278">
        <w:rPr>
          <w:rFonts w:hAnsi="Times New Roman" w:cs="Times New Roman"/>
          <w:color w:val="auto"/>
          <w:u w:color="414042"/>
          <w:lang w:val="en-AU"/>
        </w:rPr>
        <w:t>brokerage;</w:t>
      </w:r>
      <w:proofErr w:type="gramEnd"/>
    </w:p>
    <w:p w14:paraId="74038004" w14:textId="108C846E" w:rsidR="00BC1E8B" w:rsidRPr="00DC5278" w:rsidRDefault="00C5240C" w:rsidP="00C217A4">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t</w:t>
      </w:r>
      <w:r w:rsidR="005B6B31" w:rsidRPr="00DC5278">
        <w:rPr>
          <w:rFonts w:hAnsi="Times New Roman" w:cs="Times New Roman"/>
          <w:bCs/>
          <w:color w:val="auto"/>
          <w:u w:color="414042"/>
          <w:lang w:val="en-AU"/>
        </w:rPr>
        <w:t xml:space="preserve">emporary entry of </w:t>
      </w:r>
      <w:proofErr w:type="gramStart"/>
      <w:r w:rsidR="005B6B31" w:rsidRPr="00DC5278">
        <w:rPr>
          <w:rFonts w:hAnsi="Times New Roman" w:cs="Times New Roman"/>
          <w:bCs/>
          <w:color w:val="auto"/>
          <w:u w:color="414042"/>
          <w:lang w:val="en-AU"/>
        </w:rPr>
        <w:t>business people</w:t>
      </w:r>
      <w:proofErr w:type="gramEnd"/>
      <w:r w:rsidR="0085547B" w:rsidRPr="00DC5278">
        <w:rPr>
          <w:rFonts w:hAnsi="Times New Roman" w:cs="Times New Roman"/>
          <w:color w:val="auto"/>
          <w:u w:color="414042"/>
          <w:lang w:val="en-AU"/>
        </w:rPr>
        <w:t xml:space="preserve">: </w:t>
      </w:r>
      <w:r w:rsidR="00C217A4" w:rsidRPr="00C217A4">
        <w:rPr>
          <w:rFonts w:hAnsi="Times New Roman" w:cs="Times New Roman"/>
          <w:color w:val="auto"/>
          <w:u w:color="414042"/>
          <w:lang w:val="en-AU"/>
        </w:rPr>
        <w:t xml:space="preserve">Australia has gained preferential temporary entry into fast-growing TPP-11 markets that increasingly demand Australia’s services expertise, by reciprocating a matching level of temporary entry commitments to those countries.  We </w:t>
      </w:r>
      <w:proofErr w:type="gramStart"/>
      <w:r w:rsidR="00C217A4" w:rsidRPr="00C217A4">
        <w:rPr>
          <w:rFonts w:hAnsi="Times New Roman" w:cs="Times New Roman"/>
          <w:color w:val="auto"/>
          <w:u w:color="414042"/>
          <w:lang w:val="en-AU"/>
        </w:rPr>
        <w:t>entered into</w:t>
      </w:r>
      <w:proofErr w:type="gramEnd"/>
      <w:r w:rsidR="00C217A4" w:rsidRPr="00C217A4">
        <w:rPr>
          <w:rFonts w:hAnsi="Times New Roman" w:cs="Times New Roman"/>
          <w:color w:val="auto"/>
          <w:u w:color="414042"/>
          <w:lang w:val="en-AU"/>
        </w:rPr>
        <w:t xml:space="preserve"> this arrangement in a deliberate, measured way, allowing the Government to maintain absolute control over Australia’s labour m</w:t>
      </w:r>
      <w:r w:rsidR="00192623">
        <w:rPr>
          <w:rFonts w:hAnsi="Times New Roman" w:cs="Times New Roman"/>
          <w:color w:val="auto"/>
          <w:u w:color="414042"/>
          <w:lang w:val="en-AU"/>
        </w:rPr>
        <w:t xml:space="preserve">arket and ensure its </w:t>
      </w:r>
      <w:proofErr w:type="gramStart"/>
      <w:r w:rsidR="00192623">
        <w:rPr>
          <w:rFonts w:hAnsi="Times New Roman" w:cs="Times New Roman"/>
          <w:color w:val="auto"/>
          <w:u w:color="414042"/>
          <w:lang w:val="en-AU"/>
        </w:rPr>
        <w:t>stability</w:t>
      </w:r>
      <w:r w:rsidR="005B6B31" w:rsidRPr="00DC5278">
        <w:rPr>
          <w:rFonts w:hAnsi="Times New Roman" w:cs="Times New Roman"/>
          <w:color w:val="auto"/>
          <w:u w:color="414042"/>
          <w:lang w:val="en-AU"/>
        </w:rPr>
        <w:t>;</w:t>
      </w:r>
      <w:proofErr w:type="gramEnd"/>
    </w:p>
    <w:p w14:paraId="74038005" w14:textId="77777777" w:rsidR="00BC1E8B" w:rsidRPr="00DC5278" w:rsidRDefault="00C5240C" w:rsidP="00BD58FB">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e</w:t>
      </w:r>
      <w:r w:rsidR="0085547B" w:rsidRPr="00DC5278">
        <w:rPr>
          <w:rFonts w:hAnsi="Times New Roman" w:cs="Times New Roman"/>
          <w:bCs/>
          <w:color w:val="auto"/>
          <w:u w:color="414042"/>
          <w:lang w:val="en-AU"/>
        </w:rPr>
        <w:t>ducation s</w:t>
      </w:r>
      <w:r w:rsidR="005B6B31" w:rsidRPr="00DC5278">
        <w:rPr>
          <w:rFonts w:hAnsi="Times New Roman" w:cs="Times New Roman"/>
          <w:bCs/>
          <w:color w:val="auto"/>
          <w:u w:color="414042"/>
          <w:lang w:val="en-AU"/>
        </w:rPr>
        <w:t>ervices:</w:t>
      </w:r>
      <w:r w:rsidR="005B6B31" w:rsidRPr="00DC5278">
        <w:rPr>
          <w:rFonts w:hAnsi="Times New Roman" w:cs="Times New Roman"/>
          <w:color w:val="auto"/>
          <w:u w:color="414042"/>
          <w:lang w:val="en-AU"/>
        </w:rPr>
        <w:t xml:space="preserve">  Australian universities and vocational education providers will benefit from guaranteed access to </w:t>
      </w:r>
      <w:proofErr w:type="gramStart"/>
      <w:r w:rsidR="005B6B31" w:rsidRPr="00DC5278">
        <w:rPr>
          <w:rFonts w:hAnsi="Times New Roman" w:cs="Times New Roman"/>
          <w:color w:val="auto"/>
          <w:u w:color="414042"/>
          <w:lang w:val="en-AU"/>
        </w:rPr>
        <w:t>a number of</w:t>
      </w:r>
      <w:proofErr w:type="gramEnd"/>
      <w:r w:rsidR="005B6B31" w:rsidRPr="00DC5278">
        <w:rPr>
          <w:rFonts w:hAnsi="Times New Roman" w:cs="Times New Roman"/>
          <w:color w:val="auto"/>
          <w:u w:color="414042"/>
          <w:lang w:val="en-AU"/>
        </w:rPr>
        <w:t xml:space="preserve"> existing and growth markets in Brunei Darussalam, Japa</w:t>
      </w:r>
      <w:r w:rsidR="0085547B" w:rsidRPr="00DC5278">
        <w:rPr>
          <w:rFonts w:hAnsi="Times New Roman" w:cs="Times New Roman"/>
          <w:color w:val="auto"/>
          <w:u w:color="414042"/>
          <w:lang w:val="en-AU"/>
        </w:rPr>
        <w:t xml:space="preserve">n, Malaysia, Mexico and Peru.  Australia will also be well </w:t>
      </w:r>
      <w:r w:rsidR="005B6B31" w:rsidRPr="00DC5278">
        <w:rPr>
          <w:rFonts w:hAnsi="Times New Roman" w:cs="Times New Roman"/>
          <w:color w:val="auto"/>
          <w:u w:color="414042"/>
          <w:lang w:val="en-AU"/>
        </w:rPr>
        <w:t>placed to supply online educa</w:t>
      </w:r>
      <w:r w:rsidRPr="00DC5278">
        <w:rPr>
          <w:rFonts w:hAnsi="Times New Roman" w:cs="Times New Roman"/>
          <w:color w:val="auto"/>
          <w:u w:color="414042"/>
          <w:lang w:val="en-AU"/>
        </w:rPr>
        <w:t xml:space="preserve">tion services across the </w:t>
      </w:r>
      <w:proofErr w:type="gramStart"/>
      <w:r w:rsidRPr="00DC5278">
        <w:rPr>
          <w:rFonts w:hAnsi="Times New Roman" w:cs="Times New Roman"/>
          <w:color w:val="auto"/>
          <w:u w:color="414042"/>
          <w:lang w:val="en-AU"/>
        </w:rPr>
        <w:t>region;</w:t>
      </w:r>
      <w:proofErr w:type="gramEnd"/>
      <w:r w:rsidR="005B6B31" w:rsidRPr="00DC5278">
        <w:rPr>
          <w:rFonts w:hAnsi="Times New Roman" w:cs="Times New Roman"/>
          <w:i/>
          <w:iCs/>
          <w:color w:val="auto"/>
          <w:u w:color="414042"/>
          <w:lang w:val="en-AU"/>
        </w:rPr>
        <w:t xml:space="preserve">  </w:t>
      </w:r>
    </w:p>
    <w:p w14:paraId="74038006" w14:textId="6368D8E1" w:rsidR="00BC1E8B" w:rsidRPr="00DC5278" w:rsidRDefault="00C5240C" w:rsidP="00BD58FB">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lastRenderedPageBreak/>
        <w:t>t</w:t>
      </w:r>
      <w:r w:rsidR="005B6B31" w:rsidRPr="00DC5278">
        <w:rPr>
          <w:rFonts w:hAnsi="Times New Roman" w:cs="Times New Roman"/>
          <w:bCs/>
          <w:color w:val="auto"/>
          <w:u w:color="414042"/>
          <w:lang w:val="en-AU"/>
        </w:rPr>
        <w:t>ransport services</w:t>
      </w:r>
      <w:r w:rsidR="005B6B31" w:rsidRPr="00DC5278">
        <w:rPr>
          <w:rFonts w:hAnsi="Times New Roman" w:cs="Times New Roman"/>
          <w:color w:val="auto"/>
          <w:u w:color="414042"/>
          <w:lang w:val="en-AU"/>
        </w:rPr>
        <w:t>: Australian freight and logistics companies stand to benefit from enhanced commitments that support integrated logistics supply chains.</w:t>
      </w:r>
      <w:r w:rsidR="005B6B31" w:rsidRPr="00DC5278">
        <w:rPr>
          <w:rFonts w:hAnsi="Times New Roman" w:cs="Times New Roman"/>
          <w:i/>
          <w:iCs/>
          <w:color w:val="auto"/>
          <w:u w:color="414042"/>
          <w:lang w:val="en-AU"/>
        </w:rPr>
        <w:t xml:space="preserve">  </w:t>
      </w:r>
      <w:r w:rsidR="005B6B31" w:rsidRPr="00DC5278">
        <w:rPr>
          <w:rFonts w:hAnsi="Times New Roman" w:cs="Times New Roman"/>
          <w:color w:val="auto"/>
          <w:u w:color="414042"/>
          <w:lang w:val="en-AU"/>
        </w:rPr>
        <w:t xml:space="preserve">Australian providers of transport and logistics services in Malaysia and Vietnam will gain strong trade and investment protections for the first time.  The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will capture future liberalisation of investment regulations in aviation in Vietnam and freight trucking in Malaysia and Vietnam, key markets for our a</w:t>
      </w:r>
      <w:r w:rsidR="0085547B" w:rsidRPr="00DC5278">
        <w:rPr>
          <w:rFonts w:hAnsi="Times New Roman" w:cs="Times New Roman"/>
          <w:color w:val="auto"/>
          <w:u w:color="414042"/>
          <w:lang w:val="en-AU"/>
        </w:rPr>
        <w:t xml:space="preserve">irlines and logistics </w:t>
      </w:r>
      <w:proofErr w:type="gramStart"/>
      <w:r w:rsidR="0085547B" w:rsidRPr="00DC5278">
        <w:rPr>
          <w:rFonts w:hAnsi="Times New Roman" w:cs="Times New Roman"/>
          <w:color w:val="auto"/>
          <w:u w:color="414042"/>
          <w:lang w:val="en-AU"/>
        </w:rPr>
        <w:t>providers;</w:t>
      </w:r>
      <w:proofErr w:type="gramEnd"/>
      <w:r w:rsidR="005B6B31" w:rsidRPr="00DC5278">
        <w:rPr>
          <w:rFonts w:hAnsi="Times New Roman" w:cs="Times New Roman"/>
          <w:color w:val="auto"/>
          <w:u w:color="414042"/>
          <w:lang w:val="en-AU"/>
        </w:rPr>
        <w:t xml:space="preserve"> </w:t>
      </w:r>
    </w:p>
    <w:p w14:paraId="74038007" w14:textId="035A0D8D" w:rsidR="00BC1E8B" w:rsidRPr="00DC5278" w:rsidRDefault="00C5240C" w:rsidP="00BD58FB">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t</w:t>
      </w:r>
      <w:r w:rsidR="005B6B31" w:rsidRPr="00DC5278">
        <w:rPr>
          <w:rFonts w:hAnsi="Times New Roman" w:cs="Times New Roman"/>
          <w:bCs/>
          <w:color w:val="auto"/>
          <w:u w:color="414042"/>
          <w:lang w:val="en-AU"/>
        </w:rPr>
        <w:t>elecommunications services:</w:t>
      </w:r>
      <w:r w:rsidR="005B6B31" w:rsidRPr="00DC5278">
        <w:rPr>
          <w:rFonts w:hAnsi="Times New Roman" w:cs="Times New Roman"/>
          <w:color w:val="auto"/>
          <w:u w:color="414042"/>
          <w:lang w:val="en-AU"/>
        </w:rPr>
        <w:t xml:space="preserve">  Australian companies stand to benefit from the phasing out of foreign equity limits in Vietnam's telecommunications sector five years after the entry into force of the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and the ability to apply to </w:t>
      </w:r>
      <w:proofErr w:type="gramStart"/>
      <w:r w:rsidR="005B6B31" w:rsidRPr="00DC5278">
        <w:rPr>
          <w:rFonts w:hAnsi="Times New Roman" w:cs="Times New Roman"/>
          <w:color w:val="auto"/>
          <w:u w:color="414042"/>
          <w:lang w:val="en-AU"/>
        </w:rPr>
        <w:t>wholly-own</w:t>
      </w:r>
      <w:proofErr w:type="gramEnd"/>
      <w:r w:rsidR="005B6B31" w:rsidRPr="00DC5278">
        <w:rPr>
          <w:rFonts w:hAnsi="Times New Roman" w:cs="Times New Roman"/>
          <w:color w:val="auto"/>
          <w:u w:color="414042"/>
          <w:lang w:val="en-AU"/>
        </w:rPr>
        <w:t xml:space="preserve"> telecomm</w:t>
      </w:r>
      <w:r w:rsidRPr="00DC5278">
        <w:rPr>
          <w:rFonts w:hAnsi="Times New Roman" w:cs="Times New Roman"/>
          <w:color w:val="auto"/>
          <w:u w:color="414042"/>
          <w:lang w:val="en-AU"/>
        </w:rPr>
        <w:t xml:space="preserve">unications ventures in </w:t>
      </w:r>
      <w:proofErr w:type="gramStart"/>
      <w:r w:rsidRPr="00DC5278">
        <w:rPr>
          <w:rFonts w:hAnsi="Times New Roman" w:cs="Times New Roman"/>
          <w:color w:val="auto"/>
          <w:u w:color="414042"/>
          <w:lang w:val="en-AU"/>
        </w:rPr>
        <w:t>Malaysia;</w:t>
      </w:r>
      <w:proofErr w:type="gramEnd"/>
    </w:p>
    <w:p w14:paraId="74038008" w14:textId="77777777" w:rsidR="00BC1E8B" w:rsidRPr="00DC5278" w:rsidRDefault="00C5240C" w:rsidP="00BD58FB">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h</w:t>
      </w:r>
      <w:r w:rsidR="005B6B31" w:rsidRPr="00DC5278">
        <w:rPr>
          <w:rFonts w:hAnsi="Times New Roman" w:cs="Times New Roman"/>
          <w:bCs/>
          <w:color w:val="auto"/>
          <w:u w:color="414042"/>
          <w:lang w:val="en-AU"/>
        </w:rPr>
        <w:t>ealth services</w:t>
      </w:r>
      <w:r w:rsidR="005B6B31" w:rsidRPr="00DC5278">
        <w:rPr>
          <w:rFonts w:hAnsi="Times New Roman" w:cs="Times New Roman"/>
          <w:color w:val="auto"/>
          <w:u w:color="414042"/>
          <w:lang w:val="en-AU"/>
        </w:rPr>
        <w:t xml:space="preserve">: Australian providers of private health and allied services will benefit from greater certainty regarding access and operating conditions </w:t>
      </w:r>
      <w:r w:rsidRPr="00DC5278">
        <w:rPr>
          <w:rFonts w:hAnsi="Times New Roman" w:cs="Times New Roman"/>
          <w:color w:val="auto"/>
          <w:u w:color="414042"/>
          <w:lang w:val="en-AU"/>
        </w:rPr>
        <w:t>in Malaysia, Mexico and Vietnam;</w:t>
      </w:r>
      <w:r w:rsidR="0085547B" w:rsidRPr="00DC5278">
        <w:rPr>
          <w:rFonts w:hAnsi="Times New Roman" w:cs="Times New Roman"/>
          <w:color w:val="auto"/>
          <w:u w:color="414042"/>
          <w:lang w:val="en-AU"/>
        </w:rPr>
        <w:t xml:space="preserve"> and</w:t>
      </w:r>
    </w:p>
    <w:p w14:paraId="74038009" w14:textId="4C117F61" w:rsidR="00BC1E8B" w:rsidRPr="00DC5278" w:rsidRDefault="00C5240C" w:rsidP="00BD58FB">
      <w:pPr>
        <w:pStyle w:val="Body"/>
        <w:numPr>
          <w:ilvl w:val="0"/>
          <w:numId w:val="79"/>
        </w:numPr>
        <w:suppressAutoHyphens/>
        <w:spacing w:after="200"/>
        <w:rPr>
          <w:rFonts w:hAnsi="Times New Roman" w:cs="Times New Roman"/>
          <w:color w:val="auto"/>
          <w:u w:color="414042"/>
          <w:lang w:val="en-AU"/>
        </w:rPr>
      </w:pPr>
      <w:r w:rsidRPr="00DC5278">
        <w:rPr>
          <w:rFonts w:hAnsi="Times New Roman" w:cs="Times New Roman"/>
          <w:bCs/>
          <w:color w:val="auto"/>
          <w:u w:color="414042"/>
          <w:lang w:val="en-AU"/>
        </w:rPr>
        <w:t>h</w:t>
      </w:r>
      <w:r w:rsidR="005B6B31" w:rsidRPr="00DC5278">
        <w:rPr>
          <w:rFonts w:hAnsi="Times New Roman" w:cs="Times New Roman"/>
          <w:bCs/>
          <w:color w:val="auto"/>
          <w:u w:color="414042"/>
          <w:lang w:val="en-AU"/>
        </w:rPr>
        <w:t>ospitality and tourism services</w:t>
      </w:r>
      <w:r w:rsidR="005B6B31" w:rsidRPr="00DC5278">
        <w:rPr>
          <w:rFonts w:hAnsi="Times New Roman" w:cs="Times New Roman"/>
          <w:color w:val="auto"/>
          <w:u w:color="414042"/>
          <w:lang w:val="en-AU"/>
        </w:rPr>
        <w:t>: Australian suppliers of travel agency and tour operator services will benefit from guarant</w:t>
      </w:r>
      <w:r w:rsidR="0085547B" w:rsidRPr="00DC5278">
        <w:rPr>
          <w:rFonts w:hAnsi="Times New Roman" w:cs="Times New Roman"/>
          <w:color w:val="auto"/>
          <w:u w:color="414042"/>
          <w:lang w:val="en-AU"/>
        </w:rPr>
        <w:t>eed access in Brunei Darussalam,</w:t>
      </w:r>
      <w:r w:rsidR="005B6B31" w:rsidRPr="00DC5278">
        <w:rPr>
          <w:rFonts w:hAnsi="Times New Roman" w:cs="Times New Roman"/>
          <w:color w:val="auto"/>
          <w:u w:color="414042"/>
          <w:lang w:val="en-AU"/>
        </w:rPr>
        <w:t xml:space="preserve"> Canada, Chile, Japan, Mexico and Peru; and greater certainty regarding access and operating conditions in Malaysia and Vietnam.  Increased trade and investment among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countries will also increase demand for domestic tourism services and support the development of Australia’s tourism sector, par</w:t>
      </w:r>
      <w:r w:rsidRPr="00DC5278">
        <w:rPr>
          <w:rFonts w:hAnsi="Times New Roman" w:cs="Times New Roman"/>
          <w:color w:val="auto"/>
          <w:u w:color="414042"/>
          <w:lang w:val="en-AU"/>
        </w:rPr>
        <w:t>ticularly in regional Australia</w:t>
      </w:r>
      <w:r w:rsidR="000F0553" w:rsidRPr="00DC5278">
        <w:rPr>
          <w:rFonts w:hAnsi="Times New Roman" w:cs="Times New Roman"/>
          <w:color w:val="auto"/>
          <w:u w:color="414042"/>
          <w:lang w:val="en-AU"/>
        </w:rPr>
        <w:t>.</w:t>
      </w:r>
    </w:p>
    <w:p w14:paraId="7403800A" w14:textId="54D8CE17" w:rsidR="005B6B31" w:rsidRPr="00DC5278" w:rsidRDefault="008E21C4" w:rsidP="0085547B">
      <w:pPr>
        <w:pStyle w:val="Body"/>
        <w:keepNext/>
        <w:suppressAutoHyphens/>
        <w:spacing w:after="200"/>
        <w:rPr>
          <w:rFonts w:hAnsi="Times New Roman" w:cs="Times New Roman"/>
          <w:b/>
          <w:i/>
          <w:color w:val="auto"/>
          <w:u w:color="414042"/>
          <w:lang w:val="en-AU"/>
        </w:rPr>
      </w:pPr>
      <w:r w:rsidRPr="00DC5278">
        <w:rPr>
          <w:rFonts w:hAnsi="Times New Roman" w:cs="Times New Roman"/>
          <w:b/>
          <w:i/>
          <w:color w:val="auto"/>
          <w:u w:color="414042"/>
          <w:lang w:val="en-AU"/>
        </w:rPr>
        <w:t>Key</w:t>
      </w:r>
      <w:r w:rsidR="005B6B31" w:rsidRPr="00DC5278">
        <w:rPr>
          <w:rFonts w:hAnsi="Times New Roman" w:cs="Times New Roman"/>
          <w:b/>
          <w:i/>
          <w:color w:val="auto"/>
          <w:u w:color="414042"/>
          <w:lang w:val="en-AU"/>
        </w:rPr>
        <w:t xml:space="preserve"> </w:t>
      </w:r>
      <w:r w:rsidR="00F2725D">
        <w:rPr>
          <w:rFonts w:hAnsi="Times New Roman" w:cs="Times New Roman"/>
          <w:b/>
          <w:i/>
          <w:color w:val="auto"/>
          <w:u w:color="414042"/>
          <w:lang w:val="en-AU"/>
        </w:rPr>
        <w:t>i</w:t>
      </w:r>
      <w:r w:rsidR="005B6B31" w:rsidRPr="00DC5278">
        <w:rPr>
          <w:rFonts w:hAnsi="Times New Roman" w:cs="Times New Roman"/>
          <w:b/>
          <w:i/>
          <w:color w:val="auto"/>
          <w:u w:color="414042"/>
          <w:lang w:val="en-AU"/>
        </w:rPr>
        <w:t>nves</w:t>
      </w:r>
      <w:r w:rsidR="00F2725D">
        <w:rPr>
          <w:rFonts w:hAnsi="Times New Roman" w:cs="Times New Roman"/>
          <w:b/>
          <w:i/>
          <w:color w:val="auto"/>
          <w:u w:color="414042"/>
          <w:lang w:val="en-AU"/>
        </w:rPr>
        <w:t>tment o</w:t>
      </w:r>
      <w:r w:rsidRPr="00DC5278">
        <w:rPr>
          <w:rFonts w:hAnsi="Times New Roman" w:cs="Times New Roman"/>
          <w:b/>
          <w:i/>
          <w:color w:val="auto"/>
          <w:u w:color="414042"/>
          <w:lang w:val="en-AU"/>
        </w:rPr>
        <w:t>utcomes</w:t>
      </w:r>
    </w:p>
    <w:p w14:paraId="7403800B" w14:textId="6C6AC575" w:rsidR="00BC1E8B" w:rsidRPr="00DC5278" w:rsidRDefault="005B6B31" w:rsidP="0085547B">
      <w:pPr>
        <w:pStyle w:val="Body"/>
        <w:keepNext/>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The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will create new investment opportunities and provide a more predictable and transparent regulatory environment for investment.</w:t>
      </w:r>
    </w:p>
    <w:p w14:paraId="53316427" w14:textId="007959CD" w:rsidR="000B1FDA" w:rsidRPr="005D2EAF" w:rsidRDefault="000B1FDA" w:rsidP="00B6114F">
      <w:pPr>
        <w:pStyle w:val="Body"/>
        <w:numPr>
          <w:ilvl w:val="0"/>
          <w:numId w:val="68"/>
        </w:numPr>
        <w:suppressAutoHyphens/>
        <w:spacing w:after="200"/>
        <w:rPr>
          <w:rFonts w:hAnsi="Times New Roman" w:cs="Times New Roman"/>
          <w:color w:val="auto"/>
          <w:u w:color="414042"/>
          <w:lang w:val="en-AU"/>
        </w:rPr>
      </w:pPr>
      <w:r w:rsidRPr="005D2EAF">
        <w:rPr>
          <w:rFonts w:hAnsi="Times New Roman" w:cs="Times New Roman"/>
          <w:color w:val="auto"/>
          <w:u w:color="414042"/>
          <w:lang w:val="en-AU"/>
        </w:rPr>
        <w:t>Australian investment in TPP-11 countries has been steadily</w:t>
      </w:r>
      <w:r w:rsidR="00F72A10">
        <w:rPr>
          <w:rFonts w:hAnsi="Times New Roman" w:cs="Times New Roman"/>
          <w:color w:val="auto"/>
          <w:u w:color="414042"/>
          <w:lang w:val="en-AU"/>
        </w:rPr>
        <w:t xml:space="preserve"> increasing.  </w:t>
      </w:r>
      <w:r w:rsidR="005D2EAF" w:rsidRPr="005D2EAF">
        <w:rPr>
          <w:rFonts w:hAnsi="Times New Roman" w:cs="Times New Roman"/>
          <w:color w:val="auto"/>
          <w:u w:color="414042"/>
          <w:lang w:val="en-AU"/>
        </w:rPr>
        <w:t>In 2016, around 13 per cent of the total stock of foreign investment in Australia (valued at approximately $423.7 billion) was from TPP-11 countries.</w:t>
      </w:r>
    </w:p>
    <w:p w14:paraId="7403800D" w14:textId="43D31AE1" w:rsidR="00BC1E8B" w:rsidRPr="00DC5278" w:rsidRDefault="005B6B31" w:rsidP="0085547B">
      <w:pPr>
        <w:pStyle w:val="Body"/>
        <w:keepNext/>
        <w:keepLines/>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The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will promote further growth and diversification of Australian outward investment by liberalising investment regimes in key sectors such as mining and resources, telecommunications and financial services.  For example, Canada will allow Australian investors to apply for an exemption from the 49 per cent foreign equity limit on foreign ownership of uranium mines, without first seeking a Canadian partner.  Australian investors will also benefit from preferential investment screening thresholds.  Australian investments into Canada below CA$1.5 billion will not be screened. Australian investors will also benefit from commitments offered by Japan, Vietnam and Brunei to only impose conditions on foreign investment on the initial sale of interests or assets owned by the government.</w:t>
      </w:r>
    </w:p>
    <w:p w14:paraId="7403800E" w14:textId="25D94C59" w:rsidR="00BC1E8B"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will also promote </w:t>
      </w:r>
      <w:r w:rsidR="00F008F0">
        <w:rPr>
          <w:rFonts w:ascii="Times New Roman" w:hAnsi="Times New Roman" w:cs="Times New Roman"/>
          <w:sz w:val="24"/>
          <w:szCs w:val="24"/>
          <w:u w:color="414042"/>
        </w:rPr>
        <w:t>productive foreign investment</w:t>
      </w:r>
      <w:r w:rsidRPr="00DC5278">
        <w:rPr>
          <w:rFonts w:ascii="Times New Roman" w:hAnsi="Times New Roman" w:cs="Times New Roman"/>
          <w:sz w:val="24"/>
          <w:szCs w:val="24"/>
          <w:u w:color="414042"/>
        </w:rPr>
        <w:t xml:space="preserve"> in Australia by </w:t>
      </w:r>
      <w:proofErr w:type="spellStart"/>
      <w:r w:rsidRPr="00DC5278">
        <w:rPr>
          <w:rFonts w:ascii="Times New Roman" w:hAnsi="Times New Roman" w:cs="Times New Roman"/>
          <w:sz w:val="24"/>
          <w:szCs w:val="24"/>
          <w:u w:color="414042"/>
        </w:rPr>
        <w:t>liberalising</w:t>
      </w:r>
      <w:proofErr w:type="spellEnd"/>
      <w:r w:rsidRPr="00DC5278">
        <w:rPr>
          <w:rFonts w:ascii="Times New Roman" w:hAnsi="Times New Roman" w:cs="Times New Roman"/>
          <w:sz w:val="24"/>
          <w:szCs w:val="24"/>
          <w:u w:color="414042"/>
        </w:rPr>
        <w:t xml:space="preserve"> the screening threshold at which private foreign investments in </w:t>
      </w:r>
      <w:r w:rsidR="00F135F9">
        <w:rPr>
          <w:rFonts w:ascii="Times New Roman" w:hAnsi="Times New Roman" w:cs="Times New Roman"/>
          <w:sz w:val="24"/>
          <w:szCs w:val="24"/>
          <w:u w:color="414042"/>
        </w:rPr>
        <w:br/>
      </w:r>
      <w:r w:rsidRPr="00DC5278">
        <w:rPr>
          <w:rFonts w:ascii="Times New Roman" w:hAnsi="Times New Roman" w:cs="Times New Roman"/>
          <w:sz w:val="24"/>
          <w:szCs w:val="24"/>
          <w:u w:color="414042"/>
        </w:rPr>
        <w:t>non-sensitive sectors are considered by the Foreign Investment Review Board (FIRB), increasing it from</w:t>
      </w:r>
      <w:r w:rsidR="004D6F40">
        <w:rPr>
          <w:rFonts w:ascii="Times New Roman" w:hAnsi="Times New Roman" w:cs="Times New Roman"/>
          <w:sz w:val="24"/>
          <w:szCs w:val="24"/>
          <w:u w:color="414042"/>
        </w:rPr>
        <w:t xml:space="preserve"> $261</w:t>
      </w:r>
      <w:r w:rsidRPr="00DC5278">
        <w:rPr>
          <w:rFonts w:ascii="Times New Roman" w:hAnsi="Times New Roman" w:cs="Times New Roman"/>
          <w:sz w:val="24"/>
          <w:szCs w:val="24"/>
          <w:u w:color="414042"/>
        </w:rPr>
        <w:t xml:space="preserve"> million to $1,</w:t>
      </w:r>
      <w:r w:rsidR="004D6F40">
        <w:rPr>
          <w:rFonts w:ascii="Times New Roman" w:hAnsi="Times New Roman" w:cs="Times New Roman"/>
          <w:sz w:val="24"/>
          <w:szCs w:val="24"/>
          <w:u w:color="414042"/>
        </w:rPr>
        <w:t>134</w:t>
      </w:r>
      <w:r w:rsidR="00027251">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million for all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Parties. </w:t>
      </w:r>
    </w:p>
    <w:p w14:paraId="7403800F" w14:textId="550169A5" w:rsidR="00BC1E8B"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lastRenderedPageBreak/>
        <w:t xml:space="preserve">Under 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Australia has retained the ability to screen investments in sensitive sectors to ensure they do not raise issues contrary to the national interest.  All investments by foreign governments will continue to be examined and lower screening thresholds will apply to investment in agricultural land and agribusiness.  </w:t>
      </w:r>
    </w:p>
    <w:p w14:paraId="74038010" w14:textId="09B05D88" w:rsidR="005B6B31"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’s investment obligations can be enforced directly by Australian and other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inve</w:t>
      </w:r>
      <w:r w:rsidR="00B65E49">
        <w:rPr>
          <w:rFonts w:ascii="Times New Roman" w:hAnsi="Times New Roman" w:cs="Times New Roman"/>
          <w:sz w:val="24"/>
          <w:szCs w:val="24"/>
          <w:u w:color="414042"/>
        </w:rPr>
        <w:t>stors through an Investor-State</w:t>
      </w:r>
      <w:r w:rsidRPr="00DC5278">
        <w:rPr>
          <w:rFonts w:ascii="Times New Roman" w:hAnsi="Times New Roman" w:cs="Times New Roman"/>
          <w:sz w:val="24"/>
          <w:szCs w:val="24"/>
          <w:u w:color="414042"/>
        </w:rPr>
        <w:t xml:space="preserve"> Dispute Settlement (ISDS) mechanism.  The ISDS mechanism incl</w:t>
      </w:r>
      <w:r w:rsidR="0085547B" w:rsidRPr="00DC5278">
        <w:rPr>
          <w:rFonts w:ascii="Times New Roman" w:hAnsi="Times New Roman" w:cs="Times New Roman"/>
          <w:sz w:val="24"/>
          <w:szCs w:val="24"/>
          <w:u w:color="414042"/>
        </w:rPr>
        <w:t xml:space="preserve">udes </w:t>
      </w:r>
      <w:r w:rsidR="00F008F0">
        <w:rPr>
          <w:rFonts w:ascii="Times New Roman" w:hAnsi="Times New Roman" w:cs="Times New Roman"/>
          <w:sz w:val="24"/>
          <w:szCs w:val="24"/>
          <w:u w:color="414042"/>
        </w:rPr>
        <w:t xml:space="preserve">a wide range of </w:t>
      </w:r>
      <w:r w:rsidR="008B6485">
        <w:rPr>
          <w:rFonts w:ascii="Times New Roman" w:hAnsi="Times New Roman" w:cs="Times New Roman"/>
          <w:sz w:val="24"/>
          <w:szCs w:val="24"/>
          <w:u w:color="414042"/>
        </w:rPr>
        <w:t>safeguards that</w:t>
      </w:r>
      <w:r w:rsidR="0085547B" w:rsidRPr="00DC5278">
        <w:rPr>
          <w:rFonts w:ascii="Times New Roman" w:hAnsi="Times New Roman" w:cs="Times New Roman"/>
          <w:sz w:val="24"/>
          <w:szCs w:val="24"/>
          <w:u w:color="414042"/>
        </w:rPr>
        <w:t xml:space="preserve"> protect the G</w:t>
      </w:r>
      <w:r w:rsidRPr="00DC5278">
        <w:rPr>
          <w:rFonts w:ascii="Times New Roman" w:hAnsi="Times New Roman" w:cs="Times New Roman"/>
          <w:sz w:val="24"/>
          <w:szCs w:val="24"/>
          <w:u w:color="414042"/>
        </w:rPr>
        <w:t xml:space="preserve">overnment’s ability to regulate in the public interest and pursue legitimate public welfare objectives, such as public health. </w:t>
      </w:r>
      <w:r w:rsidR="000A754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Australia’s tobacco control measures cannot be challenged.  </w:t>
      </w:r>
    </w:p>
    <w:p w14:paraId="74038011" w14:textId="2951F06E" w:rsidR="008E21C4" w:rsidRPr="00DC5278" w:rsidRDefault="004A1EA6" w:rsidP="008E21C4">
      <w:pPr>
        <w:pStyle w:val="Body"/>
        <w:suppressAutoHyphens/>
        <w:spacing w:after="200"/>
        <w:rPr>
          <w:rFonts w:hAnsi="Times New Roman" w:cs="Times New Roman"/>
          <w:i/>
          <w:color w:val="auto"/>
          <w:u w:color="414042"/>
          <w:lang w:val="en-AU"/>
        </w:rPr>
      </w:pPr>
      <w:r>
        <w:rPr>
          <w:rFonts w:hAnsi="Times New Roman" w:cs="Times New Roman"/>
          <w:b/>
          <w:bCs/>
          <w:i/>
          <w:color w:val="auto"/>
          <w:u w:color="414042"/>
          <w:lang w:val="en-AU"/>
        </w:rPr>
        <w:t>Key government procurement o</w:t>
      </w:r>
      <w:r w:rsidR="008E21C4" w:rsidRPr="00DC5278">
        <w:rPr>
          <w:rFonts w:hAnsi="Times New Roman" w:cs="Times New Roman"/>
          <w:b/>
          <w:bCs/>
          <w:i/>
          <w:color w:val="auto"/>
          <w:u w:color="414042"/>
          <w:lang w:val="en-AU"/>
        </w:rPr>
        <w:t>pportunities</w:t>
      </w:r>
      <w:r w:rsidR="008E21C4" w:rsidRPr="00DC5278">
        <w:rPr>
          <w:rFonts w:hAnsi="Times New Roman" w:cs="Times New Roman"/>
          <w:i/>
          <w:color w:val="auto"/>
          <w:u w:color="414042"/>
          <w:lang w:val="en-AU"/>
        </w:rPr>
        <w:t xml:space="preserve"> </w:t>
      </w:r>
    </w:p>
    <w:p w14:paraId="74038012" w14:textId="1C4A4F07" w:rsidR="008E21C4" w:rsidRPr="00DC5278" w:rsidRDefault="008E21C4" w:rsidP="008E21C4">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The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will ensure that high government procurement standards exist in overseas markets, creating new market access opportunities for Australian businesses.</w:t>
      </w:r>
    </w:p>
    <w:p w14:paraId="74038013" w14:textId="77777777" w:rsidR="008E21C4" w:rsidRPr="00DC5278" w:rsidRDefault="008E21C4" w:rsidP="008E21C4">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Australian suppliers will have new opportunities to bid for a comprehensive range of goods contracts, including drugs and pharmaceutical products, electronic components and </w:t>
      </w:r>
      <w:proofErr w:type="gramStart"/>
      <w:r w:rsidRPr="00DC5278">
        <w:rPr>
          <w:rFonts w:hAnsi="Times New Roman" w:cs="Times New Roman"/>
          <w:color w:val="auto"/>
          <w:u w:color="414042"/>
          <w:lang w:val="en-AU"/>
        </w:rPr>
        <w:t>supplies;</w:t>
      </w:r>
      <w:proofErr w:type="gramEnd"/>
      <w:r w:rsidRPr="00DC5278">
        <w:rPr>
          <w:rFonts w:hAnsi="Times New Roman" w:cs="Times New Roman"/>
          <w:color w:val="auto"/>
          <w:u w:color="414042"/>
          <w:lang w:val="en-AU"/>
        </w:rPr>
        <w:t xml:space="preserve"> which are used for government purposes in Brunei Darussalam, Canada, Malaysia, Mexico, Peru and Vietnam.</w:t>
      </w:r>
    </w:p>
    <w:p w14:paraId="74038014" w14:textId="77777777" w:rsidR="008E21C4" w:rsidRPr="00DC5278" w:rsidRDefault="008E21C4" w:rsidP="008E21C4">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There are new opportunities for Australian businesses to bid for government procurement services contracts, such as:</w:t>
      </w:r>
    </w:p>
    <w:p w14:paraId="74038015" w14:textId="77777777"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accounting, auditing and taxation services in Brunei Darussalam, Canada, Malaysia, Mexico, Peru and </w:t>
      </w:r>
      <w:proofErr w:type="gramStart"/>
      <w:r w:rsidRPr="00DC5278">
        <w:rPr>
          <w:rFonts w:hAnsi="Times New Roman" w:cs="Times New Roman"/>
          <w:color w:val="auto"/>
          <w:u w:color="414042"/>
          <w:lang w:val="en-AU"/>
        </w:rPr>
        <w:t>Vietnam;</w:t>
      </w:r>
      <w:proofErr w:type="gramEnd"/>
    </w:p>
    <w:p w14:paraId="74038016" w14:textId="77777777"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management consulting services in Brunei Darussalam, Malaysia, Mexico and </w:t>
      </w:r>
      <w:proofErr w:type="gramStart"/>
      <w:r w:rsidRPr="00DC5278">
        <w:rPr>
          <w:rFonts w:hAnsi="Times New Roman" w:cs="Times New Roman"/>
          <w:color w:val="auto"/>
          <w:u w:color="414042"/>
          <w:lang w:val="en-AU"/>
        </w:rPr>
        <w:t>Peru;</w:t>
      </w:r>
      <w:proofErr w:type="gramEnd"/>
    </w:p>
    <w:p w14:paraId="74038017" w14:textId="00EBEDD1"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computer and related services </w:t>
      </w:r>
      <w:proofErr w:type="gramStart"/>
      <w:r w:rsidRPr="00DC5278">
        <w:rPr>
          <w:rFonts w:hAnsi="Times New Roman" w:cs="Times New Roman"/>
          <w:color w:val="auto"/>
          <w:u w:color="414042"/>
          <w:lang w:val="en-AU"/>
        </w:rPr>
        <w:t>offers</w:t>
      </w:r>
      <w:proofErr w:type="gramEnd"/>
      <w:r w:rsidRPr="00DC5278">
        <w:rPr>
          <w:rFonts w:hAnsi="Times New Roman" w:cs="Times New Roman"/>
          <w:color w:val="auto"/>
          <w:u w:color="414042"/>
          <w:lang w:val="en-AU"/>
        </w:rPr>
        <w:t xml:space="preserve"> by all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Parties, along with maintenance of office machinery in Brunei Darussalam, Canada, Malaysia, Mexico, Peru and </w:t>
      </w:r>
      <w:proofErr w:type="gramStart"/>
      <w:r w:rsidRPr="00DC5278">
        <w:rPr>
          <w:rFonts w:hAnsi="Times New Roman" w:cs="Times New Roman"/>
          <w:color w:val="auto"/>
          <w:u w:color="414042"/>
          <w:lang w:val="en-AU"/>
        </w:rPr>
        <w:t>Vietnam;</w:t>
      </w:r>
      <w:proofErr w:type="gramEnd"/>
    </w:p>
    <w:p w14:paraId="74038018" w14:textId="77777777"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architectural engineering and other technical services in Brunei Darussalam, Canada, Malaysia, Mexico and </w:t>
      </w:r>
      <w:proofErr w:type="gramStart"/>
      <w:r w:rsidRPr="00DC5278">
        <w:rPr>
          <w:rFonts w:hAnsi="Times New Roman" w:cs="Times New Roman"/>
          <w:color w:val="auto"/>
          <w:u w:color="414042"/>
          <w:lang w:val="en-AU"/>
        </w:rPr>
        <w:t>Peru;</w:t>
      </w:r>
      <w:proofErr w:type="gramEnd"/>
    </w:p>
    <w:p w14:paraId="74038019" w14:textId="77777777"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land and water transport services in Brunei Darussalam, Malaysia and </w:t>
      </w:r>
      <w:proofErr w:type="gramStart"/>
      <w:r w:rsidRPr="00DC5278">
        <w:rPr>
          <w:rFonts w:hAnsi="Times New Roman" w:cs="Times New Roman"/>
          <w:color w:val="auto"/>
          <w:u w:color="414042"/>
          <w:lang w:val="en-AU"/>
        </w:rPr>
        <w:t>Peru;</w:t>
      </w:r>
      <w:proofErr w:type="gramEnd"/>
    </w:p>
    <w:p w14:paraId="7403801A" w14:textId="77777777"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telecommunication and related services in Brunei Darussalam, Canada, Malaysia and </w:t>
      </w:r>
      <w:proofErr w:type="gramStart"/>
      <w:r w:rsidRPr="00DC5278">
        <w:rPr>
          <w:rFonts w:hAnsi="Times New Roman" w:cs="Times New Roman"/>
          <w:color w:val="auto"/>
          <w:u w:color="414042"/>
          <w:lang w:val="en-AU"/>
        </w:rPr>
        <w:t>Peru;</w:t>
      </w:r>
      <w:proofErr w:type="gramEnd"/>
    </w:p>
    <w:p w14:paraId="7403801B" w14:textId="77777777"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environmental protection services in Brunei Darussalam, Canada, Malaysia, Mexico, Peru and </w:t>
      </w:r>
      <w:proofErr w:type="gramStart"/>
      <w:r w:rsidRPr="00DC5278">
        <w:rPr>
          <w:rFonts w:hAnsi="Times New Roman" w:cs="Times New Roman"/>
          <w:color w:val="auto"/>
          <w:u w:color="414042"/>
          <w:lang w:val="en-AU"/>
        </w:rPr>
        <w:t>Vietnam;</w:t>
      </w:r>
      <w:proofErr w:type="gramEnd"/>
    </w:p>
    <w:p w14:paraId="7403801C" w14:textId="77777777"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education services in Brunei Darussalam, Canada, Japan, Malaysia, Mexico and Peru; and</w:t>
      </w:r>
    </w:p>
    <w:p w14:paraId="7403801D" w14:textId="77777777" w:rsidR="008E21C4" w:rsidRPr="00DC5278" w:rsidRDefault="008E21C4" w:rsidP="00BD58FB">
      <w:pPr>
        <w:pStyle w:val="Body"/>
        <w:numPr>
          <w:ilvl w:val="0"/>
          <w:numId w:val="80"/>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lastRenderedPageBreak/>
        <w:t xml:space="preserve">health and Social Services in Brunei Darussalam, Malaysia and Peru.  </w:t>
      </w:r>
    </w:p>
    <w:p w14:paraId="7403801F" w14:textId="44CCCA85" w:rsidR="008E21C4" w:rsidRPr="006B64E8" w:rsidRDefault="008E21C4" w:rsidP="006B64E8">
      <w:pPr>
        <w:pStyle w:val="Body"/>
        <w:numPr>
          <w:ilvl w:val="0"/>
          <w:numId w:val="68"/>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For the first time, Australian METS and oilfield service suppliers will also be eligible to bid for government procurement oppo</w:t>
      </w:r>
      <w:r w:rsidR="00DB3CE8">
        <w:rPr>
          <w:rFonts w:hAnsi="Times New Roman" w:cs="Times New Roman"/>
          <w:color w:val="auto"/>
          <w:u w:color="414042"/>
          <w:lang w:val="en-AU"/>
        </w:rPr>
        <w:t>rtunities with Mexico for PEMEX.</w:t>
      </w:r>
    </w:p>
    <w:p w14:paraId="74038020" w14:textId="12964044" w:rsidR="005B6B31" w:rsidRPr="00DC5278" w:rsidRDefault="00DC4D86" w:rsidP="0085547B">
      <w:pPr>
        <w:suppressAutoHyphens/>
        <w:spacing w:after="200"/>
        <w:rPr>
          <w:rFonts w:eastAsia="Times New Roman"/>
          <w:b/>
          <w:i/>
          <w:u w:color="414042"/>
        </w:rPr>
      </w:pPr>
      <w:r>
        <w:rPr>
          <w:rFonts w:eastAsia="Times New Roman"/>
          <w:b/>
          <w:i/>
          <w:u w:color="414042"/>
        </w:rPr>
        <w:t>Key o</w:t>
      </w:r>
      <w:r w:rsidR="008E21C4" w:rsidRPr="00DC5278">
        <w:rPr>
          <w:rFonts w:eastAsia="Times New Roman"/>
          <w:b/>
          <w:i/>
          <w:u w:color="414042"/>
        </w:rPr>
        <w:t>utcomes for</w:t>
      </w:r>
      <w:r>
        <w:rPr>
          <w:rFonts w:eastAsia="Times New Roman"/>
          <w:b/>
          <w:i/>
          <w:u w:color="414042"/>
        </w:rPr>
        <w:t xml:space="preserve"> consumers and b</w:t>
      </w:r>
      <w:r w:rsidR="005B6B31" w:rsidRPr="00DC5278">
        <w:rPr>
          <w:rFonts w:eastAsia="Times New Roman"/>
          <w:b/>
          <w:i/>
          <w:u w:color="414042"/>
        </w:rPr>
        <w:t>usinesses</w:t>
      </w:r>
    </w:p>
    <w:p w14:paraId="74038021" w14:textId="3A67C59D" w:rsidR="005B6B31"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Consistent with Australia’s other </w:t>
      </w:r>
      <w:r w:rsidR="00C5240C" w:rsidRPr="00DC5278">
        <w:rPr>
          <w:rFonts w:ascii="Times New Roman" w:hAnsi="Times New Roman" w:cs="Times New Roman"/>
          <w:sz w:val="24"/>
          <w:szCs w:val="24"/>
          <w:u w:color="414042"/>
        </w:rPr>
        <w:t>FTAs</w:t>
      </w:r>
      <w:r w:rsidRPr="00DC5278">
        <w:rPr>
          <w:rFonts w:ascii="Times New Roman" w:hAnsi="Times New Roman" w:cs="Times New Roman"/>
          <w:sz w:val="24"/>
          <w:szCs w:val="24"/>
          <w:u w:color="414042"/>
        </w:rPr>
        <w:t xml:space="preserve">, remaining Australian tariffs on imports from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countries will be eliminated, with consumers and businesses set to benefit from lower prices.</w:t>
      </w:r>
    </w:p>
    <w:p w14:paraId="74038022" w14:textId="517C95AB" w:rsidR="005B6B31"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As a regional </w:t>
      </w:r>
      <w:r w:rsidR="00C5240C" w:rsidRPr="00DC5278">
        <w:rPr>
          <w:rFonts w:ascii="Times New Roman" w:hAnsi="Times New Roman" w:cs="Times New Roman"/>
          <w:sz w:val="24"/>
          <w:szCs w:val="24"/>
          <w:u w:color="414042"/>
        </w:rPr>
        <w:t>FTA</w:t>
      </w:r>
      <w:r w:rsidRPr="00DC5278">
        <w:rPr>
          <w:rFonts w:ascii="Times New Roman" w:hAnsi="Times New Roman" w:cs="Times New Roman"/>
          <w:sz w:val="24"/>
          <w:szCs w:val="24"/>
          <w:u w:color="414042"/>
        </w:rPr>
        <w:t xml:space="preserve">, 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will create additional and </w:t>
      </w:r>
      <w:proofErr w:type="gramStart"/>
      <w:r w:rsidRPr="00DC5278">
        <w:rPr>
          <w:rFonts w:ascii="Times New Roman" w:hAnsi="Times New Roman" w:cs="Times New Roman"/>
          <w:sz w:val="24"/>
          <w:szCs w:val="24"/>
          <w:u w:color="414042"/>
        </w:rPr>
        <w:t>longer term</w:t>
      </w:r>
      <w:proofErr w:type="gramEnd"/>
      <w:r w:rsidRPr="00DC5278">
        <w:rPr>
          <w:rFonts w:ascii="Times New Roman" w:hAnsi="Times New Roman" w:cs="Times New Roman"/>
          <w:sz w:val="24"/>
          <w:szCs w:val="24"/>
          <w:u w:color="414042"/>
        </w:rPr>
        <w:t xml:space="preserve"> benefits for consumers and businesses that are not possible to achieve under a bilateral FTA.  Even though Australia has relatively low tariffs, products created via an international supply chain are taxed at the borders over which they pass before they get to our shores. </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Under 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producers will be able to use inputs from any of the 1</w:t>
      </w:r>
      <w:r w:rsidR="00B12207">
        <w:rPr>
          <w:rFonts w:ascii="Times New Roman" w:hAnsi="Times New Roman" w:cs="Times New Roman"/>
          <w:sz w:val="24"/>
          <w:szCs w:val="24"/>
          <w:u w:color="414042"/>
        </w:rPr>
        <w:t>1</w:t>
      </w:r>
      <w:r w:rsidRPr="00DC5278">
        <w:rPr>
          <w:rFonts w:ascii="Times New Roman" w:hAnsi="Times New Roman" w:cs="Times New Roman"/>
          <w:sz w:val="24"/>
          <w:szCs w:val="24"/>
          <w:u w:color="414042"/>
        </w:rPr>
        <w:t xml:space="preserve"> participating countries and trade the </w:t>
      </w:r>
      <w:proofErr w:type="gramStart"/>
      <w:r w:rsidRPr="00DC5278">
        <w:rPr>
          <w:rFonts w:ascii="Times New Roman" w:hAnsi="Times New Roman" w:cs="Times New Roman"/>
          <w:sz w:val="24"/>
          <w:szCs w:val="24"/>
          <w:u w:color="414042"/>
        </w:rPr>
        <w:t>good</w:t>
      </w:r>
      <w:proofErr w:type="gramEnd"/>
      <w:r w:rsidRPr="00DC5278">
        <w:rPr>
          <w:rFonts w:ascii="Times New Roman" w:hAnsi="Times New Roman" w:cs="Times New Roman"/>
          <w:sz w:val="24"/>
          <w:szCs w:val="24"/>
          <w:u w:color="414042"/>
        </w:rPr>
        <w:t xml:space="preserve"> under 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preferential trading arrangements. </w:t>
      </w:r>
      <w:r w:rsidR="0085547B" w:rsidRPr="00DC5278">
        <w:rPr>
          <w:rFonts w:ascii="Times New Roman" w:hAnsi="Times New Roman" w:cs="Times New Roman"/>
          <w:sz w:val="24"/>
          <w:szCs w:val="24"/>
          <w:u w:color="414042"/>
        </w:rPr>
        <w:t xml:space="preserve"> </w:t>
      </w:r>
      <w:r w:rsidRPr="00DC5278">
        <w:rPr>
          <w:rFonts w:ascii="Times New Roman" w:hAnsi="Times New Roman" w:cs="Times New Roman"/>
          <w:sz w:val="24"/>
          <w:szCs w:val="24"/>
          <w:u w:color="414042"/>
        </w:rPr>
        <w:t xml:space="preserve">This means lower tariff rates on inputs as well as </w:t>
      </w:r>
      <w:r w:rsidR="00DC4D86">
        <w:rPr>
          <w:rFonts w:ascii="Times New Roman" w:hAnsi="Times New Roman" w:cs="Times New Roman"/>
          <w:sz w:val="24"/>
          <w:szCs w:val="24"/>
          <w:u w:color="414042"/>
        </w:rPr>
        <w:t xml:space="preserve">on </w:t>
      </w:r>
      <w:r w:rsidRPr="00DC5278">
        <w:rPr>
          <w:rFonts w:ascii="Times New Roman" w:hAnsi="Times New Roman" w:cs="Times New Roman"/>
          <w:sz w:val="24"/>
          <w:szCs w:val="24"/>
          <w:u w:color="414042"/>
        </w:rPr>
        <w:t>the final product.</w:t>
      </w:r>
    </w:p>
    <w:p w14:paraId="74038023" w14:textId="0B6382CB" w:rsidR="005B6B31" w:rsidRPr="00DC5278" w:rsidRDefault="002A2897" w:rsidP="0085547B">
      <w:pPr>
        <w:suppressAutoHyphens/>
        <w:spacing w:after="200"/>
        <w:rPr>
          <w:rFonts w:eastAsia="Times New Roman"/>
          <w:b/>
          <w:i/>
          <w:u w:color="414042"/>
        </w:rPr>
      </w:pPr>
      <w:r>
        <w:rPr>
          <w:rFonts w:eastAsia="Times New Roman"/>
          <w:b/>
          <w:i/>
          <w:u w:color="414042"/>
        </w:rPr>
        <w:t>Lowering the cost of doing b</w:t>
      </w:r>
      <w:r w:rsidR="005B6B31" w:rsidRPr="00DC5278">
        <w:rPr>
          <w:rFonts w:eastAsia="Times New Roman"/>
          <w:b/>
          <w:i/>
          <w:u w:color="414042"/>
        </w:rPr>
        <w:t>usiness</w:t>
      </w:r>
    </w:p>
    <w:p w14:paraId="74038024" w14:textId="7107DAED" w:rsidR="00BC1E8B" w:rsidRPr="00DC5278" w:rsidRDefault="005B6B31" w:rsidP="0085547B">
      <w:pPr>
        <w:pStyle w:val="ListParagraph"/>
        <w:numPr>
          <w:ilvl w:val="0"/>
          <w:numId w:val="68"/>
        </w:numPr>
        <w:suppressAutoHyphens/>
        <w:spacing w:after="200"/>
        <w:rPr>
          <w:rFonts w:ascii="Times New Roman" w:eastAsia="Times New Roman" w:hAnsi="Times New Roman" w:cs="Times New Roman"/>
          <w:sz w:val="24"/>
          <w:szCs w:val="24"/>
          <w:u w:color="414042"/>
        </w:rPr>
      </w:pPr>
      <w:r w:rsidRPr="00DC5278">
        <w:rPr>
          <w:rFonts w:ascii="Times New Roman" w:hAnsi="Times New Roman" w:cs="Times New Roman"/>
          <w:sz w:val="24"/>
          <w:szCs w:val="24"/>
        </w:rPr>
        <w:t xml:space="preserve">The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includes additional commitments which will </w:t>
      </w:r>
      <w:r w:rsidRPr="00DC5278">
        <w:rPr>
          <w:rFonts w:ascii="Times New Roman" w:hAnsi="Times New Roman" w:cs="Times New Roman"/>
          <w:b/>
          <w:bCs/>
          <w:sz w:val="24"/>
          <w:szCs w:val="24"/>
        </w:rPr>
        <w:t xml:space="preserve">lower the costs of trade. </w:t>
      </w:r>
      <w:r w:rsidRPr="00DC5278">
        <w:rPr>
          <w:rFonts w:ascii="Times New Roman" w:hAnsi="Times New Roman" w:cs="Times New Roman"/>
          <w:sz w:val="24"/>
          <w:szCs w:val="24"/>
        </w:rPr>
        <w:t>Highlights include:</w:t>
      </w:r>
    </w:p>
    <w:p w14:paraId="74038025" w14:textId="7A142B00" w:rsidR="00BC1E8B" w:rsidRPr="00DC5278" w:rsidRDefault="00C5240C" w:rsidP="00BD58FB">
      <w:pPr>
        <w:pStyle w:val="BodyText"/>
        <w:numPr>
          <w:ilvl w:val="0"/>
          <w:numId w:val="81"/>
        </w:numPr>
        <w:suppressAutoHyphens/>
        <w:spacing w:before="120" w:after="120" w:line="240" w:lineRule="auto"/>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m</w:t>
      </w:r>
      <w:r w:rsidR="005B6B31" w:rsidRPr="00DC5278">
        <w:rPr>
          <w:rFonts w:ascii="Times New Roman" w:hAnsi="Times New Roman" w:cs="Times New Roman"/>
          <w:color w:val="auto"/>
          <w:sz w:val="24"/>
          <w:szCs w:val="24"/>
          <w:lang w:val="en-AU"/>
        </w:rPr>
        <w:t xml:space="preserve">ore transparent and efficient </w:t>
      </w:r>
      <w:r w:rsidR="005B6B31" w:rsidRPr="00DC5278">
        <w:rPr>
          <w:rFonts w:ascii="Times New Roman" w:hAnsi="Times New Roman" w:cs="Times New Roman"/>
          <w:b/>
          <w:bCs/>
          <w:color w:val="auto"/>
          <w:sz w:val="24"/>
          <w:szCs w:val="24"/>
          <w:lang w:val="en-AU"/>
        </w:rPr>
        <w:t>customs procedures</w:t>
      </w:r>
      <w:r w:rsidR="005B6B31" w:rsidRPr="00DC5278">
        <w:rPr>
          <w:rFonts w:ascii="Times New Roman" w:hAnsi="Times New Roman" w:cs="Times New Roman"/>
          <w:color w:val="auto"/>
          <w:sz w:val="24"/>
          <w:szCs w:val="24"/>
          <w:lang w:val="en-AU"/>
        </w:rPr>
        <w:t xml:space="preserve"> making it easier for Australian companies to export and do business i</w:t>
      </w:r>
      <w:r w:rsidR="0085547B" w:rsidRPr="00DC5278">
        <w:rPr>
          <w:rFonts w:ascii="Times New Roman" w:hAnsi="Times New Roman" w:cs="Times New Roman"/>
          <w:color w:val="auto"/>
          <w:sz w:val="24"/>
          <w:szCs w:val="24"/>
          <w:lang w:val="en-AU"/>
        </w:rPr>
        <w:t>n the region.</w:t>
      </w:r>
      <w:r w:rsidR="00657ED1">
        <w:rPr>
          <w:rFonts w:ascii="Times New Roman" w:hAnsi="Times New Roman" w:cs="Times New Roman"/>
          <w:color w:val="auto"/>
          <w:sz w:val="24"/>
          <w:szCs w:val="24"/>
          <w:lang w:val="en-AU"/>
        </w:rPr>
        <w:t xml:space="preserve"> </w:t>
      </w:r>
      <w:r w:rsidR="0085547B" w:rsidRPr="00DC5278">
        <w:rPr>
          <w:rFonts w:ascii="Times New Roman" w:hAnsi="Times New Roman" w:cs="Times New Roman"/>
          <w:color w:val="auto"/>
          <w:sz w:val="24"/>
          <w:szCs w:val="24"/>
          <w:lang w:val="en-AU"/>
        </w:rPr>
        <w:t xml:space="preserve"> For example, </w:t>
      </w:r>
      <w:r w:rsidR="00240F08">
        <w:rPr>
          <w:rFonts w:ascii="Times New Roman" w:hAnsi="Times New Roman" w:cs="Times New Roman"/>
          <w:color w:val="auto"/>
          <w:sz w:val="24"/>
          <w:szCs w:val="24"/>
          <w:lang w:val="en-AU"/>
        </w:rPr>
        <w:t>TPP-11</w:t>
      </w:r>
      <w:r w:rsidR="0085547B" w:rsidRPr="00DC5278">
        <w:rPr>
          <w:rFonts w:ascii="Times New Roman" w:hAnsi="Times New Roman" w:cs="Times New Roman"/>
          <w:color w:val="auto"/>
          <w:sz w:val="24"/>
          <w:szCs w:val="24"/>
          <w:lang w:val="en-AU"/>
        </w:rPr>
        <w:t xml:space="preserve"> P</w:t>
      </w:r>
      <w:r w:rsidR="005B6B31" w:rsidRPr="00DC5278">
        <w:rPr>
          <w:rFonts w:ascii="Times New Roman" w:hAnsi="Times New Roman" w:cs="Times New Roman"/>
          <w:color w:val="auto"/>
          <w:sz w:val="24"/>
          <w:szCs w:val="24"/>
          <w:lang w:val="en-AU"/>
        </w:rPr>
        <w:t xml:space="preserve">arties will be required to provide an advance ruling on the tariff classification of a good, how it should be valued, whether a good is originating and how to claim </w:t>
      </w:r>
      <w:proofErr w:type="gramStart"/>
      <w:r w:rsidR="005B6B31" w:rsidRPr="00DC5278">
        <w:rPr>
          <w:rFonts w:ascii="Times New Roman" w:hAnsi="Times New Roman" w:cs="Times New Roman"/>
          <w:color w:val="auto"/>
          <w:sz w:val="24"/>
          <w:szCs w:val="24"/>
          <w:lang w:val="en-AU"/>
        </w:rPr>
        <w:t>preference;</w:t>
      </w:r>
      <w:proofErr w:type="gramEnd"/>
    </w:p>
    <w:p w14:paraId="74038026" w14:textId="352E73A6" w:rsidR="00BC1E8B" w:rsidRPr="00DC5278" w:rsidRDefault="00C5240C" w:rsidP="00BD58FB">
      <w:pPr>
        <w:pStyle w:val="ListParagraph"/>
        <w:numPr>
          <w:ilvl w:val="0"/>
          <w:numId w:val="81"/>
        </w:numPr>
        <w:suppressAutoHyphens/>
        <w:spacing w:before="120" w:after="12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r</w:t>
      </w:r>
      <w:r w:rsidR="005B6B31" w:rsidRPr="00DC5278">
        <w:rPr>
          <w:rFonts w:ascii="Times New Roman" w:hAnsi="Times New Roman" w:cs="Times New Roman"/>
          <w:sz w:val="24"/>
          <w:szCs w:val="24"/>
          <w:u w:color="414042"/>
        </w:rPr>
        <w:t xml:space="preserve">egional </w:t>
      </w:r>
      <w:r w:rsidR="005B6B31" w:rsidRPr="00DC5278">
        <w:rPr>
          <w:rFonts w:ascii="Times New Roman" w:hAnsi="Times New Roman" w:cs="Times New Roman"/>
          <w:b/>
          <w:bCs/>
          <w:sz w:val="24"/>
          <w:szCs w:val="24"/>
          <w:u w:color="414042"/>
        </w:rPr>
        <w:t>rules of origin</w:t>
      </w:r>
      <w:r w:rsidR="005B6B31" w:rsidRPr="00DC5278">
        <w:rPr>
          <w:rFonts w:ascii="Times New Roman" w:hAnsi="Times New Roman" w:cs="Times New Roman"/>
          <w:sz w:val="24"/>
          <w:szCs w:val="24"/>
          <w:u w:color="414042"/>
        </w:rPr>
        <w:t xml:space="preserve"> and a single set of documentary procedures for products traded under the </w:t>
      </w:r>
      <w:r w:rsidR="00240F08">
        <w:rPr>
          <w:rFonts w:ascii="Times New Roman" w:hAnsi="Times New Roman" w:cs="Times New Roman"/>
          <w:sz w:val="24"/>
          <w:szCs w:val="24"/>
          <w:u w:color="414042"/>
        </w:rPr>
        <w:t>TPP-11</w:t>
      </w:r>
      <w:r w:rsidR="005B6B31" w:rsidRPr="00DC5278">
        <w:rPr>
          <w:rFonts w:ascii="Times New Roman" w:hAnsi="Times New Roman" w:cs="Times New Roman"/>
          <w:sz w:val="24"/>
          <w:szCs w:val="24"/>
          <w:u w:color="414042"/>
        </w:rPr>
        <w:t xml:space="preserve">.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These arrangements will support the development of regional supply chains by encouraging ‘cumulation’, which permits inputs used in the pro</w:t>
      </w:r>
      <w:r w:rsidRPr="00DC5278">
        <w:rPr>
          <w:rFonts w:ascii="Times New Roman" w:hAnsi="Times New Roman" w:cs="Times New Roman"/>
          <w:sz w:val="24"/>
          <w:szCs w:val="24"/>
          <w:u w:color="414042"/>
        </w:rPr>
        <w:t xml:space="preserve">duction of a good from one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w:t>
      </w:r>
      <w:r w:rsidR="0085547B" w:rsidRPr="00DC5278">
        <w:rPr>
          <w:rFonts w:ascii="Times New Roman" w:hAnsi="Times New Roman" w:cs="Times New Roman"/>
          <w:sz w:val="24"/>
          <w:szCs w:val="24"/>
          <w:u w:color="414042"/>
        </w:rPr>
        <w:t>P</w:t>
      </w:r>
      <w:r w:rsidR="005B6B31" w:rsidRPr="00DC5278">
        <w:rPr>
          <w:rFonts w:ascii="Times New Roman" w:hAnsi="Times New Roman" w:cs="Times New Roman"/>
          <w:sz w:val="24"/>
          <w:szCs w:val="24"/>
          <w:u w:color="414042"/>
        </w:rPr>
        <w:t>arty to be treated as the sam</w:t>
      </w:r>
      <w:r w:rsidR="0085547B" w:rsidRPr="00DC5278">
        <w:rPr>
          <w:rFonts w:ascii="Times New Roman" w:hAnsi="Times New Roman" w:cs="Times New Roman"/>
          <w:sz w:val="24"/>
          <w:szCs w:val="24"/>
          <w:u w:color="414042"/>
        </w:rPr>
        <w:t xml:space="preserve">e as inputs from any other </w:t>
      </w:r>
      <w:r w:rsidR="00240F08">
        <w:rPr>
          <w:rFonts w:ascii="Times New Roman" w:hAnsi="Times New Roman" w:cs="Times New Roman"/>
          <w:sz w:val="24"/>
          <w:szCs w:val="24"/>
          <w:u w:color="414042"/>
        </w:rPr>
        <w:t>TPP-11</w:t>
      </w:r>
      <w:r w:rsidR="0085547B" w:rsidRPr="00DC5278">
        <w:rPr>
          <w:rFonts w:ascii="Times New Roman" w:hAnsi="Times New Roman" w:cs="Times New Roman"/>
          <w:sz w:val="24"/>
          <w:szCs w:val="24"/>
          <w:u w:color="414042"/>
        </w:rPr>
        <w:t xml:space="preserve"> P</w:t>
      </w:r>
      <w:r w:rsidR="005B6B31" w:rsidRPr="00DC5278">
        <w:rPr>
          <w:rFonts w:ascii="Times New Roman" w:hAnsi="Times New Roman" w:cs="Times New Roman"/>
          <w:sz w:val="24"/>
          <w:szCs w:val="24"/>
          <w:u w:color="414042"/>
        </w:rPr>
        <w:t xml:space="preserve">arty when making a good.  The arrangements will also allow businesses to save on administrative costs by allowing them to trade under the one set of rules, rather than under existing multiple bilateral FTAs. </w:t>
      </w:r>
    </w:p>
    <w:p w14:paraId="74038027" w14:textId="67ABD4AE" w:rsidR="00BC1E8B" w:rsidRPr="00DC5278" w:rsidRDefault="00C5240C" w:rsidP="00BD58FB">
      <w:pPr>
        <w:pStyle w:val="BodyText"/>
        <w:numPr>
          <w:ilvl w:val="0"/>
          <w:numId w:val="81"/>
        </w:numPr>
        <w:suppressAutoHyphens/>
        <w:spacing w:line="240" w:lineRule="auto"/>
        <w:rPr>
          <w:rFonts w:ascii="Times New Roman" w:eastAsia="Times New Roman" w:hAnsi="Times New Roman" w:cs="Times New Roman"/>
          <w:color w:val="auto"/>
          <w:sz w:val="24"/>
          <w:szCs w:val="24"/>
          <w:lang w:val="en-AU"/>
        </w:rPr>
      </w:pPr>
      <w:r w:rsidRPr="7BB11D42">
        <w:rPr>
          <w:rFonts w:ascii="Times New Roman" w:hAnsi="Times New Roman" w:cs="Times New Roman"/>
          <w:b/>
          <w:bCs/>
          <w:color w:val="auto"/>
          <w:sz w:val="24"/>
          <w:szCs w:val="24"/>
          <w:lang w:val="en-AU"/>
        </w:rPr>
        <w:t>d</w:t>
      </w:r>
      <w:r w:rsidR="005B6B31" w:rsidRPr="7BB11D42">
        <w:rPr>
          <w:rFonts w:ascii="Times New Roman" w:hAnsi="Times New Roman" w:cs="Times New Roman"/>
          <w:b/>
          <w:bCs/>
          <w:color w:val="auto"/>
          <w:sz w:val="24"/>
          <w:szCs w:val="24"/>
          <w:lang w:val="en-AU"/>
        </w:rPr>
        <w:t>uty-free temporary admission of pallets and containers</w:t>
      </w:r>
      <w:r w:rsidR="005B6B31" w:rsidRPr="7BB11D42">
        <w:rPr>
          <w:rFonts w:ascii="Times New Roman" w:hAnsi="Times New Roman" w:cs="Times New Roman"/>
          <w:color w:val="auto"/>
          <w:sz w:val="24"/>
          <w:szCs w:val="24"/>
          <w:lang w:val="en-AU"/>
        </w:rPr>
        <w:t xml:space="preserve">. </w:t>
      </w:r>
      <w:r w:rsidR="0085547B" w:rsidRPr="7BB11D42">
        <w:rPr>
          <w:rFonts w:ascii="Times New Roman" w:hAnsi="Times New Roman" w:cs="Times New Roman"/>
          <w:color w:val="auto"/>
          <w:sz w:val="24"/>
          <w:szCs w:val="24"/>
          <w:lang w:val="en-AU"/>
        </w:rPr>
        <w:t xml:space="preserve"> </w:t>
      </w:r>
      <w:r w:rsidR="005B6B31" w:rsidRPr="7BB11D42">
        <w:rPr>
          <w:rFonts w:ascii="Times New Roman" w:hAnsi="Times New Roman" w:cs="Times New Roman"/>
          <w:color w:val="auto"/>
          <w:sz w:val="24"/>
          <w:szCs w:val="24"/>
          <w:lang w:val="en-AU"/>
        </w:rPr>
        <w:t xml:space="preserve">This </w:t>
      </w:r>
      <w:r w:rsidR="00240F08" w:rsidRPr="7BB11D42">
        <w:rPr>
          <w:rFonts w:ascii="Times New Roman" w:hAnsi="Times New Roman" w:cs="Times New Roman"/>
          <w:color w:val="auto"/>
          <w:sz w:val="24"/>
          <w:szCs w:val="24"/>
          <w:lang w:val="en-AU"/>
        </w:rPr>
        <w:t>TPP-11</w:t>
      </w:r>
      <w:r w:rsidR="005B6B31" w:rsidRPr="7BB11D42">
        <w:rPr>
          <w:rFonts w:ascii="Times New Roman" w:hAnsi="Times New Roman" w:cs="Times New Roman"/>
          <w:color w:val="auto"/>
          <w:sz w:val="24"/>
          <w:szCs w:val="24"/>
          <w:lang w:val="en-AU"/>
        </w:rPr>
        <w:t xml:space="preserve"> commitment will provide significant cost and administrative savings for Australian businesses engaged in providing transport logistics services in the Asia-</w:t>
      </w:r>
      <w:proofErr w:type="gramStart"/>
      <w:r w:rsidR="005B6B31" w:rsidRPr="7BB11D42">
        <w:rPr>
          <w:rFonts w:ascii="Times New Roman" w:hAnsi="Times New Roman" w:cs="Times New Roman"/>
          <w:color w:val="auto"/>
          <w:sz w:val="24"/>
          <w:szCs w:val="24"/>
          <w:lang w:val="en-AU"/>
        </w:rPr>
        <w:t>Pacific;</w:t>
      </w:r>
      <w:proofErr w:type="gramEnd"/>
    </w:p>
    <w:p w14:paraId="74038028" w14:textId="2E7D7DFF" w:rsidR="005B6B31" w:rsidRPr="00DC5278" w:rsidRDefault="00C5240C" w:rsidP="00BD58FB">
      <w:pPr>
        <w:pStyle w:val="ListParagraph"/>
        <w:numPr>
          <w:ilvl w:val="0"/>
          <w:numId w:val="81"/>
        </w:numPr>
        <w:suppressAutoHyphens/>
        <w:spacing w:before="120" w:after="12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me</w:t>
      </w:r>
      <w:r w:rsidR="005B6B31" w:rsidRPr="00DC5278">
        <w:rPr>
          <w:rFonts w:ascii="Times New Roman" w:hAnsi="Times New Roman" w:cs="Times New Roman"/>
          <w:sz w:val="24"/>
          <w:szCs w:val="24"/>
          <w:u w:color="414042"/>
        </w:rPr>
        <w:t xml:space="preserve">chanisms to address </w:t>
      </w:r>
      <w:r w:rsidR="005B6B31" w:rsidRPr="00DC5278">
        <w:rPr>
          <w:rFonts w:ascii="Times New Roman" w:hAnsi="Times New Roman" w:cs="Times New Roman"/>
          <w:b/>
          <w:bCs/>
          <w:sz w:val="24"/>
          <w:szCs w:val="24"/>
          <w:u w:color="414042"/>
        </w:rPr>
        <w:t>non-tariff barriers</w:t>
      </w:r>
      <w:r w:rsidR="005B6B31" w:rsidRPr="00DC5278">
        <w:rPr>
          <w:rFonts w:ascii="Times New Roman" w:hAnsi="Times New Roman" w:cs="Times New Roman"/>
          <w:sz w:val="24"/>
          <w:szCs w:val="24"/>
          <w:u w:color="414042"/>
        </w:rPr>
        <w:t xml:space="preserve"> (NTBs) impeding trade, which will give Australia an important avenue to address NTBs affecting our exports in the region. </w:t>
      </w:r>
      <w:r w:rsidR="0085547B" w:rsidRPr="00DC5278">
        <w:rPr>
          <w:rFonts w:ascii="Times New Roman" w:hAnsi="Times New Roman" w:cs="Times New Roman"/>
          <w:sz w:val="24"/>
          <w:szCs w:val="24"/>
          <w:u w:color="414042"/>
        </w:rPr>
        <w:t xml:space="preserve"> </w:t>
      </w:r>
      <w:r w:rsidR="005B6B31" w:rsidRPr="00DC5278">
        <w:rPr>
          <w:rFonts w:ascii="Times New Roman" w:hAnsi="Times New Roman" w:cs="Times New Roman"/>
          <w:sz w:val="24"/>
          <w:szCs w:val="24"/>
          <w:u w:color="414042"/>
        </w:rPr>
        <w:t xml:space="preserve">The </w:t>
      </w:r>
      <w:r w:rsidR="00240F08">
        <w:rPr>
          <w:rFonts w:ascii="Times New Roman" w:hAnsi="Times New Roman" w:cs="Times New Roman"/>
          <w:sz w:val="24"/>
          <w:szCs w:val="24"/>
          <w:u w:color="414042"/>
        </w:rPr>
        <w:t>TPP-11</w:t>
      </w:r>
      <w:r w:rsidR="005B6B31" w:rsidRPr="00DC5278">
        <w:rPr>
          <w:rFonts w:ascii="Times New Roman" w:hAnsi="Times New Roman" w:cs="Times New Roman"/>
          <w:sz w:val="24"/>
          <w:szCs w:val="24"/>
          <w:u w:color="414042"/>
        </w:rPr>
        <w:t xml:space="preserve"> will enhance transparency, cooperation and promote good practice </w:t>
      </w:r>
      <w:proofErr w:type="gramStart"/>
      <w:r w:rsidR="005B6B31" w:rsidRPr="00DC5278">
        <w:rPr>
          <w:rFonts w:ascii="Times New Roman" w:hAnsi="Times New Roman" w:cs="Times New Roman"/>
          <w:sz w:val="24"/>
          <w:szCs w:val="24"/>
          <w:u w:color="414042"/>
        </w:rPr>
        <w:t>with regard to</w:t>
      </w:r>
      <w:proofErr w:type="gramEnd"/>
      <w:r w:rsidR="005B6B31" w:rsidRPr="00DC5278">
        <w:rPr>
          <w:rFonts w:ascii="Times New Roman" w:hAnsi="Times New Roman" w:cs="Times New Roman"/>
          <w:sz w:val="24"/>
          <w:szCs w:val="24"/>
          <w:u w:color="414042"/>
        </w:rPr>
        <w:t xml:space="preserve"> establishment and maintenance of technical regulations.  A better understanding of each </w:t>
      </w:r>
      <w:r w:rsidR="0085547B" w:rsidRPr="00DC5278">
        <w:rPr>
          <w:rFonts w:ascii="Times New Roman" w:hAnsi="Times New Roman" w:cs="Times New Roman"/>
          <w:sz w:val="24"/>
          <w:szCs w:val="24"/>
          <w:u w:color="414042"/>
        </w:rPr>
        <w:t>P</w:t>
      </w:r>
      <w:r w:rsidR="005B6B31" w:rsidRPr="00DC5278">
        <w:rPr>
          <w:rFonts w:ascii="Times New Roman" w:hAnsi="Times New Roman" w:cs="Times New Roman"/>
          <w:sz w:val="24"/>
          <w:szCs w:val="24"/>
          <w:u w:color="414042"/>
        </w:rPr>
        <w:t>arty’s regulatory systems will improve public safety and benefit Australian consumers; and</w:t>
      </w:r>
    </w:p>
    <w:p w14:paraId="7403802A" w14:textId="09CE4287" w:rsidR="005B6B31" w:rsidRPr="00C3161D" w:rsidRDefault="00C5240C" w:rsidP="0085547B">
      <w:pPr>
        <w:pStyle w:val="ListParagraph"/>
        <w:numPr>
          <w:ilvl w:val="0"/>
          <w:numId w:val="81"/>
        </w:numPr>
        <w:suppressAutoHyphens/>
        <w:spacing w:before="120" w:after="12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lastRenderedPageBreak/>
        <w:t>s</w:t>
      </w:r>
      <w:r w:rsidR="005B6B31" w:rsidRPr="00DC5278">
        <w:rPr>
          <w:rFonts w:ascii="Times New Roman" w:hAnsi="Times New Roman" w:cs="Times New Roman"/>
          <w:sz w:val="24"/>
          <w:szCs w:val="24"/>
          <w:u w:color="414042"/>
        </w:rPr>
        <w:t xml:space="preserve">implified rules and </w:t>
      </w:r>
      <w:r w:rsidR="005B6B31" w:rsidRPr="00DC5278">
        <w:rPr>
          <w:rFonts w:ascii="Times New Roman" w:hAnsi="Times New Roman" w:cs="Times New Roman"/>
          <w:b/>
          <w:bCs/>
          <w:sz w:val="24"/>
          <w:szCs w:val="24"/>
          <w:u w:color="414042"/>
        </w:rPr>
        <w:t>technical requirements</w:t>
      </w:r>
      <w:r w:rsidR="005B6B31" w:rsidRPr="00DC5278">
        <w:rPr>
          <w:rFonts w:ascii="Times New Roman" w:hAnsi="Times New Roman" w:cs="Times New Roman"/>
          <w:sz w:val="24"/>
          <w:szCs w:val="24"/>
          <w:u w:color="414042"/>
        </w:rPr>
        <w:t xml:space="preserve"> for several products, including </w:t>
      </w:r>
      <w:r w:rsidR="005B6B31" w:rsidRPr="00DC5278">
        <w:rPr>
          <w:rFonts w:ascii="Times New Roman" w:hAnsi="Times New Roman" w:cs="Times New Roman"/>
          <w:bCs/>
          <w:sz w:val="24"/>
          <w:szCs w:val="24"/>
          <w:u w:color="414042"/>
        </w:rPr>
        <w:t>wine</w:t>
      </w:r>
      <w:r w:rsidR="005B6B31" w:rsidRPr="00DC5278">
        <w:rPr>
          <w:rFonts w:ascii="Times New Roman" w:hAnsi="Times New Roman" w:cs="Times New Roman"/>
          <w:sz w:val="24"/>
          <w:szCs w:val="24"/>
          <w:u w:color="414042"/>
        </w:rPr>
        <w:t xml:space="preserve"> and spirits.  For example, the Australian wine industry will be able to use the same label on bottles of wine for export to all </w:t>
      </w:r>
      <w:r w:rsidR="00240F08">
        <w:rPr>
          <w:rFonts w:ascii="Times New Roman" w:hAnsi="Times New Roman" w:cs="Times New Roman"/>
          <w:sz w:val="24"/>
          <w:szCs w:val="24"/>
          <w:u w:color="414042"/>
        </w:rPr>
        <w:t>TPP-11</w:t>
      </w:r>
      <w:r w:rsidR="005B6B31" w:rsidRPr="00DC5278">
        <w:rPr>
          <w:rFonts w:ascii="Times New Roman" w:hAnsi="Times New Roman" w:cs="Times New Roman"/>
          <w:sz w:val="24"/>
          <w:szCs w:val="24"/>
          <w:u w:color="414042"/>
        </w:rPr>
        <w:t xml:space="preserve"> countries, saving money on marketing and distribution costs. </w:t>
      </w:r>
    </w:p>
    <w:p w14:paraId="7403802B" w14:textId="23A23C63" w:rsidR="005B6B31" w:rsidRPr="00DC5278" w:rsidRDefault="00F35EE8" w:rsidP="0085547B">
      <w:pPr>
        <w:keepNext/>
        <w:keepLines/>
        <w:suppressAutoHyphens/>
        <w:spacing w:before="120" w:after="120"/>
        <w:rPr>
          <w:b/>
          <w:i/>
          <w:u w:color="414042"/>
        </w:rPr>
      </w:pPr>
      <w:r>
        <w:rPr>
          <w:b/>
          <w:i/>
          <w:u w:color="414042"/>
        </w:rPr>
        <w:t>Addressing contemporary trade ch</w:t>
      </w:r>
      <w:r w:rsidR="005B6B31" w:rsidRPr="00DC5278">
        <w:rPr>
          <w:b/>
          <w:i/>
          <w:u w:color="414042"/>
        </w:rPr>
        <w:t>allenges</w:t>
      </w:r>
    </w:p>
    <w:p w14:paraId="7403802C" w14:textId="4E43DE15" w:rsidR="00BC1E8B" w:rsidRPr="00DC5278" w:rsidRDefault="005B6B31" w:rsidP="0085547B">
      <w:pPr>
        <w:pStyle w:val="ListParagraph"/>
        <w:keepNext/>
        <w:keepLines/>
        <w:numPr>
          <w:ilvl w:val="0"/>
          <w:numId w:val="68"/>
        </w:numPr>
        <w:suppressAutoHyphens/>
        <w:spacing w:before="120" w:after="120"/>
        <w:rPr>
          <w:rFonts w:ascii="Times New Roman" w:eastAsia="Times New Roman" w:hAnsi="Times New Roman" w:cs="Times New Roman"/>
          <w:sz w:val="24"/>
          <w:szCs w:val="24"/>
          <w:u w:color="414042"/>
        </w:rPr>
      </w:pPr>
      <w:r w:rsidRPr="00DC5278">
        <w:rPr>
          <w:rFonts w:ascii="Times New Roman" w:hAnsi="Times New Roman" w:cs="Times New Roman"/>
          <w:sz w:val="24"/>
          <w:szCs w:val="24"/>
          <w:u w:color="414042"/>
        </w:rPr>
        <w:t xml:space="preserve">The </w:t>
      </w:r>
      <w:r w:rsidR="00240F08">
        <w:rPr>
          <w:rFonts w:ascii="Times New Roman" w:hAnsi="Times New Roman" w:cs="Times New Roman"/>
          <w:sz w:val="24"/>
          <w:szCs w:val="24"/>
          <w:u w:color="414042"/>
        </w:rPr>
        <w:t>TPP-11</w:t>
      </w:r>
      <w:r w:rsidRPr="00DC5278">
        <w:rPr>
          <w:rFonts w:ascii="Times New Roman" w:hAnsi="Times New Roman" w:cs="Times New Roman"/>
          <w:sz w:val="24"/>
          <w:szCs w:val="24"/>
          <w:u w:color="414042"/>
        </w:rPr>
        <w:t xml:space="preserve"> will also address contemporary trade challenges in ways that have not previously been addressed in Australian FTAs.  Highlights include: </w:t>
      </w:r>
    </w:p>
    <w:p w14:paraId="7403802D" w14:textId="531C13DE" w:rsidR="00BC1E8B" w:rsidRPr="00DC5278" w:rsidRDefault="00C5240C" w:rsidP="00BD58FB">
      <w:pPr>
        <w:pStyle w:val="Body"/>
        <w:keepNext/>
        <w:keepLines/>
        <w:numPr>
          <w:ilvl w:val="0"/>
          <w:numId w:val="82"/>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rPr>
        <w:t>c</w:t>
      </w:r>
      <w:proofErr w:type="spellStart"/>
      <w:r w:rsidR="005B6B31" w:rsidRPr="00DC5278">
        <w:rPr>
          <w:rFonts w:hAnsi="Times New Roman" w:cs="Times New Roman"/>
          <w:color w:val="auto"/>
          <w:u w:color="414042"/>
          <w:lang w:val="en-AU"/>
        </w:rPr>
        <w:t>ommitments</w:t>
      </w:r>
      <w:proofErr w:type="spellEnd"/>
      <w:r w:rsidR="005B6B31" w:rsidRPr="00DC5278">
        <w:rPr>
          <w:rFonts w:hAnsi="Times New Roman" w:cs="Times New Roman"/>
          <w:color w:val="auto"/>
          <w:u w:color="414042"/>
          <w:lang w:val="en-AU"/>
        </w:rPr>
        <w:t xml:space="preserve"> ensuring </w:t>
      </w:r>
      <w:r w:rsidR="00F35EE8">
        <w:rPr>
          <w:rFonts w:hAnsi="Times New Roman" w:cs="Times New Roman"/>
          <w:b/>
          <w:bCs/>
          <w:color w:val="auto"/>
          <w:u w:color="414042"/>
          <w:lang w:val="en-AU"/>
        </w:rPr>
        <w:t>SOEs</w:t>
      </w:r>
      <w:r w:rsidR="005B6B31" w:rsidRPr="00DC5278">
        <w:rPr>
          <w:rFonts w:hAnsi="Times New Roman" w:cs="Times New Roman"/>
          <w:b/>
          <w:bCs/>
          <w:color w:val="auto"/>
          <w:u w:color="414042"/>
          <w:lang w:val="en-AU"/>
        </w:rPr>
        <w:t xml:space="preserve"> and government designated monopolies</w:t>
      </w:r>
      <w:r w:rsidR="005B6B31" w:rsidRPr="00DC5278">
        <w:rPr>
          <w:rFonts w:hAnsi="Times New Roman" w:cs="Times New Roman"/>
          <w:color w:val="auto"/>
          <w:u w:color="414042"/>
          <w:lang w:val="en-AU"/>
        </w:rPr>
        <w:t xml:space="preserve"> engaged in commercial activities make purchasing and sales d</w:t>
      </w:r>
      <w:r w:rsidR="00F35EE8">
        <w:rPr>
          <w:rFonts w:hAnsi="Times New Roman" w:cs="Times New Roman"/>
          <w:color w:val="auto"/>
          <w:u w:color="414042"/>
          <w:lang w:val="en-AU"/>
        </w:rPr>
        <w:t>ecisions on a commercial basis</w:t>
      </w:r>
      <w:r w:rsidR="005B6B31" w:rsidRPr="00DC5278">
        <w:rPr>
          <w:rFonts w:hAnsi="Times New Roman" w:cs="Times New Roman"/>
          <w:color w:val="auto"/>
          <w:u w:color="414042"/>
          <w:lang w:val="en-AU"/>
        </w:rPr>
        <w:t xml:space="preserve"> do not discriminate against Australian suppliers of goods and services. </w:t>
      </w:r>
      <w:r w:rsidR="0085547B" w:rsidRPr="00DC5278">
        <w:rPr>
          <w:rFonts w:hAnsi="Times New Roman" w:cs="Times New Roman"/>
          <w:color w:val="auto"/>
          <w:u w:color="414042"/>
          <w:lang w:val="en-AU"/>
        </w:rPr>
        <w:t xml:space="preserve"> </w:t>
      </w:r>
      <w:r w:rsidR="005B6B31" w:rsidRPr="00DC5278">
        <w:rPr>
          <w:rFonts w:hAnsi="Times New Roman" w:cs="Times New Roman"/>
          <w:color w:val="auto"/>
          <w:u w:color="414042"/>
          <w:lang w:val="en-AU"/>
        </w:rPr>
        <w:t>These rules will promote competition, trade and inv</w:t>
      </w:r>
      <w:r w:rsidRPr="00DC5278">
        <w:rPr>
          <w:rFonts w:hAnsi="Times New Roman" w:cs="Times New Roman"/>
          <w:color w:val="auto"/>
          <w:u w:color="414042"/>
          <w:lang w:val="en-AU"/>
        </w:rPr>
        <w:t xml:space="preserve">estment in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w:t>
      </w:r>
      <w:r w:rsidR="0085547B" w:rsidRPr="00DC5278">
        <w:rPr>
          <w:rFonts w:hAnsi="Times New Roman" w:cs="Times New Roman"/>
          <w:color w:val="auto"/>
          <w:u w:color="414042"/>
          <w:lang w:val="en-AU"/>
        </w:rPr>
        <w:t>Parties</w:t>
      </w:r>
      <w:r w:rsidR="005B6B31" w:rsidRPr="00DC5278">
        <w:rPr>
          <w:rFonts w:hAnsi="Times New Roman" w:cs="Times New Roman"/>
          <w:color w:val="auto"/>
          <w:u w:color="414042"/>
          <w:lang w:val="en-AU"/>
        </w:rPr>
        <w:t xml:space="preserve"> and ensure Australian exporters will be able to compete on a level playing </w:t>
      </w:r>
      <w:proofErr w:type="gramStart"/>
      <w:r w:rsidR="005B6B31" w:rsidRPr="00DC5278">
        <w:rPr>
          <w:rFonts w:hAnsi="Times New Roman" w:cs="Times New Roman"/>
          <w:color w:val="auto"/>
          <w:u w:color="414042"/>
          <w:lang w:val="en-AU"/>
        </w:rPr>
        <w:t>field;</w:t>
      </w:r>
      <w:proofErr w:type="gramEnd"/>
      <w:r w:rsidR="005B6B31" w:rsidRPr="00DC5278">
        <w:rPr>
          <w:rFonts w:hAnsi="Times New Roman" w:cs="Times New Roman"/>
          <w:color w:val="auto"/>
          <w:u w:color="414042"/>
          <w:lang w:val="en-AU"/>
        </w:rPr>
        <w:t xml:space="preserve"> </w:t>
      </w:r>
    </w:p>
    <w:p w14:paraId="7403802E" w14:textId="79742F0E" w:rsidR="00501F58" w:rsidRPr="00DC5278" w:rsidRDefault="00501F58" w:rsidP="00BD58FB">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contextualSpacing/>
        <w:rPr>
          <w:rFonts w:ascii="Times New Roman" w:hAnsi="Times New Roman" w:cs="Times New Roman"/>
          <w:sz w:val="24"/>
          <w:szCs w:val="24"/>
        </w:rPr>
      </w:pPr>
      <w:r w:rsidRPr="00DC5278">
        <w:rPr>
          <w:rFonts w:ascii="Times New Roman" w:hAnsi="Times New Roman" w:cs="Times New Roman"/>
          <w:color w:val="auto"/>
          <w:sz w:val="24"/>
          <w:szCs w:val="24"/>
          <w:u w:color="414042"/>
          <w:lang w:val="en-AU"/>
        </w:rPr>
        <w:t>state of the art</w:t>
      </w:r>
      <w:r w:rsidRPr="00DC5278">
        <w:rPr>
          <w:rFonts w:ascii="Times New Roman" w:hAnsi="Times New Roman" w:cs="Times New Roman"/>
          <w:b/>
          <w:bCs/>
          <w:color w:val="auto"/>
          <w:sz w:val="24"/>
          <w:szCs w:val="24"/>
          <w:u w:color="414042"/>
          <w:lang w:val="en-AU"/>
        </w:rPr>
        <w:t xml:space="preserve"> e-commerce</w:t>
      </w:r>
      <w:r w:rsidRPr="00DC5278">
        <w:rPr>
          <w:rFonts w:ascii="Times New Roman" w:hAnsi="Times New Roman" w:cs="Times New Roman"/>
          <w:color w:val="auto"/>
          <w:sz w:val="24"/>
          <w:szCs w:val="24"/>
          <w:u w:color="414042"/>
          <w:lang w:val="en-AU"/>
        </w:rPr>
        <w:t xml:space="preserve"> provisions driving the information economy and facilitating trade among </w:t>
      </w:r>
      <w:r w:rsidR="00240F08">
        <w:rPr>
          <w:rFonts w:ascii="Times New Roman" w:hAnsi="Times New Roman" w:cs="Times New Roman"/>
          <w:color w:val="auto"/>
          <w:sz w:val="24"/>
          <w:szCs w:val="24"/>
          <w:u w:color="414042"/>
          <w:lang w:val="en-AU"/>
        </w:rPr>
        <w:t>TPP-11</w:t>
      </w:r>
      <w:r w:rsidRPr="00DC5278">
        <w:rPr>
          <w:rFonts w:ascii="Times New Roman" w:hAnsi="Times New Roman" w:cs="Times New Roman"/>
          <w:color w:val="auto"/>
          <w:sz w:val="24"/>
          <w:szCs w:val="24"/>
          <w:u w:color="414042"/>
          <w:lang w:val="en-AU"/>
        </w:rPr>
        <w:t xml:space="preserve"> Parties. </w:t>
      </w:r>
      <w:r w:rsidR="0085547B" w:rsidRPr="00DC5278">
        <w:rPr>
          <w:rFonts w:ascii="Times New Roman" w:hAnsi="Times New Roman" w:cs="Times New Roman"/>
          <w:color w:val="auto"/>
          <w:sz w:val="24"/>
          <w:szCs w:val="24"/>
          <w:u w:color="414042"/>
          <w:lang w:val="en-AU"/>
        </w:rPr>
        <w:t xml:space="preserve"> </w:t>
      </w:r>
      <w:r w:rsidRPr="00DC5278">
        <w:rPr>
          <w:rFonts w:ascii="Times New Roman" w:hAnsi="Times New Roman" w:cs="Times New Roman"/>
          <w:sz w:val="24"/>
          <w:szCs w:val="24"/>
        </w:rPr>
        <w:t xml:space="preserve">For the first time, certainty for business about their ability to move information across borders and make investment decisions about data storage facilities. </w:t>
      </w:r>
      <w:r w:rsidR="00657ED1">
        <w:rPr>
          <w:rFonts w:ascii="Times New Roman" w:hAnsi="Times New Roman" w:cs="Times New Roman"/>
          <w:sz w:val="24"/>
          <w:szCs w:val="24"/>
        </w:rPr>
        <w:t xml:space="preserve"> </w:t>
      </w:r>
      <w:r w:rsidRPr="00DC5278">
        <w:rPr>
          <w:rFonts w:ascii="Times New Roman" w:hAnsi="Times New Roman" w:cs="Times New Roman"/>
          <w:sz w:val="24"/>
          <w:szCs w:val="24"/>
        </w:rPr>
        <w:t xml:space="preserve">Australia’s regulatory framework, including the </w:t>
      </w:r>
      <w:r w:rsidRPr="00DC5278">
        <w:rPr>
          <w:rFonts w:ascii="Times New Roman" w:hAnsi="Times New Roman" w:cs="Times New Roman"/>
          <w:i/>
          <w:sz w:val="24"/>
          <w:szCs w:val="24"/>
        </w:rPr>
        <w:t>Privacy Act</w:t>
      </w:r>
      <w:r w:rsidR="0085547B" w:rsidRPr="00DC5278">
        <w:rPr>
          <w:rFonts w:ascii="Times New Roman" w:hAnsi="Times New Roman" w:cs="Times New Roman"/>
          <w:i/>
          <w:sz w:val="24"/>
          <w:szCs w:val="24"/>
        </w:rPr>
        <w:t xml:space="preserve"> 1988</w:t>
      </w:r>
      <w:r w:rsidRPr="00DC5278">
        <w:rPr>
          <w:rFonts w:ascii="Times New Roman" w:hAnsi="Times New Roman" w:cs="Times New Roman"/>
          <w:sz w:val="24"/>
          <w:szCs w:val="24"/>
        </w:rPr>
        <w:t xml:space="preserve">, will not be </w:t>
      </w:r>
      <w:proofErr w:type="gramStart"/>
      <w:r w:rsidRPr="00DC5278">
        <w:rPr>
          <w:rFonts w:ascii="Times New Roman" w:hAnsi="Times New Roman" w:cs="Times New Roman"/>
          <w:sz w:val="24"/>
          <w:szCs w:val="24"/>
        </w:rPr>
        <w:t>affected;</w:t>
      </w:r>
      <w:proofErr w:type="gramEnd"/>
    </w:p>
    <w:p w14:paraId="7403802F" w14:textId="6D039C0B" w:rsidR="00501F58" w:rsidRPr="00DC5278" w:rsidRDefault="00501F58" w:rsidP="00BD58FB">
      <w:pPr>
        <w:pStyle w:val="Body"/>
        <w:numPr>
          <w:ilvl w:val="0"/>
          <w:numId w:val="82"/>
        </w:numPr>
        <w:tabs>
          <w:tab w:val="left" w:pos="720"/>
        </w:tabs>
        <w:suppressAutoHyphens/>
        <w:spacing w:after="200"/>
        <w:rPr>
          <w:rFonts w:hAnsi="Times New Roman" w:cs="Times New Roman"/>
          <w:color w:val="auto"/>
          <w:u w:color="414042"/>
          <w:lang w:val="en-AU"/>
        </w:rPr>
      </w:pPr>
      <w:r w:rsidRPr="00DC5278">
        <w:rPr>
          <w:rFonts w:hAnsi="Times New Roman" w:cs="Times New Roman"/>
          <w:b/>
          <w:color w:val="auto"/>
          <w:u w:color="414042"/>
          <w:lang w:val="en-AU"/>
        </w:rPr>
        <w:t>enhancing the online</w:t>
      </w:r>
      <w:r w:rsidRPr="00DC5278">
        <w:rPr>
          <w:rFonts w:hAnsi="Times New Roman" w:cs="Times New Roman"/>
          <w:color w:val="auto"/>
          <w:u w:color="414042"/>
          <w:lang w:val="en-AU"/>
        </w:rPr>
        <w:t xml:space="preserve"> </w:t>
      </w:r>
      <w:r w:rsidRPr="00DC5278">
        <w:rPr>
          <w:rFonts w:hAnsi="Times New Roman" w:cs="Times New Roman"/>
          <w:b/>
          <w:color w:val="auto"/>
          <w:u w:color="414042"/>
          <w:lang w:val="en-AU"/>
        </w:rPr>
        <w:t xml:space="preserve">environment for consumers in </w:t>
      </w:r>
      <w:r w:rsidR="00240F08">
        <w:rPr>
          <w:rFonts w:hAnsi="Times New Roman" w:cs="Times New Roman"/>
          <w:b/>
          <w:color w:val="auto"/>
          <w:u w:color="414042"/>
          <w:lang w:val="en-AU"/>
        </w:rPr>
        <w:t>TPP-11</w:t>
      </w:r>
      <w:r w:rsidRPr="00DC5278">
        <w:rPr>
          <w:rFonts w:hAnsi="Times New Roman" w:cs="Times New Roman"/>
          <w:b/>
          <w:color w:val="auto"/>
          <w:u w:color="414042"/>
          <w:lang w:val="en-AU"/>
        </w:rPr>
        <w:t xml:space="preserve"> markets</w:t>
      </w:r>
      <w:r w:rsidRPr="00DC5278">
        <w:rPr>
          <w:rFonts w:hAnsi="Times New Roman" w:cs="Times New Roman"/>
          <w:color w:val="auto"/>
          <w:u w:color="414042"/>
          <w:lang w:val="en-AU"/>
        </w:rPr>
        <w:t>, including commitments to personal information protection, enforceable consumer rights and addressing ‘spam’.</w:t>
      </w:r>
      <w:r w:rsidR="0085547B" w:rsidRPr="00DC5278">
        <w:rPr>
          <w:rFonts w:hAnsi="Times New Roman" w:cs="Times New Roman"/>
        </w:rPr>
        <w:t xml:space="preserve">  </w:t>
      </w:r>
      <w:r w:rsidRPr="00DC5278">
        <w:rPr>
          <w:rFonts w:hAnsi="Times New Roman" w:cs="Times New Roman"/>
        </w:rPr>
        <w:t xml:space="preserve">Under the </w:t>
      </w:r>
      <w:r w:rsidR="00240F08">
        <w:rPr>
          <w:rFonts w:hAnsi="Times New Roman" w:cs="Times New Roman"/>
        </w:rPr>
        <w:t>TPP-11</w:t>
      </w:r>
      <w:r w:rsidRPr="00DC5278">
        <w:rPr>
          <w:rFonts w:hAnsi="Times New Roman" w:cs="Times New Roman"/>
        </w:rPr>
        <w:t xml:space="preserve">, Australia will have a forum to exchange views with other </w:t>
      </w:r>
      <w:r w:rsidR="00240F08">
        <w:rPr>
          <w:rFonts w:hAnsi="Times New Roman" w:cs="Times New Roman"/>
        </w:rPr>
        <w:t>TPP-11</w:t>
      </w:r>
      <w:r w:rsidRPr="00DC5278">
        <w:rPr>
          <w:rFonts w:hAnsi="Times New Roman" w:cs="Times New Roman"/>
        </w:rPr>
        <w:t xml:space="preserve"> countries about the experiences of Australian consumers when </w:t>
      </w:r>
      <w:r w:rsidRPr="00DC5278">
        <w:rPr>
          <w:rFonts w:hAnsi="Times New Roman" w:cs="Times New Roman"/>
          <w:lang w:val="en-GB"/>
        </w:rPr>
        <w:t>accessing products and s</w:t>
      </w:r>
      <w:r w:rsidR="005029DC" w:rsidRPr="00DC5278">
        <w:rPr>
          <w:rFonts w:hAnsi="Times New Roman" w:cs="Times New Roman"/>
          <w:lang w:val="en-GB"/>
        </w:rPr>
        <w:t xml:space="preserve">ervices offered </w:t>
      </w:r>
      <w:proofErr w:type="gramStart"/>
      <w:r w:rsidR="005029DC" w:rsidRPr="00DC5278">
        <w:rPr>
          <w:rFonts w:hAnsi="Times New Roman" w:cs="Times New Roman"/>
          <w:lang w:val="en-GB"/>
        </w:rPr>
        <w:t>online;</w:t>
      </w:r>
      <w:proofErr w:type="gramEnd"/>
    </w:p>
    <w:p w14:paraId="74038030" w14:textId="4270DBD3" w:rsidR="00C5240C" w:rsidRPr="00DC5278" w:rsidRDefault="00501F58" w:rsidP="00BD58FB">
      <w:pPr>
        <w:pStyle w:val="Body"/>
        <w:numPr>
          <w:ilvl w:val="0"/>
          <w:numId w:val="82"/>
        </w:numPr>
        <w:tabs>
          <w:tab w:val="left" w:pos="720"/>
        </w:tabs>
        <w:suppressAutoHyphens/>
        <w:spacing w:after="200"/>
        <w:rPr>
          <w:rFonts w:hAnsi="Times New Roman" w:cs="Times New Roman"/>
          <w:b/>
          <w:i/>
          <w:color w:val="auto"/>
          <w:u w:color="414042"/>
          <w:lang w:val="en-AU"/>
        </w:rPr>
      </w:pPr>
      <w:r w:rsidRPr="00DC5278">
        <w:rPr>
          <w:rFonts w:hAnsi="Times New Roman" w:cs="Times New Roman"/>
        </w:rPr>
        <w:t xml:space="preserve">for the first time, a provision addressing the high costs of </w:t>
      </w:r>
      <w:r w:rsidRPr="00DC5278">
        <w:rPr>
          <w:rFonts w:hAnsi="Times New Roman" w:cs="Times New Roman"/>
          <w:b/>
        </w:rPr>
        <w:t>international mobile roaming.</w:t>
      </w:r>
      <w:r w:rsidRPr="00DC5278">
        <w:rPr>
          <w:rFonts w:hAnsi="Times New Roman" w:cs="Times New Roman"/>
        </w:rPr>
        <w:t xml:space="preserve"> </w:t>
      </w:r>
      <w:r w:rsidR="0085547B" w:rsidRPr="00DC5278">
        <w:rPr>
          <w:rFonts w:hAnsi="Times New Roman" w:cs="Times New Roman"/>
        </w:rPr>
        <w:t xml:space="preserve"> </w:t>
      </w:r>
      <w:r w:rsidRPr="00DC5278">
        <w:rPr>
          <w:rFonts w:hAnsi="Times New Roman" w:cs="Times New Roman"/>
        </w:rPr>
        <w:t>Parties will</w:t>
      </w:r>
      <w:r w:rsidRPr="00DC5278">
        <w:rPr>
          <w:rFonts w:hAnsi="Times New Roman" w:cs="Times New Roman"/>
          <w:b/>
        </w:rPr>
        <w:t xml:space="preserve"> </w:t>
      </w:r>
      <w:r w:rsidRPr="00DC5278">
        <w:rPr>
          <w:rFonts w:hAnsi="Times New Roman" w:cs="Times New Roman"/>
        </w:rPr>
        <w:t xml:space="preserve">work cooperatively to promote transparent and reasonable rates for international mobile roaming services. </w:t>
      </w:r>
      <w:r w:rsidR="0085547B" w:rsidRPr="00DC5278">
        <w:rPr>
          <w:rFonts w:hAnsi="Times New Roman" w:cs="Times New Roman"/>
        </w:rPr>
        <w:t xml:space="preserve"> </w:t>
      </w:r>
      <w:r w:rsidRPr="00DC5278">
        <w:rPr>
          <w:rFonts w:hAnsi="Times New Roman" w:cs="Times New Roman"/>
        </w:rPr>
        <w:t xml:space="preserve">The agreement also ensures </w:t>
      </w:r>
      <w:r w:rsidR="00240F08">
        <w:rPr>
          <w:rFonts w:hAnsi="Times New Roman" w:cs="Times New Roman"/>
        </w:rPr>
        <w:t>TPP-11</w:t>
      </w:r>
      <w:r w:rsidRPr="00DC5278">
        <w:rPr>
          <w:rFonts w:hAnsi="Times New Roman" w:cs="Times New Roman"/>
        </w:rPr>
        <w:t xml:space="preserve"> countries </w:t>
      </w:r>
      <w:proofErr w:type="gramStart"/>
      <w:r w:rsidRPr="00DC5278">
        <w:rPr>
          <w:rFonts w:hAnsi="Times New Roman" w:cs="Times New Roman"/>
        </w:rPr>
        <w:t>are able to</w:t>
      </w:r>
      <w:proofErr w:type="gramEnd"/>
      <w:r w:rsidRPr="00DC5278">
        <w:rPr>
          <w:rFonts w:hAnsi="Times New Roman" w:cs="Times New Roman"/>
        </w:rPr>
        <w:t xml:space="preserve"> </w:t>
      </w:r>
      <w:proofErr w:type="gramStart"/>
      <w:r w:rsidRPr="00DC5278">
        <w:rPr>
          <w:rFonts w:hAnsi="Times New Roman" w:cs="Times New Roman"/>
        </w:rPr>
        <w:t>enter into</w:t>
      </w:r>
      <w:proofErr w:type="gramEnd"/>
      <w:r w:rsidRPr="00DC5278">
        <w:rPr>
          <w:rFonts w:hAnsi="Times New Roman" w:cs="Times New Roman"/>
        </w:rPr>
        <w:t xml:space="preserve"> arrangements to regulate rates and conditions for wholesale international mobile roaming services, should they wish to do </w:t>
      </w:r>
      <w:proofErr w:type="gramStart"/>
      <w:r w:rsidRPr="00DC5278">
        <w:rPr>
          <w:rFonts w:hAnsi="Times New Roman" w:cs="Times New Roman"/>
        </w:rPr>
        <w:t>so</w:t>
      </w:r>
      <w:r w:rsidR="005029DC" w:rsidRPr="00DC5278">
        <w:rPr>
          <w:rFonts w:hAnsi="Times New Roman" w:cs="Times New Roman"/>
        </w:rPr>
        <w:t>;</w:t>
      </w:r>
      <w:proofErr w:type="gramEnd"/>
    </w:p>
    <w:p w14:paraId="74038031" w14:textId="28FD36A1" w:rsidR="00BC1E8B" w:rsidRPr="00DC5278" w:rsidRDefault="00C5240C" w:rsidP="00BD58FB">
      <w:pPr>
        <w:pStyle w:val="Body"/>
        <w:numPr>
          <w:ilvl w:val="0"/>
          <w:numId w:val="82"/>
        </w:numPr>
        <w:tabs>
          <w:tab w:val="left" w:pos="720"/>
        </w:tabs>
        <w:suppressAutoHyphens/>
        <w:spacing w:after="200"/>
        <w:rPr>
          <w:rFonts w:hAnsi="Times New Roman" w:cs="Times New Roman"/>
          <w:b/>
          <w:bCs/>
          <w:color w:val="auto"/>
          <w:u w:color="414042"/>
          <w:lang w:val="en-AU"/>
        </w:rPr>
      </w:pPr>
      <w:r w:rsidRPr="00DC5278">
        <w:rPr>
          <w:rFonts w:hAnsi="Times New Roman" w:cs="Times New Roman"/>
          <w:color w:val="auto"/>
          <w:u w:color="414042"/>
          <w:lang w:val="en-AU"/>
        </w:rPr>
        <w:t>a</w:t>
      </w:r>
      <w:r w:rsidR="005B6B31" w:rsidRPr="00DC5278">
        <w:rPr>
          <w:rFonts w:hAnsi="Times New Roman" w:cs="Times New Roman"/>
          <w:color w:val="auto"/>
          <w:u w:color="414042"/>
          <w:lang w:val="en-AU"/>
        </w:rPr>
        <w:t xml:space="preserve">ssisting </w:t>
      </w:r>
      <w:r w:rsidR="005B6B31" w:rsidRPr="00DC5278">
        <w:rPr>
          <w:rFonts w:hAnsi="Times New Roman" w:cs="Times New Roman"/>
          <w:b/>
          <w:bCs/>
          <w:color w:val="auto"/>
          <w:u w:color="414042"/>
          <w:lang w:val="en-AU"/>
        </w:rPr>
        <w:t xml:space="preserve">small and medium-sized enterprises </w:t>
      </w:r>
      <w:r w:rsidR="005B6B31" w:rsidRPr="00DC5278">
        <w:rPr>
          <w:rFonts w:hAnsi="Times New Roman" w:cs="Times New Roman"/>
          <w:color w:val="auto"/>
          <w:u w:color="414042"/>
          <w:lang w:val="en-AU"/>
        </w:rPr>
        <w:t xml:space="preserve">(SMEs) to reap the benefits of the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with an emphasis on moving to paperless trading, making customs and export delivery more effective and efficient, and user-friendly websites targeted at SMEs to provide easily access</w:t>
      </w:r>
      <w:r w:rsidR="005029DC" w:rsidRPr="00DC5278">
        <w:rPr>
          <w:rFonts w:hAnsi="Times New Roman" w:cs="Times New Roman"/>
          <w:color w:val="auto"/>
          <w:u w:color="414042"/>
          <w:lang w:val="en-AU"/>
        </w:rPr>
        <w:t xml:space="preserve">ible information about the </w:t>
      </w:r>
      <w:r w:rsidR="00240F08">
        <w:rPr>
          <w:rFonts w:hAnsi="Times New Roman" w:cs="Times New Roman"/>
          <w:color w:val="auto"/>
          <w:u w:color="414042"/>
          <w:lang w:val="en-AU"/>
        </w:rPr>
        <w:t>TPP-</w:t>
      </w:r>
      <w:proofErr w:type="gramStart"/>
      <w:r w:rsidR="00240F08">
        <w:rPr>
          <w:rFonts w:hAnsi="Times New Roman" w:cs="Times New Roman"/>
          <w:color w:val="auto"/>
          <w:u w:color="414042"/>
          <w:lang w:val="en-AU"/>
        </w:rPr>
        <w:t>11</w:t>
      </w:r>
      <w:r w:rsidR="005029DC" w:rsidRPr="00DC5278">
        <w:rPr>
          <w:rFonts w:hAnsi="Times New Roman" w:cs="Times New Roman"/>
          <w:color w:val="auto"/>
          <w:u w:color="414042"/>
          <w:lang w:val="en-AU"/>
        </w:rPr>
        <w:t>;</w:t>
      </w:r>
      <w:proofErr w:type="gramEnd"/>
    </w:p>
    <w:p w14:paraId="74038032" w14:textId="66C19A16" w:rsidR="00BC1E8B" w:rsidRPr="00DC5278" w:rsidRDefault="00C5240C" w:rsidP="00BD58FB">
      <w:pPr>
        <w:pStyle w:val="Body"/>
        <w:numPr>
          <w:ilvl w:val="0"/>
          <w:numId w:val="82"/>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romoting high levels of </w:t>
      </w:r>
      <w:r w:rsidR="005B6B31" w:rsidRPr="00DC5278">
        <w:rPr>
          <w:rFonts w:hAnsi="Times New Roman" w:cs="Times New Roman"/>
          <w:b/>
          <w:bCs/>
          <w:color w:val="auto"/>
          <w:u w:color="414042"/>
          <w:lang w:val="en-AU"/>
        </w:rPr>
        <w:t>environmental protection</w:t>
      </w:r>
      <w:r w:rsidR="005B6B31" w:rsidRPr="00DC5278">
        <w:rPr>
          <w:rFonts w:hAnsi="Times New Roman" w:cs="Times New Roman"/>
          <w:color w:val="auto"/>
          <w:u w:color="414042"/>
          <w:lang w:val="en-AU"/>
        </w:rPr>
        <w:t xml:space="preserve">, including by liberalising trade in environmental goods </w:t>
      </w:r>
      <w:r w:rsidRPr="00DC5278">
        <w:rPr>
          <w:rFonts w:hAnsi="Times New Roman" w:cs="Times New Roman"/>
          <w:color w:val="auto"/>
          <w:u w:color="414042"/>
          <w:lang w:val="en-AU"/>
        </w:rPr>
        <w:t xml:space="preserve">and services, and ensuring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w:t>
      </w:r>
      <w:r w:rsidR="0085547B"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arties effectively enforce their domestic environmental laws. </w:t>
      </w:r>
      <w:r w:rsidR="0085547B" w:rsidRPr="00DC5278">
        <w:rPr>
          <w:rFonts w:hAnsi="Times New Roman" w:cs="Times New Roman"/>
          <w:color w:val="auto"/>
          <w:u w:color="414042"/>
          <w:lang w:val="en-AU"/>
        </w:rPr>
        <w:t xml:space="preserve">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w:t>
      </w:r>
      <w:r w:rsidR="0085547B"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arties must also take measures in relation to </w:t>
      </w:r>
      <w:proofErr w:type="gramStart"/>
      <w:r w:rsidR="005B6B31" w:rsidRPr="00DC5278">
        <w:rPr>
          <w:rFonts w:hAnsi="Times New Roman" w:cs="Times New Roman"/>
          <w:color w:val="auto"/>
          <w:u w:color="414042"/>
          <w:lang w:val="en-AU"/>
        </w:rPr>
        <w:t>a number of</w:t>
      </w:r>
      <w:proofErr w:type="gramEnd"/>
      <w:r w:rsidR="005B6B31" w:rsidRPr="00DC5278">
        <w:rPr>
          <w:rFonts w:hAnsi="Times New Roman" w:cs="Times New Roman"/>
          <w:color w:val="auto"/>
          <w:u w:color="414042"/>
          <w:lang w:val="en-AU"/>
        </w:rPr>
        <w:t xml:space="preserve"> important environmental challenges, such as protecting the ozone layer, protecting the marine environment from ship pollution, combatting illegal wildlife trade and combatting over-fishing and illegal fishing.  In a breakthrough in the fight against overfishing, subsidies for fishing that negatively affect overfished stocks and subsidies for vessels engaged in illegal fishing will be </w:t>
      </w:r>
      <w:proofErr w:type="gramStart"/>
      <w:r w:rsidR="005B6B31" w:rsidRPr="00DC5278">
        <w:rPr>
          <w:rFonts w:hAnsi="Times New Roman" w:cs="Times New Roman"/>
          <w:color w:val="auto"/>
          <w:u w:color="414042"/>
          <w:lang w:val="en-AU"/>
        </w:rPr>
        <w:t>prohibited;</w:t>
      </w:r>
      <w:proofErr w:type="gramEnd"/>
      <w:r w:rsidRPr="00DC5278">
        <w:rPr>
          <w:rFonts w:hAnsi="Times New Roman" w:cs="Times New Roman"/>
          <w:color w:val="auto"/>
          <w:u w:color="414042"/>
          <w:lang w:val="en-AU"/>
        </w:rPr>
        <w:t xml:space="preserve"> </w:t>
      </w:r>
    </w:p>
    <w:p w14:paraId="74038033" w14:textId="1E4EA78C" w:rsidR="00BC1E8B" w:rsidRPr="00DC5278" w:rsidRDefault="00C5240C" w:rsidP="00BD58FB">
      <w:pPr>
        <w:pStyle w:val="Body"/>
        <w:numPr>
          <w:ilvl w:val="0"/>
          <w:numId w:val="82"/>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lang w:val="en-AU"/>
        </w:rPr>
        <w:lastRenderedPageBreak/>
        <w:t>e</w:t>
      </w:r>
      <w:r w:rsidR="005B6B31" w:rsidRPr="00DC5278">
        <w:rPr>
          <w:rFonts w:hAnsi="Times New Roman" w:cs="Times New Roman"/>
          <w:color w:val="auto"/>
          <w:u w:color="414042"/>
          <w:lang w:val="en-AU"/>
        </w:rPr>
        <w:t xml:space="preserve">nhanced compliance by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w:t>
      </w:r>
      <w:r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arties with </w:t>
      </w:r>
      <w:proofErr w:type="gramStart"/>
      <w:r w:rsidR="005B6B31" w:rsidRPr="00DC5278">
        <w:rPr>
          <w:rFonts w:hAnsi="Times New Roman" w:cs="Times New Roman"/>
          <w:color w:val="auto"/>
          <w:u w:color="414042"/>
          <w:lang w:val="en-AU"/>
        </w:rPr>
        <w:t>internationally-recognised</w:t>
      </w:r>
      <w:proofErr w:type="gramEnd"/>
      <w:r w:rsidR="005B6B31" w:rsidRPr="00DC5278">
        <w:rPr>
          <w:rFonts w:hAnsi="Times New Roman" w:cs="Times New Roman"/>
          <w:color w:val="auto"/>
          <w:u w:color="414042"/>
          <w:lang w:val="en-AU"/>
        </w:rPr>
        <w:t xml:space="preserve"> </w:t>
      </w:r>
      <w:r w:rsidR="005B6B31" w:rsidRPr="00DC5278">
        <w:rPr>
          <w:rFonts w:hAnsi="Times New Roman" w:cs="Times New Roman"/>
          <w:b/>
          <w:bCs/>
          <w:color w:val="auto"/>
          <w:u w:color="414042"/>
          <w:lang w:val="en-AU"/>
        </w:rPr>
        <w:t>labour</w:t>
      </w:r>
      <w:r w:rsidR="005B6B31" w:rsidRPr="00DC5278">
        <w:rPr>
          <w:rFonts w:hAnsi="Times New Roman" w:cs="Times New Roman"/>
          <w:color w:val="auto"/>
          <w:u w:color="414042"/>
          <w:lang w:val="en-AU"/>
        </w:rPr>
        <w:t xml:space="preserve"> </w:t>
      </w:r>
      <w:r w:rsidR="005B6B31" w:rsidRPr="00DC5278">
        <w:rPr>
          <w:rFonts w:hAnsi="Times New Roman" w:cs="Times New Roman"/>
          <w:b/>
          <w:bCs/>
          <w:color w:val="auto"/>
          <w:u w:color="414042"/>
          <w:lang w:val="en-AU"/>
        </w:rPr>
        <w:t xml:space="preserve">rights, </w:t>
      </w:r>
      <w:r w:rsidR="005B6B31" w:rsidRPr="00DC5278">
        <w:rPr>
          <w:rFonts w:hAnsi="Times New Roman" w:cs="Times New Roman"/>
          <w:color w:val="auto"/>
          <w:u w:color="414042"/>
          <w:lang w:val="en-AU"/>
        </w:rPr>
        <w:t>such as elimination of forced labour, abolition of child labour, freedom of association and the right to collective bargaining.</w:t>
      </w:r>
      <w:r w:rsidR="0085547B" w:rsidRPr="00DC5278">
        <w:rPr>
          <w:rFonts w:hAnsi="Times New Roman" w:cs="Times New Roman"/>
          <w:color w:val="auto"/>
          <w:u w:color="414042"/>
          <w:lang w:val="en-AU"/>
        </w:rPr>
        <w:t xml:space="preserve"> </w:t>
      </w:r>
      <w:r w:rsidR="005B6B31" w:rsidRPr="00DC5278">
        <w:rPr>
          <w:rFonts w:hAnsi="Times New Roman" w:cs="Times New Roman"/>
          <w:color w:val="auto"/>
          <w:u w:color="414042"/>
          <w:lang w:val="en-AU"/>
        </w:rPr>
        <w:t xml:space="preserve"> The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will also enhance cooperation and consultation on labour issues, and effective enf</w:t>
      </w:r>
      <w:r w:rsidRPr="00DC5278">
        <w:rPr>
          <w:rFonts w:hAnsi="Times New Roman" w:cs="Times New Roman"/>
          <w:color w:val="auto"/>
          <w:u w:color="414042"/>
          <w:lang w:val="en-AU"/>
        </w:rPr>
        <w:t>orcement of</w:t>
      </w:r>
      <w:r w:rsidR="0085547B" w:rsidRPr="00DC5278">
        <w:rPr>
          <w:rFonts w:hAnsi="Times New Roman" w:cs="Times New Roman"/>
          <w:color w:val="auto"/>
          <w:u w:color="414042"/>
          <w:lang w:val="en-AU"/>
        </w:rPr>
        <w:t xml:space="preserve"> labour laws in </w:t>
      </w:r>
      <w:r w:rsidR="00240F08">
        <w:rPr>
          <w:rFonts w:hAnsi="Times New Roman" w:cs="Times New Roman"/>
          <w:color w:val="auto"/>
          <w:u w:color="414042"/>
          <w:lang w:val="en-AU"/>
        </w:rPr>
        <w:t>TPP-11</w:t>
      </w:r>
      <w:r w:rsidR="0085547B" w:rsidRPr="00DC5278">
        <w:rPr>
          <w:rFonts w:hAnsi="Times New Roman" w:cs="Times New Roman"/>
          <w:color w:val="auto"/>
          <w:u w:color="414042"/>
          <w:lang w:val="en-AU"/>
        </w:rPr>
        <w:t xml:space="preserve"> </w:t>
      </w:r>
      <w:proofErr w:type="gramStart"/>
      <w:r w:rsidR="0085547B" w:rsidRPr="00DC5278">
        <w:rPr>
          <w:rFonts w:hAnsi="Times New Roman" w:cs="Times New Roman"/>
          <w:color w:val="auto"/>
          <w:u w:color="414042"/>
          <w:lang w:val="en-AU"/>
        </w:rPr>
        <w:t>P</w:t>
      </w:r>
      <w:r w:rsidR="00460DE7" w:rsidRPr="00DC5278">
        <w:rPr>
          <w:rFonts w:hAnsi="Times New Roman" w:cs="Times New Roman"/>
          <w:color w:val="auto"/>
          <w:u w:color="414042"/>
          <w:lang w:val="en-AU"/>
        </w:rPr>
        <w:t>arties;</w:t>
      </w:r>
      <w:proofErr w:type="gramEnd"/>
      <w:r w:rsidR="00460DE7" w:rsidRPr="00DC5278">
        <w:rPr>
          <w:rFonts w:hAnsi="Times New Roman" w:cs="Times New Roman"/>
          <w:color w:val="auto"/>
          <w:u w:color="414042"/>
          <w:lang w:val="en-AU"/>
        </w:rPr>
        <w:t xml:space="preserve"> </w:t>
      </w:r>
    </w:p>
    <w:p w14:paraId="74038034" w14:textId="5B1632FA" w:rsidR="00460DE7" w:rsidRPr="00DC5278" w:rsidRDefault="00460DE7" w:rsidP="00BD58FB">
      <w:pPr>
        <w:pStyle w:val="Body"/>
        <w:numPr>
          <w:ilvl w:val="0"/>
          <w:numId w:val="82"/>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robust and transparent </w:t>
      </w:r>
      <w:r w:rsidRPr="00DC5278">
        <w:rPr>
          <w:rFonts w:hAnsi="Times New Roman" w:cs="Times New Roman"/>
          <w:b/>
          <w:color w:val="auto"/>
          <w:u w:color="414042"/>
          <w:lang w:val="en-AU"/>
        </w:rPr>
        <w:t>government procurement</w:t>
      </w:r>
      <w:r w:rsidRPr="00DC5278">
        <w:rPr>
          <w:rFonts w:hAnsi="Times New Roman" w:cs="Times New Roman"/>
          <w:color w:val="auto"/>
          <w:u w:color="414042"/>
          <w:lang w:val="en-AU"/>
        </w:rPr>
        <w:t xml:space="preserve"> rules that would allow suppliers from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countries to participate fairly in government processes.  The rules will ensure that government</w:t>
      </w:r>
      <w:r w:rsidR="00657ED1">
        <w:rPr>
          <w:rFonts w:hAnsi="Times New Roman" w:cs="Times New Roman"/>
          <w:color w:val="auto"/>
          <w:u w:color="414042"/>
          <w:lang w:val="en-AU"/>
        </w:rPr>
        <w:t>s</w:t>
      </w:r>
      <w:r w:rsidRPr="00DC5278">
        <w:rPr>
          <w:rFonts w:hAnsi="Times New Roman" w:cs="Times New Roman"/>
          <w:color w:val="auto"/>
          <w:u w:color="414042"/>
          <w:lang w:val="en-AU"/>
        </w:rPr>
        <w:t xml:space="preserve"> from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countries do not discriminate against suppliers from other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countries when assessing tenders and awarding contracts.  Each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w:t>
      </w:r>
      <w:r w:rsidR="0085547B" w:rsidRPr="00DC5278">
        <w:rPr>
          <w:rFonts w:hAnsi="Times New Roman" w:cs="Times New Roman"/>
          <w:color w:val="auto"/>
          <w:u w:color="414042"/>
          <w:lang w:val="en-AU"/>
        </w:rPr>
        <w:t>P</w:t>
      </w:r>
      <w:r w:rsidRPr="00DC5278">
        <w:rPr>
          <w:rFonts w:hAnsi="Times New Roman" w:cs="Times New Roman"/>
          <w:color w:val="auto"/>
          <w:u w:color="414042"/>
          <w:lang w:val="en-AU"/>
        </w:rPr>
        <w:t>arty will also be required to establish a review mechanism so that suppliers (both foreign and domestic) can challenge government procurement decisions that do not follow proper processes; and</w:t>
      </w:r>
    </w:p>
    <w:p w14:paraId="74038035" w14:textId="7430213E" w:rsidR="00BC1E8B" w:rsidRPr="00DC5278" w:rsidRDefault="00C5240C" w:rsidP="00BD58FB">
      <w:pPr>
        <w:pStyle w:val="Body"/>
        <w:numPr>
          <w:ilvl w:val="0"/>
          <w:numId w:val="82"/>
        </w:numPr>
        <w:tabs>
          <w:tab w:val="left" w:pos="720"/>
        </w:tabs>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r</w:t>
      </w:r>
      <w:r w:rsidR="005B6B31" w:rsidRPr="00DC5278">
        <w:rPr>
          <w:rFonts w:hAnsi="Times New Roman" w:cs="Times New Roman"/>
          <w:color w:val="auto"/>
          <w:u w:color="414042"/>
          <w:lang w:val="en-AU"/>
        </w:rPr>
        <w:t xml:space="preserve">obust provisions </w:t>
      </w:r>
      <w:r w:rsidR="005B6B31" w:rsidRPr="00DC5278">
        <w:rPr>
          <w:rFonts w:hAnsi="Times New Roman" w:cs="Times New Roman"/>
          <w:b/>
          <w:bCs/>
          <w:color w:val="auto"/>
          <w:u w:color="414042"/>
          <w:lang w:val="en-AU"/>
        </w:rPr>
        <w:t>combatting corruption</w:t>
      </w:r>
      <w:r w:rsidR="005B6B31" w:rsidRPr="00DC5278">
        <w:rPr>
          <w:rFonts w:hAnsi="Times New Roman" w:cs="Times New Roman"/>
          <w:color w:val="auto"/>
          <w:u w:color="414042"/>
          <w:lang w:val="en-AU"/>
        </w:rPr>
        <w:t xml:space="preserve"> and bribery of public officials, and other acts of corruption adversely affecting international trade and investment. </w:t>
      </w:r>
      <w:r w:rsidR="0085547B" w:rsidRPr="00DC5278">
        <w:rPr>
          <w:rFonts w:hAnsi="Times New Roman" w:cs="Times New Roman"/>
          <w:color w:val="auto"/>
          <w:u w:color="414042"/>
          <w:lang w:val="en-AU"/>
        </w:rPr>
        <w:t xml:space="preserve"> </w:t>
      </w:r>
      <w:r w:rsidR="005B6B31" w:rsidRPr="00DC5278">
        <w:rPr>
          <w:rFonts w:hAnsi="Times New Roman" w:cs="Times New Roman"/>
          <w:color w:val="auto"/>
          <w:u w:color="414042"/>
          <w:lang w:val="en-AU"/>
        </w:rPr>
        <w:t>These</w:t>
      </w:r>
      <w:r w:rsidR="005B6B31" w:rsidRPr="00DC5278">
        <w:rPr>
          <w:rFonts w:hAnsi="Times New Roman" w:cs="Times New Roman"/>
          <w:b/>
          <w:bCs/>
          <w:color w:val="auto"/>
          <w:u w:color="414042"/>
          <w:lang w:val="en-AU"/>
        </w:rPr>
        <w:t xml:space="preserve"> </w:t>
      </w:r>
      <w:r w:rsidR="005B6B31" w:rsidRPr="00DC5278">
        <w:rPr>
          <w:rFonts w:hAnsi="Times New Roman" w:cs="Times New Roman"/>
          <w:color w:val="auto"/>
          <w:u w:color="414042"/>
          <w:lang w:val="en-AU"/>
        </w:rPr>
        <w:t>anti-corruption</w:t>
      </w:r>
      <w:r w:rsidR="005B6B31" w:rsidRPr="00DC5278">
        <w:rPr>
          <w:rFonts w:hAnsi="Times New Roman" w:cs="Times New Roman"/>
          <w:b/>
          <w:bCs/>
          <w:color w:val="auto"/>
          <w:u w:color="414042"/>
          <w:lang w:val="en-AU"/>
        </w:rPr>
        <w:t xml:space="preserve"> </w:t>
      </w:r>
      <w:r w:rsidR="005B6B31" w:rsidRPr="00DC5278">
        <w:rPr>
          <w:rFonts w:hAnsi="Times New Roman" w:cs="Times New Roman"/>
          <w:color w:val="auto"/>
          <w:u w:color="414042"/>
          <w:lang w:val="en-AU"/>
        </w:rPr>
        <w:t xml:space="preserve">provisions will provide greater transparency and certainty to Australian individuals and businesses seeking to trade with, and invest in, </w:t>
      </w:r>
      <w:r w:rsidR="00240F08">
        <w:rPr>
          <w:rFonts w:hAnsi="Times New Roman" w:cs="Times New Roman"/>
          <w:color w:val="auto"/>
          <w:u w:color="414042"/>
          <w:lang w:val="en-AU"/>
        </w:rPr>
        <w:t>TPP-11</w:t>
      </w:r>
      <w:r w:rsidR="005B6B31" w:rsidRPr="00DC5278">
        <w:rPr>
          <w:rFonts w:hAnsi="Times New Roman" w:cs="Times New Roman"/>
          <w:color w:val="auto"/>
          <w:u w:color="414042"/>
          <w:lang w:val="en-AU"/>
        </w:rPr>
        <w:t xml:space="preserve"> </w:t>
      </w:r>
      <w:r w:rsidR="0085547B" w:rsidRPr="00DC5278">
        <w:rPr>
          <w:rFonts w:hAnsi="Times New Roman" w:cs="Times New Roman"/>
          <w:color w:val="auto"/>
          <w:u w:color="414042"/>
          <w:lang w:val="en-AU"/>
        </w:rPr>
        <w:t>P</w:t>
      </w:r>
      <w:r w:rsidR="005B6B31" w:rsidRPr="00DC5278">
        <w:rPr>
          <w:rFonts w:hAnsi="Times New Roman" w:cs="Times New Roman"/>
          <w:color w:val="auto"/>
          <w:u w:color="414042"/>
          <w:lang w:val="en-AU"/>
        </w:rPr>
        <w:t xml:space="preserve">arties. </w:t>
      </w:r>
    </w:p>
    <w:p w14:paraId="2200E5AA" w14:textId="7ACB42C4" w:rsidR="00382DD2" w:rsidRPr="00DC5278" w:rsidRDefault="00382DD2" w:rsidP="00382DD2">
      <w:pPr>
        <w:pStyle w:val="BodyA"/>
        <w:suppressAutoHyphens/>
        <w:rPr>
          <w:rFonts w:ascii="Times New Roman" w:eastAsia="Times New Roman" w:hAnsi="Times New Roman" w:cs="Times New Roman"/>
          <w:b/>
          <w:bCs/>
          <w:i/>
          <w:iCs/>
          <w:color w:val="auto"/>
          <w:sz w:val="24"/>
          <w:szCs w:val="24"/>
          <w:lang w:val="en-AU"/>
        </w:rPr>
      </w:pPr>
      <w:r w:rsidRPr="00DC5278">
        <w:rPr>
          <w:rFonts w:ascii="Times New Roman" w:hAnsi="Times New Roman" w:cs="Times New Roman"/>
          <w:b/>
          <w:bCs/>
          <w:i/>
          <w:iCs/>
          <w:color w:val="auto"/>
          <w:sz w:val="24"/>
          <w:szCs w:val="24"/>
          <w:lang w:val="en-AU"/>
        </w:rPr>
        <w:t xml:space="preserve">Intellectual </w:t>
      </w:r>
      <w:r w:rsidR="00F35EE8">
        <w:rPr>
          <w:rFonts w:ascii="Times New Roman" w:hAnsi="Times New Roman" w:cs="Times New Roman"/>
          <w:b/>
          <w:bCs/>
          <w:i/>
          <w:iCs/>
          <w:color w:val="auto"/>
          <w:sz w:val="24"/>
          <w:szCs w:val="24"/>
          <w:lang w:val="en-AU"/>
        </w:rPr>
        <w:t>p</w:t>
      </w:r>
      <w:r w:rsidRPr="00DC5278">
        <w:rPr>
          <w:rFonts w:ascii="Times New Roman" w:hAnsi="Times New Roman" w:cs="Times New Roman"/>
          <w:b/>
          <w:bCs/>
          <w:i/>
          <w:iCs/>
          <w:color w:val="auto"/>
          <w:sz w:val="24"/>
          <w:szCs w:val="24"/>
          <w:lang w:val="en-AU"/>
        </w:rPr>
        <w:t xml:space="preserve">roperty </w:t>
      </w:r>
    </w:p>
    <w:p w14:paraId="17776B80" w14:textId="77777777" w:rsidR="00382DD2" w:rsidRPr="00DC5278" w:rsidRDefault="00382DD2" w:rsidP="00382DD2">
      <w:pPr>
        <w:pStyle w:val="BodyA"/>
        <w:suppressAutoHyphens/>
        <w:rPr>
          <w:rFonts w:ascii="Times New Roman" w:eastAsia="Times New Roman" w:hAnsi="Times New Roman" w:cs="Times New Roman"/>
          <w:color w:val="auto"/>
          <w:sz w:val="24"/>
          <w:szCs w:val="24"/>
          <w:lang w:val="en-AU"/>
        </w:rPr>
      </w:pPr>
    </w:p>
    <w:p w14:paraId="64DB4CD1" w14:textId="6E250D8A" w:rsidR="00C4255A" w:rsidRDefault="00382DD2" w:rsidP="00C4255A">
      <w:pPr>
        <w:pStyle w:val="BodyA"/>
        <w:numPr>
          <w:ilvl w:val="0"/>
          <w:numId w:val="83"/>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w:t>
      </w:r>
      <w:r w:rsidR="00F35EE8">
        <w:rPr>
          <w:rFonts w:ascii="Times New Roman" w:hAnsi="Times New Roman" w:cs="Times New Roman"/>
          <w:color w:val="auto"/>
          <w:sz w:val="24"/>
          <w:szCs w:val="24"/>
          <w:lang w:val="en-AU"/>
        </w:rPr>
        <w:t>IP</w:t>
      </w:r>
      <w:r w:rsidRPr="00DC5278">
        <w:rPr>
          <w:rFonts w:ascii="Times New Roman" w:hAnsi="Times New Roman" w:cs="Times New Roman"/>
          <w:color w:val="auto"/>
          <w:sz w:val="24"/>
          <w:szCs w:val="24"/>
          <w:lang w:val="en-AU"/>
        </w:rPr>
        <w:t xml:space="preserve"> Chapter establishes a common set of rules for IP protection and enforcement in the </w:t>
      </w:r>
      <w:r>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region.  These rules will help streamline IP transactions, increase transparency and lower the costs of doing business, and support Australia’s creative and innovative industries by promoting certainty and opportunities for trade and investment in the region.  Australian businesses and consumers will also benefit from increased access to legitimate products and services.  The chapter builds on the key areas of IP protection in the WTO’s Agreement on Trade-Related Aspects of Intellectual Property (TRIPS Agreement), and covers copyright, </w:t>
      </w:r>
      <w:proofErr w:type="spellStart"/>
      <w:proofErr w:type="gramStart"/>
      <w:r w:rsidRPr="00DC5278">
        <w:rPr>
          <w:rFonts w:ascii="Times New Roman" w:hAnsi="Times New Roman" w:cs="Times New Roman"/>
          <w:color w:val="auto"/>
          <w:sz w:val="24"/>
          <w:szCs w:val="24"/>
          <w:lang w:val="en-AU"/>
        </w:rPr>
        <w:t>trade marks</w:t>
      </w:r>
      <w:proofErr w:type="spellEnd"/>
      <w:proofErr w:type="gramEnd"/>
      <w:r w:rsidRPr="00DC5278">
        <w:rPr>
          <w:rFonts w:ascii="Times New Roman" w:hAnsi="Times New Roman" w:cs="Times New Roman"/>
          <w:color w:val="auto"/>
          <w:sz w:val="24"/>
          <w:szCs w:val="24"/>
          <w:lang w:val="en-AU"/>
        </w:rPr>
        <w:t>, geographical indications</w:t>
      </w:r>
      <w:r w:rsidR="0034278F">
        <w:rPr>
          <w:rFonts w:ascii="Times New Roman" w:hAnsi="Times New Roman" w:cs="Times New Roman"/>
          <w:color w:val="auto"/>
          <w:sz w:val="24"/>
          <w:szCs w:val="24"/>
          <w:lang w:val="en-AU"/>
        </w:rPr>
        <w:t xml:space="preserve"> (GIs)</w:t>
      </w:r>
      <w:r w:rsidRPr="00DC5278">
        <w:rPr>
          <w:rFonts w:ascii="Times New Roman" w:hAnsi="Times New Roman" w:cs="Times New Roman"/>
          <w:color w:val="auto"/>
          <w:sz w:val="24"/>
          <w:szCs w:val="24"/>
          <w:lang w:val="en-AU"/>
        </w:rPr>
        <w:t>, patents, industrial designs, confidential information, plant variety protection, and civil, border and criminal enforcement.</w:t>
      </w:r>
      <w:r w:rsidR="00C4255A">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 </w:t>
      </w:r>
      <w:proofErr w:type="gramStart"/>
      <w:r w:rsidRPr="004C235E">
        <w:rPr>
          <w:rFonts w:ascii="Times New Roman" w:hAnsi="Times New Roman" w:cs="Times New Roman"/>
          <w:color w:val="auto"/>
          <w:sz w:val="24"/>
          <w:szCs w:val="24"/>
          <w:lang w:val="en-AU"/>
        </w:rPr>
        <w:t>A number of</w:t>
      </w:r>
      <w:proofErr w:type="gramEnd"/>
      <w:r w:rsidRPr="004C235E">
        <w:rPr>
          <w:rFonts w:ascii="Times New Roman" w:hAnsi="Times New Roman" w:cs="Times New Roman"/>
          <w:color w:val="auto"/>
          <w:sz w:val="24"/>
          <w:szCs w:val="24"/>
          <w:lang w:val="en-AU"/>
        </w:rPr>
        <w:t xml:space="preserve"> </w:t>
      </w:r>
      <w:r w:rsidR="00F35EE8">
        <w:rPr>
          <w:rFonts w:ascii="Times New Roman" w:hAnsi="Times New Roman" w:cs="Times New Roman"/>
          <w:color w:val="auto"/>
          <w:sz w:val="24"/>
          <w:szCs w:val="24"/>
          <w:lang w:val="en-AU"/>
        </w:rPr>
        <w:t>IP</w:t>
      </w:r>
      <w:r w:rsidRPr="004C235E">
        <w:rPr>
          <w:rFonts w:ascii="Times New Roman" w:hAnsi="Times New Roman" w:cs="Times New Roman"/>
          <w:color w:val="auto"/>
          <w:sz w:val="24"/>
          <w:szCs w:val="24"/>
          <w:lang w:val="en-AU"/>
        </w:rPr>
        <w:t xml:space="preserve"> provisions from the original TPP have be</w:t>
      </w:r>
      <w:r w:rsidR="00C3161D">
        <w:rPr>
          <w:rFonts w:ascii="Times New Roman" w:hAnsi="Times New Roman" w:cs="Times New Roman"/>
          <w:color w:val="auto"/>
          <w:sz w:val="24"/>
          <w:szCs w:val="24"/>
          <w:lang w:val="en-AU"/>
        </w:rPr>
        <w:t>en suspended in the TPP-11 (see below).</w:t>
      </w:r>
    </w:p>
    <w:p w14:paraId="3371F394" w14:textId="77777777" w:rsidR="00C4255A" w:rsidRDefault="00C4255A" w:rsidP="00C4255A">
      <w:pPr>
        <w:pStyle w:val="BodyA"/>
        <w:suppressAutoHyphens/>
        <w:ind w:left="660"/>
        <w:rPr>
          <w:rFonts w:ascii="Times New Roman" w:hAnsi="Times New Roman" w:cs="Times New Roman"/>
          <w:color w:val="auto"/>
          <w:sz w:val="24"/>
          <w:szCs w:val="24"/>
          <w:lang w:val="en-AU"/>
        </w:rPr>
      </w:pPr>
    </w:p>
    <w:p w14:paraId="19F5F738" w14:textId="6C722C82" w:rsidR="00A62256" w:rsidRDefault="00382DD2" w:rsidP="00C4255A">
      <w:pPr>
        <w:pStyle w:val="BodyA"/>
        <w:numPr>
          <w:ilvl w:val="0"/>
          <w:numId w:val="83"/>
        </w:numPr>
        <w:suppressAutoHyphens/>
        <w:rPr>
          <w:rFonts w:ascii="Times New Roman" w:hAnsi="Times New Roman" w:cs="Times New Roman"/>
          <w:color w:val="auto"/>
          <w:sz w:val="24"/>
          <w:szCs w:val="24"/>
          <w:lang w:val="en-AU"/>
        </w:rPr>
      </w:pPr>
      <w:r w:rsidRPr="00C4255A">
        <w:rPr>
          <w:rFonts w:ascii="Times New Roman" w:hAnsi="Times New Roman" w:cs="Times New Roman"/>
          <w:color w:val="auto"/>
          <w:sz w:val="24"/>
          <w:szCs w:val="24"/>
          <w:lang w:val="en-AU"/>
        </w:rPr>
        <w:t xml:space="preserve">The Chapter seeks to promote business certainty for Australian patent applicants in the TPP-11 region.  TPP-11 countries commit to provide adequate and effective protection of industrial designs.  </w:t>
      </w:r>
      <w:proofErr w:type="gramStart"/>
      <w:r w:rsidRPr="00C4255A">
        <w:rPr>
          <w:rFonts w:ascii="Times New Roman" w:hAnsi="Times New Roman" w:cs="Times New Roman"/>
          <w:color w:val="auto"/>
          <w:sz w:val="24"/>
          <w:szCs w:val="24"/>
          <w:lang w:val="en-AU"/>
        </w:rPr>
        <w:t>Trade mark</w:t>
      </w:r>
      <w:proofErr w:type="gramEnd"/>
      <w:r w:rsidRPr="00C4255A">
        <w:rPr>
          <w:rFonts w:ascii="Times New Roman" w:hAnsi="Times New Roman" w:cs="Times New Roman"/>
          <w:color w:val="auto"/>
          <w:sz w:val="24"/>
          <w:szCs w:val="24"/>
          <w:lang w:val="en-AU"/>
        </w:rPr>
        <w:t xml:space="preserve"> provisions will help Australian traders promote and safeguard their bra</w:t>
      </w:r>
      <w:r w:rsidR="00587C82">
        <w:rPr>
          <w:rFonts w:ascii="Times New Roman" w:hAnsi="Times New Roman" w:cs="Times New Roman"/>
          <w:color w:val="auto"/>
          <w:sz w:val="24"/>
          <w:szCs w:val="24"/>
          <w:lang w:val="en-AU"/>
        </w:rPr>
        <w:t>nds in the TPP-11 region.  The C</w:t>
      </w:r>
      <w:r w:rsidRPr="00C4255A">
        <w:rPr>
          <w:rFonts w:ascii="Times New Roman" w:hAnsi="Times New Roman" w:cs="Times New Roman"/>
          <w:color w:val="auto"/>
          <w:sz w:val="24"/>
          <w:szCs w:val="24"/>
          <w:lang w:val="en-AU"/>
        </w:rPr>
        <w:t xml:space="preserve">hapter requires transparency and due process safeguards with respect to the protection of </w:t>
      </w:r>
      <w:r w:rsidR="00587C82">
        <w:rPr>
          <w:rFonts w:ascii="Times New Roman" w:hAnsi="Times New Roman" w:cs="Times New Roman"/>
          <w:color w:val="auto"/>
          <w:sz w:val="24"/>
          <w:szCs w:val="24"/>
          <w:lang w:val="en-AU"/>
        </w:rPr>
        <w:t>GIs</w:t>
      </w:r>
      <w:r w:rsidRPr="00C4255A">
        <w:rPr>
          <w:rFonts w:ascii="Times New Roman" w:hAnsi="Times New Roman" w:cs="Times New Roman"/>
          <w:color w:val="auto"/>
          <w:sz w:val="24"/>
          <w:szCs w:val="24"/>
          <w:lang w:val="en-AU"/>
        </w:rPr>
        <w:t>, including for GIs protected through international agreements.  TPP-11 countries have agreed to ratify the International Convention for the Protection of New Varieties of Plants (1991), which encourages effective protection of plant breeders’ rights and the deve</w:t>
      </w:r>
      <w:r w:rsidR="00F978C8">
        <w:rPr>
          <w:rFonts w:ascii="Times New Roman" w:hAnsi="Times New Roman" w:cs="Times New Roman"/>
          <w:color w:val="auto"/>
          <w:sz w:val="24"/>
          <w:szCs w:val="24"/>
          <w:lang w:val="en-AU"/>
        </w:rPr>
        <w:t>lopment of new plant varieties.</w:t>
      </w:r>
    </w:p>
    <w:p w14:paraId="442D127F" w14:textId="77777777" w:rsidR="00A62256" w:rsidRDefault="00A62256" w:rsidP="00A62256">
      <w:pPr>
        <w:pStyle w:val="ListParagraph"/>
        <w:rPr>
          <w:rFonts w:ascii="Times New Roman" w:hAnsi="Times New Roman" w:cs="Times New Roman"/>
          <w:color w:val="auto"/>
          <w:sz w:val="24"/>
          <w:szCs w:val="24"/>
          <w:lang w:val="en-AU"/>
        </w:rPr>
      </w:pPr>
    </w:p>
    <w:p w14:paraId="505866A9" w14:textId="26F341B7" w:rsidR="00382DD2" w:rsidRPr="00C4255A" w:rsidRDefault="00382DD2" w:rsidP="00C4255A">
      <w:pPr>
        <w:pStyle w:val="BodyA"/>
        <w:numPr>
          <w:ilvl w:val="0"/>
          <w:numId w:val="83"/>
        </w:numPr>
        <w:suppressAutoHyphens/>
        <w:rPr>
          <w:rFonts w:ascii="Times New Roman" w:hAnsi="Times New Roman" w:cs="Times New Roman"/>
          <w:color w:val="auto"/>
          <w:sz w:val="24"/>
          <w:szCs w:val="24"/>
          <w:lang w:val="en-AU"/>
        </w:rPr>
      </w:pPr>
      <w:r w:rsidRPr="00C4255A">
        <w:rPr>
          <w:rFonts w:ascii="Times New Roman" w:hAnsi="Times New Roman" w:cs="Times New Roman"/>
          <w:color w:val="auto"/>
          <w:sz w:val="24"/>
          <w:szCs w:val="24"/>
          <w:lang w:val="en-AU"/>
        </w:rPr>
        <w:t xml:space="preserve">The Chapter also includes limited provisions in relation to pharmaceutical inventions and products, while also aiming to ensure TPP-11 countries can take </w:t>
      </w:r>
      <w:r w:rsidRPr="00C4255A">
        <w:rPr>
          <w:rFonts w:ascii="Times New Roman" w:hAnsi="Times New Roman" w:cs="Times New Roman"/>
          <w:color w:val="auto"/>
          <w:sz w:val="24"/>
          <w:szCs w:val="24"/>
          <w:lang w:val="en-AU"/>
        </w:rPr>
        <w:lastRenderedPageBreak/>
        <w:t>measures to protect public health and support timely and affordable access to medicines.</w:t>
      </w:r>
    </w:p>
    <w:p w14:paraId="2990903B" w14:textId="7F1B52C7" w:rsidR="00A62256" w:rsidRPr="00A62256" w:rsidRDefault="00A62256" w:rsidP="00A62256"/>
    <w:p w14:paraId="178E84FF" w14:textId="7956CC56" w:rsidR="00382DD2" w:rsidRPr="00135945" w:rsidRDefault="00382DD2" w:rsidP="00382DD2">
      <w:pPr>
        <w:pStyle w:val="BodyA"/>
        <w:numPr>
          <w:ilvl w:val="0"/>
          <w:numId w:val="83"/>
        </w:numPr>
        <w:suppressAutoHyphens/>
        <w:rPr>
          <w:rFonts w:ascii="Times New Roman" w:hAnsi="Times New Roman" w:cs="Times New Roman"/>
          <w:color w:val="auto"/>
          <w:sz w:val="24"/>
          <w:szCs w:val="24"/>
          <w:lang w:val="en-AU"/>
        </w:rPr>
      </w:pPr>
      <w:r w:rsidRPr="00135945">
        <w:rPr>
          <w:rFonts w:ascii="Times New Roman" w:hAnsi="Times New Roman" w:cs="Times New Roman"/>
          <w:color w:val="auto"/>
          <w:sz w:val="24"/>
          <w:szCs w:val="24"/>
          <w:lang w:val="en-AU"/>
        </w:rPr>
        <w:t xml:space="preserve">The Chapter requires TPP-11 countries to protect undisclosed data about the safety or efficacy of new agricultural chemical products for 10 years from the date of marketing approval.  This will help attract investment and innovation in new agricultural chemical products in the TPP-11 </w:t>
      </w:r>
      <w:proofErr w:type="gramStart"/>
      <w:r w:rsidRPr="00135945">
        <w:rPr>
          <w:rFonts w:ascii="Times New Roman" w:hAnsi="Times New Roman" w:cs="Times New Roman"/>
          <w:color w:val="auto"/>
          <w:sz w:val="24"/>
          <w:szCs w:val="24"/>
          <w:lang w:val="en-AU"/>
        </w:rPr>
        <w:t>region, and</w:t>
      </w:r>
      <w:proofErr w:type="gramEnd"/>
      <w:r w:rsidRPr="00135945">
        <w:rPr>
          <w:rFonts w:ascii="Times New Roman" w:hAnsi="Times New Roman" w:cs="Times New Roman"/>
          <w:color w:val="auto"/>
          <w:sz w:val="24"/>
          <w:szCs w:val="24"/>
          <w:lang w:val="en-AU"/>
        </w:rPr>
        <w:t xml:space="preserve"> ensure stronger protections for Australian exporters.</w:t>
      </w:r>
    </w:p>
    <w:p w14:paraId="5190D771" w14:textId="77777777" w:rsidR="00382DD2" w:rsidRPr="00DC5278" w:rsidRDefault="00382DD2" w:rsidP="00382DD2">
      <w:pPr>
        <w:pStyle w:val="ListParagraph"/>
        <w:suppressAutoHyphens/>
        <w:rPr>
          <w:rFonts w:ascii="Times New Roman" w:hAnsi="Times New Roman" w:cs="Times New Roman"/>
          <w:color w:val="auto"/>
          <w:sz w:val="24"/>
          <w:szCs w:val="24"/>
          <w:lang w:val="en-AU"/>
        </w:rPr>
      </w:pPr>
    </w:p>
    <w:p w14:paraId="3CA5FBB8" w14:textId="00E2A4D7" w:rsidR="00382DD2" w:rsidRPr="00DC5278" w:rsidRDefault="00382DD2" w:rsidP="00382DD2">
      <w:pPr>
        <w:pStyle w:val="BodyA"/>
        <w:numPr>
          <w:ilvl w:val="0"/>
          <w:numId w:val="83"/>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Chapter provides effective and balanced protection for Australian copyright and related rights in the </w:t>
      </w:r>
      <w:r>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region by protecting the exclusive rights of authors, performers and producers with respect to the reproduction, communication, distribution, and broadcasting of their works, performances and phonograms, while providing for appropriate limitations and exceptions.</w:t>
      </w:r>
    </w:p>
    <w:p w14:paraId="46B68A60" w14:textId="77777777" w:rsidR="00382DD2" w:rsidRPr="00DC5278" w:rsidRDefault="00382DD2" w:rsidP="00382DD2">
      <w:pPr>
        <w:pStyle w:val="ListParagraph"/>
        <w:suppressAutoHyphens/>
        <w:rPr>
          <w:rFonts w:ascii="Times New Roman" w:hAnsi="Times New Roman" w:cs="Times New Roman"/>
          <w:color w:val="auto"/>
          <w:sz w:val="24"/>
          <w:szCs w:val="24"/>
          <w:lang w:val="en-AU"/>
        </w:rPr>
      </w:pPr>
    </w:p>
    <w:p w14:paraId="63E7581E" w14:textId="77777777" w:rsidR="00382DD2" w:rsidRPr="00DC5278" w:rsidRDefault="00382DD2" w:rsidP="00382DD2">
      <w:pPr>
        <w:pStyle w:val="BodyA"/>
        <w:numPr>
          <w:ilvl w:val="0"/>
          <w:numId w:val="83"/>
        </w:numPr>
        <w:suppressAutoHyphens/>
        <w:rPr>
          <w:rFonts w:ascii="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Chapter includes </w:t>
      </w:r>
      <w:proofErr w:type="gramStart"/>
      <w:r w:rsidRPr="00DC5278">
        <w:rPr>
          <w:rFonts w:ascii="Times New Roman" w:hAnsi="Times New Roman" w:cs="Times New Roman"/>
          <w:color w:val="auto"/>
          <w:sz w:val="24"/>
          <w:szCs w:val="24"/>
          <w:lang w:val="en-AU"/>
        </w:rPr>
        <w:t>civil,</w:t>
      </w:r>
      <w:proofErr w:type="gramEnd"/>
      <w:r w:rsidRPr="00DC5278">
        <w:rPr>
          <w:rFonts w:ascii="Times New Roman" w:hAnsi="Times New Roman" w:cs="Times New Roman"/>
          <w:color w:val="auto"/>
          <w:sz w:val="24"/>
          <w:szCs w:val="24"/>
          <w:lang w:val="en-AU"/>
        </w:rPr>
        <w:t xml:space="preserve"> criminal and border enforcement measures aimed at reducing trade in counterfeit </w:t>
      </w:r>
      <w:proofErr w:type="gramStart"/>
      <w:r w:rsidRPr="00DC5278">
        <w:rPr>
          <w:rFonts w:ascii="Times New Roman" w:hAnsi="Times New Roman" w:cs="Times New Roman"/>
          <w:color w:val="auto"/>
          <w:sz w:val="24"/>
          <w:szCs w:val="24"/>
          <w:lang w:val="en-AU"/>
        </w:rPr>
        <w:t>trade mark</w:t>
      </w:r>
      <w:proofErr w:type="gramEnd"/>
      <w:r w:rsidRPr="00DC5278">
        <w:rPr>
          <w:rFonts w:ascii="Times New Roman" w:hAnsi="Times New Roman" w:cs="Times New Roman"/>
          <w:color w:val="auto"/>
          <w:sz w:val="24"/>
          <w:szCs w:val="24"/>
          <w:lang w:val="en-AU"/>
        </w:rPr>
        <w:t xml:space="preserve"> and pirated copyright goods in the </w:t>
      </w:r>
      <w:r>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region.  These measures will help protect the rights of Australian innovators and creators, support investment in innovation, promote trade in legitimate products and services, and reduce the availability of infringing products and services in Australia.  </w:t>
      </w:r>
      <w:r>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countries agree to provide for civil and criminal measures in relation to the unauthorised access to and theft of trade secrets, including in computer systems. These measures will not affect countries’ laws in relation to whistleblowing.</w:t>
      </w:r>
    </w:p>
    <w:p w14:paraId="74038045" w14:textId="5C465ACF" w:rsidR="005B6B31" w:rsidRPr="00DC5278" w:rsidRDefault="005B6B31" w:rsidP="0085547B">
      <w:pPr>
        <w:suppressAutoHyphens/>
        <w:rPr>
          <w:rFonts w:eastAsia="Times New Roman"/>
        </w:rPr>
      </w:pPr>
    </w:p>
    <w:p w14:paraId="74038046" w14:textId="77777777" w:rsidR="005B6B31" w:rsidRPr="00DC5278" w:rsidRDefault="005B6B31" w:rsidP="0085547B">
      <w:pPr>
        <w:keepNext/>
        <w:suppressAutoHyphens/>
        <w:spacing w:after="120"/>
        <w:rPr>
          <w:rFonts w:eastAsia="Times New Roman"/>
          <w:b/>
          <w:bCs/>
          <w:i/>
          <w:iCs/>
        </w:rPr>
      </w:pPr>
      <w:r w:rsidRPr="00DC5278">
        <w:rPr>
          <w:b/>
          <w:bCs/>
          <w:i/>
          <w:iCs/>
        </w:rPr>
        <w:t>State and Territory Governments</w:t>
      </w:r>
    </w:p>
    <w:p w14:paraId="32CABB38" w14:textId="286799AA" w:rsidR="0057007D" w:rsidRPr="0057007D" w:rsidRDefault="005B6B31" w:rsidP="0057007D">
      <w:pPr>
        <w:pStyle w:val="BodyA"/>
        <w:keepNext/>
        <w:numPr>
          <w:ilvl w:val="0"/>
          <w:numId w:val="83"/>
        </w:numPr>
        <w:suppressAutoHyphens/>
        <w:rPr>
          <w:rFonts w:ascii="Times New Roman" w:hAnsi="Times New Roman" w:cs="Times New Roman"/>
          <w:color w:val="auto"/>
          <w:sz w:val="24"/>
          <w:szCs w:val="24"/>
          <w:lang w:val="en-AU"/>
        </w:rPr>
      </w:pPr>
      <w:r w:rsidRPr="7BB11D42">
        <w:rPr>
          <w:rFonts w:ascii="Times New Roman" w:hAnsi="Times New Roman" w:cs="Times New Roman"/>
          <w:color w:val="auto"/>
          <w:sz w:val="24"/>
          <w:szCs w:val="24"/>
          <w:lang w:val="en-AU"/>
        </w:rPr>
        <w:t>During</w:t>
      </w:r>
      <w:r w:rsidR="0057007D" w:rsidRPr="7BB11D42">
        <w:rPr>
          <w:rFonts w:ascii="Times New Roman" w:hAnsi="Times New Roman" w:cs="Times New Roman"/>
          <w:color w:val="auto"/>
          <w:sz w:val="24"/>
          <w:szCs w:val="24"/>
          <w:lang w:val="en-AU"/>
        </w:rPr>
        <w:t xml:space="preserve"> both the original TPP negotiations and TPP-11 negotiations</w:t>
      </w:r>
      <w:r w:rsidRPr="7BB11D42">
        <w:rPr>
          <w:rFonts w:ascii="Times New Roman" w:hAnsi="Times New Roman" w:cs="Times New Roman"/>
          <w:color w:val="auto"/>
          <w:sz w:val="24"/>
          <w:szCs w:val="24"/>
          <w:lang w:val="en-AU"/>
        </w:rPr>
        <w:t xml:space="preserve">, State and Territory Governments raised issues of interest to industries residing in their respective states, their regulatory responsibilities and the administrative implications of </w:t>
      </w:r>
      <w:r w:rsidR="009E4DAD" w:rsidRPr="7BB11D42">
        <w:rPr>
          <w:rFonts w:ascii="Times New Roman" w:hAnsi="Times New Roman" w:cs="Times New Roman"/>
          <w:color w:val="auto"/>
          <w:sz w:val="24"/>
          <w:szCs w:val="24"/>
          <w:lang w:val="en-AU"/>
        </w:rPr>
        <w:t xml:space="preserve">the </w:t>
      </w:r>
      <w:r w:rsidR="0057007D" w:rsidRPr="7BB11D42">
        <w:rPr>
          <w:rFonts w:ascii="Times New Roman" w:hAnsi="Times New Roman" w:cs="Times New Roman"/>
          <w:color w:val="auto"/>
          <w:sz w:val="24"/>
          <w:szCs w:val="24"/>
          <w:lang w:val="en-AU"/>
        </w:rPr>
        <w:t>TPP</w:t>
      </w:r>
      <w:r w:rsidR="00385A35" w:rsidRPr="7BB11D42">
        <w:rPr>
          <w:rFonts w:ascii="Times New Roman" w:hAnsi="Times New Roman" w:cs="Times New Roman"/>
          <w:color w:val="auto"/>
          <w:sz w:val="24"/>
          <w:szCs w:val="24"/>
          <w:lang w:val="en-AU"/>
        </w:rPr>
        <w:t xml:space="preserve"> and TPP-11</w:t>
      </w:r>
      <w:r w:rsidRPr="7BB11D42">
        <w:rPr>
          <w:rFonts w:ascii="Times New Roman" w:hAnsi="Times New Roman" w:cs="Times New Roman"/>
          <w:color w:val="auto"/>
          <w:sz w:val="24"/>
          <w:szCs w:val="24"/>
          <w:lang w:val="en-AU"/>
        </w:rPr>
        <w:t>.</w:t>
      </w:r>
      <w:r w:rsidR="0057007D" w:rsidRPr="7BB11D42">
        <w:rPr>
          <w:rFonts w:ascii="Times New Roman" w:hAnsi="Times New Roman" w:cs="Times New Roman"/>
          <w:color w:val="auto"/>
          <w:sz w:val="24"/>
          <w:szCs w:val="24"/>
          <w:lang w:val="en-AU"/>
        </w:rPr>
        <w:t xml:space="preserve"> </w:t>
      </w:r>
      <w:r w:rsidRPr="7BB11D42">
        <w:rPr>
          <w:rFonts w:ascii="Times New Roman" w:hAnsi="Times New Roman" w:cs="Times New Roman"/>
          <w:color w:val="auto"/>
          <w:sz w:val="24"/>
          <w:szCs w:val="24"/>
          <w:lang w:val="en-AU"/>
        </w:rPr>
        <w:t xml:space="preserve"> </w:t>
      </w:r>
      <w:r w:rsidR="0085547B" w:rsidRPr="7BB11D42">
        <w:rPr>
          <w:rFonts w:ascii="Times New Roman" w:hAnsi="Times New Roman" w:cs="Times New Roman"/>
          <w:color w:val="auto"/>
          <w:sz w:val="24"/>
          <w:szCs w:val="24"/>
          <w:lang w:val="en-AU"/>
        </w:rPr>
        <w:t xml:space="preserve"> </w:t>
      </w:r>
      <w:r w:rsidRPr="7BB11D42">
        <w:rPr>
          <w:rFonts w:ascii="Times New Roman" w:hAnsi="Times New Roman" w:cs="Times New Roman"/>
          <w:color w:val="auto"/>
          <w:sz w:val="24"/>
          <w:szCs w:val="24"/>
          <w:lang w:val="en-AU"/>
        </w:rPr>
        <w:t xml:space="preserve">There are no additional impacts on State and Territory Governments beyond those discussed in other sections of this </w:t>
      </w:r>
      <w:r w:rsidR="00B65E49" w:rsidRPr="7BB11D42">
        <w:rPr>
          <w:rFonts w:ascii="Times New Roman" w:hAnsi="Times New Roman" w:cs="Times New Roman"/>
          <w:color w:val="auto"/>
          <w:sz w:val="24"/>
          <w:szCs w:val="24"/>
          <w:lang w:val="en-AU"/>
        </w:rPr>
        <w:t>analysis</w:t>
      </w:r>
      <w:r w:rsidRPr="7BB11D42">
        <w:rPr>
          <w:rFonts w:ascii="Times New Roman" w:hAnsi="Times New Roman" w:cs="Times New Roman"/>
          <w:color w:val="auto"/>
          <w:sz w:val="24"/>
          <w:szCs w:val="24"/>
          <w:lang w:val="en-AU"/>
        </w:rPr>
        <w:t>.</w:t>
      </w:r>
    </w:p>
    <w:p w14:paraId="74038048" w14:textId="77777777" w:rsidR="00280702" w:rsidRPr="00DC5278" w:rsidRDefault="00280702" w:rsidP="005264E7">
      <w:pPr>
        <w:pStyle w:val="BodyA"/>
        <w:keepNext/>
        <w:suppressAutoHyphens/>
        <w:rPr>
          <w:rFonts w:ascii="Times New Roman" w:hAnsi="Times New Roman" w:cs="Times New Roman"/>
          <w:color w:val="auto"/>
          <w:sz w:val="24"/>
          <w:szCs w:val="24"/>
          <w:lang w:val="en-AU"/>
        </w:rPr>
      </w:pPr>
    </w:p>
    <w:p w14:paraId="74038049" w14:textId="77777777" w:rsidR="005B6B31" w:rsidRPr="00DC5278" w:rsidRDefault="005B6B31" w:rsidP="0085547B">
      <w:pPr>
        <w:suppressAutoHyphens/>
        <w:spacing w:after="120"/>
        <w:rPr>
          <w:rFonts w:eastAsia="Times New Roman"/>
          <w:b/>
          <w:bCs/>
          <w:i/>
          <w:iCs/>
        </w:rPr>
      </w:pPr>
      <w:r w:rsidRPr="00DC5278">
        <w:rPr>
          <w:b/>
          <w:bCs/>
          <w:i/>
          <w:iCs/>
        </w:rPr>
        <w:t>Australian trade regulations</w:t>
      </w:r>
    </w:p>
    <w:p w14:paraId="7403804A" w14:textId="5CDD787B" w:rsidR="00501F58" w:rsidRPr="00DC5278" w:rsidRDefault="005B6B31" w:rsidP="00BD58FB">
      <w:pPr>
        <w:pStyle w:val="BodyA"/>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maintains the integrity of our system of trade remedies and is consistent with our WTO rights and obligations.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provides for a transitional safeguard mechanism, which allows a </w:t>
      </w:r>
      <w:r w:rsidR="00240F08">
        <w:rPr>
          <w:rFonts w:ascii="Times New Roman" w:hAnsi="Times New Roman" w:cs="Times New Roman"/>
          <w:color w:val="auto"/>
          <w:sz w:val="24"/>
          <w:szCs w:val="24"/>
          <w:lang w:val="en-AU"/>
        </w:rPr>
        <w:t>TPP-11</w:t>
      </w:r>
      <w:r w:rsidR="009E4DAD" w:rsidRPr="00DC5278">
        <w:rPr>
          <w:rFonts w:ascii="Times New Roman" w:hAnsi="Times New Roman" w:cs="Times New Roman"/>
          <w:color w:val="auto"/>
          <w:sz w:val="24"/>
          <w:szCs w:val="24"/>
          <w:lang w:val="en-AU"/>
        </w:rPr>
        <w:t xml:space="preserve"> p</w:t>
      </w:r>
      <w:r w:rsidRPr="00DC5278">
        <w:rPr>
          <w:rFonts w:ascii="Times New Roman" w:hAnsi="Times New Roman" w:cs="Times New Roman"/>
          <w:color w:val="auto"/>
          <w:sz w:val="24"/>
          <w:szCs w:val="24"/>
          <w:lang w:val="en-AU"/>
        </w:rPr>
        <w:t xml:space="preserve">arty to apply a transitional safeguard measure during a certain </w:t>
      </w:r>
      <w:proofErr w:type="gramStart"/>
      <w:r w:rsidRPr="00DC5278">
        <w:rPr>
          <w:rFonts w:ascii="Times New Roman" w:hAnsi="Times New Roman" w:cs="Times New Roman"/>
          <w:color w:val="auto"/>
          <w:sz w:val="24"/>
          <w:szCs w:val="24"/>
          <w:lang w:val="en-AU"/>
        </w:rPr>
        <w:t>period of time</w:t>
      </w:r>
      <w:proofErr w:type="gramEnd"/>
      <w:r w:rsidRPr="00DC5278">
        <w:rPr>
          <w:rFonts w:ascii="Times New Roman" w:hAnsi="Times New Roman" w:cs="Times New Roman"/>
          <w:color w:val="auto"/>
          <w:sz w:val="24"/>
          <w:szCs w:val="24"/>
          <w:lang w:val="en-AU"/>
        </w:rPr>
        <w:t xml:space="preserve"> if import increases </w:t>
      </w:r>
      <w:proofErr w:type="gramStart"/>
      <w:r w:rsidRPr="00DC5278">
        <w:rPr>
          <w:rFonts w:ascii="Times New Roman" w:hAnsi="Times New Roman" w:cs="Times New Roman"/>
          <w:color w:val="auto"/>
          <w:sz w:val="24"/>
          <w:szCs w:val="24"/>
          <w:lang w:val="en-AU"/>
        </w:rPr>
        <w:t>as a result of</w:t>
      </w:r>
      <w:proofErr w:type="gramEnd"/>
      <w:r w:rsidRPr="00DC5278">
        <w:rPr>
          <w:rFonts w:ascii="Times New Roman" w:hAnsi="Times New Roman" w:cs="Times New Roman"/>
          <w:color w:val="auto"/>
          <w:sz w:val="24"/>
          <w:szCs w:val="24"/>
          <w:lang w:val="en-AU"/>
        </w:rPr>
        <w:t xml:space="preserve"> the tariff cuts implemented under the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cause serious injury to a domestic industry. </w:t>
      </w:r>
    </w:p>
    <w:p w14:paraId="7403804B" w14:textId="77777777" w:rsidR="0075238C" w:rsidRPr="00DC5278" w:rsidRDefault="0075238C" w:rsidP="0085547B">
      <w:pPr>
        <w:pStyle w:val="BodyA"/>
        <w:suppressAutoHyphens/>
        <w:ind w:left="660"/>
        <w:rPr>
          <w:rFonts w:ascii="Times New Roman" w:eastAsia="Times New Roman" w:hAnsi="Times New Roman" w:cs="Times New Roman"/>
          <w:color w:val="auto"/>
          <w:sz w:val="24"/>
          <w:szCs w:val="24"/>
          <w:lang w:val="en-AU"/>
        </w:rPr>
      </w:pPr>
    </w:p>
    <w:p w14:paraId="7403804C" w14:textId="10162A6C" w:rsidR="00501F58" w:rsidRPr="00DC5278" w:rsidRDefault="005B6B31" w:rsidP="00BD58FB">
      <w:pPr>
        <w:pStyle w:val="BodyA"/>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Technical Barriers to Trade (TBT) and Sanitary and Phytosanitary Measures (SPS) chapters reaffirm </w:t>
      </w:r>
      <w:r w:rsidR="009E4DAD"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w:t>
      </w:r>
      <w:r w:rsidR="0085547B" w:rsidRPr="00DC5278">
        <w:rPr>
          <w:rFonts w:ascii="Times New Roman" w:hAnsi="Times New Roman" w:cs="Times New Roman"/>
          <w:color w:val="auto"/>
          <w:sz w:val="24"/>
          <w:szCs w:val="24"/>
          <w:lang w:val="en-AU"/>
        </w:rPr>
        <w:t>P</w:t>
      </w:r>
      <w:r w:rsidR="009E4DAD" w:rsidRPr="00DC5278">
        <w:rPr>
          <w:rFonts w:ascii="Times New Roman" w:hAnsi="Times New Roman" w:cs="Times New Roman"/>
          <w:color w:val="auto"/>
          <w:sz w:val="24"/>
          <w:szCs w:val="24"/>
          <w:lang w:val="en-AU"/>
        </w:rPr>
        <w:t>artie</w:t>
      </w:r>
      <w:r w:rsidRPr="00DC5278">
        <w:rPr>
          <w:rFonts w:ascii="Times New Roman" w:hAnsi="Times New Roman" w:cs="Times New Roman"/>
          <w:color w:val="auto"/>
          <w:sz w:val="24"/>
          <w:szCs w:val="24"/>
          <w:lang w:val="en-AU"/>
        </w:rPr>
        <w:t>s’ commitments to relevant WTO agreements and improve consultation arrangements.</w:t>
      </w:r>
    </w:p>
    <w:p w14:paraId="7403804D" w14:textId="77777777" w:rsidR="00501F58" w:rsidRPr="00DC5278" w:rsidRDefault="00501F58" w:rsidP="0085547B">
      <w:pPr>
        <w:pStyle w:val="ListParagraph"/>
        <w:suppressAutoHyphens/>
        <w:rPr>
          <w:rFonts w:ascii="Times New Roman" w:hAnsi="Times New Roman" w:cs="Times New Roman"/>
          <w:color w:val="auto"/>
          <w:sz w:val="24"/>
          <w:szCs w:val="24"/>
          <w:lang w:val="en-AU"/>
        </w:rPr>
      </w:pPr>
    </w:p>
    <w:p w14:paraId="7403804E" w14:textId="3511ACDA" w:rsidR="00501F58" w:rsidRPr="00DC5278" w:rsidRDefault="005B6B31" w:rsidP="00BD58FB">
      <w:pPr>
        <w:pStyle w:val="BodyA"/>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also includes TBT annexes related to regulation of specific sectors to promote common regulatory approaches across the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region. </w:t>
      </w:r>
      <w:r w:rsidR="0085547B" w:rsidRPr="00DC5278">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These sectors are cosmetics, medical devices, pharmaceuticals, information and communications technology products, wine and distilled spirits, proprietary </w:t>
      </w:r>
      <w:r w:rsidRPr="00DC5278">
        <w:rPr>
          <w:rFonts w:ascii="Times New Roman" w:hAnsi="Times New Roman" w:cs="Times New Roman"/>
          <w:color w:val="auto"/>
          <w:sz w:val="24"/>
          <w:szCs w:val="24"/>
          <w:lang w:val="en-AU"/>
        </w:rPr>
        <w:lastRenderedPageBreak/>
        <w:t xml:space="preserve">formulas for prepackaged foods and food additives, and organic agricultural products. </w:t>
      </w:r>
    </w:p>
    <w:p w14:paraId="7403804F" w14:textId="77777777" w:rsidR="00501F58" w:rsidRPr="00DC5278" w:rsidRDefault="00501F58" w:rsidP="0085547B">
      <w:pPr>
        <w:pStyle w:val="ListParagraph"/>
        <w:suppressAutoHyphens/>
        <w:rPr>
          <w:rFonts w:ascii="Times New Roman" w:hAnsi="Times New Roman" w:cs="Times New Roman"/>
          <w:color w:val="auto"/>
          <w:sz w:val="24"/>
          <w:szCs w:val="24"/>
          <w:lang w:val="en-AU"/>
        </w:rPr>
      </w:pPr>
    </w:p>
    <w:p w14:paraId="74038050" w14:textId="28E923CD" w:rsidR="00501F58" w:rsidRPr="00DC5278" w:rsidRDefault="005B6B31" w:rsidP="00BD58FB">
      <w:pPr>
        <w:pStyle w:val="BodyA"/>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In addition, </w:t>
      </w:r>
      <w:proofErr w:type="gramStart"/>
      <w:r w:rsidRPr="00DC5278">
        <w:rPr>
          <w:rFonts w:ascii="Times New Roman" w:hAnsi="Times New Roman" w:cs="Times New Roman"/>
          <w:color w:val="auto"/>
          <w:sz w:val="24"/>
          <w:szCs w:val="24"/>
          <w:lang w:val="en-AU"/>
        </w:rPr>
        <w:t>in an effort to</w:t>
      </w:r>
      <w:proofErr w:type="gramEnd"/>
      <w:r w:rsidRPr="00DC5278">
        <w:rPr>
          <w:rFonts w:ascii="Times New Roman" w:hAnsi="Times New Roman" w:cs="Times New Roman"/>
          <w:color w:val="auto"/>
          <w:sz w:val="24"/>
          <w:szCs w:val="24"/>
          <w:lang w:val="en-AU"/>
        </w:rPr>
        <w:t xml:space="preserve"> rapidly resolve SPS matters that emerge between </w:t>
      </w:r>
      <w:r w:rsidR="009E4DAD"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parties, the</w:t>
      </w:r>
      <w:r w:rsidR="0075238C" w:rsidRPr="00DC5278">
        <w:rPr>
          <w:rFonts w:ascii="Times New Roman" w:hAnsi="Times New Roman" w:cs="Times New Roman"/>
          <w:color w:val="auto"/>
          <w:sz w:val="24"/>
          <w:szCs w:val="24"/>
          <w:lang w:val="en-AU"/>
        </w:rPr>
        <w:t xml:space="preserv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establish</w:t>
      </w:r>
      <w:r w:rsidR="0075238C" w:rsidRPr="00DC5278">
        <w:rPr>
          <w:rFonts w:ascii="Times New Roman" w:hAnsi="Times New Roman" w:cs="Times New Roman"/>
          <w:color w:val="auto"/>
          <w:sz w:val="24"/>
          <w:szCs w:val="24"/>
          <w:lang w:val="en-AU"/>
        </w:rPr>
        <w:t>es</w:t>
      </w:r>
      <w:r w:rsidRPr="00DC5278">
        <w:rPr>
          <w:rFonts w:ascii="Times New Roman" w:hAnsi="Times New Roman" w:cs="Times New Roman"/>
          <w:color w:val="auto"/>
          <w:sz w:val="24"/>
          <w:szCs w:val="24"/>
          <w:lang w:val="en-AU"/>
        </w:rPr>
        <w:t xml:space="preserve"> a mechanism for consultations between governments.</w:t>
      </w:r>
    </w:p>
    <w:p w14:paraId="74038051" w14:textId="77777777" w:rsidR="00501F58" w:rsidRPr="00DC5278" w:rsidRDefault="00501F58" w:rsidP="0085547B">
      <w:pPr>
        <w:pStyle w:val="ListParagraph"/>
        <w:suppressAutoHyphens/>
        <w:rPr>
          <w:rFonts w:ascii="Times New Roman" w:hAnsi="Times New Roman" w:cs="Times New Roman"/>
          <w:color w:val="auto"/>
          <w:sz w:val="24"/>
          <w:szCs w:val="24"/>
          <w:lang w:val="en-AU"/>
        </w:rPr>
      </w:pPr>
    </w:p>
    <w:p w14:paraId="74038052" w14:textId="27E6190A" w:rsidR="005B6B31" w:rsidRPr="00DC5278" w:rsidRDefault="009E4DAD" w:rsidP="00BD58FB">
      <w:pPr>
        <w:pStyle w:val="BodyA"/>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005B6B31" w:rsidRPr="00DC5278">
        <w:rPr>
          <w:rFonts w:ascii="Times New Roman" w:hAnsi="Times New Roman" w:cs="Times New Roman"/>
          <w:color w:val="auto"/>
          <w:sz w:val="24"/>
          <w:szCs w:val="24"/>
          <w:lang w:val="en-AU"/>
        </w:rPr>
        <w:t xml:space="preserve"> does not </w:t>
      </w:r>
      <w:r w:rsidR="0075238C" w:rsidRPr="00DC5278">
        <w:rPr>
          <w:rFonts w:ascii="Times New Roman" w:hAnsi="Times New Roman" w:cs="Times New Roman"/>
          <w:color w:val="auto"/>
          <w:sz w:val="24"/>
          <w:szCs w:val="24"/>
          <w:lang w:val="en-AU"/>
        </w:rPr>
        <w:t xml:space="preserve">require </w:t>
      </w:r>
      <w:r w:rsidR="005B6B31" w:rsidRPr="00DC5278">
        <w:rPr>
          <w:rFonts w:ascii="Times New Roman" w:hAnsi="Times New Roman" w:cs="Times New Roman"/>
          <w:color w:val="auto"/>
          <w:sz w:val="24"/>
          <w:szCs w:val="24"/>
          <w:lang w:val="en-AU"/>
        </w:rPr>
        <w:t>change</w:t>
      </w:r>
      <w:r w:rsidR="0075238C" w:rsidRPr="00DC5278">
        <w:rPr>
          <w:rFonts w:ascii="Times New Roman" w:hAnsi="Times New Roman" w:cs="Times New Roman"/>
          <w:color w:val="auto"/>
          <w:sz w:val="24"/>
          <w:szCs w:val="24"/>
          <w:lang w:val="en-AU"/>
        </w:rPr>
        <w:t>s to</w:t>
      </w:r>
      <w:r w:rsidR="005B6B31" w:rsidRPr="00DC5278">
        <w:rPr>
          <w:rFonts w:ascii="Times New Roman" w:hAnsi="Times New Roman" w:cs="Times New Roman"/>
          <w:color w:val="auto"/>
          <w:sz w:val="24"/>
          <w:szCs w:val="24"/>
          <w:lang w:val="en-AU"/>
        </w:rPr>
        <w:t xml:space="preserve"> Australia’s </w:t>
      </w:r>
      <w:r w:rsidR="0075238C" w:rsidRPr="00DC5278">
        <w:rPr>
          <w:rFonts w:ascii="Times New Roman" w:hAnsi="Times New Roman" w:cs="Times New Roman"/>
          <w:color w:val="auto"/>
          <w:sz w:val="24"/>
          <w:szCs w:val="24"/>
          <w:lang w:val="en-AU"/>
        </w:rPr>
        <w:t xml:space="preserve">biosecurity </w:t>
      </w:r>
      <w:r w:rsidR="005B6B31" w:rsidRPr="00DC5278">
        <w:rPr>
          <w:rFonts w:ascii="Times New Roman" w:hAnsi="Times New Roman" w:cs="Times New Roman"/>
          <w:color w:val="auto"/>
          <w:sz w:val="24"/>
          <w:szCs w:val="24"/>
          <w:lang w:val="en-AU"/>
        </w:rPr>
        <w:t>system.</w:t>
      </w:r>
      <w:r w:rsidR="001D19F0" w:rsidRPr="00DC5278">
        <w:rPr>
          <w:rFonts w:ascii="Times New Roman" w:hAnsi="Times New Roman" w:cs="Times New Roman"/>
          <w:color w:val="auto"/>
          <w:sz w:val="24"/>
          <w:szCs w:val="24"/>
          <w:lang w:val="en-AU"/>
        </w:rPr>
        <w:t xml:space="preserve">  Import risk assessments are carved out of </w:t>
      </w:r>
      <w:r w:rsidR="00240F08">
        <w:rPr>
          <w:rFonts w:ascii="Times New Roman" w:hAnsi="Times New Roman" w:cs="Times New Roman"/>
          <w:color w:val="auto"/>
          <w:sz w:val="24"/>
          <w:szCs w:val="24"/>
          <w:lang w:val="en-AU"/>
        </w:rPr>
        <w:t>TPP-11</w:t>
      </w:r>
      <w:r w:rsidR="001D19F0" w:rsidRPr="00DC5278">
        <w:rPr>
          <w:rFonts w:ascii="Times New Roman" w:hAnsi="Times New Roman" w:cs="Times New Roman"/>
          <w:color w:val="auto"/>
          <w:sz w:val="24"/>
          <w:szCs w:val="24"/>
          <w:lang w:val="en-AU"/>
        </w:rPr>
        <w:t>’s dispute settlement mechanism.</w:t>
      </w:r>
    </w:p>
    <w:p w14:paraId="74038053" w14:textId="77777777" w:rsidR="005B6B31" w:rsidRPr="00DC5278" w:rsidRDefault="005B6B31" w:rsidP="0085547B">
      <w:pPr>
        <w:pStyle w:val="ListParagraph"/>
        <w:suppressAutoHyphens/>
        <w:rPr>
          <w:rFonts w:ascii="Times New Roman" w:hAnsi="Times New Roman" w:cs="Times New Roman"/>
          <w:color w:val="auto"/>
          <w:sz w:val="24"/>
          <w:szCs w:val="24"/>
          <w:lang w:val="en-AU"/>
        </w:rPr>
      </w:pPr>
    </w:p>
    <w:p w14:paraId="74038054" w14:textId="77777777" w:rsidR="005B6B31" w:rsidRPr="00DC5278" w:rsidRDefault="005B6B31" w:rsidP="0085547B">
      <w:pPr>
        <w:suppressAutoHyphens/>
        <w:spacing w:after="120"/>
        <w:rPr>
          <w:rFonts w:eastAsia="Times New Roman"/>
        </w:rPr>
      </w:pPr>
      <w:r w:rsidRPr="00DC5278">
        <w:rPr>
          <w:b/>
          <w:bCs/>
          <w:i/>
          <w:iCs/>
        </w:rPr>
        <w:t>Dispute Settlement</w:t>
      </w:r>
    </w:p>
    <w:p w14:paraId="74038055" w14:textId="42C9F122" w:rsidR="00426123" w:rsidRPr="00F06209" w:rsidRDefault="009E4DAD" w:rsidP="00BD58FB">
      <w:pPr>
        <w:pStyle w:val="BodyA"/>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005B6B31" w:rsidRPr="00DC5278">
        <w:rPr>
          <w:rFonts w:ascii="Times New Roman" w:hAnsi="Times New Roman" w:cs="Times New Roman"/>
          <w:color w:val="auto"/>
          <w:sz w:val="24"/>
          <w:szCs w:val="24"/>
          <w:lang w:val="en-AU"/>
        </w:rPr>
        <w:t xml:space="preserve"> includes a binding State-to-State dispute settlement mechanism modelled on previous free trade agreements and the WTO system. </w:t>
      </w:r>
      <w:r w:rsidR="0085547B" w:rsidRPr="00DC5278">
        <w:rPr>
          <w:rFonts w:ascii="Times New Roman" w:hAnsi="Times New Roman" w:cs="Times New Roman"/>
          <w:color w:val="auto"/>
          <w:sz w:val="24"/>
          <w:szCs w:val="24"/>
          <w:lang w:val="en-AU"/>
        </w:rPr>
        <w:t xml:space="preserve"> </w:t>
      </w:r>
      <w:r w:rsidR="005B6B31" w:rsidRPr="00DC5278">
        <w:rPr>
          <w:rFonts w:ascii="Times New Roman" w:hAnsi="Times New Roman" w:cs="Times New Roman"/>
          <w:color w:val="auto"/>
          <w:sz w:val="24"/>
          <w:szCs w:val="24"/>
          <w:lang w:val="en-AU"/>
        </w:rPr>
        <w:t xml:space="preserve">Most of Australia’s obligations in </w:t>
      </w:r>
      <w:r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005B6B31" w:rsidRPr="00DC5278">
        <w:rPr>
          <w:rFonts w:ascii="Times New Roman" w:hAnsi="Times New Roman" w:cs="Times New Roman"/>
          <w:color w:val="auto"/>
          <w:sz w:val="24"/>
          <w:szCs w:val="24"/>
          <w:lang w:val="en-AU"/>
        </w:rPr>
        <w:t xml:space="preserve"> will be subject to this mechanism, except those found in the chapters concerning</w:t>
      </w:r>
      <w:r w:rsidR="00046ADD" w:rsidRPr="00DC5278">
        <w:rPr>
          <w:rFonts w:ascii="Times New Roman" w:hAnsi="Times New Roman" w:cs="Times New Roman"/>
          <w:color w:val="auto"/>
          <w:sz w:val="24"/>
          <w:szCs w:val="24"/>
          <w:lang w:val="en-AU"/>
        </w:rPr>
        <w:t xml:space="preserve"> Competition Policy, Cooperation and Capacity Building, Competitiveness and Business Facilitation, Development, Small and Medium-Sized Enterprises</w:t>
      </w:r>
      <w:r w:rsidR="00587258" w:rsidRPr="00DC5278">
        <w:rPr>
          <w:rFonts w:ascii="Times New Roman" w:hAnsi="Times New Roman" w:cs="Times New Roman"/>
          <w:color w:val="auto"/>
          <w:sz w:val="24"/>
          <w:szCs w:val="24"/>
          <w:lang w:val="en-AU"/>
        </w:rPr>
        <w:t xml:space="preserve"> and </w:t>
      </w:r>
      <w:r w:rsidR="00046ADD" w:rsidRPr="00DC5278">
        <w:rPr>
          <w:rFonts w:ascii="Times New Roman" w:hAnsi="Times New Roman" w:cs="Times New Roman"/>
          <w:color w:val="auto"/>
          <w:sz w:val="24"/>
          <w:szCs w:val="24"/>
          <w:lang w:val="en-AU"/>
        </w:rPr>
        <w:t>Regulatory Coherence</w:t>
      </w:r>
      <w:r w:rsidR="00587258" w:rsidRPr="00DC5278">
        <w:rPr>
          <w:rFonts w:ascii="Times New Roman" w:hAnsi="Times New Roman" w:cs="Times New Roman"/>
          <w:color w:val="auto"/>
          <w:sz w:val="24"/>
          <w:szCs w:val="24"/>
          <w:lang w:val="en-AU"/>
        </w:rPr>
        <w:t xml:space="preserve">, and the Annex on </w:t>
      </w:r>
      <w:r w:rsidR="00587258" w:rsidRPr="00DC5278">
        <w:rPr>
          <w:rFonts w:ascii="Times New Roman" w:hAnsi="Times New Roman" w:cs="Times New Roman"/>
          <w:sz w:val="24"/>
          <w:szCs w:val="24"/>
        </w:rPr>
        <w:t>Transparency and Procedural Fairness for Pharmaceutical Products and Medical Devices</w:t>
      </w:r>
      <w:r w:rsidR="005B6B31" w:rsidRPr="00DC5278">
        <w:rPr>
          <w:rFonts w:ascii="Times New Roman" w:hAnsi="Times New Roman" w:cs="Times New Roman"/>
          <w:color w:val="auto"/>
          <w:sz w:val="24"/>
          <w:szCs w:val="24"/>
          <w:lang w:val="en-AU"/>
        </w:rPr>
        <w:t>.</w:t>
      </w:r>
    </w:p>
    <w:p w14:paraId="58347141" w14:textId="1CE06F8F" w:rsidR="00F06209" w:rsidRDefault="00F06209" w:rsidP="00F06209">
      <w:pPr>
        <w:pStyle w:val="BodyA"/>
        <w:suppressAutoHyphens/>
        <w:rPr>
          <w:rFonts w:ascii="Times New Roman" w:hAnsi="Times New Roman" w:cs="Times New Roman"/>
          <w:color w:val="auto"/>
          <w:sz w:val="24"/>
          <w:szCs w:val="24"/>
          <w:lang w:val="en-AU"/>
        </w:rPr>
      </w:pPr>
    </w:p>
    <w:p w14:paraId="6924740C" w14:textId="39BF6260" w:rsidR="00F06209" w:rsidRDefault="00F06209" w:rsidP="00F06209">
      <w:pPr>
        <w:suppressAutoHyphens/>
        <w:spacing w:after="120"/>
        <w:rPr>
          <w:b/>
          <w:bCs/>
          <w:i/>
          <w:iCs/>
        </w:rPr>
      </w:pPr>
      <w:r>
        <w:rPr>
          <w:b/>
          <w:bCs/>
          <w:i/>
          <w:iCs/>
        </w:rPr>
        <w:t>Suspension of TPP provisions</w:t>
      </w:r>
      <w:r w:rsidR="00A610F3">
        <w:rPr>
          <w:b/>
          <w:bCs/>
          <w:i/>
          <w:iCs/>
        </w:rPr>
        <w:t xml:space="preserve"> in TPP-11</w:t>
      </w:r>
    </w:p>
    <w:p w14:paraId="78E78C29" w14:textId="47F3B695" w:rsidR="009300DE" w:rsidRPr="009300DE" w:rsidRDefault="00F06209" w:rsidP="009300DE">
      <w:pPr>
        <w:pStyle w:val="BodyA"/>
        <w:numPr>
          <w:ilvl w:val="0"/>
          <w:numId w:val="83"/>
        </w:numPr>
        <w:suppressAutoHyphens/>
        <w:rPr>
          <w:rFonts w:ascii="Times New Roman" w:eastAsia="Times New Roman" w:hAnsi="Times New Roman" w:cs="Times New Roman"/>
          <w:color w:val="auto"/>
          <w:sz w:val="24"/>
          <w:szCs w:val="24"/>
          <w:lang w:val="en-AU"/>
        </w:rPr>
      </w:pPr>
      <w:r>
        <w:rPr>
          <w:rFonts w:ascii="Times New Roman" w:hAnsi="Times New Roman" w:cs="Times New Roman"/>
          <w:color w:val="auto"/>
          <w:sz w:val="24"/>
          <w:szCs w:val="24"/>
          <w:lang w:val="en-AU"/>
        </w:rPr>
        <w:t xml:space="preserve">The TPP-11 is a treaty that incorporates </w:t>
      </w:r>
      <w:r w:rsidRPr="00F06209">
        <w:rPr>
          <w:rFonts w:ascii="Times New Roman" w:hAnsi="Times New Roman" w:cs="Times New Roman"/>
          <w:color w:val="auto"/>
          <w:sz w:val="24"/>
          <w:szCs w:val="24"/>
          <w:lang w:val="en-AU"/>
        </w:rPr>
        <w:t xml:space="preserve">provisions of the original </w:t>
      </w:r>
      <w:r>
        <w:rPr>
          <w:rFonts w:ascii="Times New Roman" w:hAnsi="Times New Roman" w:cs="Times New Roman"/>
          <w:color w:val="auto"/>
          <w:sz w:val="24"/>
          <w:szCs w:val="24"/>
          <w:lang w:val="en-AU"/>
        </w:rPr>
        <w:t>TPP</w:t>
      </w:r>
      <w:r w:rsidRPr="00F06209">
        <w:rPr>
          <w:rFonts w:ascii="Times New Roman" w:hAnsi="Times New Roman" w:cs="Times New Roman"/>
          <w:color w:val="auto"/>
          <w:sz w:val="24"/>
          <w:szCs w:val="24"/>
          <w:lang w:val="en-AU"/>
        </w:rPr>
        <w:t>, except for a limited number which TPP-11 countries agreed by consensus to suspend.  These provi</w:t>
      </w:r>
      <w:r w:rsidR="008D4C03">
        <w:rPr>
          <w:rFonts w:ascii="Times New Roman" w:hAnsi="Times New Roman" w:cs="Times New Roman"/>
          <w:color w:val="auto"/>
          <w:sz w:val="24"/>
          <w:szCs w:val="24"/>
          <w:lang w:val="en-AU"/>
        </w:rPr>
        <w:t>sions remain part of the TPP-11</w:t>
      </w:r>
      <w:r w:rsidRPr="00F06209">
        <w:rPr>
          <w:rFonts w:ascii="Times New Roman" w:hAnsi="Times New Roman" w:cs="Times New Roman"/>
          <w:color w:val="auto"/>
          <w:sz w:val="24"/>
          <w:szCs w:val="24"/>
          <w:lang w:val="en-AU"/>
        </w:rPr>
        <w:t>, but they will have no application under international law.</w:t>
      </w:r>
      <w:r w:rsidR="009300DE">
        <w:rPr>
          <w:rFonts w:ascii="Times New Roman" w:hAnsi="Times New Roman" w:cs="Times New Roman"/>
          <w:color w:val="auto"/>
          <w:sz w:val="24"/>
          <w:szCs w:val="24"/>
          <w:lang w:val="en-AU"/>
        </w:rPr>
        <w:t xml:space="preserve"> The provisions will remain suspended until the TPP-11 countries decide otherwise by consensus.</w:t>
      </w:r>
    </w:p>
    <w:p w14:paraId="0543D93B" w14:textId="77777777" w:rsidR="009300DE" w:rsidRPr="009300DE" w:rsidRDefault="009300DE" w:rsidP="009300DE">
      <w:pPr>
        <w:pStyle w:val="BodyA"/>
        <w:suppressAutoHyphens/>
        <w:rPr>
          <w:rFonts w:ascii="Times New Roman" w:eastAsia="Times New Roman" w:hAnsi="Times New Roman" w:cs="Times New Roman"/>
          <w:color w:val="auto"/>
          <w:sz w:val="24"/>
          <w:szCs w:val="24"/>
          <w:lang w:val="en-AU"/>
        </w:rPr>
      </w:pPr>
    </w:p>
    <w:p w14:paraId="76B2950D" w14:textId="7AAC8B96" w:rsidR="00E76D09" w:rsidRDefault="009300DE" w:rsidP="00E76D09">
      <w:pPr>
        <w:pStyle w:val="ListParagraph"/>
        <w:numPr>
          <w:ilvl w:val="0"/>
          <w:numId w:val="83"/>
        </w:numPr>
        <w:suppressAutoHyphens/>
        <w:rPr>
          <w:rFonts w:ascii="Times New Roman" w:hAnsi="Times New Roman" w:cs="Times New Roman"/>
          <w:sz w:val="24"/>
          <w:szCs w:val="24"/>
        </w:rPr>
      </w:pPr>
      <w:r>
        <w:rPr>
          <w:rFonts w:ascii="Times New Roman" w:hAnsi="Times New Roman" w:cs="Times New Roman"/>
          <w:sz w:val="24"/>
          <w:szCs w:val="24"/>
        </w:rPr>
        <w:t>The table below sets out the effects of the suspended provisions.</w:t>
      </w:r>
    </w:p>
    <w:p w14:paraId="16DCF22B" w14:textId="56015D70" w:rsidR="00E76D09" w:rsidRDefault="00E76D09" w:rsidP="00E76D09">
      <w:pPr>
        <w:suppressAutoHyphens/>
        <w:rPr>
          <w:rFonts w:eastAsia="Calibri"/>
          <w:color w:val="000000"/>
          <w:u w:color="000000"/>
          <w:lang w:val="en-US" w:eastAsia="ja-JP"/>
        </w:rPr>
      </w:pPr>
    </w:p>
    <w:tbl>
      <w:tblPr>
        <w:tblStyle w:val="TableGrid"/>
        <w:tblW w:w="8296" w:type="dxa"/>
        <w:tblLook w:val="04A0" w:firstRow="1" w:lastRow="0" w:firstColumn="1" w:lastColumn="0" w:noHBand="0" w:noVBand="1"/>
      </w:tblPr>
      <w:tblGrid>
        <w:gridCol w:w="2765"/>
        <w:gridCol w:w="2765"/>
        <w:gridCol w:w="2766"/>
      </w:tblGrid>
      <w:tr w:rsidR="00E76D09" w14:paraId="408DD6CF" w14:textId="77777777" w:rsidTr="00E76D09">
        <w:trPr>
          <w:tblHeader/>
        </w:trPr>
        <w:tc>
          <w:tcPr>
            <w:tcW w:w="2765" w:type="dxa"/>
            <w:tcBorders>
              <w:bottom w:val="nil"/>
            </w:tcBorders>
            <w:shd w:val="clear" w:color="auto" w:fill="BFBFBF" w:themeFill="background1" w:themeFillShade="BF"/>
          </w:tcPr>
          <w:p w14:paraId="3928BC98" w14:textId="128B0894"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Pr>
                <w:b/>
                <w:bCs/>
                <w:u w:color="414042"/>
              </w:rPr>
              <w:t>Chapter</w:t>
            </w:r>
            <w:r>
              <w:rPr>
                <w:b/>
                <w:bCs/>
                <w:u w:color="414042"/>
              </w:rPr>
              <w:br/>
            </w:r>
            <w:r>
              <w:rPr>
                <w:b/>
                <w:bCs/>
                <w:i/>
                <w:u w:color="414042"/>
              </w:rPr>
              <w:t>(number)</w:t>
            </w:r>
          </w:p>
        </w:tc>
        <w:tc>
          <w:tcPr>
            <w:tcW w:w="2765" w:type="dxa"/>
            <w:tcBorders>
              <w:bottom w:val="nil"/>
            </w:tcBorders>
            <w:shd w:val="clear" w:color="auto" w:fill="BFBFBF" w:themeFill="background1" w:themeFillShade="BF"/>
          </w:tcPr>
          <w:p w14:paraId="6AD7F539" w14:textId="7AD4CEA2"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Pr>
                <w:b/>
                <w:bCs/>
                <w:u w:color="414042"/>
              </w:rPr>
              <w:t>Suspended Provision</w:t>
            </w:r>
          </w:p>
        </w:tc>
        <w:tc>
          <w:tcPr>
            <w:tcW w:w="2766" w:type="dxa"/>
            <w:tcBorders>
              <w:bottom w:val="nil"/>
            </w:tcBorders>
            <w:shd w:val="clear" w:color="auto" w:fill="BFBFBF" w:themeFill="background1" w:themeFillShade="BF"/>
          </w:tcPr>
          <w:p w14:paraId="79E77C05" w14:textId="510817E2"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Pr>
                <w:b/>
                <w:bCs/>
                <w:u w:color="414042"/>
              </w:rPr>
              <w:t>Effect of the suspension</w:t>
            </w:r>
          </w:p>
        </w:tc>
      </w:tr>
      <w:tr w:rsidR="00E76D09" w14:paraId="1A13571F" w14:textId="77777777" w:rsidTr="00E76D09">
        <w:tc>
          <w:tcPr>
            <w:tcW w:w="2765" w:type="dxa"/>
            <w:tcBorders>
              <w:top w:val="nil"/>
            </w:tcBorders>
          </w:tcPr>
          <w:p w14:paraId="1C769AF1" w14:textId="3E891CD5"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rPr>
              <w:t xml:space="preserve">Customs Administration and Trade Facilitation </w:t>
            </w:r>
            <w:r w:rsidRPr="009300DE">
              <w:rPr>
                <w:b/>
              </w:rPr>
              <w:br/>
            </w:r>
            <w:r w:rsidRPr="009300DE">
              <w:rPr>
                <w:b/>
                <w:i/>
              </w:rPr>
              <w:t>(5)</w:t>
            </w:r>
          </w:p>
        </w:tc>
        <w:tc>
          <w:tcPr>
            <w:tcW w:w="2765" w:type="dxa"/>
            <w:tcBorders>
              <w:top w:val="nil"/>
            </w:tcBorders>
          </w:tcPr>
          <w:p w14:paraId="2D23E827"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 xml:space="preserve">Article 5.7.1(f): Express Shipments </w:t>
            </w:r>
          </w:p>
          <w:p w14:paraId="0D22DDEE" w14:textId="558DF2AA"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Suspend second sentence</w:t>
            </w:r>
            <w:r w:rsidRPr="009300DE">
              <w:rPr>
                <w:rFonts w:eastAsia="Microsoft Sans Serif"/>
                <w:i/>
                <w:w w:val="105"/>
              </w:rPr>
              <w:t xml:space="preserve"> </w:t>
            </w:r>
          </w:p>
        </w:tc>
        <w:tc>
          <w:tcPr>
            <w:tcW w:w="2766" w:type="dxa"/>
            <w:tcBorders>
              <w:top w:val="nil"/>
            </w:tcBorders>
          </w:tcPr>
          <w:p w14:paraId="41A33D13" w14:textId="1AEFA072" w:rsidR="00E76D09" w:rsidRPr="007641B9" w:rsidRDefault="00E76D09" w:rsidP="00E76D09">
            <w:pPr>
              <w:pStyle w:val="TableParagraph"/>
              <w:tabs>
                <w:tab w:val="left" w:pos="331"/>
              </w:tabs>
              <w:spacing w:before="113" w:line="254" w:lineRule="auto"/>
              <w:ind w:right="639"/>
              <w:rPr>
                <w:rFonts w:ascii="Times New Roman" w:hAnsi="Times New Roman" w:cs="Times New Roman"/>
                <w:w w:val="105"/>
                <w:sz w:val="24"/>
                <w:szCs w:val="24"/>
              </w:rPr>
            </w:pPr>
            <w:r w:rsidRPr="007641B9">
              <w:rPr>
                <w:rFonts w:ascii="Times New Roman" w:hAnsi="Times New Roman" w:cs="Times New Roman"/>
                <w:w w:val="105"/>
                <w:sz w:val="24"/>
                <w:szCs w:val="24"/>
              </w:rPr>
              <w:t xml:space="preserve">Each TPP-11 Party has agreed not to assess customs duties on express shipments valued at or below a fixed amount as set under </w:t>
            </w:r>
            <w:proofErr w:type="gramStart"/>
            <w:r w:rsidRPr="007641B9">
              <w:rPr>
                <w:rFonts w:ascii="Times New Roman" w:hAnsi="Times New Roman" w:cs="Times New Roman"/>
                <w:w w:val="105"/>
                <w:sz w:val="24"/>
                <w:szCs w:val="24"/>
              </w:rPr>
              <w:t>its domestic</w:t>
            </w:r>
            <w:proofErr w:type="gramEnd"/>
            <w:r w:rsidRPr="007641B9">
              <w:rPr>
                <w:rFonts w:ascii="Times New Roman" w:hAnsi="Times New Roman" w:cs="Times New Roman"/>
                <w:w w:val="105"/>
                <w:sz w:val="24"/>
                <w:szCs w:val="24"/>
              </w:rPr>
              <w:t xml:space="preserve"> law.  That amount is cu</w:t>
            </w:r>
            <w:r w:rsidR="00770CB1">
              <w:rPr>
                <w:rFonts w:ascii="Times New Roman" w:hAnsi="Times New Roman" w:cs="Times New Roman"/>
                <w:w w:val="105"/>
                <w:sz w:val="24"/>
                <w:szCs w:val="24"/>
              </w:rPr>
              <w:t>r</w:t>
            </w:r>
            <w:r w:rsidRPr="007641B9">
              <w:rPr>
                <w:rFonts w:ascii="Times New Roman" w:hAnsi="Times New Roman" w:cs="Times New Roman"/>
                <w:w w:val="105"/>
                <w:sz w:val="24"/>
                <w:szCs w:val="24"/>
              </w:rPr>
              <w:t>rently set at $1,000 under Australian law.</w:t>
            </w:r>
          </w:p>
          <w:p w14:paraId="0DA8A6CA" w14:textId="4F2D9A48"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7641B9">
              <w:rPr>
                <w:w w:val="105"/>
              </w:rPr>
              <w:t xml:space="preserve">There will no longer be an obligation for Parties to review the threshold </w:t>
            </w:r>
            <w:r w:rsidRPr="007641B9">
              <w:rPr>
                <w:w w:val="105"/>
              </w:rPr>
              <w:lastRenderedPageBreak/>
              <w:t>below which no duties on express shipments are charged.</w:t>
            </w:r>
          </w:p>
        </w:tc>
      </w:tr>
      <w:tr w:rsidR="00E76D09" w14:paraId="336FFB1F" w14:textId="77777777" w:rsidTr="00E76D09">
        <w:tc>
          <w:tcPr>
            <w:tcW w:w="2765" w:type="dxa"/>
          </w:tcPr>
          <w:p w14:paraId="7301FB87" w14:textId="30CB6034"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rPr>
              <w:lastRenderedPageBreak/>
              <w:t xml:space="preserve">Investment </w:t>
            </w:r>
            <w:r w:rsidRPr="009300DE">
              <w:rPr>
                <w:b/>
              </w:rPr>
              <w:br/>
            </w:r>
            <w:r w:rsidRPr="009300DE">
              <w:rPr>
                <w:b/>
                <w:i/>
              </w:rPr>
              <w:t>(9)</w:t>
            </w:r>
          </w:p>
        </w:tc>
        <w:tc>
          <w:tcPr>
            <w:tcW w:w="2765" w:type="dxa"/>
          </w:tcPr>
          <w:p w14:paraId="053665CA" w14:textId="77777777" w:rsidR="00E76D09" w:rsidRPr="009300DE" w:rsidRDefault="00E76D09" w:rsidP="00E76D09">
            <w:pPr>
              <w:pStyle w:val="TableParagraph"/>
              <w:numPr>
                <w:ilvl w:val="0"/>
                <w:numId w:val="88"/>
              </w:numPr>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9.1 Definitions</w:t>
            </w:r>
          </w:p>
          <w:p w14:paraId="12EBA105" w14:textId="77777777" w:rsidR="00E76D09" w:rsidRPr="009300DE" w:rsidRDefault="00E76D09" w:rsidP="00E76D09">
            <w:pPr>
              <w:pStyle w:val="TableParagraph"/>
              <w:tabs>
                <w:tab w:val="left" w:pos="331"/>
              </w:tabs>
              <w:spacing w:before="113" w:line="254" w:lineRule="auto"/>
              <w:ind w:left="331" w:right="391"/>
              <w:rPr>
                <w:rFonts w:ascii="Times New Roman" w:eastAsia="Microsoft Sans Serif" w:hAnsi="Times New Roman" w:cs="Times New Roman"/>
                <w:i/>
                <w:sz w:val="24"/>
                <w:szCs w:val="24"/>
              </w:rPr>
            </w:pPr>
            <w:r w:rsidRPr="009300DE">
              <w:rPr>
                <w:rFonts w:ascii="Times New Roman" w:eastAsia="Microsoft Sans Serif" w:hAnsi="Times New Roman" w:cs="Times New Roman"/>
                <w:i/>
                <w:sz w:val="24"/>
                <w:szCs w:val="24"/>
              </w:rPr>
              <w:t xml:space="preserve">Suspend “investment agreement” and “investment </w:t>
            </w:r>
            <w:proofErr w:type="spellStart"/>
            <w:r w:rsidRPr="009300DE">
              <w:rPr>
                <w:rFonts w:ascii="Times New Roman" w:eastAsia="Microsoft Sans Serif" w:hAnsi="Times New Roman" w:cs="Times New Roman"/>
                <w:i/>
                <w:sz w:val="24"/>
                <w:szCs w:val="24"/>
              </w:rPr>
              <w:t>authorisation</w:t>
            </w:r>
            <w:proofErr w:type="spellEnd"/>
            <w:r w:rsidRPr="009300DE">
              <w:rPr>
                <w:rFonts w:ascii="Times New Roman" w:eastAsia="Microsoft Sans Serif" w:hAnsi="Times New Roman" w:cs="Times New Roman"/>
                <w:i/>
                <w:sz w:val="24"/>
                <w:szCs w:val="24"/>
              </w:rPr>
              <w:t>” and associated Footnotes (5 - 11)</w:t>
            </w:r>
          </w:p>
          <w:p w14:paraId="748CFDDA" w14:textId="77777777" w:rsidR="00E76D09" w:rsidRPr="009300DE" w:rsidRDefault="00E76D09" w:rsidP="00E76D09">
            <w:pPr>
              <w:pStyle w:val="TableParagraph"/>
              <w:numPr>
                <w:ilvl w:val="0"/>
                <w:numId w:val="88"/>
              </w:numPr>
              <w:tabs>
                <w:tab w:val="left" w:pos="331"/>
              </w:tabs>
              <w:spacing w:before="113" w:line="254" w:lineRule="auto"/>
              <w:ind w:right="391"/>
              <w:rPr>
                <w:rFonts w:ascii="Times New Roman" w:eastAsia="Microsoft Sans Serif" w:hAnsi="Times New Roman" w:cs="Times New Roman"/>
                <w:i/>
                <w:sz w:val="24"/>
                <w:szCs w:val="24"/>
              </w:rPr>
            </w:pPr>
            <w:r w:rsidRPr="009300DE">
              <w:rPr>
                <w:rFonts w:ascii="Times New Roman" w:eastAsia="Microsoft Sans Serif" w:hAnsi="Times New Roman" w:cs="Times New Roman"/>
                <w:sz w:val="24"/>
                <w:szCs w:val="24"/>
              </w:rPr>
              <w:t xml:space="preserve">9.19.1 Submission of Claim to Arbitration </w:t>
            </w:r>
          </w:p>
          <w:p w14:paraId="5FF38782" w14:textId="77777777" w:rsidR="00E76D09" w:rsidRPr="009300DE" w:rsidRDefault="00E76D09" w:rsidP="00E76D09">
            <w:pPr>
              <w:pStyle w:val="TableParagraph"/>
              <w:tabs>
                <w:tab w:val="left" w:pos="331"/>
              </w:tabs>
              <w:spacing w:before="113" w:line="254" w:lineRule="auto"/>
              <w:ind w:left="331" w:right="391"/>
              <w:rPr>
                <w:rFonts w:ascii="Times New Roman" w:eastAsia="Microsoft Sans Serif" w:hAnsi="Times New Roman" w:cs="Times New Roman"/>
                <w:i/>
                <w:sz w:val="24"/>
                <w:szCs w:val="24"/>
              </w:rPr>
            </w:pPr>
            <w:r w:rsidRPr="009300DE">
              <w:rPr>
                <w:rFonts w:ascii="Times New Roman" w:eastAsia="Microsoft Sans Serif" w:hAnsi="Times New Roman" w:cs="Times New Roman"/>
                <w:i/>
                <w:sz w:val="24"/>
                <w:szCs w:val="24"/>
              </w:rPr>
              <w:t>a(</w:t>
            </w:r>
            <w:proofErr w:type="spellStart"/>
            <w:r w:rsidRPr="009300DE">
              <w:rPr>
                <w:rFonts w:ascii="Times New Roman" w:eastAsia="Microsoft Sans Serif" w:hAnsi="Times New Roman" w:cs="Times New Roman"/>
                <w:i/>
                <w:sz w:val="24"/>
                <w:szCs w:val="24"/>
              </w:rPr>
              <w:t>i</w:t>
            </w:r>
            <w:proofErr w:type="spellEnd"/>
            <w:r w:rsidRPr="009300DE">
              <w:rPr>
                <w:rFonts w:ascii="Times New Roman" w:eastAsia="Microsoft Sans Serif" w:hAnsi="Times New Roman" w:cs="Times New Roman"/>
                <w:i/>
                <w:sz w:val="24"/>
                <w:szCs w:val="24"/>
              </w:rPr>
              <w:t>) B and C; (b)(</w:t>
            </w:r>
            <w:proofErr w:type="spellStart"/>
            <w:r w:rsidRPr="009300DE">
              <w:rPr>
                <w:rFonts w:ascii="Times New Roman" w:eastAsia="Microsoft Sans Serif" w:hAnsi="Times New Roman" w:cs="Times New Roman"/>
                <w:i/>
                <w:sz w:val="24"/>
                <w:szCs w:val="24"/>
              </w:rPr>
              <w:t>i</w:t>
            </w:r>
            <w:proofErr w:type="spellEnd"/>
            <w:r w:rsidRPr="009300DE">
              <w:rPr>
                <w:rFonts w:ascii="Times New Roman" w:eastAsia="Microsoft Sans Serif" w:hAnsi="Times New Roman" w:cs="Times New Roman"/>
                <w:i/>
                <w:sz w:val="24"/>
                <w:szCs w:val="24"/>
              </w:rPr>
              <w:t xml:space="preserve">) B and C (investment </w:t>
            </w:r>
            <w:proofErr w:type="spellStart"/>
            <w:r w:rsidRPr="009300DE">
              <w:rPr>
                <w:rFonts w:ascii="Times New Roman" w:eastAsia="Microsoft Sans Serif" w:hAnsi="Times New Roman" w:cs="Times New Roman"/>
                <w:i/>
                <w:sz w:val="24"/>
                <w:szCs w:val="24"/>
              </w:rPr>
              <w:t>authorisation</w:t>
            </w:r>
            <w:proofErr w:type="spellEnd"/>
            <w:r w:rsidRPr="009300DE">
              <w:rPr>
                <w:rFonts w:ascii="Times New Roman" w:eastAsia="Microsoft Sans Serif" w:hAnsi="Times New Roman" w:cs="Times New Roman"/>
                <w:i/>
                <w:sz w:val="24"/>
                <w:szCs w:val="24"/>
              </w:rPr>
              <w:t xml:space="preserve"> or investment agreement), </w:t>
            </w:r>
            <w:proofErr w:type="spellStart"/>
            <w:r w:rsidRPr="009300DE">
              <w:rPr>
                <w:rFonts w:ascii="Times New Roman" w:eastAsia="Microsoft Sans Serif" w:hAnsi="Times New Roman" w:cs="Times New Roman"/>
                <w:i/>
                <w:sz w:val="24"/>
                <w:szCs w:val="24"/>
              </w:rPr>
              <w:t>chausette</w:t>
            </w:r>
            <w:proofErr w:type="spellEnd"/>
            <w:r w:rsidRPr="009300DE">
              <w:rPr>
                <w:rFonts w:ascii="Times New Roman" w:eastAsia="Microsoft Sans Serif" w:hAnsi="Times New Roman" w:cs="Times New Roman"/>
                <w:i/>
                <w:sz w:val="24"/>
                <w:szCs w:val="24"/>
              </w:rPr>
              <w:t>, footnote 3</w:t>
            </w:r>
          </w:p>
          <w:p w14:paraId="1CA2750C" w14:textId="77777777" w:rsidR="00E76D09" w:rsidRPr="009300DE" w:rsidRDefault="00E76D09" w:rsidP="00E76D09">
            <w:pPr>
              <w:pStyle w:val="TableParagraph"/>
              <w:numPr>
                <w:ilvl w:val="0"/>
                <w:numId w:val="88"/>
              </w:numPr>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9.19.2 Submission of Claim to Arbitration</w:t>
            </w:r>
          </w:p>
          <w:p w14:paraId="1F7119A4" w14:textId="77777777" w:rsidR="00E76D09" w:rsidRPr="009300DE" w:rsidRDefault="00E76D09" w:rsidP="00E76D09">
            <w:pPr>
              <w:pStyle w:val="TableParagraph"/>
              <w:tabs>
                <w:tab w:val="left" w:pos="331"/>
              </w:tabs>
              <w:spacing w:before="113" w:line="254" w:lineRule="auto"/>
              <w:ind w:left="330" w:right="391"/>
              <w:rPr>
                <w:rFonts w:ascii="Times New Roman" w:eastAsia="Microsoft Sans Serif" w:hAnsi="Times New Roman" w:cs="Times New Roman"/>
                <w:i/>
                <w:sz w:val="24"/>
                <w:szCs w:val="24"/>
              </w:rPr>
            </w:pPr>
            <w:r w:rsidRPr="009300DE">
              <w:rPr>
                <w:rFonts w:ascii="Times New Roman" w:eastAsia="Microsoft Sans Serif" w:hAnsi="Times New Roman" w:cs="Times New Roman"/>
                <w:i/>
                <w:sz w:val="24"/>
                <w:szCs w:val="24"/>
              </w:rPr>
              <w:t>Footnote 32</w:t>
            </w:r>
          </w:p>
          <w:p w14:paraId="50F1589B" w14:textId="77777777" w:rsidR="00E76D09" w:rsidRPr="009300DE" w:rsidRDefault="00E76D09" w:rsidP="00E76D09">
            <w:pPr>
              <w:pStyle w:val="TableParagraph"/>
              <w:numPr>
                <w:ilvl w:val="0"/>
                <w:numId w:val="88"/>
              </w:numPr>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 xml:space="preserve">9.19.3 Submission of Claim to Arbitration </w:t>
            </w:r>
          </w:p>
          <w:p w14:paraId="55E11CB5" w14:textId="77777777" w:rsidR="00E76D09" w:rsidRPr="009300DE" w:rsidRDefault="00E76D09" w:rsidP="00E76D09">
            <w:pPr>
              <w:pStyle w:val="TableParagraph"/>
              <w:tabs>
                <w:tab w:val="left" w:pos="331"/>
              </w:tabs>
              <w:spacing w:before="113" w:line="254" w:lineRule="auto"/>
              <w:ind w:left="330" w:right="391"/>
              <w:rPr>
                <w:rFonts w:ascii="Times New Roman" w:eastAsia="Microsoft Sans Serif" w:hAnsi="Times New Roman" w:cs="Times New Roman"/>
                <w:i/>
                <w:sz w:val="24"/>
                <w:szCs w:val="24"/>
              </w:rPr>
            </w:pPr>
            <w:r w:rsidRPr="009300DE">
              <w:rPr>
                <w:rFonts w:ascii="Times New Roman" w:eastAsia="Microsoft Sans Serif" w:hAnsi="Times New Roman" w:cs="Times New Roman"/>
                <w:i/>
                <w:sz w:val="24"/>
                <w:szCs w:val="24"/>
              </w:rPr>
              <w:t xml:space="preserve">(b) delete investment </w:t>
            </w:r>
            <w:proofErr w:type="spellStart"/>
            <w:r w:rsidRPr="009300DE">
              <w:rPr>
                <w:rFonts w:ascii="Times New Roman" w:eastAsia="Microsoft Sans Serif" w:hAnsi="Times New Roman" w:cs="Times New Roman"/>
                <w:i/>
                <w:sz w:val="24"/>
                <w:szCs w:val="24"/>
              </w:rPr>
              <w:t>authorisation</w:t>
            </w:r>
            <w:proofErr w:type="spellEnd"/>
            <w:r w:rsidRPr="009300DE">
              <w:rPr>
                <w:rFonts w:ascii="Times New Roman" w:eastAsia="Microsoft Sans Serif" w:hAnsi="Times New Roman" w:cs="Times New Roman"/>
                <w:i/>
                <w:sz w:val="24"/>
                <w:szCs w:val="24"/>
              </w:rPr>
              <w:t xml:space="preserve"> or investment agreement</w:t>
            </w:r>
          </w:p>
          <w:p w14:paraId="381722E5" w14:textId="77777777" w:rsidR="00E76D09" w:rsidRPr="009300DE" w:rsidRDefault="00E76D09" w:rsidP="00E76D09">
            <w:pPr>
              <w:pStyle w:val="TableParagraph"/>
              <w:numPr>
                <w:ilvl w:val="0"/>
                <w:numId w:val="88"/>
              </w:numPr>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9.22.5 Selection of Arbitrators</w:t>
            </w:r>
          </w:p>
          <w:p w14:paraId="6AA28E8B" w14:textId="77777777" w:rsidR="00E76D09" w:rsidRPr="009300DE" w:rsidRDefault="00E76D09" w:rsidP="00E76D09">
            <w:pPr>
              <w:pStyle w:val="TableParagraph"/>
              <w:numPr>
                <w:ilvl w:val="0"/>
                <w:numId w:val="88"/>
              </w:numPr>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9.25.2 Governing Law</w:t>
            </w:r>
          </w:p>
          <w:p w14:paraId="2E1B5DE2" w14:textId="7943652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Annex 9-L Investment Agreements</w:t>
            </w:r>
          </w:p>
        </w:tc>
        <w:tc>
          <w:tcPr>
            <w:tcW w:w="2766" w:type="dxa"/>
          </w:tcPr>
          <w:p w14:paraId="298C7045" w14:textId="77777777" w:rsidR="00E76D09" w:rsidRPr="00605908" w:rsidRDefault="00E76D09" w:rsidP="00E76D09">
            <w:pPr>
              <w:pStyle w:val="TableParagraph"/>
              <w:tabs>
                <w:tab w:val="left" w:pos="331"/>
              </w:tabs>
              <w:spacing w:before="113" w:line="254" w:lineRule="auto"/>
              <w:ind w:right="639"/>
              <w:rPr>
                <w:rFonts w:ascii="Times New Roman" w:eastAsia="Microsoft Sans Serif" w:hAnsi="Times New Roman" w:cs="Times New Roman"/>
                <w:sz w:val="24"/>
                <w:szCs w:val="24"/>
              </w:rPr>
            </w:pPr>
            <w:r w:rsidRPr="00605908">
              <w:rPr>
                <w:rFonts w:ascii="Times New Roman" w:eastAsia="Microsoft Sans Serif" w:hAnsi="Times New Roman" w:cs="Times New Roman"/>
                <w:sz w:val="24"/>
                <w:szCs w:val="24"/>
              </w:rPr>
              <w:t xml:space="preserve">This narrows the scope of Investor-State Dispute Settlement (ISDS).  Foreign investors can no longer make an ISDS claim for violation of private investment contracts with the Government, or investment </w:t>
            </w:r>
            <w:proofErr w:type="spellStart"/>
            <w:r w:rsidRPr="00605908">
              <w:rPr>
                <w:rFonts w:ascii="Times New Roman" w:eastAsia="Microsoft Sans Serif" w:hAnsi="Times New Roman" w:cs="Times New Roman"/>
                <w:sz w:val="24"/>
                <w:szCs w:val="24"/>
              </w:rPr>
              <w:t>authorisations</w:t>
            </w:r>
            <w:proofErr w:type="spellEnd"/>
            <w:r w:rsidRPr="00605908">
              <w:rPr>
                <w:rFonts w:ascii="Times New Roman" w:eastAsia="Microsoft Sans Serif" w:hAnsi="Times New Roman" w:cs="Times New Roman"/>
                <w:sz w:val="24"/>
                <w:szCs w:val="24"/>
              </w:rPr>
              <w:t xml:space="preserve">. </w:t>
            </w:r>
          </w:p>
          <w:p w14:paraId="0BBBDE83" w14:textId="77777777" w:rsidR="00E76D09" w:rsidRPr="00605908" w:rsidRDefault="00E76D09" w:rsidP="00E76D09">
            <w:pPr>
              <w:pStyle w:val="TableParagraph"/>
              <w:tabs>
                <w:tab w:val="left" w:pos="331"/>
              </w:tabs>
              <w:spacing w:before="113" w:line="254" w:lineRule="auto"/>
              <w:ind w:right="639"/>
              <w:rPr>
                <w:rFonts w:ascii="Times New Roman" w:eastAsia="Microsoft Sans Serif" w:hAnsi="Times New Roman" w:cs="Times New Roman"/>
                <w:sz w:val="24"/>
                <w:szCs w:val="24"/>
              </w:rPr>
            </w:pPr>
            <w:r w:rsidRPr="00605908">
              <w:rPr>
                <w:rFonts w:ascii="Times New Roman" w:eastAsia="Microsoft Sans Serif" w:hAnsi="Times New Roman" w:cs="Times New Roman"/>
                <w:sz w:val="24"/>
                <w:szCs w:val="24"/>
              </w:rPr>
              <w:t>Foreign investors can still bring an ISDS claim for a violation of an investment obligation, such as expropriation or the minimum standard of treatment.</w:t>
            </w:r>
          </w:p>
          <w:p w14:paraId="4153FA17" w14:textId="77777777" w:rsidR="00E76D09" w:rsidRPr="00605908" w:rsidRDefault="00E76D09" w:rsidP="00E76D09">
            <w:pPr>
              <w:pStyle w:val="TableParagraph"/>
              <w:tabs>
                <w:tab w:val="left" w:pos="331"/>
              </w:tabs>
              <w:spacing w:before="113" w:line="254" w:lineRule="auto"/>
              <w:ind w:right="639"/>
              <w:rPr>
                <w:rFonts w:ascii="Times New Roman" w:eastAsia="Microsoft Sans Serif" w:hAnsi="Times New Roman" w:cs="Times New Roman"/>
                <w:sz w:val="24"/>
                <w:szCs w:val="24"/>
              </w:rPr>
            </w:pPr>
            <w:r w:rsidRPr="00605908">
              <w:rPr>
                <w:rFonts w:ascii="Times New Roman" w:eastAsia="Microsoft Sans Serif" w:hAnsi="Times New Roman" w:cs="Times New Roman"/>
                <w:sz w:val="24"/>
                <w:szCs w:val="24"/>
              </w:rPr>
              <w:t xml:space="preserve">Expropriation is where a government takes over, or </w:t>
            </w:r>
            <w:proofErr w:type="spellStart"/>
            <w:r w:rsidRPr="00605908">
              <w:rPr>
                <w:rFonts w:ascii="Times New Roman" w:eastAsia="Microsoft Sans Serif" w:hAnsi="Times New Roman" w:cs="Times New Roman"/>
                <w:sz w:val="24"/>
                <w:szCs w:val="24"/>
              </w:rPr>
              <w:t>nationalises</w:t>
            </w:r>
            <w:proofErr w:type="spellEnd"/>
            <w:r w:rsidRPr="00605908">
              <w:rPr>
                <w:rFonts w:ascii="Times New Roman" w:eastAsia="Microsoft Sans Serif" w:hAnsi="Times New Roman" w:cs="Times New Roman"/>
                <w:sz w:val="24"/>
                <w:szCs w:val="24"/>
              </w:rPr>
              <w:t>, an investor’s property.</w:t>
            </w:r>
          </w:p>
          <w:p w14:paraId="6AED7A0B" w14:textId="4DAE2E8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605908">
              <w:rPr>
                <w:rFonts w:eastAsia="Microsoft Sans Serif"/>
              </w:rPr>
              <w:t xml:space="preserve">The minimum standard of treatment means a government </w:t>
            </w:r>
            <w:proofErr w:type="gramStart"/>
            <w:r w:rsidRPr="00605908">
              <w:rPr>
                <w:rFonts w:eastAsia="Microsoft Sans Serif"/>
              </w:rPr>
              <w:t>has to</w:t>
            </w:r>
            <w:proofErr w:type="gramEnd"/>
            <w:r w:rsidRPr="00605908">
              <w:rPr>
                <w:rFonts w:eastAsia="Microsoft Sans Serif"/>
              </w:rPr>
              <w:t xml:space="preserve"> treat a foreign investor fairly, such as giving them due process in a local court.</w:t>
            </w:r>
          </w:p>
        </w:tc>
      </w:tr>
      <w:tr w:rsidR="00E76D09" w14:paraId="1C93E522" w14:textId="77777777" w:rsidTr="00E76D09">
        <w:tc>
          <w:tcPr>
            <w:tcW w:w="2765" w:type="dxa"/>
          </w:tcPr>
          <w:p w14:paraId="6A01A94E" w14:textId="525CF7F1"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rPr>
              <w:t>Cross-Border Trade in Services</w:t>
            </w:r>
            <w:r w:rsidRPr="009300DE">
              <w:rPr>
                <w:b/>
              </w:rPr>
              <w:br/>
            </w:r>
            <w:r w:rsidRPr="009300DE">
              <w:rPr>
                <w:b/>
                <w:i/>
              </w:rPr>
              <w:t>(10)</w:t>
            </w:r>
          </w:p>
        </w:tc>
        <w:tc>
          <w:tcPr>
            <w:tcW w:w="2765" w:type="dxa"/>
          </w:tcPr>
          <w:p w14:paraId="53A0B1CA"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Express Delivery Services – Annex 10-B</w:t>
            </w:r>
          </w:p>
          <w:p w14:paraId="5CC8F564" w14:textId="56D17909"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Suspend paragraph 5 and 6</w:t>
            </w:r>
          </w:p>
        </w:tc>
        <w:tc>
          <w:tcPr>
            <w:tcW w:w="2766" w:type="dxa"/>
          </w:tcPr>
          <w:p w14:paraId="247AF84A" w14:textId="3D1D2244"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605908">
              <w:rPr>
                <w:w w:val="105"/>
              </w:rPr>
              <w:t xml:space="preserve">Parties are no longer obliged to refrain from cross-subsidising express delivery services with revenues derived </w:t>
            </w:r>
            <w:r w:rsidRPr="00605908">
              <w:rPr>
                <w:w w:val="105"/>
              </w:rPr>
              <w:lastRenderedPageBreak/>
              <w:t>from monopoly postal services.  There will no longer be a requirement for each Party to ensure that its postal monopoly refrain from abusing its monopoly position when supplying express delivery services.  This provision would not have required Australia to make any legislative or competition policy changes.</w:t>
            </w:r>
          </w:p>
        </w:tc>
      </w:tr>
      <w:tr w:rsidR="00E76D09" w14:paraId="03E80035" w14:textId="77777777" w:rsidTr="00E76D09">
        <w:tc>
          <w:tcPr>
            <w:tcW w:w="2765" w:type="dxa"/>
          </w:tcPr>
          <w:p w14:paraId="1065193B" w14:textId="77777777" w:rsidR="00E76D09" w:rsidRPr="009300DE" w:rsidRDefault="00E76D09" w:rsidP="00E76D09">
            <w:pPr>
              <w:pStyle w:val="TableParagraph"/>
              <w:spacing w:before="125"/>
              <w:rPr>
                <w:rFonts w:ascii="Times New Roman" w:hAnsi="Times New Roman" w:cs="Times New Roman"/>
                <w:b/>
                <w:sz w:val="24"/>
                <w:szCs w:val="24"/>
              </w:rPr>
            </w:pPr>
            <w:r w:rsidRPr="009300DE">
              <w:rPr>
                <w:rFonts w:ascii="Times New Roman" w:hAnsi="Times New Roman" w:cs="Times New Roman"/>
                <w:b/>
                <w:sz w:val="24"/>
                <w:szCs w:val="24"/>
              </w:rPr>
              <w:lastRenderedPageBreak/>
              <w:t>Financial Services</w:t>
            </w:r>
          </w:p>
          <w:p w14:paraId="70CA104E" w14:textId="118593A0"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i/>
              </w:rPr>
              <w:t>(11)</w:t>
            </w:r>
          </w:p>
        </w:tc>
        <w:tc>
          <w:tcPr>
            <w:tcW w:w="2765" w:type="dxa"/>
          </w:tcPr>
          <w:p w14:paraId="4C7D1486"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Minimum Standard of Treatment in Article 11.2</w:t>
            </w:r>
          </w:p>
          <w:p w14:paraId="12E08111" w14:textId="758949BE"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Suspend sub-paragraph 2(b); footnote 3 and Annex 11-E</w:t>
            </w:r>
          </w:p>
        </w:tc>
        <w:tc>
          <w:tcPr>
            <w:tcW w:w="2766" w:type="dxa"/>
          </w:tcPr>
          <w:p w14:paraId="49C41F0D" w14:textId="2EDF01E6"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Foreign investors in the Australian financial services sector will not be able to bring an ISDS claim against Australia for violating the minimum standard of treatment obligation.</w:t>
            </w:r>
          </w:p>
        </w:tc>
      </w:tr>
      <w:tr w:rsidR="00E76D09" w14:paraId="1A3F7C9E" w14:textId="77777777" w:rsidTr="00E76D09">
        <w:tc>
          <w:tcPr>
            <w:tcW w:w="2765" w:type="dxa"/>
          </w:tcPr>
          <w:p w14:paraId="765C937E" w14:textId="3C58A268"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rPr>
              <w:t>Telecommunications</w:t>
            </w:r>
            <w:r w:rsidRPr="009300DE">
              <w:rPr>
                <w:b/>
              </w:rPr>
              <w:br/>
            </w:r>
            <w:r w:rsidRPr="009300DE">
              <w:rPr>
                <w:b/>
                <w:i/>
              </w:rPr>
              <w:t>(13)</w:t>
            </w:r>
          </w:p>
        </w:tc>
        <w:tc>
          <w:tcPr>
            <w:tcW w:w="2765" w:type="dxa"/>
          </w:tcPr>
          <w:p w14:paraId="58934959" w14:textId="2F5B3F0F"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Resolution of Telecommunications Disputes - Article 13.21.1(d)</w:t>
            </w:r>
          </w:p>
        </w:tc>
        <w:tc>
          <w:tcPr>
            <w:tcW w:w="2766" w:type="dxa"/>
          </w:tcPr>
          <w:p w14:paraId="2571CFD9" w14:textId="5A8EDCAB"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This suspends a process for reconsideration of decisions made by telecommunications regulatory bodies.</w:t>
            </w:r>
          </w:p>
        </w:tc>
      </w:tr>
      <w:tr w:rsidR="00E76D09" w14:paraId="27E061B3" w14:textId="77777777" w:rsidTr="00E76D09">
        <w:tc>
          <w:tcPr>
            <w:tcW w:w="2765" w:type="dxa"/>
          </w:tcPr>
          <w:p w14:paraId="3495BD5D" w14:textId="77777777" w:rsidR="00E76D09" w:rsidRPr="009300DE" w:rsidRDefault="00E76D09" w:rsidP="00E76D09">
            <w:pPr>
              <w:pStyle w:val="TableParagraph"/>
              <w:spacing w:before="125"/>
              <w:rPr>
                <w:rFonts w:ascii="Times New Roman" w:hAnsi="Times New Roman" w:cs="Times New Roman"/>
                <w:b/>
                <w:sz w:val="24"/>
                <w:szCs w:val="24"/>
              </w:rPr>
            </w:pPr>
            <w:r w:rsidRPr="009300DE">
              <w:rPr>
                <w:rFonts w:ascii="Times New Roman" w:hAnsi="Times New Roman" w:cs="Times New Roman"/>
                <w:b/>
                <w:sz w:val="24"/>
                <w:szCs w:val="24"/>
              </w:rPr>
              <w:t>Government Procurement</w:t>
            </w:r>
          </w:p>
          <w:p w14:paraId="79B1C33B" w14:textId="6F8E7B9D"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i/>
              </w:rPr>
              <w:t>(15)</w:t>
            </w:r>
          </w:p>
        </w:tc>
        <w:tc>
          <w:tcPr>
            <w:tcW w:w="2765" w:type="dxa"/>
          </w:tcPr>
          <w:p w14:paraId="48292647"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 xml:space="preserve">Conditions for Participation - Article 15.8.5  </w:t>
            </w:r>
          </w:p>
          <w:p w14:paraId="339BB6E1" w14:textId="6DAE4F8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Suspend commitments relating to labour rights in conditions for participation</w:t>
            </w:r>
          </w:p>
        </w:tc>
        <w:tc>
          <w:tcPr>
            <w:tcW w:w="2766" w:type="dxa"/>
          </w:tcPr>
          <w:p w14:paraId="77C3A6BC" w14:textId="532DD0CC"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 suspended provision clarifies that procuring entities may promote compliance with international labour rights as part of their procurement processes.  Australia’s government procurement processes are not affected.</w:t>
            </w:r>
          </w:p>
        </w:tc>
      </w:tr>
      <w:tr w:rsidR="00E76D09" w14:paraId="78CBC56F" w14:textId="77777777" w:rsidTr="00E76D09">
        <w:tc>
          <w:tcPr>
            <w:tcW w:w="2765" w:type="dxa"/>
          </w:tcPr>
          <w:p w14:paraId="1FB00B89" w14:textId="77777777" w:rsidR="00E76D09" w:rsidRPr="009300DE" w:rsidRDefault="00E76D09" w:rsidP="00E76D09">
            <w:pPr>
              <w:pStyle w:val="TableParagraph"/>
              <w:spacing w:before="125"/>
              <w:rPr>
                <w:rFonts w:ascii="Times New Roman" w:hAnsi="Times New Roman" w:cs="Times New Roman"/>
                <w:b/>
                <w:sz w:val="24"/>
                <w:szCs w:val="24"/>
              </w:rPr>
            </w:pPr>
            <w:r w:rsidRPr="009300DE">
              <w:rPr>
                <w:rFonts w:ascii="Times New Roman" w:hAnsi="Times New Roman" w:cs="Times New Roman"/>
                <w:b/>
                <w:sz w:val="24"/>
                <w:szCs w:val="24"/>
              </w:rPr>
              <w:t>Government Procurement</w:t>
            </w:r>
          </w:p>
          <w:p w14:paraId="3BC69F9B" w14:textId="3FB7500D"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i/>
              </w:rPr>
              <w:t>(15)</w:t>
            </w:r>
          </w:p>
        </w:tc>
        <w:tc>
          <w:tcPr>
            <w:tcW w:w="2765" w:type="dxa"/>
          </w:tcPr>
          <w:p w14:paraId="765A5EA2"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Further Negotiations - Article 15.24</w:t>
            </w:r>
            <w:proofErr w:type="gramStart"/>
            <w:r w:rsidRPr="009300DE">
              <w:rPr>
                <w:rFonts w:ascii="Times New Roman" w:eastAsia="Microsoft Sans Serif" w:hAnsi="Times New Roman" w:cs="Times New Roman"/>
                <w:sz w:val="24"/>
                <w:szCs w:val="24"/>
              </w:rPr>
              <w:t>.2</w:t>
            </w:r>
            <w:proofErr w:type="gramEnd"/>
          </w:p>
          <w:p w14:paraId="4DE5C6E3" w14:textId="03ED68DD"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Suspend “No later than three years after the date of entry into force of this Agreement”</w:t>
            </w:r>
            <w:r w:rsidRPr="009300DE">
              <w:rPr>
                <w:rFonts w:eastAsia="Microsoft Sans Serif"/>
              </w:rPr>
              <w:t xml:space="preserve"> </w:t>
            </w:r>
            <w:r w:rsidRPr="00770CB1">
              <w:rPr>
                <w:sz w:val="18"/>
              </w:rPr>
              <w:footnoteReference w:id="6"/>
            </w:r>
          </w:p>
        </w:tc>
        <w:tc>
          <w:tcPr>
            <w:tcW w:w="2766" w:type="dxa"/>
          </w:tcPr>
          <w:p w14:paraId="030BDA8B" w14:textId="38D038DC"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 xml:space="preserve">TPP-11 countries have agreed to delay the TPP’s in-built agenda to enhance government procurement commitments by two years.  That is, instead of commencing negotiations within three years from </w:t>
            </w:r>
            <w:r>
              <w:lastRenderedPageBreak/>
              <w:t>the entry into force of the Agreement, the Parties will commence negotiations five years after entry into force.</w:t>
            </w:r>
          </w:p>
        </w:tc>
      </w:tr>
      <w:tr w:rsidR="00E76D09" w14:paraId="50D53728" w14:textId="77777777" w:rsidTr="00E76D09">
        <w:tc>
          <w:tcPr>
            <w:tcW w:w="2765" w:type="dxa"/>
          </w:tcPr>
          <w:p w14:paraId="285FB1AA"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lastRenderedPageBreak/>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66EB6193"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7A2F8505"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Article 18.8: National Treatment Footnote 4</w:t>
            </w:r>
          </w:p>
          <w:p w14:paraId="6F0B34A5" w14:textId="0C0F0ED9"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Suspend final two sentences</w:t>
            </w:r>
          </w:p>
        </w:tc>
        <w:tc>
          <w:tcPr>
            <w:tcW w:w="2766" w:type="dxa"/>
          </w:tcPr>
          <w:p w14:paraId="1BEF9288" w14:textId="38B96264"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This suspension relates to technical aspects of non-discriminatory treatment obligations with respect to copyright works, phonograms and performances.  This provision would not have required Australia to make any legislative changes.</w:t>
            </w:r>
          </w:p>
        </w:tc>
      </w:tr>
      <w:tr w:rsidR="00E76D09" w14:paraId="26276BAF" w14:textId="77777777" w:rsidTr="00E76D09">
        <w:tc>
          <w:tcPr>
            <w:tcW w:w="2765" w:type="dxa"/>
          </w:tcPr>
          <w:p w14:paraId="3B005BB6"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518A2185"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17CB369A"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Article 18.37: Patentable Subject Matter</w:t>
            </w:r>
          </w:p>
          <w:p w14:paraId="3B34DACF" w14:textId="69FA717B"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Suspend Paragraph 2 and Paragraph 4, second sentence</w:t>
            </w:r>
          </w:p>
        </w:tc>
        <w:tc>
          <w:tcPr>
            <w:tcW w:w="2766" w:type="dxa"/>
          </w:tcPr>
          <w:p w14:paraId="75BB1BD3" w14:textId="47E07D16"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 xml:space="preserve">There will no longer be a requirement that patents be made available for either new uses of known product, new methods of using a known product or new processes of using a known product.  </w:t>
            </w:r>
            <w:proofErr w:type="gramStart"/>
            <w:r>
              <w:t>Also</w:t>
            </w:r>
            <w:proofErr w:type="gramEnd"/>
            <w:r>
              <w:t xml:space="preserve"> there will no longer be a requirement that patents be available for inventions derived from plants.  These provisions would not have required Australia to make any legislative changes.</w:t>
            </w:r>
          </w:p>
        </w:tc>
      </w:tr>
      <w:tr w:rsidR="00E76D09" w14:paraId="2D904FD2" w14:textId="77777777" w:rsidTr="00E76D09">
        <w:tc>
          <w:tcPr>
            <w:tcW w:w="2765" w:type="dxa"/>
          </w:tcPr>
          <w:p w14:paraId="0A2B8312"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0E04BE70"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670A80D0" w14:textId="4250075B"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Article 18.46: Patent Term Adjustment for Unreasonable Granting Authority Delays</w:t>
            </w:r>
          </w:p>
        </w:tc>
        <w:tc>
          <w:tcPr>
            <w:tcW w:w="2766" w:type="dxa"/>
          </w:tcPr>
          <w:p w14:paraId="18FC9943" w14:textId="13370248"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to adjust, upon request, a patent’s term of protection to compensate the patent owner if there are unreasonable delays in a patent office’s issuance of patents.  This provision would not have required Australia to make any legislative changes.</w:t>
            </w:r>
          </w:p>
        </w:tc>
      </w:tr>
      <w:tr w:rsidR="00E76D09" w14:paraId="422687B4" w14:textId="77777777" w:rsidTr="00E76D09">
        <w:tc>
          <w:tcPr>
            <w:tcW w:w="2765" w:type="dxa"/>
          </w:tcPr>
          <w:p w14:paraId="405F3DED"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7E83BD4F"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20D788AA"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 xml:space="preserve">Article 18:48: Patent Term Adjustment for </w:t>
            </w:r>
            <w:r w:rsidRPr="009300DE">
              <w:rPr>
                <w:rFonts w:ascii="Times New Roman" w:eastAsia="Microsoft Sans Serif" w:hAnsi="Times New Roman" w:cs="Times New Roman"/>
                <w:sz w:val="24"/>
                <w:szCs w:val="24"/>
              </w:rPr>
              <w:lastRenderedPageBreak/>
              <w:t>Unreasonable Curtailment</w:t>
            </w:r>
          </w:p>
          <w:p w14:paraId="1F0289DF"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6" w:type="dxa"/>
          </w:tcPr>
          <w:p w14:paraId="3F6FE164" w14:textId="07A293E3"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lastRenderedPageBreak/>
              <w:t xml:space="preserve">There will no longer be a requirement to adjust a pharmaceutical patent’s term of protection to </w:t>
            </w:r>
            <w:r>
              <w:lastRenderedPageBreak/>
              <w:t xml:space="preserve">compensate the patent owner for unreasonable curtailment of the effective term of a patent </w:t>
            </w:r>
            <w:proofErr w:type="gramStart"/>
            <w:r>
              <w:t>as a result of</w:t>
            </w:r>
            <w:proofErr w:type="gramEnd"/>
            <w:r>
              <w:t xml:space="preserve"> the marketing approval process for a pharmaceutical product.  This provision would not have required Australia to make any legislative changes.</w:t>
            </w:r>
          </w:p>
        </w:tc>
      </w:tr>
      <w:tr w:rsidR="00E76D09" w14:paraId="5742F5DF" w14:textId="77777777" w:rsidTr="00E76D09">
        <w:tc>
          <w:tcPr>
            <w:tcW w:w="2765" w:type="dxa"/>
          </w:tcPr>
          <w:p w14:paraId="7BCCA16F"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lastRenderedPageBreak/>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481406B0"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43516CF3" w14:textId="745A1841"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Article 18.50: Protection of Undisclosed Test or Other Data</w:t>
            </w:r>
          </w:p>
        </w:tc>
        <w:tc>
          <w:tcPr>
            <w:tcW w:w="2766" w:type="dxa"/>
          </w:tcPr>
          <w:p w14:paraId="25CD7D0C" w14:textId="3F617C69"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for five years of protection for test or other data submitted to a regulatory authority for the purposes of obtaining regulatory approval to market a pharmaceutical product.  This provision would not have required Australia to make any legislative changes.</w:t>
            </w:r>
          </w:p>
        </w:tc>
      </w:tr>
      <w:tr w:rsidR="00E76D09" w14:paraId="7A8EEF4B" w14:textId="77777777" w:rsidTr="00E76D09">
        <w:tc>
          <w:tcPr>
            <w:tcW w:w="2765" w:type="dxa"/>
          </w:tcPr>
          <w:p w14:paraId="19EE994B"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5074AE96"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275A81A4" w14:textId="717BA138"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Article 18.51: Biologics</w:t>
            </w:r>
          </w:p>
        </w:tc>
        <w:tc>
          <w:tcPr>
            <w:tcW w:w="2766" w:type="dxa"/>
          </w:tcPr>
          <w:p w14:paraId="562C3F8D" w14:textId="2EE4CC6B"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for five years of protection for test or other data submitted to a regulatory authority for the purposes of obtaining regulatory approval to market a biologic pharmaceutical product, along with other measures.  This provision would not have required Australia to make any legislative changes.</w:t>
            </w:r>
          </w:p>
        </w:tc>
      </w:tr>
      <w:tr w:rsidR="00E76D09" w14:paraId="71CE9459" w14:textId="77777777" w:rsidTr="00E76D09">
        <w:tc>
          <w:tcPr>
            <w:tcW w:w="2765" w:type="dxa"/>
          </w:tcPr>
          <w:p w14:paraId="1A82EE14"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1C345A98"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1F844B0B" w14:textId="2BF43A80"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Article: 18.63: Term of Protection for Copyright and Related Rights)</w:t>
            </w:r>
          </w:p>
        </w:tc>
        <w:tc>
          <w:tcPr>
            <w:tcW w:w="2766" w:type="dxa"/>
          </w:tcPr>
          <w:p w14:paraId="313FA5F6" w14:textId="5375140B"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for a copyright term of protection for the life of the author plus 70 years.  This provision would not have required Australia to make any legislative changes.</w:t>
            </w:r>
          </w:p>
        </w:tc>
      </w:tr>
      <w:tr w:rsidR="00E76D09" w14:paraId="382A1FD0" w14:textId="77777777" w:rsidTr="00E76D09">
        <w:tc>
          <w:tcPr>
            <w:tcW w:w="2765" w:type="dxa"/>
          </w:tcPr>
          <w:p w14:paraId="4D8ED824"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lastRenderedPageBreak/>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7ABE5ABE"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73AC2168" w14:textId="7C06B75D"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Article 18.68: Technological Protection Measures</w:t>
            </w:r>
          </w:p>
        </w:tc>
        <w:tc>
          <w:tcPr>
            <w:tcW w:w="2766" w:type="dxa"/>
          </w:tcPr>
          <w:p w14:paraId="2D8A92AF" w14:textId="28B56645"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for civil remedies and criminal penalties for the circumvention of technologies that control access to protected copyright works.  This provision would not have required Australia to make any legislative changes.</w:t>
            </w:r>
          </w:p>
        </w:tc>
      </w:tr>
      <w:tr w:rsidR="00E76D09" w14:paraId="24ED55E9" w14:textId="77777777" w:rsidTr="00E76D09">
        <w:tc>
          <w:tcPr>
            <w:tcW w:w="2765" w:type="dxa"/>
          </w:tcPr>
          <w:p w14:paraId="522125BB"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t>Intellectual Proper</w:t>
            </w:r>
            <w:r w:rsidRPr="009300DE">
              <w:rPr>
                <w:rFonts w:ascii="Times New Roman" w:hAnsi="Times New Roman" w:cs="Times New Roman"/>
                <w:b/>
                <w:sz w:val="24"/>
                <w:szCs w:val="24"/>
              </w:rPr>
              <w:t>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4DC93F0A"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3C843907" w14:textId="5CB14768"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Article 18.69: Rights Management Information</w:t>
            </w:r>
          </w:p>
        </w:tc>
        <w:tc>
          <w:tcPr>
            <w:tcW w:w="2766" w:type="dxa"/>
          </w:tcPr>
          <w:p w14:paraId="378C8594" w14:textId="180D3DC5"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for civil remedies and criminal penalties for altering or removing information attached to a protected copyright work that identifies the work, author or terms of use of the work.  This provision would not have required Australia to make any legislative changes.</w:t>
            </w:r>
          </w:p>
        </w:tc>
      </w:tr>
      <w:tr w:rsidR="00E76D09" w14:paraId="51E448F8" w14:textId="77777777" w:rsidTr="00E76D09">
        <w:tc>
          <w:tcPr>
            <w:tcW w:w="2765" w:type="dxa"/>
          </w:tcPr>
          <w:p w14:paraId="32E73F31" w14:textId="4F077200"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Pr>
                <w:b/>
              </w:rPr>
              <w:t>Intellectual Proper</w:t>
            </w:r>
            <w:r w:rsidRPr="009300DE">
              <w:rPr>
                <w:b/>
              </w:rPr>
              <w:t>ty</w:t>
            </w:r>
            <w:r>
              <w:rPr>
                <w:b/>
              </w:rPr>
              <w:t xml:space="preserve"> </w:t>
            </w:r>
            <w:r w:rsidRPr="009300DE">
              <w:rPr>
                <w:b/>
                <w:i/>
              </w:rPr>
              <w:t>(18)</w:t>
            </w:r>
          </w:p>
        </w:tc>
        <w:tc>
          <w:tcPr>
            <w:tcW w:w="2765" w:type="dxa"/>
          </w:tcPr>
          <w:p w14:paraId="6C700354" w14:textId="6BAD561F"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Article 18.79: Protection of Encrypted Program-Carrying Satellite and Cable Signals</w:t>
            </w:r>
          </w:p>
        </w:tc>
        <w:tc>
          <w:tcPr>
            <w:tcW w:w="2766" w:type="dxa"/>
          </w:tcPr>
          <w:p w14:paraId="203CA720" w14:textId="73CDC138"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for civil remedies and criminal penalties for decoding encrypted satellite signals without authorisation.  This provision would have required minor regulatory amendments in Australia.</w:t>
            </w:r>
          </w:p>
        </w:tc>
      </w:tr>
      <w:tr w:rsidR="00E76D09" w14:paraId="284D5828" w14:textId="77777777" w:rsidTr="00E76D09">
        <w:tc>
          <w:tcPr>
            <w:tcW w:w="2765" w:type="dxa"/>
          </w:tcPr>
          <w:p w14:paraId="377A7928" w14:textId="77777777" w:rsidR="00E76D09" w:rsidRPr="007B1F8E" w:rsidRDefault="00E76D09" w:rsidP="00E76D09">
            <w:pPr>
              <w:pStyle w:val="TableParagraph"/>
              <w:spacing w:before="125"/>
              <w:rPr>
                <w:rFonts w:ascii="Times New Roman" w:hAnsi="Times New Roman" w:cs="Times New Roman"/>
                <w:b/>
                <w:sz w:val="24"/>
                <w:szCs w:val="24"/>
              </w:rPr>
            </w:pPr>
            <w:r>
              <w:rPr>
                <w:rFonts w:ascii="Times New Roman" w:hAnsi="Times New Roman" w:cs="Times New Roman"/>
                <w:b/>
                <w:sz w:val="24"/>
                <w:szCs w:val="24"/>
              </w:rPr>
              <w:t>Intellectual Propert</w:t>
            </w:r>
            <w:r w:rsidRPr="009300DE">
              <w:rPr>
                <w:rFonts w:ascii="Times New Roman" w:hAnsi="Times New Roman" w:cs="Times New Roman"/>
                <w:b/>
                <w:sz w:val="24"/>
                <w:szCs w:val="24"/>
              </w:rPr>
              <w:t>y</w:t>
            </w:r>
            <w:r>
              <w:rPr>
                <w:rFonts w:ascii="Times New Roman" w:hAnsi="Times New Roman" w:cs="Times New Roman"/>
                <w:b/>
                <w:sz w:val="24"/>
                <w:szCs w:val="24"/>
              </w:rPr>
              <w:t xml:space="preserve"> </w:t>
            </w:r>
            <w:r w:rsidRPr="009300DE">
              <w:rPr>
                <w:rFonts w:ascii="Times New Roman" w:hAnsi="Times New Roman" w:cs="Times New Roman"/>
                <w:b/>
                <w:i/>
                <w:sz w:val="24"/>
                <w:szCs w:val="24"/>
              </w:rPr>
              <w:t>(18)</w:t>
            </w:r>
          </w:p>
          <w:p w14:paraId="02471F2A" w14:textId="7777777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p>
        </w:tc>
        <w:tc>
          <w:tcPr>
            <w:tcW w:w="2765" w:type="dxa"/>
          </w:tcPr>
          <w:p w14:paraId="7D83385D" w14:textId="7086B817"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rPr>
              <w:t>Article 18.82: ISP Liability and Annexes 18-E and 18-F</w:t>
            </w:r>
          </w:p>
        </w:tc>
        <w:tc>
          <w:tcPr>
            <w:tcW w:w="2766" w:type="dxa"/>
          </w:tcPr>
          <w:p w14:paraId="2E164B23" w14:textId="7B512BE9"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for a legal framework for online service providers to cooperate with rights holders in deterring online copyright infringement.  This provision would not have required Australia to make any legislative changes.</w:t>
            </w:r>
          </w:p>
        </w:tc>
      </w:tr>
      <w:tr w:rsidR="00E76D09" w14:paraId="5CE10C1E" w14:textId="77777777" w:rsidTr="00E76D09">
        <w:tc>
          <w:tcPr>
            <w:tcW w:w="2765" w:type="dxa"/>
          </w:tcPr>
          <w:p w14:paraId="740E76AA" w14:textId="77777777" w:rsidR="00E76D09" w:rsidRPr="009300DE" w:rsidRDefault="00E76D09" w:rsidP="00E76D09">
            <w:pPr>
              <w:pStyle w:val="TableParagraph"/>
              <w:spacing w:before="125"/>
              <w:rPr>
                <w:rFonts w:ascii="Times New Roman" w:hAnsi="Times New Roman" w:cs="Times New Roman"/>
                <w:b/>
                <w:sz w:val="24"/>
                <w:szCs w:val="24"/>
              </w:rPr>
            </w:pPr>
            <w:r w:rsidRPr="009300DE">
              <w:rPr>
                <w:rFonts w:ascii="Times New Roman" w:hAnsi="Times New Roman" w:cs="Times New Roman"/>
                <w:b/>
                <w:sz w:val="24"/>
                <w:szCs w:val="24"/>
              </w:rPr>
              <w:lastRenderedPageBreak/>
              <w:t>Environment</w:t>
            </w:r>
          </w:p>
          <w:p w14:paraId="3D0F72ED" w14:textId="69EB3CAF"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i/>
              </w:rPr>
              <w:t>(20)</w:t>
            </w:r>
          </w:p>
        </w:tc>
        <w:tc>
          <w:tcPr>
            <w:tcW w:w="2765" w:type="dxa"/>
          </w:tcPr>
          <w:p w14:paraId="0083F931" w14:textId="77777777" w:rsidR="00E76D09"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5264E7">
              <w:rPr>
                <w:rFonts w:ascii="Times New Roman" w:eastAsia="Microsoft Sans Serif" w:hAnsi="Times New Roman" w:cs="Times New Roman"/>
                <w:sz w:val="24"/>
                <w:szCs w:val="24"/>
              </w:rPr>
              <w:t xml:space="preserve">Conservation </w:t>
            </w:r>
            <w:proofErr w:type="spellStart"/>
            <w:proofErr w:type="gramStart"/>
            <w:r w:rsidRPr="005264E7">
              <w:rPr>
                <w:rFonts w:ascii="Times New Roman" w:eastAsia="Microsoft Sans Serif" w:hAnsi="Times New Roman" w:cs="Times New Roman"/>
                <w:sz w:val="24"/>
                <w:szCs w:val="24"/>
              </w:rPr>
              <w:t>andTrade</w:t>
            </w:r>
            <w:proofErr w:type="spellEnd"/>
            <w:proofErr w:type="gramEnd"/>
            <w:r w:rsidRPr="005264E7">
              <w:rPr>
                <w:rFonts w:ascii="Times New Roman" w:eastAsia="Microsoft Sans Serif" w:hAnsi="Times New Roman" w:cs="Times New Roman"/>
                <w:sz w:val="24"/>
                <w:szCs w:val="24"/>
              </w:rPr>
              <w:t xml:space="preserve"> (measures ‘to combat’ trade) - Article 20.17.5 </w:t>
            </w:r>
          </w:p>
          <w:p w14:paraId="14B8BFD9" w14:textId="61FB8AB1"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5264E7">
              <w:rPr>
                <w:rFonts w:eastAsia="Microsoft Sans Serif"/>
                <w:i/>
              </w:rPr>
              <w:t>Suspend “or another applicable law” and footnote 26</w:t>
            </w:r>
          </w:p>
        </w:tc>
        <w:tc>
          <w:tcPr>
            <w:tcW w:w="2766" w:type="dxa"/>
          </w:tcPr>
          <w:p w14:paraId="0EA4A1D4" w14:textId="0A04837E"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There will no longer be a requirement for TPP-11 countries to take measures to combat trade in wild flora and fauna that were taken or traded in another jurisdiction, in violation of the laws of that jurisdiction.  This provision would not have required Australia to make any legislative changes.</w:t>
            </w:r>
          </w:p>
        </w:tc>
      </w:tr>
      <w:tr w:rsidR="00E76D09" w14:paraId="6A784203" w14:textId="77777777" w:rsidTr="00E76D09">
        <w:tc>
          <w:tcPr>
            <w:tcW w:w="2765" w:type="dxa"/>
          </w:tcPr>
          <w:p w14:paraId="6D33AC65" w14:textId="6A3539E2"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rPr>
              <w:t>Transparency and Anti-corruption</w:t>
            </w:r>
            <w:r>
              <w:rPr>
                <w:b/>
              </w:rPr>
              <w:br/>
            </w:r>
            <w:r w:rsidRPr="009300DE">
              <w:rPr>
                <w:b/>
                <w:i/>
              </w:rPr>
              <w:t>(26)</w:t>
            </w:r>
          </w:p>
        </w:tc>
        <w:tc>
          <w:tcPr>
            <w:tcW w:w="2765" w:type="dxa"/>
          </w:tcPr>
          <w:p w14:paraId="16FA8D63"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Transparency and Procedural Fairness for Pharmaceutical Products and Medical Devices</w:t>
            </w:r>
          </w:p>
          <w:p w14:paraId="72698A10" w14:textId="250ED33A"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Suspend Annex 26A - Article 3 on Procedural Fairness</w:t>
            </w:r>
          </w:p>
        </w:tc>
        <w:tc>
          <w:tcPr>
            <w:tcW w:w="2766" w:type="dxa"/>
          </w:tcPr>
          <w:p w14:paraId="55E26CE4" w14:textId="44CA1DC1"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This suspension concerns processes to ensure the transparency and procedural fairness of systems related to the listing and pricing of pharmaceutical Products and Medical Devices.  This provision would not have required Australia to make any legislative changes.</w:t>
            </w:r>
          </w:p>
        </w:tc>
      </w:tr>
      <w:tr w:rsidR="00E76D09" w14:paraId="680F90A4" w14:textId="77777777" w:rsidTr="00E76D09">
        <w:tc>
          <w:tcPr>
            <w:tcW w:w="2765" w:type="dxa"/>
          </w:tcPr>
          <w:p w14:paraId="66111C74" w14:textId="18E44C1C"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rPr>
              <w:t xml:space="preserve">Annex IV – State-Owned Enterprises and Designated Monopolies </w:t>
            </w:r>
          </w:p>
        </w:tc>
        <w:tc>
          <w:tcPr>
            <w:tcW w:w="2765" w:type="dxa"/>
          </w:tcPr>
          <w:p w14:paraId="09487D3B" w14:textId="77777777" w:rsidR="00E76D09"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Malaysia</w:t>
            </w:r>
          </w:p>
          <w:p w14:paraId="397D740C" w14:textId="3CF8F69B"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Suspension of: “after signature of this Agreement”</w:t>
            </w:r>
          </w:p>
        </w:tc>
        <w:tc>
          <w:tcPr>
            <w:tcW w:w="2766" w:type="dxa"/>
          </w:tcPr>
          <w:p w14:paraId="1CD9BC0A" w14:textId="36197EA9"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t xml:space="preserve">Malaysia is to commence certain commitments </w:t>
            </w:r>
            <w:proofErr w:type="gramStart"/>
            <w:r>
              <w:t>with regard to</w:t>
            </w:r>
            <w:proofErr w:type="gramEnd"/>
            <w:r>
              <w:t xml:space="preserve"> its State-Owned Enterprise, Petronas, from date of entry into force of the TPP-11, rather than from the date of signature.</w:t>
            </w:r>
          </w:p>
        </w:tc>
      </w:tr>
      <w:tr w:rsidR="00E76D09" w14:paraId="79818C57" w14:textId="77777777" w:rsidTr="00E76D09">
        <w:tc>
          <w:tcPr>
            <w:tcW w:w="2765" w:type="dxa"/>
          </w:tcPr>
          <w:p w14:paraId="5FFFC6BD" w14:textId="0B1CF7E2"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b/>
              </w:rPr>
              <w:t xml:space="preserve">Annex II – Investment and Cross-Border Trade in Services </w:t>
            </w:r>
          </w:p>
        </w:tc>
        <w:tc>
          <w:tcPr>
            <w:tcW w:w="2765" w:type="dxa"/>
          </w:tcPr>
          <w:p w14:paraId="715E4E73" w14:textId="77777777" w:rsidR="00E76D09" w:rsidRPr="009300DE" w:rsidRDefault="00E76D09" w:rsidP="00E76D09">
            <w:pPr>
              <w:pStyle w:val="TableParagraph"/>
              <w:tabs>
                <w:tab w:val="left" w:pos="331"/>
              </w:tabs>
              <w:spacing w:before="113" w:line="254" w:lineRule="auto"/>
              <w:ind w:right="391"/>
              <w:rPr>
                <w:rFonts w:ascii="Times New Roman" w:eastAsia="Microsoft Sans Serif" w:hAnsi="Times New Roman" w:cs="Times New Roman"/>
                <w:sz w:val="24"/>
                <w:szCs w:val="24"/>
              </w:rPr>
            </w:pPr>
            <w:r w:rsidRPr="009300DE">
              <w:rPr>
                <w:rFonts w:ascii="Times New Roman" w:eastAsia="Microsoft Sans Serif" w:hAnsi="Times New Roman" w:cs="Times New Roman"/>
                <w:sz w:val="24"/>
                <w:szCs w:val="24"/>
              </w:rPr>
              <w:t xml:space="preserve">Brunei Darussalam – 14 – Coal – paragraph </w:t>
            </w:r>
            <w:r>
              <w:rPr>
                <w:rFonts w:ascii="Times New Roman" w:eastAsia="Microsoft Sans Serif" w:hAnsi="Times New Roman" w:cs="Times New Roman"/>
                <w:sz w:val="24"/>
                <w:szCs w:val="24"/>
              </w:rPr>
              <w:t>3</w:t>
            </w:r>
          </w:p>
          <w:p w14:paraId="72782A62" w14:textId="49F47834"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9300DE">
              <w:rPr>
                <w:rFonts w:eastAsia="Microsoft Sans Serif"/>
                <w:i/>
              </w:rPr>
              <w:t>Suspension of: “after the signature of this Agreement”.</w:t>
            </w:r>
          </w:p>
        </w:tc>
        <w:tc>
          <w:tcPr>
            <w:tcW w:w="2766" w:type="dxa"/>
          </w:tcPr>
          <w:p w14:paraId="06FED6C2" w14:textId="42B4486B" w:rsidR="00E76D09" w:rsidRDefault="00E76D09" w:rsidP="00E76D09">
            <w:pPr>
              <w:pBdr>
                <w:top w:val="none" w:sz="0" w:space="0" w:color="auto"/>
                <w:left w:val="none" w:sz="0" w:space="0" w:color="auto"/>
                <w:bottom w:val="none" w:sz="0" w:space="0" w:color="auto"/>
                <w:right w:val="none" w:sz="0" w:space="0" w:color="auto"/>
                <w:between w:val="none" w:sz="0" w:space="0" w:color="auto"/>
                <w:bar w:val="none" w:sz="0" w:color="auto"/>
              </w:pBdr>
              <w:suppressAutoHyphens/>
            </w:pPr>
            <w:r w:rsidRPr="00605908">
              <w:rPr>
                <w:rFonts w:eastAsia="Microsoft Sans Serif"/>
              </w:rPr>
              <w:t xml:space="preserve">Brunei Darussalam is to commence certain commitments </w:t>
            </w:r>
            <w:proofErr w:type="gramStart"/>
            <w:r w:rsidRPr="00605908">
              <w:rPr>
                <w:rFonts w:eastAsia="Microsoft Sans Serif"/>
              </w:rPr>
              <w:t>with regard to</w:t>
            </w:r>
            <w:proofErr w:type="gramEnd"/>
            <w:r w:rsidRPr="00605908">
              <w:rPr>
                <w:rFonts w:eastAsia="Microsoft Sans Serif"/>
              </w:rPr>
              <w:t xml:space="preserve"> coal from date of entry into force of the TPP-11, rather than from the date of signature.</w:t>
            </w:r>
          </w:p>
        </w:tc>
      </w:tr>
    </w:tbl>
    <w:p w14:paraId="1CE2E168" w14:textId="77777777" w:rsidR="00F978C8" w:rsidRDefault="00F978C8" w:rsidP="0085547B">
      <w:pPr>
        <w:pStyle w:val="Heading"/>
        <w:suppressAutoHyphens/>
        <w:rPr>
          <w:rFonts w:eastAsia="Arial Unicode MS"/>
          <w:color w:val="auto"/>
        </w:rPr>
      </w:pPr>
      <w:bookmarkStart w:id="5" w:name="_Toc508810490"/>
    </w:p>
    <w:p w14:paraId="35C61464" w14:textId="77777777" w:rsidR="00F978C8" w:rsidRDefault="00F978C8">
      <w:pPr>
        <w:rPr>
          <w:b/>
          <w:bCs/>
          <w:u w:color="000000"/>
          <w:lang w:eastAsia="ja-JP"/>
        </w:rPr>
      </w:pPr>
      <w:r>
        <w:br w:type="page"/>
      </w:r>
    </w:p>
    <w:p w14:paraId="74038056" w14:textId="46EE0F19" w:rsidR="00426123" w:rsidRPr="00DC5278" w:rsidRDefault="00DE462F" w:rsidP="0085547B">
      <w:pPr>
        <w:pStyle w:val="Heading"/>
        <w:suppressAutoHyphens/>
        <w:rPr>
          <w:color w:val="auto"/>
        </w:rPr>
      </w:pPr>
      <w:r>
        <w:rPr>
          <w:rFonts w:eastAsia="Arial Unicode MS"/>
          <w:color w:val="auto"/>
        </w:rPr>
        <w:lastRenderedPageBreak/>
        <w:t xml:space="preserve">PART 6: </w:t>
      </w:r>
      <w:r w:rsidR="00426123" w:rsidRPr="00DC5278">
        <w:rPr>
          <w:rFonts w:eastAsia="Arial Unicode MS"/>
          <w:color w:val="auto"/>
        </w:rPr>
        <w:t>TRADE IMPACT ASSESSMENT</w:t>
      </w:r>
      <w:bookmarkEnd w:id="5"/>
      <w:r w:rsidR="00426123" w:rsidRPr="00DC5278">
        <w:rPr>
          <w:rFonts w:eastAsia="Arial Unicode MS"/>
          <w:color w:val="auto"/>
        </w:rPr>
        <w:t xml:space="preserve"> </w:t>
      </w:r>
    </w:p>
    <w:p w14:paraId="74038057" w14:textId="3FF56B86" w:rsidR="00426123" w:rsidRPr="00DC5278" w:rsidRDefault="009B6E1A" w:rsidP="00BD58FB">
      <w:pPr>
        <w:pStyle w:val="BodyA"/>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 xml:space="preserve">The </w:t>
      </w:r>
      <w:r w:rsidR="00240F08">
        <w:rPr>
          <w:rFonts w:ascii="Times New Roman" w:hAnsi="Times New Roman" w:cs="Times New Roman"/>
          <w:color w:val="auto"/>
          <w:sz w:val="24"/>
          <w:szCs w:val="24"/>
          <w:lang w:val="en-AU"/>
        </w:rPr>
        <w:t>TPP-11</w:t>
      </w:r>
      <w:r w:rsidRPr="00DC5278">
        <w:rPr>
          <w:rFonts w:ascii="Times New Roman" w:hAnsi="Times New Roman" w:cs="Times New Roman"/>
          <w:color w:val="auto"/>
          <w:sz w:val="24"/>
          <w:szCs w:val="24"/>
          <w:lang w:val="en-AU"/>
        </w:rPr>
        <w:t xml:space="preserve"> will </w:t>
      </w:r>
      <w:proofErr w:type="gramStart"/>
      <w:r w:rsidRPr="00DC5278">
        <w:rPr>
          <w:rFonts w:ascii="Times New Roman" w:hAnsi="Times New Roman" w:cs="Times New Roman"/>
          <w:color w:val="auto"/>
          <w:sz w:val="24"/>
          <w:szCs w:val="24"/>
          <w:lang w:val="en-AU"/>
        </w:rPr>
        <w:t>open up</w:t>
      </w:r>
      <w:proofErr w:type="gramEnd"/>
      <w:r w:rsidRPr="00DC5278">
        <w:rPr>
          <w:rFonts w:ascii="Times New Roman" w:hAnsi="Times New Roman" w:cs="Times New Roman"/>
          <w:color w:val="auto"/>
          <w:sz w:val="24"/>
          <w:szCs w:val="24"/>
          <w:lang w:val="en-AU"/>
        </w:rPr>
        <w:t xml:space="preserve"> </w:t>
      </w:r>
      <w:r w:rsidR="00587C82">
        <w:rPr>
          <w:rFonts w:ascii="Times New Roman" w:hAnsi="Times New Roman" w:cs="Times New Roman"/>
          <w:color w:val="auto"/>
          <w:sz w:val="24"/>
          <w:szCs w:val="24"/>
          <w:lang w:val="en-AU"/>
        </w:rPr>
        <w:t xml:space="preserve">substantial new </w:t>
      </w:r>
      <w:r w:rsidRPr="00DC5278">
        <w:rPr>
          <w:rFonts w:ascii="Times New Roman" w:hAnsi="Times New Roman" w:cs="Times New Roman"/>
          <w:color w:val="auto"/>
          <w:sz w:val="24"/>
          <w:szCs w:val="24"/>
          <w:lang w:val="en-AU"/>
        </w:rPr>
        <w:t>market opportunities for Australian exporters and investors in the region.</w:t>
      </w:r>
      <w:r w:rsidR="005B6B31" w:rsidRPr="00DC5278">
        <w:rPr>
          <w:rFonts w:ascii="Times New Roman" w:hAnsi="Times New Roman" w:cs="Times New Roman"/>
          <w:color w:val="auto"/>
          <w:sz w:val="24"/>
          <w:szCs w:val="24"/>
          <w:lang w:val="en-AU"/>
        </w:rPr>
        <w:t xml:space="preserve"> </w:t>
      </w:r>
    </w:p>
    <w:p w14:paraId="74038058" w14:textId="77777777" w:rsidR="00426123" w:rsidRPr="00DC5278" w:rsidRDefault="00426123" w:rsidP="0085547B">
      <w:pPr>
        <w:pStyle w:val="BodyA"/>
        <w:suppressAutoHyphens/>
        <w:rPr>
          <w:rFonts w:ascii="Times New Roman" w:eastAsia="Times New Roman" w:hAnsi="Times New Roman" w:cs="Times New Roman"/>
          <w:color w:val="auto"/>
          <w:sz w:val="24"/>
          <w:szCs w:val="24"/>
          <w:lang w:val="en-AU"/>
        </w:rPr>
      </w:pPr>
    </w:p>
    <w:p w14:paraId="74038059" w14:textId="78F7F760" w:rsidR="000740C4" w:rsidRPr="00DC5278" w:rsidRDefault="000740C4" w:rsidP="0085547B">
      <w:pPr>
        <w:suppressAutoHyphens/>
        <w:rPr>
          <w:b/>
          <w:i/>
        </w:rPr>
      </w:pPr>
      <w:r w:rsidRPr="00DC5278">
        <w:rPr>
          <w:b/>
          <w:i/>
        </w:rPr>
        <w:t xml:space="preserve">Impact </w:t>
      </w:r>
      <w:r w:rsidR="001955DF">
        <w:rPr>
          <w:b/>
          <w:i/>
        </w:rPr>
        <w:t>on goods e</w:t>
      </w:r>
      <w:r w:rsidRPr="00DC5278">
        <w:rPr>
          <w:b/>
          <w:i/>
        </w:rPr>
        <w:t>xports</w:t>
      </w:r>
    </w:p>
    <w:p w14:paraId="7403805A" w14:textId="77777777" w:rsidR="000740C4" w:rsidRPr="00DC5278" w:rsidRDefault="000740C4" w:rsidP="0085547B">
      <w:pPr>
        <w:suppressAutoHyphens/>
        <w:rPr>
          <w:b/>
          <w:i/>
        </w:rPr>
      </w:pPr>
    </w:p>
    <w:p w14:paraId="7C0DAA59" w14:textId="1F30DFE5" w:rsidR="00FA7D21" w:rsidRPr="00FA7D21" w:rsidRDefault="000740C4" w:rsidP="00FA7D21">
      <w:pPr>
        <w:pStyle w:val="ListParagraph"/>
        <w:numPr>
          <w:ilvl w:val="0"/>
          <w:numId w:val="83"/>
        </w:numPr>
        <w:suppressAutoHyphens/>
        <w:rPr>
          <w:rFonts w:ascii="Times New Roman" w:hAnsi="Times New Roman" w:cs="Times New Roman"/>
          <w:sz w:val="24"/>
          <w:szCs w:val="24"/>
        </w:rPr>
      </w:pPr>
      <w:r w:rsidRPr="00DC5278">
        <w:rPr>
          <w:rFonts w:ascii="Times New Roman" w:hAnsi="Times New Roman" w:cs="Times New Roman"/>
          <w:sz w:val="24"/>
          <w:szCs w:val="24"/>
        </w:rPr>
        <w:t xml:space="preserve">Australia’s exports to countries in the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represented around $</w:t>
      </w:r>
      <w:r w:rsidR="00FC12B8">
        <w:rPr>
          <w:rFonts w:ascii="Times New Roman" w:hAnsi="Times New Roman" w:cs="Times New Roman"/>
          <w:sz w:val="24"/>
          <w:szCs w:val="24"/>
        </w:rPr>
        <w:t>69.6</w:t>
      </w:r>
      <w:r w:rsidRPr="00DC5278">
        <w:rPr>
          <w:rFonts w:ascii="Times New Roman" w:hAnsi="Times New Roman" w:cs="Times New Roman"/>
          <w:sz w:val="24"/>
          <w:szCs w:val="24"/>
        </w:rPr>
        <w:t xml:space="preserve"> billion in 201</w:t>
      </w:r>
      <w:r w:rsidR="00FC12B8">
        <w:rPr>
          <w:rFonts w:ascii="Times New Roman" w:hAnsi="Times New Roman" w:cs="Times New Roman"/>
          <w:sz w:val="24"/>
          <w:szCs w:val="24"/>
        </w:rPr>
        <w:t>6-17 – or 23.9</w:t>
      </w:r>
      <w:r w:rsidRPr="00DC5278">
        <w:rPr>
          <w:rFonts w:ascii="Times New Roman" w:hAnsi="Times New Roman" w:cs="Times New Roman"/>
          <w:sz w:val="24"/>
          <w:szCs w:val="24"/>
        </w:rPr>
        <w:t xml:space="preserve"> per cent of total Australian merchandise exports.  The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w:t>
      </w:r>
      <w:r w:rsidR="0085547B" w:rsidRPr="00DC5278">
        <w:rPr>
          <w:rFonts w:ascii="Times New Roman" w:hAnsi="Times New Roman" w:cs="Times New Roman"/>
          <w:sz w:val="24"/>
          <w:szCs w:val="24"/>
        </w:rPr>
        <w:t>P</w:t>
      </w:r>
      <w:r w:rsidRPr="00DC5278">
        <w:rPr>
          <w:rFonts w:ascii="Times New Roman" w:hAnsi="Times New Roman" w:cs="Times New Roman"/>
          <w:sz w:val="24"/>
          <w:szCs w:val="24"/>
        </w:rPr>
        <w:t xml:space="preserve">arties include some of Australia’s major trading partners, </w:t>
      </w:r>
      <w:r w:rsidR="00FC12B8">
        <w:rPr>
          <w:rFonts w:ascii="Times New Roman" w:hAnsi="Times New Roman" w:cs="Times New Roman"/>
          <w:sz w:val="24"/>
          <w:szCs w:val="24"/>
        </w:rPr>
        <w:t xml:space="preserve">for example </w:t>
      </w:r>
      <w:r w:rsidRPr="00DC5278">
        <w:rPr>
          <w:rFonts w:ascii="Times New Roman" w:hAnsi="Times New Roman" w:cs="Times New Roman"/>
          <w:sz w:val="24"/>
          <w:szCs w:val="24"/>
        </w:rPr>
        <w:t>Japan – where Australian exports were worth o</w:t>
      </w:r>
      <w:r w:rsidR="00FC12B8">
        <w:rPr>
          <w:rFonts w:ascii="Times New Roman" w:hAnsi="Times New Roman" w:cs="Times New Roman"/>
          <w:sz w:val="24"/>
          <w:szCs w:val="24"/>
        </w:rPr>
        <w:t>ver $42</w:t>
      </w:r>
      <w:r w:rsidRPr="00DC5278">
        <w:rPr>
          <w:rFonts w:ascii="Times New Roman" w:hAnsi="Times New Roman" w:cs="Times New Roman"/>
          <w:sz w:val="24"/>
          <w:szCs w:val="24"/>
        </w:rPr>
        <w:t xml:space="preserve"> billion </w:t>
      </w:r>
      <w:r w:rsidR="00FC12B8">
        <w:rPr>
          <w:rFonts w:ascii="Times New Roman" w:hAnsi="Times New Roman" w:cs="Times New Roman"/>
          <w:sz w:val="24"/>
          <w:szCs w:val="24"/>
        </w:rPr>
        <w:t>in 2016-17.</w:t>
      </w:r>
      <w:r w:rsidRPr="00DC5278">
        <w:rPr>
          <w:rFonts w:ascii="Times New Roman" w:hAnsi="Times New Roman" w:cs="Times New Roman"/>
          <w:sz w:val="24"/>
          <w:szCs w:val="24"/>
        </w:rPr>
        <w:t xml:space="preserve"> </w:t>
      </w:r>
    </w:p>
    <w:p w14:paraId="7403805C" w14:textId="77777777" w:rsidR="000740C4" w:rsidRPr="00DC5278" w:rsidRDefault="000740C4" w:rsidP="0085547B">
      <w:pPr>
        <w:suppressAutoHyphens/>
      </w:pPr>
    </w:p>
    <w:p w14:paraId="7403805F" w14:textId="2B76F199" w:rsidR="000740C4" w:rsidRPr="00C04B08" w:rsidRDefault="000740C4" w:rsidP="009A3433">
      <w:pPr>
        <w:pStyle w:val="ListParagraph"/>
        <w:numPr>
          <w:ilvl w:val="0"/>
          <w:numId w:val="83"/>
        </w:numPr>
        <w:suppressAutoHyphens/>
        <w:rPr>
          <w:rFonts w:ascii="Times New Roman" w:hAnsi="Times New Roman" w:cs="Times New Roman"/>
          <w:sz w:val="24"/>
          <w:szCs w:val="24"/>
        </w:rPr>
      </w:pPr>
      <w:r w:rsidRPr="00C04B08">
        <w:rPr>
          <w:rFonts w:ascii="Times New Roman" w:hAnsi="Times New Roman" w:cs="Times New Roman"/>
          <w:sz w:val="24"/>
          <w:szCs w:val="24"/>
        </w:rPr>
        <w:t xml:space="preserve">The elimination of barriers to trade is expected to increase the volume and value of trade with all </w:t>
      </w:r>
      <w:r w:rsidR="00240F08" w:rsidRPr="00C04B08">
        <w:rPr>
          <w:rFonts w:ascii="Times New Roman" w:hAnsi="Times New Roman" w:cs="Times New Roman"/>
          <w:sz w:val="24"/>
          <w:szCs w:val="24"/>
        </w:rPr>
        <w:t>TPP-11</w:t>
      </w:r>
      <w:r w:rsidRPr="00C04B08">
        <w:rPr>
          <w:rFonts w:ascii="Times New Roman" w:hAnsi="Times New Roman" w:cs="Times New Roman"/>
          <w:sz w:val="24"/>
          <w:szCs w:val="24"/>
        </w:rPr>
        <w:t xml:space="preserve"> Par</w:t>
      </w:r>
      <w:r w:rsidR="004539F7">
        <w:rPr>
          <w:rFonts w:ascii="Times New Roman" w:hAnsi="Times New Roman" w:cs="Times New Roman"/>
          <w:sz w:val="24"/>
          <w:szCs w:val="24"/>
        </w:rPr>
        <w:t xml:space="preserve">ties. </w:t>
      </w:r>
      <w:r w:rsidR="009A3433" w:rsidRPr="009A3433">
        <w:rPr>
          <w:rFonts w:ascii="Times New Roman" w:hAnsi="Times New Roman" w:cs="Times New Roman"/>
          <w:sz w:val="24"/>
          <w:szCs w:val="24"/>
        </w:rPr>
        <w:t>The elimination and reduction of tariffs and creation of new quota access into Japan will create opportunities in an export market currently worth over $4.5 billion for Australian agricultural exports.</w:t>
      </w:r>
      <w:r w:rsidRPr="00C04B08">
        <w:rPr>
          <w:rFonts w:ascii="Times New Roman" w:hAnsi="Times New Roman" w:cs="Times New Roman"/>
          <w:sz w:val="24"/>
          <w:szCs w:val="24"/>
        </w:rPr>
        <w:t xml:space="preserve">  Significant new tariff reductions and increased safeguard volumes on beef will allow for increased exports to the Japanese market. </w:t>
      </w:r>
      <w:r w:rsidR="00640BFD">
        <w:rPr>
          <w:rFonts w:ascii="Times New Roman" w:hAnsi="Times New Roman" w:cs="Times New Roman"/>
          <w:sz w:val="24"/>
          <w:szCs w:val="24"/>
        </w:rPr>
        <w:t xml:space="preserve"> </w:t>
      </w:r>
      <w:r w:rsidR="00EB0D13" w:rsidRPr="00EB0D13">
        <w:rPr>
          <w:rFonts w:ascii="Times New Roman" w:hAnsi="Times New Roman" w:cs="Times New Roman"/>
          <w:sz w:val="24"/>
          <w:szCs w:val="24"/>
        </w:rPr>
        <w:t>Japan’s beef tariffs will be reduced to 9 per cent within 15 years of entry into force of the TPP-11.  Australian fresh, chilled and frozen beef exports to Japan were valued at $2.1 billion in 2016-17</w:t>
      </w:r>
      <w:r w:rsidR="00EB0D13">
        <w:rPr>
          <w:rFonts w:ascii="Times New Roman" w:hAnsi="Times New Roman" w:cs="Times New Roman"/>
          <w:sz w:val="24"/>
          <w:szCs w:val="24"/>
        </w:rPr>
        <w:t xml:space="preserve">. </w:t>
      </w:r>
      <w:r w:rsidR="00640BFD">
        <w:rPr>
          <w:rFonts w:ascii="Times New Roman" w:hAnsi="Times New Roman" w:cs="Times New Roman"/>
          <w:sz w:val="24"/>
          <w:szCs w:val="24"/>
        </w:rPr>
        <w:t xml:space="preserve"> </w:t>
      </w:r>
      <w:r w:rsidR="002C7894" w:rsidRPr="002C7894">
        <w:rPr>
          <w:rFonts w:ascii="Times New Roman" w:hAnsi="Times New Roman" w:cs="Times New Roman"/>
          <w:sz w:val="24"/>
          <w:szCs w:val="24"/>
          <w:lang w:val="en-AU"/>
        </w:rPr>
        <w:t xml:space="preserve">The elimination of tariffs and creation of new quotas for dairy products will benefit Australian dairy exporters – Australian dairy exports to Japan were worth </w:t>
      </w:r>
      <w:r w:rsidR="001F034E">
        <w:rPr>
          <w:rFonts w:ascii="Times New Roman" w:hAnsi="Times New Roman" w:cs="Times New Roman"/>
          <w:sz w:val="24"/>
          <w:szCs w:val="24"/>
          <w:lang w:val="en-AU"/>
        </w:rPr>
        <w:t>$406 million in 2016-17</w:t>
      </w:r>
      <w:r w:rsidR="00B44E49">
        <w:rPr>
          <w:rFonts w:ascii="Times New Roman" w:hAnsi="Times New Roman" w:cs="Times New Roman"/>
          <w:sz w:val="24"/>
          <w:szCs w:val="24"/>
          <w:lang w:val="en-AU"/>
        </w:rPr>
        <w:t>.</w:t>
      </w:r>
      <w:r w:rsidR="008B7977">
        <w:rPr>
          <w:rFonts w:ascii="Times New Roman" w:hAnsi="Times New Roman" w:cs="Times New Roman"/>
          <w:sz w:val="24"/>
          <w:szCs w:val="24"/>
          <w:lang w:val="en-AU"/>
        </w:rPr>
        <w:t xml:space="preserve">  </w:t>
      </w:r>
      <w:r w:rsidR="002C7894" w:rsidRPr="002C7894">
        <w:rPr>
          <w:rFonts w:ascii="Times New Roman" w:hAnsi="Times New Roman" w:cs="Times New Roman"/>
          <w:sz w:val="24"/>
          <w:szCs w:val="24"/>
          <w:lang w:val="en-AU"/>
        </w:rPr>
        <w:t>The elimination of tariffs on cheese products alone covers over $100 million of existing Australian trade</w:t>
      </w:r>
      <w:r w:rsidR="00417B36">
        <w:rPr>
          <w:rFonts w:ascii="Times New Roman" w:hAnsi="Times New Roman" w:cs="Times New Roman"/>
          <w:sz w:val="24"/>
          <w:szCs w:val="24"/>
          <w:lang w:val="en-AU"/>
        </w:rPr>
        <w:t xml:space="preserve">.  </w:t>
      </w:r>
      <w:r w:rsidRPr="00C04B08">
        <w:rPr>
          <w:rFonts w:ascii="Times New Roman" w:hAnsi="Times New Roman" w:cs="Times New Roman"/>
          <w:sz w:val="24"/>
          <w:szCs w:val="24"/>
        </w:rPr>
        <w:t xml:space="preserve">Australia will also receive new quota access for wheat, barley, malt and rice and a reduction in the levy on high polarity sugar will mean that Australian high polarity sugar will now face lower duties than exporters of </w:t>
      </w:r>
      <w:r w:rsidR="00EA4D7A">
        <w:rPr>
          <w:rFonts w:ascii="Times New Roman" w:hAnsi="Times New Roman" w:cs="Times New Roman"/>
          <w:sz w:val="24"/>
          <w:szCs w:val="24"/>
        </w:rPr>
        <w:t>low polarity sugar.</w:t>
      </w:r>
    </w:p>
    <w:p w14:paraId="74038060" w14:textId="77777777" w:rsidR="000740C4" w:rsidRPr="00DC5278" w:rsidRDefault="000740C4" w:rsidP="0085547B">
      <w:pPr>
        <w:suppressAutoHyphens/>
      </w:pPr>
    </w:p>
    <w:p w14:paraId="74038061" w14:textId="16EDB2C3" w:rsidR="000740C4" w:rsidRPr="00DC5278" w:rsidRDefault="001C13B2" w:rsidP="00BD58FB">
      <w:pPr>
        <w:pStyle w:val="ListParagraph"/>
        <w:numPr>
          <w:ilvl w:val="0"/>
          <w:numId w:val="83"/>
        </w:numPr>
        <w:suppressAutoHyphens/>
        <w:rPr>
          <w:rFonts w:ascii="Times New Roman" w:hAnsi="Times New Roman" w:cs="Times New Roman"/>
          <w:sz w:val="24"/>
          <w:szCs w:val="24"/>
        </w:rPr>
      </w:pPr>
      <w:r w:rsidRPr="001C13B2">
        <w:rPr>
          <w:rFonts w:ascii="Times New Roman" w:hAnsi="Times New Roman" w:cs="Times New Roman"/>
          <w:sz w:val="24"/>
          <w:szCs w:val="24"/>
          <w:lang w:val="en-AU"/>
        </w:rPr>
        <w:t xml:space="preserve">The elimination of tariffs in our new FTA partners of Canada and Mexico will create new opportunities in export markets worth </w:t>
      </w:r>
      <w:r w:rsidR="001955DF">
        <w:rPr>
          <w:rFonts w:ascii="Times New Roman" w:hAnsi="Times New Roman" w:cs="Times New Roman"/>
          <w:sz w:val="24"/>
          <w:szCs w:val="24"/>
          <w:lang w:val="en-AU"/>
        </w:rPr>
        <w:t>over $2</w:t>
      </w:r>
      <w:r w:rsidRPr="001C13B2">
        <w:rPr>
          <w:rFonts w:ascii="Times New Roman" w:hAnsi="Times New Roman" w:cs="Times New Roman"/>
          <w:sz w:val="24"/>
          <w:szCs w:val="24"/>
          <w:lang w:val="en-AU"/>
        </w:rPr>
        <w:t xml:space="preserve"> billion in 2016-17 for Australia.  </w:t>
      </w:r>
      <w:proofErr w:type="gramStart"/>
      <w:r w:rsidRPr="001C13B2">
        <w:rPr>
          <w:rFonts w:ascii="Times New Roman" w:hAnsi="Times New Roman" w:cs="Times New Roman"/>
          <w:sz w:val="24"/>
          <w:szCs w:val="24"/>
          <w:lang w:val="en-AU"/>
        </w:rPr>
        <w:t>Particular opportunities</w:t>
      </w:r>
      <w:proofErr w:type="gramEnd"/>
      <w:r w:rsidRPr="001C13B2">
        <w:rPr>
          <w:rFonts w:ascii="Times New Roman" w:hAnsi="Times New Roman" w:cs="Times New Roman"/>
          <w:sz w:val="24"/>
          <w:szCs w:val="24"/>
          <w:lang w:val="en-AU"/>
        </w:rPr>
        <w:t xml:space="preserve"> will be available for our exports to these markets of beef (over $126 million in exports to these countries in 2017), </w:t>
      </w:r>
      <w:proofErr w:type="spellStart"/>
      <w:r w:rsidRPr="001C13B2">
        <w:rPr>
          <w:rFonts w:ascii="Times New Roman" w:hAnsi="Times New Roman" w:cs="Times New Roman"/>
          <w:sz w:val="24"/>
          <w:szCs w:val="24"/>
          <w:lang w:val="en-AU"/>
        </w:rPr>
        <w:t>sheepmeat</w:t>
      </w:r>
      <w:proofErr w:type="spellEnd"/>
      <w:r w:rsidRPr="001C13B2">
        <w:rPr>
          <w:rFonts w:ascii="Times New Roman" w:hAnsi="Times New Roman" w:cs="Times New Roman"/>
          <w:sz w:val="24"/>
          <w:szCs w:val="24"/>
          <w:lang w:val="en-AU"/>
        </w:rPr>
        <w:t xml:space="preserve"> ($96 million in exports), wine ($188 million), and pharmaceuticals ($28 million) into these countries.</w:t>
      </w:r>
      <w:r>
        <w:rPr>
          <w:rFonts w:ascii="Times New Roman" w:hAnsi="Times New Roman" w:cs="Times New Roman"/>
          <w:sz w:val="24"/>
          <w:szCs w:val="24"/>
          <w:lang w:val="en-AU"/>
        </w:rPr>
        <w:t xml:space="preserve"> </w:t>
      </w:r>
      <w:r w:rsidR="000740C4" w:rsidRPr="00DC5278">
        <w:rPr>
          <w:rFonts w:ascii="Times New Roman" w:hAnsi="Times New Roman" w:cs="Times New Roman"/>
          <w:sz w:val="24"/>
          <w:szCs w:val="24"/>
        </w:rPr>
        <w:t>For the first time</w:t>
      </w:r>
      <w:r w:rsidR="001955DF">
        <w:rPr>
          <w:rFonts w:ascii="Times New Roman" w:hAnsi="Times New Roman" w:cs="Times New Roman"/>
          <w:sz w:val="24"/>
          <w:szCs w:val="24"/>
        </w:rPr>
        <w:t>,</w:t>
      </w:r>
      <w:r w:rsidR="000740C4" w:rsidRPr="00DC5278">
        <w:rPr>
          <w:rFonts w:ascii="Times New Roman" w:hAnsi="Times New Roman" w:cs="Times New Roman"/>
          <w:sz w:val="24"/>
          <w:szCs w:val="24"/>
        </w:rPr>
        <w:t xml:space="preserve"> Australia will also be afforded genuine new access into to the Canadian dairy market</w:t>
      </w:r>
      <w:r w:rsidR="0085547B" w:rsidRPr="00DC5278">
        <w:rPr>
          <w:rFonts w:ascii="Times New Roman" w:hAnsi="Times New Roman" w:cs="Times New Roman"/>
          <w:sz w:val="24"/>
          <w:szCs w:val="24"/>
        </w:rPr>
        <w:t>,</w:t>
      </w:r>
      <w:r w:rsidR="000740C4" w:rsidRPr="00DC5278">
        <w:rPr>
          <w:rFonts w:ascii="Times New Roman" w:hAnsi="Times New Roman" w:cs="Times New Roman"/>
          <w:sz w:val="24"/>
          <w:szCs w:val="24"/>
        </w:rPr>
        <w:t xml:space="preserve"> with Canada offering over 100,000 metric </w:t>
      </w:r>
      <w:proofErr w:type="spellStart"/>
      <w:r w:rsidR="000740C4" w:rsidRPr="00DC5278">
        <w:rPr>
          <w:rFonts w:ascii="Times New Roman" w:hAnsi="Times New Roman" w:cs="Times New Roman"/>
          <w:sz w:val="24"/>
          <w:szCs w:val="24"/>
        </w:rPr>
        <w:t>tonnes</w:t>
      </w:r>
      <w:proofErr w:type="spellEnd"/>
      <w:r w:rsidR="000740C4" w:rsidRPr="00DC5278">
        <w:rPr>
          <w:rFonts w:ascii="Times New Roman" w:hAnsi="Times New Roman" w:cs="Times New Roman"/>
          <w:sz w:val="24"/>
          <w:szCs w:val="24"/>
        </w:rPr>
        <w:t xml:space="preserve"> of access for dairy p</w:t>
      </w:r>
      <w:r w:rsidR="00286C49" w:rsidRPr="00DC5278">
        <w:rPr>
          <w:rFonts w:ascii="Times New Roman" w:hAnsi="Times New Roman" w:cs="Times New Roman"/>
          <w:sz w:val="24"/>
          <w:szCs w:val="24"/>
        </w:rPr>
        <w:t xml:space="preserve">roducts per year to </w:t>
      </w:r>
      <w:r w:rsidR="00240F08">
        <w:rPr>
          <w:rFonts w:ascii="Times New Roman" w:hAnsi="Times New Roman" w:cs="Times New Roman"/>
          <w:sz w:val="24"/>
          <w:szCs w:val="24"/>
        </w:rPr>
        <w:t>TPP-11</w:t>
      </w:r>
      <w:r w:rsidR="00286C49" w:rsidRPr="00DC5278">
        <w:rPr>
          <w:rFonts w:ascii="Times New Roman" w:hAnsi="Times New Roman" w:cs="Times New Roman"/>
          <w:sz w:val="24"/>
          <w:szCs w:val="24"/>
        </w:rPr>
        <w:t xml:space="preserve"> Parties.</w:t>
      </w:r>
    </w:p>
    <w:p w14:paraId="74038062" w14:textId="77777777" w:rsidR="000740C4" w:rsidRPr="00DC5278" w:rsidRDefault="000740C4" w:rsidP="0085547B">
      <w:pPr>
        <w:suppressAutoHyphens/>
      </w:pPr>
    </w:p>
    <w:p w14:paraId="74038063" w14:textId="7E37BBE7" w:rsidR="000740C4" w:rsidRPr="001C13B2" w:rsidRDefault="001C13B2" w:rsidP="001C13B2">
      <w:pPr>
        <w:pStyle w:val="ListParagraph"/>
        <w:numPr>
          <w:ilvl w:val="0"/>
          <w:numId w:val="83"/>
        </w:numPr>
        <w:suppressAutoHyphens/>
        <w:rPr>
          <w:rFonts w:ascii="Times New Roman" w:hAnsi="Times New Roman" w:cs="Times New Roman"/>
          <w:sz w:val="24"/>
          <w:szCs w:val="24"/>
        </w:rPr>
      </w:pPr>
      <w:r w:rsidRPr="001C13B2">
        <w:rPr>
          <w:rFonts w:ascii="Times New Roman" w:hAnsi="Times New Roman" w:cs="Times New Roman"/>
          <w:sz w:val="24"/>
          <w:szCs w:val="24"/>
        </w:rPr>
        <w:t xml:space="preserve">The elimination of tariff barriers on some products </w:t>
      </w:r>
      <w:r w:rsidR="001955DF">
        <w:rPr>
          <w:rFonts w:ascii="Times New Roman" w:hAnsi="Times New Roman" w:cs="Times New Roman"/>
          <w:sz w:val="24"/>
          <w:szCs w:val="24"/>
        </w:rPr>
        <w:t>beyond that achieved</w:t>
      </w:r>
      <w:r w:rsidRPr="001C13B2">
        <w:rPr>
          <w:rFonts w:ascii="Times New Roman" w:hAnsi="Times New Roman" w:cs="Times New Roman"/>
          <w:sz w:val="24"/>
          <w:szCs w:val="24"/>
        </w:rPr>
        <w:t xml:space="preserve"> in our FTAs with Malaysia and Vietnam will also create new opportunities for Australia.  Malaysia’s elimination of tariffs on liquid milk and an interim quota of 3.3 million </w:t>
      </w:r>
      <w:proofErr w:type="spellStart"/>
      <w:r w:rsidRPr="001C13B2">
        <w:rPr>
          <w:rFonts w:ascii="Times New Roman" w:hAnsi="Times New Roman" w:cs="Times New Roman"/>
          <w:sz w:val="24"/>
          <w:szCs w:val="24"/>
        </w:rPr>
        <w:t>litres</w:t>
      </w:r>
      <w:proofErr w:type="spellEnd"/>
      <w:r w:rsidRPr="001C13B2">
        <w:rPr>
          <w:rFonts w:ascii="Times New Roman" w:hAnsi="Times New Roman" w:cs="Times New Roman"/>
          <w:sz w:val="24"/>
          <w:szCs w:val="24"/>
        </w:rPr>
        <w:t xml:space="preserve"> per year will provide substantial new opportunities for our burgeoning fresh milk industry which exported $247 million in 2017.  The elimination of tariffs on wine and alcoholic beverages into Malaysia and Vietnam will provide export opportunities for our highly competitive wine industry.  Tariff elimination on iron and steel products into Vietnam will provide welcome new opportunities for that sector </w:t>
      </w:r>
      <w:r>
        <w:rPr>
          <w:rFonts w:ascii="Times New Roman" w:hAnsi="Times New Roman" w:cs="Times New Roman"/>
          <w:sz w:val="24"/>
          <w:szCs w:val="24"/>
        </w:rPr>
        <w:t xml:space="preserve">– Australia exported over $224 </w:t>
      </w:r>
      <w:r w:rsidRPr="001C13B2">
        <w:rPr>
          <w:rFonts w:ascii="Times New Roman" w:hAnsi="Times New Roman" w:cs="Times New Roman"/>
          <w:sz w:val="24"/>
          <w:szCs w:val="24"/>
        </w:rPr>
        <w:t>million of iron and steel products to Vietnam in 2017.</w:t>
      </w:r>
    </w:p>
    <w:p w14:paraId="74038064" w14:textId="77777777" w:rsidR="000740C4" w:rsidRPr="00DC5278" w:rsidRDefault="000740C4" w:rsidP="0085547B">
      <w:pPr>
        <w:suppressAutoHyphens/>
      </w:pPr>
    </w:p>
    <w:p w14:paraId="74038065" w14:textId="0520F6BC" w:rsidR="000740C4" w:rsidRPr="00DC5278" w:rsidRDefault="00075D88" w:rsidP="00BD58FB">
      <w:pPr>
        <w:pStyle w:val="ListParagraph"/>
        <w:numPr>
          <w:ilvl w:val="0"/>
          <w:numId w:val="83"/>
        </w:numPr>
        <w:suppressAutoHyphens/>
        <w:rPr>
          <w:rFonts w:ascii="Times New Roman" w:hAnsi="Times New Roman" w:cs="Times New Roman"/>
          <w:sz w:val="24"/>
          <w:szCs w:val="24"/>
        </w:rPr>
      </w:pPr>
      <w:r w:rsidRPr="00DC5278">
        <w:rPr>
          <w:rFonts w:ascii="Times New Roman" w:hAnsi="Times New Roman" w:cs="Times New Roman"/>
          <w:sz w:val="24"/>
          <w:szCs w:val="24"/>
        </w:rPr>
        <w:lastRenderedPageBreak/>
        <w:t>T</w:t>
      </w:r>
      <w:r w:rsidR="000740C4" w:rsidRPr="00DC5278">
        <w:rPr>
          <w:rFonts w:ascii="Times New Roman" w:hAnsi="Times New Roman" w:cs="Times New Roman"/>
          <w:sz w:val="24"/>
          <w:szCs w:val="24"/>
        </w:rPr>
        <w:t xml:space="preserve">he regional nature of the </w:t>
      </w:r>
      <w:r w:rsidR="00240F08">
        <w:rPr>
          <w:rFonts w:ascii="Times New Roman" w:hAnsi="Times New Roman" w:cs="Times New Roman"/>
          <w:sz w:val="24"/>
          <w:szCs w:val="24"/>
        </w:rPr>
        <w:t>TPP-11</w:t>
      </w:r>
      <w:r w:rsidR="000740C4" w:rsidRPr="00DC5278">
        <w:rPr>
          <w:rFonts w:ascii="Times New Roman" w:hAnsi="Times New Roman" w:cs="Times New Roman"/>
          <w:sz w:val="24"/>
          <w:szCs w:val="24"/>
        </w:rPr>
        <w:t xml:space="preserve"> agreement will also provide new opportunities for Australian exporters to participate in regional supply chains.  Under the rules of origin of the agreement, pr</w:t>
      </w:r>
      <w:r w:rsidR="0085547B" w:rsidRPr="00DC5278">
        <w:rPr>
          <w:rFonts w:ascii="Times New Roman" w:hAnsi="Times New Roman" w:cs="Times New Roman"/>
          <w:sz w:val="24"/>
          <w:szCs w:val="24"/>
        </w:rPr>
        <w:t xml:space="preserve">oduction in any one of the </w:t>
      </w:r>
      <w:r w:rsidR="001955DF">
        <w:rPr>
          <w:rFonts w:ascii="Times New Roman" w:hAnsi="Times New Roman" w:cs="Times New Roman"/>
          <w:sz w:val="24"/>
          <w:szCs w:val="24"/>
        </w:rPr>
        <w:br/>
      </w:r>
      <w:r w:rsidR="00240F08">
        <w:rPr>
          <w:rFonts w:ascii="Times New Roman" w:hAnsi="Times New Roman" w:cs="Times New Roman"/>
          <w:sz w:val="24"/>
          <w:szCs w:val="24"/>
        </w:rPr>
        <w:t>TPP-11</w:t>
      </w:r>
      <w:r w:rsidR="0085547B" w:rsidRPr="00DC5278">
        <w:rPr>
          <w:rFonts w:ascii="Times New Roman" w:hAnsi="Times New Roman" w:cs="Times New Roman"/>
          <w:sz w:val="24"/>
          <w:szCs w:val="24"/>
        </w:rPr>
        <w:t xml:space="preserve"> P</w:t>
      </w:r>
      <w:r w:rsidR="000740C4" w:rsidRPr="00DC5278">
        <w:rPr>
          <w:rFonts w:ascii="Times New Roman" w:hAnsi="Times New Roman" w:cs="Times New Roman"/>
          <w:sz w:val="24"/>
          <w:szCs w:val="24"/>
        </w:rPr>
        <w:t>arties will be counted towards a good</w:t>
      </w:r>
      <w:r w:rsidR="001955DF">
        <w:rPr>
          <w:rFonts w:ascii="Times New Roman" w:hAnsi="Times New Roman" w:cs="Times New Roman"/>
          <w:sz w:val="24"/>
          <w:szCs w:val="24"/>
        </w:rPr>
        <w:t>’</w:t>
      </w:r>
      <w:r w:rsidR="000740C4" w:rsidRPr="00DC5278">
        <w:rPr>
          <w:rFonts w:ascii="Times New Roman" w:hAnsi="Times New Roman" w:cs="Times New Roman"/>
          <w:sz w:val="24"/>
          <w:szCs w:val="24"/>
        </w:rPr>
        <w:t xml:space="preserve">s originating status, that is, the ability for an exporter or importer to claim a </w:t>
      </w:r>
      <w:r w:rsidR="00240F08">
        <w:rPr>
          <w:rFonts w:ascii="Times New Roman" w:hAnsi="Times New Roman" w:cs="Times New Roman"/>
          <w:sz w:val="24"/>
          <w:szCs w:val="24"/>
        </w:rPr>
        <w:t>TPP-11</w:t>
      </w:r>
      <w:r w:rsidR="000740C4" w:rsidRPr="00DC5278">
        <w:rPr>
          <w:rFonts w:ascii="Times New Roman" w:hAnsi="Times New Roman" w:cs="Times New Roman"/>
          <w:sz w:val="24"/>
          <w:szCs w:val="24"/>
        </w:rPr>
        <w:t xml:space="preserve"> tariff preference for that good.  As a result, demand for </w:t>
      </w:r>
      <w:r w:rsidR="00240F08">
        <w:rPr>
          <w:rFonts w:ascii="Times New Roman" w:hAnsi="Times New Roman" w:cs="Times New Roman"/>
          <w:sz w:val="24"/>
          <w:szCs w:val="24"/>
        </w:rPr>
        <w:t>TPP-11</w:t>
      </w:r>
      <w:r w:rsidR="000740C4" w:rsidRPr="00DC5278">
        <w:rPr>
          <w:rFonts w:ascii="Times New Roman" w:hAnsi="Times New Roman" w:cs="Times New Roman"/>
          <w:sz w:val="24"/>
          <w:szCs w:val="24"/>
        </w:rPr>
        <w:t xml:space="preserve"> products will increase in the region.  For example, there will be greater demand for Australian ag</w:t>
      </w:r>
      <w:r w:rsidR="0085547B" w:rsidRPr="00DC5278">
        <w:rPr>
          <w:rFonts w:ascii="Times New Roman" w:hAnsi="Times New Roman" w:cs="Times New Roman"/>
          <w:sz w:val="24"/>
          <w:szCs w:val="24"/>
        </w:rPr>
        <w:t>ricultural commodities in South-</w:t>
      </w:r>
      <w:r w:rsidR="000740C4" w:rsidRPr="00DC5278">
        <w:rPr>
          <w:rFonts w:ascii="Times New Roman" w:hAnsi="Times New Roman" w:cs="Times New Roman"/>
          <w:sz w:val="24"/>
          <w:szCs w:val="24"/>
        </w:rPr>
        <w:t xml:space="preserve">East Asia as new </w:t>
      </w:r>
      <w:r w:rsidR="001955DF">
        <w:rPr>
          <w:rFonts w:ascii="Times New Roman" w:hAnsi="Times New Roman" w:cs="Times New Roman"/>
          <w:sz w:val="24"/>
          <w:szCs w:val="24"/>
        </w:rPr>
        <w:t>preferential access becomes</w:t>
      </w:r>
      <w:r w:rsidR="000740C4" w:rsidRPr="00DC5278">
        <w:rPr>
          <w:rFonts w:ascii="Times New Roman" w:hAnsi="Times New Roman" w:cs="Times New Roman"/>
          <w:sz w:val="24"/>
          <w:szCs w:val="24"/>
        </w:rPr>
        <w:t xml:space="preserve"> available into Japan for food and beverage products.  Australian manufacturers will also be able to export products under </w:t>
      </w:r>
      <w:r w:rsidR="00240F08">
        <w:rPr>
          <w:rFonts w:ascii="Times New Roman" w:hAnsi="Times New Roman" w:cs="Times New Roman"/>
          <w:sz w:val="24"/>
          <w:szCs w:val="24"/>
        </w:rPr>
        <w:t>TPP-11</w:t>
      </w:r>
      <w:r w:rsidR="000740C4" w:rsidRPr="00DC5278">
        <w:rPr>
          <w:rFonts w:ascii="Times New Roman" w:hAnsi="Times New Roman" w:cs="Times New Roman"/>
          <w:sz w:val="24"/>
          <w:szCs w:val="24"/>
        </w:rPr>
        <w:t xml:space="preserve"> preferences which they have produced using content from other </w:t>
      </w:r>
      <w:r w:rsidR="00240F08">
        <w:rPr>
          <w:rFonts w:ascii="Times New Roman" w:hAnsi="Times New Roman" w:cs="Times New Roman"/>
          <w:sz w:val="24"/>
          <w:szCs w:val="24"/>
        </w:rPr>
        <w:t>TPP-11</w:t>
      </w:r>
      <w:r w:rsidR="000740C4" w:rsidRPr="00DC5278">
        <w:rPr>
          <w:rFonts w:ascii="Times New Roman" w:hAnsi="Times New Roman" w:cs="Times New Roman"/>
          <w:sz w:val="24"/>
          <w:szCs w:val="24"/>
        </w:rPr>
        <w:t xml:space="preserve"> Parties.  For </w:t>
      </w:r>
      <w:proofErr w:type="gramStart"/>
      <w:r w:rsidR="000740C4" w:rsidRPr="00DC5278">
        <w:rPr>
          <w:rFonts w:ascii="Times New Roman" w:hAnsi="Times New Roman" w:cs="Times New Roman"/>
          <w:sz w:val="24"/>
          <w:szCs w:val="24"/>
        </w:rPr>
        <w:t>example</w:t>
      </w:r>
      <w:proofErr w:type="gramEnd"/>
      <w:r w:rsidR="000740C4" w:rsidRPr="00DC5278">
        <w:rPr>
          <w:rFonts w:ascii="Times New Roman" w:hAnsi="Times New Roman" w:cs="Times New Roman"/>
          <w:sz w:val="24"/>
          <w:szCs w:val="24"/>
        </w:rPr>
        <w:t xml:space="preserve"> a mining equipment manufacturer could source inputs from Japan for transformation and exportation to Mexico or Peru.</w:t>
      </w:r>
    </w:p>
    <w:p w14:paraId="74038066" w14:textId="77777777" w:rsidR="000740C4" w:rsidRPr="00DC5278" w:rsidRDefault="000740C4" w:rsidP="0085547B">
      <w:pPr>
        <w:suppressAutoHyphens/>
      </w:pPr>
    </w:p>
    <w:p w14:paraId="74038067" w14:textId="2871F01E" w:rsidR="000740C4" w:rsidRPr="00DC5278" w:rsidRDefault="000740C4" w:rsidP="00BD58FB">
      <w:pPr>
        <w:pStyle w:val="ListParagraph"/>
        <w:numPr>
          <w:ilvl w:val="0"/>
          <w:numId w:val="83"/>
        </w:numPr>
        <w:suppressAutoHyphens/>
        <w:rPr>
          <w:rFonts w:ascii="Times New Roman" w:hAnsi="Times New Roman" w:cs="Times New Roman"/>
          <w:sz w:val="24"/>
          <w:szCs w:val="24"/>
        </w:rPr>
      </w:pPr>
      <w:r w:rsidRPr="00DC5278">
        <w:rPr>
          <w:rFonts w:ascii="Times New Roman" w:hAnsi="Times New Roman" w:cs="Times New Roman"/>
          <w:sz w:val="24"/>
          <w:szCs w:val="24"/>
        </w:rPr>
        <w:t xml:space="preserve">Trade, both in terms of imports and </w:t>
      </w:r>
      <w:proofErr w:type="gramStart"/>
      <w:r w:rsidRPr="00DC5278">
        <w:rPr>
          <w:rFonts w:ascii="Times New Roman" w:hAnsi="Times New Roman" w:cs="Times New Roman"/>
          <w:sz w:val="24"/>
          <w:szCs w:val="24"/>
        </w:rPr>
        <w:t>exports</w:t>
      </w:r>
      <w:proofErr w:type="gramEnd"/>
      <w:r w:rsidRPr="00DC5278">
        <w:rPr>
          <w:rFonts w:ascii="Times New Roman" w:hAnsi="Times New Roman" w:cs="Times New Roman"/>
          <w:sz w:val="24"/>
          <w:szCs w:val="24"/>
        </w:rPr>
        <w:t xml:space="preserve"> is also expected to increase </w:t>
      </w:r>
      <w:proofErr w:type="gramStart"/>
      <w:r w:rsidRPr="00DC5278">
        <w:rPr>
          <w:rFonts w:ascii="Times New Roman" w:hAnsi="Times New Roman" w:cs="Times New Roman"/>
          <w:sz w:val="24"/>
          <w:szCs w:val="24"/>
        </w:rPr>
        <w:t>as a result of</w:t>
      </w:r>
      <w:proofErr w:type="gramEnd"/>
      <w:r w:rsidRPr="00DC5278">
        <w:rPr>
          <w:rFonts w:ascii="Times New Roman" w:hAnsi="Times New Roman" w:cs="Times New Roman"/>
          <w:sz w:val="24"/>
          <w:szCs w:val="24"/>
        </w:rPr>
        <w:t xml:space="preserve"> </w:t>
      </w:r>
      <w:r w:rsidR="001955DF">
        <w:rPr>
          <w:rFonts w:ascii="Times New Roman" w:hAnsi="Times New Roman" w:cs="Times New Roman"/>
          <w:sz w:val="24"/>
          <w:szCs w:val="24"/>
        </w:rPr>
        <w:t xml:space="preserve">the </w:t>
      </w:r>
      <w:r w:rsidRPr="00DC5278">
        <w:rPr>
          <w:rFonts w:ascii="Times New Roman" w:hAnsi="Times New Roman" w:cs="Times New Roman"/>
          <w:sz w:val="24"/>
          <w:szCs w:val="24"/>
        </w:rPr>
        <w:t xml:space="preserve">administrative arrangements </w:t>
      </w:r>
      <w:proofErr w:type="gramStart"/>
      <w:r w:rsidRPr="00DC5278">
        <w:rPr>
          <w:rFonts w:ascii="Times New Roman" w:hAnsi="Times New Roman" w:cs="Times New Roman"/>
          <w:sz w:val="24"/>
          <w:szCs w:val="24"/>
        </w:rPr>
        <w:t>created</w:t>
      </w:r>
      <w:proofErr w:type="gramEnd"/>
      <w:r w:rsidRPr="00DC5278">
        <w:rPr>
          <w:rFonts w:ascii="Times New Roman" w:hAnsi="Times New Roman" w:cs="Times New Roman"/>
          <w:sz w:val="24"/>
          <w:szCs w:val="24"/>
        </w:rPr>
        <w:t xml:space="preserve"> by the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Under the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an exporter or importer will only need to refer to one rule of origin, and use the </w:t>
      </w:r>
      <w:proofErr w:type="gramStart"/>
      <w:r w:rsidRPr="00DC5278">
        <w:rPr>
          <w:rFonts w:ascii="Times New Roman" w:hAnsi="Times New Roman" w:cs="Times New Roman"/>
          <w:sz w:val="24"/>
          <w:szCs w:val="24"/>
        </w:rPr>
        <w:t>same,</w:t>
      </w:r>
      <w:proofErr w:type="gramEnd"/>
      <w:r w:rsidRPr="00DC5278">
        <w:rPr>
          <w:rFonts w:ascii="Times New Roman" w:hAnsi="Times New Roman" w:cs="Times New Roman"/>
          <w:sz w:val="24"/>
          <w:szCs w:val="24"/>
        </w:rPr>
        <w:t xml:space="preserve"> self-certified documentation when exporting to any of the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parties under a tariff preference.  This will significantly reduce the administrative arrangements an Australian trader needs to be aware of and comply with </w:t>
      </w:r>
      <w:proofErr w:type="gramStart"/>
      <w:r w:rsidR="00156EC7">
        <w:rPr>
          <w:rFonts w:ascii="Times New Roman" w:hAnsi="Times New Roman" w:cs="Times New Roman"/>
          <w:sz w:val="24"/>
          <w:szCs w:val="24"/>
        </w:rPr>
        <w:t xml:space="preserve">in order </w:t>
      </w:r>
      <w:r w:rsidRPr="00DC5278">
        <w:rPr>
          <w:rFonts w:ascii="Times New Roman" w:hAnsi="Times New Roman" w:cs="Times New Roman"/>
          <w:sz w:val="24"/>
          <w:szCs w:val="24"/>
        </w:rPr>
        <w:t>to</w:t>
      </w:r>
      <w:proofErr w:type="gramEnd"/>
      <w:r w:rsidRPr="00DC5278">
        <w:rPr>
          <w:rFonts w:ascii="Times New Roman" w:hAnsi="Times New Roman" w:cs="Times New Roman"/>
          <w:sz w:val="24"/>
          <w:szCs w:val="24"/>
        </w:rPr>
        <w:t xml:space="preserve"> access current tariff preferences.  At present Australia has </w:t>
      </w:r>
      <w:r w:rsidR="005A012D">
        <w:rPr>
          <w:rFonts w:ascii="Times New Roman" w:hAnsi="Times New Roman" w:cs="Times New Roman"/>
          <w:sz w:val="24"/>
          <w:szCs w:val="24"/>
        </w:rPr>
        <w:t>eight</w:t>
      </w:r>
      <w:r w:rsidRPr="00DC5278">
        <w:rPr>
          <w:rFonts w:ascii="Times New Roman" w:hAnsi="Times New Roman" w:cs="Times New Roman"/>
          <w:sz w:val="24"/>
          <w:szCs w:val="24"/>
        </w:rPr>
        <w:t xml:space="preserve"> different FTAs with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Parties, each with its own administrative arrangements.</w:t>
      </w:r>
    </w:p>
    <w:p w14:paraId="74038068" w14:textId="77777777" w:rsidR="00075D88" w:rsidRPr="00DC5278" w:rsidRDefault="00075D88" w:rsidP="0085547B">
      <w:pPr>
        <w:suppressAutoHyphens/>
      </w:pPr>
    </w:p>
    <w:p w14:paraId="74038069" w14:textId="7AEB57C8" w:rsidR="000740C4" w:rsidRPr="00DC5278" w:rsidRDefault="001955DF" w:rsidP="0085547B">
      <w:pPr>
        <w:keepNext/>
        <w:suppressAutoHyphens/>
        <w:rPr>
          <w:b/>
          <w:i/>
        </w:rPr>
      </w:pPr>
      <w:r>
        <w:rPr>
          <w:b/>
          <w:i/>
        </w:rPr>
        <w:t>Impact on goods i</w:t>
      </w:r>
      <w:r w:rsidR="000740C4" w:rsidRPr="00DC5278">
        <w:rPr>
          <w:b/>
          <w:i/>
        </w:rPr>
        <w:t>mports</w:t>
      </w:r>
    </w:p>
    <w:p w14:paraId="7403806A" w14:textId="77777777" w:rsidR="000740C4" w:rsidRPr="00DC5278" w:rsidRDefault="000740C4" w:rsidP="0085547B">
      <w:pPr>
        <w:keepNext/>
        <w:suppressAutoHyphens/>
      </w:pPr>
    </w:p>
    <w:p w14:paraId="7403806B" w14:textId="6D199F0E" w:rsidR="000740C4" w:rsidRPr="00DC5278" w:rsidRDefault="00CB523E" w:rsidP="00BD58FB">
      <w:pPr>
        <w:pStyle w:val="ListParagraph"/>
        <w:keepNext/>
        <w:numPr>
          <w:ilvl w:val="0"/>
          <w:numId w:val="83"/>
        </w:numPr>
        <w:suppressAutoHyphens/>
        <w:rPr>
          <w:rFonts w:ascii="Times New Roman" w:hAnsi="Times New Roman" w:cs="Times New Roman"/>
          <w:bCs/>
          <w:sz w:val="24"/>
          <w:szCs w:val="24"/>
        </w:rPr>
      </w:pPr>
      <w:r w:rsidRPr="00DC5278">
        <w:rPr>
          <w:rFonts w:ascii="Times New Roman" w:hAnsi="Times New Roman" w:cs="Times New Roman"/>
          <w:bCs/>
          <w:sz w:val="24"/>
          <w:szCs w:val="24"/>
        </w:rPr>
        <w:t xml:space="preserve">The </w:t>
      </w:r>
      <w:r w:rsidR="00240F08">
        <w:rPr>
          <w:rFonts w:ascii="Times New Roman" w:hAnsi="Times New Roman" w:cs="Times New Roman"/>
          <w:bCs/>
          <w:sz w:val="24"/>
          <w:szCs w:val="24"/>
        </w:rPr>
        <w:t>TPP-11</w:t>
      </w:r>
      <w:r w:rsidRPr="00DC5278">
        <w:rPr>
          <w:rFonts w:ascii="Times New Roman" w:hAnsi="Times New Roman" w:cs="Times New Roman"/>
          <w:bCs/>
          <w:sz w:val="24"/>
          <w:szCs w:val="24"/>
        </w:rPr>
        <w:t xml:space="preserve"> will benefit consumers by increasing greater choice of goods</w:t>
      </w:r>
      <w:r w:rsidR="00432FB8" w:rsidRPr="00DC5278">
        <w:rPr>
          <w:rFonts w:ascii="Times New Roman" w:hAnsi="Times New Roman" w:cs="Times New Roman"/>
          <w:bCs/>
          <w:sz w:val="24"/>
          <w:szCs w:val="24"/>
        </w:rPr>
        <w:t xml:space="preserve"> at lower prices</w:t>
      </w:r>
      <w:r w:rsidRPr="00DC5278">
        <w:rPr>
          <w:rFonts w:ascii="Times New Roman" w:hAnsi="Times New Roman" w:cs="Times New Roman"/>
          <w:bCs/>
          <w:sz w:val="24"/>
          <w:szCs w:val="24"/>
        </w:rPr>
        <w:t xml:space="preserve">.  </w:t>
      </w:r>
      <w:r w:rsidR="000740C4" w:rsidRPr="00DC5278">
        <w:rPr>
          <w:rFonts w:ascii="Times New Roman" w:hAnsi="Times New Roman" w:cs="Times New Roman"/>
          <w:bCs/>
          <w:sz w:val="24"/>
          <w:szCs w:val="24"/>
        </w:rPr>
        <w:t xml:space="preserve">Australia’s final tariff offer to </w:t>
      </w:r>
      <w:r w:rsidR="00240F08">
        <w:rPr>
          <w:rFonts w:ascii="Times New Roman" w:hAnsi="Times New Roman" w:cs="Times New Roman"/>
          <w:bCs/>
          <w:sz w:val="24"/>
          <w:szCs w:val="24"/>
        </w:rPr>
        <w:t>TPP-11</w:t>
      </w:r>
      <w:r w:rsidR="000740C4" w:rsidRPr="00DC5278">
        <w:rPr>
          <w:rFonts w:ascii="Times New Roman" w:hAnsi="Times New Roman" w:cs="Times New Roman"/>
          <w:bCs/>
          <w:sz w:val="24"/>
          <w:szCs w:val="24"/>
        </w:rPr>
        <w:t xml:space="preserve"> countries on goods market access was plurilateral – the same offer was made to all members of the </w:t>
      </w:r>
      <w:r w:rsidR="00156EC7">
        <w:rPr>
          <w:rFonts w:ascii="Times New Roman" w:hAnsi="Times New Roman" w:cs="Times New Roman"/>
          <w:bCs/>
          <w:sz w:val="24"/>
          <w:szCs w:val="24"/>
        </w:rPr>
        <w:br/>
      </w:r>
      <w:r w:rsidR="00240F08">
        <w:rPr>
          <w:rFonts w:ascii="Times New Roman" w:hAnsi="Times New Roman" w:cs="Times New Roman"/>
          <w:bCs/>
          <w:sz w:val="24"/>
          <w:szCs w:val="24"/>
        </w:rPr>
        <w:t>TPP-11</w:t>
      </w:r>
      <w:r w:rsidR="000740C4" w:rsidRPr="00DC5278">
        <w:rPr>
          <w:rFonts w:ascii="Times New Roman" w:hAnsi="Times New Roman" w:cs="Times New Roman"/>
          <w:bCs/>
          <w:sz w:val="24"/>
          <w:szCs w:val="24"/>
        </w:rPr>
        <w:t>.  Consistent with other Australian FTAs</w:t>
      </w:r>
      <w:r w:rsidR="009B6E1A" w:rsidRPr="00DC5278">
        <w:rPr>
          <w:rFonts w:ascii="Times New Roman" w:hAnsi="Times New Roman" w:cs="Times New Roman"/>
          <w:bCs/>
          <w:sz w:val="24"/>
          <w:szCs w:val="24"/>
        </w:rPr>
        <w:t xml:space="preserve"> and our trade policy settings,</w:t>
      </w:r>
      <w:r w:rsidR="000740C4" w:rsidRPr="00DC5278">
        <w:rPr>
          <w:rFonts w:ascii="Times New Roman" w:hAnsi="Times New Roman" w:cs="Times New Roman"/>
          <w:bCs/>
          <w:sz w:val="24"/>
          <w:szCs w:val="24"/>
        </w:rPr>
        <w:t xml:space="preserve"> Australia’s tariff elimination schedule is ambitious, with 93 per cent of all tariff lines eliminated or bound at</w:t>
      </w:r>
      <w:r w:rsidR="0085547B" w:rsidRPr="00DC5278">
        <w:rPr>
          <w:rFonts w:ascii="Times New Roman" w:hAnsi="Times New Roman" w:cs="Times New Roman"/>
          <w:bCs/>
          <w:sz w:val="24"/>
          <w:szCs w:val="24"/>
        </w:rPr>
        <w:t xml:space="preserve"> zero tariff rates upon entry </w:t>
      </w:r>
      <w:r w:rsidR="000740C4" w:rsidRPr="00DC5278">
        <w:rPr>
          <w:rFonts w:ascii="Times New Roman" w:hAnsi="Times New Roman" w:cs="Times New Roman"/>
          <w:bCs/>
          <w:sz w:val="24"/>
          <w:szCs w:val="24"/>
        </w:rPr>
        <w:t>into</w:t>
      </w:r>
      <w:r w:rsidR="0085547B" w:rsidRPr="00DC5278">
        <w:rPr>
          <w:rFonts w:ascii="Times New Roman" w:hAnsi="Times New Roman" w:cs="Times New Roman"/>
          <w:bCs/>
          <w:sz w:val="24"/>
          <w:szCs w:val="24"/>
        </w:rPr>
        <w:t xml:space="preserve"> </w:t>
      </w:r>
      <w:r w:rsidR="000740C4" w:rsidRPr="00DC5278">
        <w:rPr>
          <w:rFonts w:ascii="Times New Roman" w:hAnsi="Times New Roman" w:cs="Times New Roman"/>
          <w:bCs/>
          <w:sz w:val="24"/>
          <w:szCs w:val="24"/>
        </w:rPr>
        <w:t>force of the Agreement.</w:t>
      </w:r>
    </w:p>
    <w:p w14:paraId="7403806C" w14:textId="77777777" w:rsidR="000740C4" w:rsidRPr="00DC5278" w:rsidRDefault="000740C4" w:rsidP="0085547B">
      <w:pPr>
        <w:suppressAutoHyphens/>
        <w:rPr>
          <w:bCs/>
        </w:rPr>
      </w:pPr>
    </w:p>
    <w:p w14:paraId="7403806D" w14:textId="77777777" w:rsidR="000740C4" w:rsidRPr="00DC5278" w:rsidRDefault="000740C4" w:rsidP="00BD58FB">
      <w:pPr>
        <w:pStyle w:val="ListParagraph"/>
        <w:numPr>
          <w:ilvl w:val="0"/>
          <w:numId w:val="83"/>
        </w:numPr>
        <w:suppressAutoHyphens/>
        <w:rPr>
          <w:rFonts w:ascii="Times New Roman" w:hAnsi="Times New Roman" w:cs="Times New Roman"/>
          <w:bCs/>
          <w:sz w:val="24"/>
          <w:szCs w:val="24"/>
        </w:rPr>
      </w:pPr>
      <w:r w:rsidRPr="00DC5278">
        <w:rPr>
          <w:rFonts w:ascii="Times New Roman" w:hAnsi="Times New Roman" w:cs="Times New Roman"/>
          <w:bCs/>
          <w:sz w:val="24"/>
          <w:szCs w:val="24"/>
        </w:rPr>
        <w:t xml:space="preserve">Virtually all remaining tariffs – covering those sectors where tariffs still provide some level of protection against imports, are eliminated in either </w:t>
      </w:r>
      <w:r w:rsidR="0085547B" w:rsidRPr="00DC5278">
        <w:rPr>
          <w:rFonts w:ascii="Times New Roman" w:hAnsi="Times New Roman" w:cs="Times New Roman"/>
          <w:bCs/>
          <w:sz w:val="24"/>
          <w:szCs w:val="24"/>
        </w:rPr>
        <w:t>three</w:t>
      </w:r>
      <w:r w:rsidRPr="00DC5278">
        <w:rPr>
          <w:rFonts w:ascii="Times New Roman" w:hAnsi="Times New Roman" w:cs="Times New Roman"/>
          <w:bCs/>
          <w:sz w:val="24"/>
          <w:szCs w:val="24"/>
        </w:rPr>
        <w:t xml:space="preserve"> or </w:t>
      </w:r>
      <w:r w:rsidR="0085547B" w:rsidRPr="00DC5278">
        <w:rPr>
          <w:rFonts w:ascii="Times New Roman" w:hAnsi="Times New Roman" w:cs="Times New Roman"/>
          <w:bCs/>
          <w:sz w:val="24"/>
          <w:szCs w:val="24"/>
        </w:rPr>
        <w:t>four</w:t>
      </w:r>
      <w:r w:rsidRPr="00DC5278">
        <w:rPr>
          <w:rFonts w:ascii="Times New Roman" w:hAnsi="Times New Roman" w:cs="Times New Roman"/>
          <w:bCs/>
          <w:sz w:val="24"/>
          <w:szCs w:val="24"/>
        </w:rPr>
        <w:t xml:space="preserve"> years.  This includes tariffs of mostly </w:t>
      </w:r>
      <w:r w:rsidR="0085547B" w:rsidRPr="00DC5278">
        <w:rPr>
          <w:rFonts w:ascii="Times New Roman" w:hAnsi="Times New Roman" w:cs="Times New Roman"/>
          <w:bCs/>
          <w:sz w:val="24"/>
          <w:szCs w:val="24"/>
        </w:rPr>
        <w:t>5</w:t>
      </w:r>
      <w:r w:rsidRPr="00DC5278">
        <w:rPr>
          <w:rFonts w:ascii="Times New Roman" w:hAnsi="Times New Roman" w:cs="Times New Roman"/>
          <w:bCs/>
          <w:sz w:val="24"/>
          <w:szCs w:val="24"/>
        </w:rPr>
        <w:t xml:space="preserve"> per cent on plastics and rubber, textiles, clothing and footwear, iron and steel, motor vehicle components and some machinery and furniture tariffs.  The phased elimination of these tariffs </w:t>
      </w:r>
      <w:r w:rsidR="00684946" w:rsidRPr="00DC5278">
        <w:rPr>
          <w:rFonts w:ascii="Times New Roman" w:hAnsi="Times New Roman" w:cs="Times New Roman"/>
          <w:bCs/>
          <w:sz w:val="24"/>
          <w:szCs w:val="24"/>
        </w:rPr>
        <w:t>aligns</w:t>
      </w:r>
      <w:r w:rsidRPr="00DC5278">
        <w:rPr>
          <w:rFonts w:ascii="Times New Roman" w:hAnsi="Times New Roman" w:cs="Times New Roman"/>
          <w:bCs/>
          <w:sz w:val="24"/>
          <w:szCs w:val="24"/>
        </w:rPr>
        <w:t xml:space="preserve"> with existing FTAs and will not undercut any existing tariff phasing arrangements for sensitive products with existing FTA partners.  The only tariffs in Australia’s offer that are not eliminated are those on used car imports.  Although the 5 per cent </w:t>
      </w:r>
      <w:r w:rsidRPr="00156EC7">
        <w:rPr>
          <w:rFonts w:ascii="Times New Roman" w:hAnsi="Times New Roman" w:cs="Times New Roman"/>
          <w:bCs/>
          <w:i/>
          <w:sz w:val="24"/>
          <w:szCs w:val="24"/>
        </w:rPr>
        <w:t>ad valorem</w:t>
      </w:r>
      <w:r w:rsidRPr="00DC5278">
        <w:rPr>
          <w:rFonts w:ascii="Times New Roman" w:hAnsi="Times New Roman" w:cs="Times New Roman"/>
          <w:bCs/>
          <w:sz w:val="24"/>
          <w:szCs w:val="24"/>
        </w:rPr>
        <w:t xml:space="preserve"> tariff is eliminated immediately, consistent with our FTAs with Korea and Japan, the larger $12,000 specific tariff is maintained.  These tariffs represent only 0.1 per cent of Australia’s total tariff lines.</w:t>
      </w:r>
    </w:p>
    <w:p w14:paraId="7403806E" w14:textId="77777777" w:rsidR="000740C4" w:rsidRPr="00DC5278" w:rsidRDefault="000740C4" w:rsidP="0085547B">
      <w:pPr>
        <w:suppressAutoHyphens/>
        <w:rPr>
          <w:bCs/>
        </w:rPr>
      </w:pPr>
    </w:p>
    <w:p w14:paraId="74038070" w14:textId="27355443" w:rsidR="000740C4" w:rsidRPr="00544FC6" w:rsidRDefault="00505806" w:rsidP="00544FC6">
      <w:pPr>
        <w:pStyle w:val="ListParagraph"/>
        <w:numPr>
          <w:ilvl w:val="0"/>
          <w:numId w:val="83"/>
        </w:numPr>
        <w:rPr>
          <w:rFonts w:ascii="Times New Roman" w:hAnsi="Times New Roman" w:cs="Times New Roman"/>
          <w:bCs/>
          <w:sz w:val="24"/>
          <w:szCs w:val="24"/>
        </w:rPr>
      </w:pPr>
      <w:r w:rsidRPr="00505806">
        <w:rPr>
          <w:rFonts w:ascii="Times New Roman" w:hAnsi="Times New Roman" w:cs="Times New Roman"/>
          <w:bCs/>
          <w:sz w:val="24"/>
          <w:szCs w:val="24"/>
        </w:rPr>
        <w:t xml:space="preserve">Though Australia had already eliminated tariffs for eight of the 10 partner countries in the TPP-11, elimination of tariffs for Canada and Mexico will likely encourage further trade with those </w:t>
      </w:r>
      <w:proofErr w:type="gramStart"/>
      <w:r w:rsidRPr="00505806">
        <w:rPr>
          <w:rFonts w:ascii="Times New Roman" w:hAnsi="Times New Roman" w:cs="Times New Roman"/>
          <w:bCs/>
          <w:sz w:val="24"/>
          <w:szCs w:val="24"/>
        </w:rPr>
        <w:t>countries, and</w:t>
      </w:r>
      <w:proofErr w:type="gramEnd"/>
      <w:r w:rsidRPr="00505806">
        <w:rPr>
          <w:rFonts w:ascii="Times New Roman" w:hAnsi="Times New Roman" w:cs="Times New Roman"/>
          <w:bCs/>
          <w:sz w:val="24"/>
          <w:szCs w:val="24"/>
        </w:rPr>
        <w:t xml:space="preserve"> lower the cost of </w:t>
      </w:r>
      <w:r w:rsidR="00544FC6">
        <w:rPr>
          <w:rFonts w:ascii="Times New Roman" w:hAnsi="Times New Roman" w:cs="Times New Roman"/>
          <w:bCs/>
          <w:sz w:val="24"/>
          <w:szCs w:val="24"/>
        </w:rPr>
        <w:br/>
      </w:r>
      <w:r w:rsidRPr="00505806">
        <w:rPr>
          <w:rFonts w:ascii="Times New Roman" w:hAnsi="Times New Roman" w:cs="Times New Roman"/>
          <w:bCs/>
          <w:sz w:val="24"/>
          <w:szCs w:val="24"/>
        </w:rPr>
        <w:lastRenderedPageBreak/>
        <w:t xml:space="preserve">imports into Australia. </w:t>
      </w:r>
      <w:r w:rsidR="003C17F9">
        <w:rPr>
          <w:rFonts w:ascii="Times New Roman" w:hAnsi="Times New Roman" w:cs="Times New Roman"/>
          <w:bCs/>
          <w:sz w:val="24"/>
          <w:szCs w:val="24"/>
        </w:rPr>
        <w:t xml:space="preserve"> </w:t>
      </w:r>
      <w:r w:rsidRPr="00505806">
        <w:rPr>
          <w:rFonts w:ascii="Times New Roman" w:hAnsi="Times New Roman" w:cs="Times New Roman"/>
          <w:bCs/>
          <w:sz w:val="24"/>
          <w:szCs w:val="24"/>
        </w:rPr>
        <w:t xml:space="preserve">In particular, some increased imports and price </w:t>
      </w:r>
      <w:r w:rsidR="00544FC6">
        <w:rPr>
          <w:rFonts w:ascii="Times New Roman" w:hAnsi="Times New Roman" w:cs="Times New Roman"/>
          <w:bCs/>
          <w:sz w:val="24"/>
          <w:szCs w:val="24"/>
        </w:rPr>
        <w:br/>
      </w:r>
      <w:r w:rsidRPr="00505806">
        <w:rPr>
          <w:rFonts w:ascii="Times New Roman" w:hAnsi="Times New Roman" w:cs="Times New Roman"/>
          <w:bCs/>
          <w:sz w:val="24"/>
          <w:szCs w:val="24"/>
        </w:rPr>
        <w:t>reductions can be expected as a result of increased imports of horticultural products from Mexico (</w:t>
      </w:r>
      <w:r>
        <w:rPr>
          <w:rFonts w:ascii="Times New Roman" w:hAnsi="Times New Roman" w:cs="Times New Roman"/>
          <w:bCs/>
          <w:sz w:val="24"/>
          <w:szCs w:val="24"/>
        </w:rPr>
        <w:t>imports of $41 million in 2017</w:t>
      </w:r>
      <w:r w:rsidRPr="00505806">
        <w:rPr>
          <w:rFonts w:ascii="Times New Roman" w:hAnsi="Times New Roman" w:cs="Times New Roman"/>
          <w:bCs/>
          <w:sz w:val="24"/>
          <w:szCs w:val="24"/>
        </w:rPr>
        <w:t xml:space="preserve">) into Australia, </w:t>
      </w:r>
      <w:r w:rsidR="00544FC6">
        <w:rPr>
          <w:rFonts w:ascii="Times New Roman" w:hAnsi="Times New Roman" w:cs="Times New Roman"/>
          <w:bCs/>
          <w:sz w:val="24"/>
          <w:szCs w:val="24"/>
        </w:rPr>
        <w:br/>
      </w:r>
      <w:r w:rsidRPr="00505806">
        <w:rPr>
          <w:rFonts w:ascii="Times New Roman" w:hAnsi="Times New Roman" w:cs="Times New Roman"/>
          <w:bCs/>
          <w:sz w:val="24"/>
          <w:szCs w:val="24"/>
        </w:rPr>
        <w:t>automotive products from Mexico ($554 million in 2017) an</w:t>
      </w:r>
      <w:r>
        <w:rPr>
          <w:rFonts w:ascii="Times New Roman" w:hAnsi="Times New Roman" w:cs="Times New Roman"/>
          <w:bCs/>
          <w:sz w:val="24"/>
          <w:szCs w:val="24"/>
        </w:rPr>
        <w:t>d Canada ($89 million in 2017),</w:t>
      </w:r>
      <w:r w:rsidRPr="00505806">
        <w:rPr>
          <w:rFonts w:ascii="Times New Roman" w:hAnsi="Times New Roman" w:cs="Times New Roman"/>
          <w:bCs/>
          <w:sz w:val="24"/>
          <w:szCs w:val="24"/>
        </w:rPr>
        <w:t xml:space="preserve"> pharmaceutical products from Canada ($162 million in 2017) and Mexico ($30  million in 2017), telecommunications equipment from </w:t>
      </w:r>
      <w:r w:rsidR="00544FC6">
        <w:rPr>
          <w:rFonts w:ascii="Times New Roman" w:hAnsi="Times New Roman" w:cs="Times New Roman"/>
          <w:bCs/>
          <w:sz w:val="24"/>
          <w:szCs w:val="24"/>
        </w:rPr>
        <w:br/>
      </w:r>
      <w:r w:rsidRPr="00505806">
        <w:rPr>
          <w:rFonts w:ascii="Times New Roman" w:hAnsi="Times New Roman" w:cs="Times New Roman"/>
          <w:bCs/>
          <w:sz w:val="24"/>
          <w:szCs w:val="24"/>
        </w:rPr>
        <w:t xml:space="preserve">Mexico ($378 million in 2017), </w:t>
      </w:r>
      <w:r>
        <w:rPr>
          <w:rFonts w:ascii="Times New Roman" w:hAnsi="Times New Roman" w:cs="Times New Roman"/>
          <w:bCs/>
          <w:sz w:val="24"/>
          <w:szCs w:val="24"/>
        </w:rPr>
        <w:t xml:space="preserve">and </w:t>
      </w:r>
      <w:r w:rsidRPr="00505806">
        <w:rPr>
          <w:rFonts w:ascii="Times New Roman" w:hAnsi="Times New Roman" w:cs="Times New Roman"/>
          <w:bCs/>
          <w:sz w:val="24"/>
          <w:szCs w:val="24"/>
        </w:rPr>
        <w:t>alcoholic beverages from Mexico ($157</w:t>
      </w:r>
      <w:r>
        <w:rPr>
          <w:rFonts w:ascii="Times New Roman" w:hAnsi="Times New Roman" w:cs="Times New Roman"/>
          <w:bCs/>
          <w:sz w:val="24"/>
          <w:szCs w:val="24"/>
        </w:rPr>
        <w:t xml:space="preserve"> million in 2017).</w:t>
      </w:r>
    </w:p>
    <w:p w14:paraId="25C4E2DC" w14:textId="77777777" w:rsidR="005264E7" w:rsidRPr="00DC5278" w:rsidRDefault="005264E7" w:rsidP="0085547B">
      <w:pPr>
        <w:suppressAutoHyphens/>
      </w:pPr>
    </w:p>
    <w:p w14:paraId="74038071" w14:textId="49ADAA39" w:rsidR="000740C4" w:rsidRPr="00DC5278" w:rsidRDefault="000740C4" w:rsidP="0085547B">
      <w:pPr>
        <w:suppressAutoHyphens/>
      </w:pPr>
      <w:r w:rsidRPr="00C96A16">
        <w:rPr>
          <w:b/>
          <w:u w:val="single"/>
        </w:rPr>
        <w:t xml:space="preserve">Elimination schedule for Australia’s tariffs on imports from </w:t>
      </w:r>
      <w:r w:rsidR="00240F08" w:rsidRPr="00C96A16">
        <w:rPr>
          <w:b/>
          <w:u w:val="single"/>
        </w:rPr>
        <w:t>TPP-11</w:t>
      </w:r>
      <w:r w:rsidRPr="00C96A16">
        <w:rPr>
          <w:b/>
          <w:u w:val="single"/>
        </w:rPr>
        <w:t xml:space="preserve"> countries</w:t>
      </w:r>
    </w:p>
    <w:p w14:paraId="74038072" w14:textId="77777777" w:rsidR="000740C4" w:rsidRPr="00DC5278" w:rsidRDefault="000740C4" w:rsidP="0085547B">
      <w:pPr>
        <w:suppressAutoHyphens/>
      </w:pPr>
    </w:p>
    <w:tbl>
      <w:tblPr>
        <w:tblW w:w="7846" w:type="dxa"/>
        <w:jc w:val="center"/>
        <w:tblLayout w:type="fixed"/>
        <w:tblLook w:val="04A0" w:firstRow="1" w:lastRow="0" w:firstColumn="1" w:lastColumn="0" w:noHBand="0" w:noVBand="1"/>
      </w:tblPr>
      <w:tblGrid>
        <w:gridCol w:w="4448"/>
        <w:gridCol w:w="992"/>
        <w:gridCol w:w="993"/>
        <w:gridCol w:w="1413"/>
      </w:tblGrid>
      <w:tr w:rsidR="000740C4" w:rsidRPr="00DC5278" w14:paraId="74038075" w14:textId="77777777" w:rsidTr="0085547B">
        <w:trPr>
          <w:trHeight w:val="315"/>
          <w:jc w:val="center"/>
        </w:trPr>
        <w:tc>
          <w:tcPr>
            <w:tcW w:w="4448" w:type="dxa"/>
            <w:vMerge w:val="restart"/>
            <w:tcBorders>
              <w:top w:val="single" w:sz="4" w:space="0" w:color="auto"/>
              <w:left w:val="nil"/>
              <w:bottom w:val="single" w:sz="8" w:space="0" w:color="000000"/>
              <w:right w:val="nil"/>
            </w:tcBorders>
            <w:shd w:val="clear" w:color="000000" w:fill="D8D8D8"/>
            <w:vAlign w:val="center"/>
            <w:hideMark/>
          </w:tcPr>
          <w:p w14:paraId="74038073" w14:textId="77777777" w:rsidR="000740C4" w:rsidRPr="00DC5278" w:rsidRDefault="000740C4" w:rsidP="0085547B">
            <w:pPr>
              <w:suppressAutoHyphens/>
              <w:jc w:val="center"/>
              <w:rPr>
                <w:b/>
                <w:bCs/>
                <w:color w:val="000000"/>
              </w:rPr>
            </w:pPr>
            <w:r w:rsidRPr="00DC5278">
              <w:rPr>
                <w:b/>
                <w:bCs/>
                <w:color w:val="000000"/>
              </w:rPr>
              <w:t>Staging category</w:t>
            </w:r>
          </w:p>
        </w:tc>
        <w:tc>
          <w:tcPr>
            <w:tcW w:w="3398" w:type="dxa"/>
            <w:gridSpan w:val="3"/>
            <w:tcBorders>
              <w:top w:val="single" w:sz="4" w:space="0" w:color="auto"/>
              <w:left w:val="nil"/>
              <w:bottom w:val="single" w:sz="8" w:space="0" w:color="auto"/>
              <w:right w:val="nil"/>
            </w:tcBorders>
            <w:shd w:val="clear" w:color="000000" w:fill="D8D8D8"/>
            <w:vAlign w:val="center"/>
            <w:hideMark/>
          </w:tcPr>
          <w:p w14:paraId="74038074" w14:textId="77777777" w:rsidR="000740C4" w:rsidRPr="00DC5278" w:rsidRDefault="000740C4" w:rsidP="0085547B">
            <w:pPr>
              <w:suppressAutoHyphens/>
              <w:jc w:val="center"/>
              <w:rPr>
                <w:b/>
                <w:bCs/>
                <w:color w:val="000000"/>
              </w:rPr>
            </w:pPr>
            <w:r w:rsidRPr="00DC5278">
              <w:rPr>
                <w:b/>
                <w:bCs/>
                <w:color w:val="000000"/>
              </w:rPr>
              <w:t xml:space="preserve"> Tariff lines </w:t>
            </w:r>
          </w:p>
        </w:tc>
      </w:tr>
      <w:tr w:rsidR="000740C4" w:rsidRPr="00DC5278" w14:paraId="7403807A" w14:textId="77777777" w:rsidTr="0085547B">
        <w:trPr>
          <w:trHeight w:val="780"/>
          <w:jc w:val="center"/>
        </w:trPr>
        <w:tc>
          <w:tcPr>
            <w:tcW w:w="4448" w:type="dxa"/>
            <w:vMerge/>
            <w:tcBorders>
              <w:top w:val="nil"/>
              <w:left w:val="nil"/>
              <w:bottom w:val="single" w:sz="8" w:space="0" w:color="000000"/>
              <w:right w:val="nil"/>
            </w:tcBorders>
            <w:vAlign w:val="center"/>
            <w:hideMark/>
          </w:tcPr>
          <w:p w14:paraId="74038076" w14:textId="77777777" w:rsidR="000740C4" w:rsidRPr="00DC5278" w:rsidRDefault="000740C4" w:rsidP="0085547B">
            <w:pPr>
              <w:suppressAutoHyphens/>
              <w:rPr>
                <w:b/>
                <w:bCs/>
                <w:color w:val="000000"/>
              </w:rPr>
            </w:pPr>
          </w:p>
        </w:tc>
        <w:tc>
          <w:tcPr>
            <w:tcW w:w="992" w:type="dxa"/>
            <w:tcBorders>
              <w:top w:val="nil"/>
              <w:left w:val="nil"/>
              <w:bottom w:val="single" w:sz="8" w:space="0" w:color="auto"/>
              <w:right w:val="nil"/>
            </w:tcBorders>
            <w:shd w:val="clear" w:color="000000" w:fill="D8D8D8"/>
            <w:noWrap/>
            <w:vAlign w:val="center"/>
            <w:hideMark/>
          </w:tcPr>
          <w:p w14:paraId="74038077" w14:textId="77777777" w:rsidR="000740C4" w:rsidRPr="00DC5278" w:rsidRDefault="000740C4" w:rsidP="0085547B">
            <w:pPr>
              <w:suppressAutoHyphens/>
              <w:jc w:val="center"/>
              <w:rPr>
                <w:color w:val="000000"/>
              </w:rPr>
            </w:pPr>
            <w:r w:rsidRPr="00DC5278">
              <w:rPr>
                <w:color w:val="000000"/>
              </w:rPr>
              <w:t>No.</w:t>
            </w:r>
          </w:p>
        </w:tc>
        <w:tc>
          <w:tcPr>
            <w:tcW w:w="993" w:type="dxa"/>
            <w:tcBorders>
              <w:top w:val="nil"/>
              <w:left w:val="nil"/>
              <w:bottom w:val="single" w:sz="8" w:space="0" w:color="auto"/>
              <w:right w:val="nil"/>
            </w:tcBorders>
            <w:shd w:val="clear" w:color="000000" w:fill="D8D8D8"/>
            <w:vAlign w:val="center"/>
            <w:hideMark/>
          </w:tcPr>
          <w:p w14:paraId="74038078" w14:textId="77777777" w:rsidR="000740C4" w:rsidRPr="00DC5278" w:rsidRDefault="000740C4" w:rsidP="0085547B">
            <w:pPr>
              <w:suppressAutoHyphens/>
              <w:jc w:val="center"/>
              <w:rPr>
                <w:color w:val="000000"/>
              </w:rPr>
            </w:pPr>
            <w:r w:rsidRPr="00DC5278">
              <w:rPr>
                <w:color w:val="000000"/>
              </w:rPr>
              <w:t>% of total</w:t>
            </w:r>
          </w:p>
        </w:tc>
        <w:tc>
          <w:tcPr>
            <w:tcW w:w="1413" w:type="dxa"/>
            <w:tcBorders>
              <w:top w:val="nil"/>
              <w:left w:val="nil"/>
              <w:bottom w:val="single" w:sz="8" w:space="0" w:color="auto"/>
              <w:right w:val="nil"/>
            </w:tcBorders>
            <w:shd w:val="clear" w:color="000000" w:fill="D8D8D8"/>
            <w:vAlign w:val="center"/>
            <w:hideMark/>
          </w:tcPr>
          <w:p w14:paraId="74038079" w14:textId="77777777" w:rsidR="000740C4" w:rsidRPr="00DC5278" w:rsidRDefault="000740C4" w:rsidP="0085547B">
            <w:pPr>
              <w:suppressAutoHyphens/>
              <w:jc w:val="center"/>
              <w:rPr>
                <w:color w:val="000000"/>
              </w:rPr>
            </w:pPr>
            <w:r w:rsidRPr="00DC5278">
              <w:rPr>
                <w:color w:val="000000"/>
              </w:rPr>
              <w:t xml:space="preserve">Cumulative (%) </w:t>
            </w:r>
          </w:p>
        </w:tc>
      </w:tr>
      <w:tr w:rsidR="000740C4" w:rsidRPr="00DC5278" w14:paraId="7403807F" w14:textId="77777777" w:rsidTr="0085547B">
        <w:trPr>
          <w:trHeight w:val="255"/>
          <w:jc w:val="center"/>
        </w:trPr>
        <w:tc>
          <w:tcPr>
            <w:tcW w:w="4448" w:type="dxa"/>
            <w:tcBorders>
              <w:top w:val="nil"/>
              <w:left w:val="nil"/>
              <w:bottom w:val="nil"/>
              <w:right w:val="nil"/>
            </w:tcBorders>
            <w:shd w:val="clear" w:color="000000" w:fill="FFFFFF"/>
            <w:noWrap/>
            <w:vAlign w:val="center"/>
            <w:hideMark/>
          </w:tcPr>
          <w:p w14:paraId="7403807B" w14:textId="77777777" w:rsidR="000740C4" w:rsidRPr="00DC5278" w:rsidRDefault="000740C4" w:rsidP="0085547B">
            <w:pPr>
              <w:suppressAutoHyphens/>
              <w:rPr>
                <w:color w:val="000000"/>
              </w:rPr>
            </w:pPr>
            <w:r w:rsidRPr="00DC5278">
              <w:rPr>
                <w:color w:val="000000"/>
              </w:rPr>
              <w:t>MFN 0%</w:t>
            </w:r>
          </w:p>
        </w:tc>
        <w:tc>
          <w:tcPr>
            <w:tcW w:w="992" w:type="dxa"/>
            <w:tcBorders>
              <w:top w:val="nil"/>
              <w:left w:val="nil"/>
              <w:bottom w:val="nil"/>
              <w:right w:val="nil"/>
            </w:tcBorders>
            <w:shd w:val="clear" w:color="000000" w:fill="FFFFFF"/>
            <w:noWrap/>
            <w:vAlign w:val="center"/>
            <w:hideMark/>
          </w:tcPr>
          <w:p w14:paraId="7403807C" w14:textId="77777777" w:rsidR="000740C4" w:rsidRPr="00DC5278" w:rsidRDefault="000740C4" w:rsidP="0085547B">
            <w:pPr>
              <w:suppressAutoHyphens/>
              <w:jc w:val="right"/>
              <w:rPr>
                <w:color w:val="000000"/>
              </w:rPr>
            </w:pPr>
            <w:r w:rsidRPr="00DC5278">
              <w:rPr>
                <w:color w:val="000000"/>
              </w:rPr>
              <w:t>2,775</w:t>
            </w:r>
          </w:p>
        </w:tc>
        <w:tc>
          <w:tcPr>
            <w:tcW w:w="993" w:type="dxa"/>
            <w:tcBorders>
              <w:top w:val="nil"/>
              <w:left w:val="nil"/>
              <w:bottom w:val="nil"/>
              <w:right w:val="nil"/>
            </w:tcBorders>
            <w:shd w:val="clear" w:color="000000" w:fill="FFFFFF"/>
            <w:noWrap/>
            <w:vAlign w:val="center"/>
            <w:hideMark/>
          </w:tcPr>
          <w:p w14:paraId="7403807D" w14:textId="77777777" w:rsidR="000740C4" w:rsidRPr="00DC5278" w:rsidRDefault="000740C4" w:rsidP="0085547B">
            <w:pPr>
              <w:suppressAutoHyphens/>
              <w:jc w:val="right"/>
              <w:rPr>
                <w:color w:val="000000"/>
              </w:rPr>
            </w:pPr>
            <w:r w:rsidRPr="00DC5278">
              <w:rPr>
                <w:color w:val="000000"/>
              </w:rPr>
              <w:t>46.2%</w:t>
            </w:r>
          </w:p>
        </w:tc>
        <w:tc>
          <w:tcPr>
            <w:tcW w:w="1413" w:type="dxa"/>
            <w:tcBorders>
              <w:top w:val="nil"/>
              <w:left w:val="nil"/>
              <w:bottom w:val="nil"/>
              <w:right w:val="nil"/>
            </w:tcBorders>
            <w:shd w:val="clear" w:color="000000" w:fill="FFFFFF"/>
            <w:noWrap/>
            <w:vAlign w:val="center"/>
            <w:hideMark/>
          </w:tcPr>
          <w:p w14:paraId="7403807E" w14:textId="77777777" w:rsidR="000740C4" w:rsidRPr="00DC5278" w:rsidRDefault="000740C4" w:rsidP="0085547B">
            <w:pPr>
              <w:suppressAutoHyphens/>
              <w:jc w:val="right"/>
              <w:rPr>
                <w:color w:val="000000"/>
              </w:rPr>
            </w:pPr>
            <w:r w:rsidRPr="00DC5278">
              <w:rPr>
                <w:color w:val="000000"/>
              </w:rPr>
              <w:t>46.2%</w:t>
            </w:r>
          </w:p>
        </w:tc>
      </w:tr>
      <w:tr w:rsidR="000740C4" w:rsidRPr="00DC5278" w14:paraId="74038084" w14:textId="77777777" w:rsidTr="0085547B">
        <w:trPr>
          <w:trHeight w:val="255"/>
          <w:jc w:val="center"/>
        </w:trPr>
        <w:tc>
          <w:tcPr>
            <w:tcW w:w="4448" w:type="dxa"/>
            <w:tcBorders>
              <w:top w:val="nil"/>
              <w:left w:val="nil"/>
              <w:bottom w:val="nil"/>
              <w:right w:val="nil"/>
            </w:tcBorders>
            <w:shd w:val="clear" w:color="000000" w:fill="FFFFFF"/>
            <w:noWrap/>
            <w:vAlign w:val="center"/>
            <w:hideMark/>
          </w:tcPr>
          <w:p w14:paraId="74038080" w14:textId="77777777" w:rsidR="000740C4" w:rsidRPr="00DC5278" w:rsidRDefault="000740C4" w:rsidP="0085547B">
            <w:pPr>
              <w:suppressAutoHyphens/>
              <w:rPr>
                <w:color w:val="000000"/>
              </w:rPr>
            </w:pPr>
            <w:r w:rsidRPr="00DC5278">
              <w:rPr>
                <w:color w:val="000000"/>
              </w:rPr>
              <w:t>A: 0% tariff on EIF</w:t>
            </w:r>
          </w:p>
        </w:tc>
        <w:tc>
          <w:tcPr>
            <w:tcW w:w="992" w:type="dxa"/>
            <w:tcBorders>
              <w:top w:val="nil"/>
              <w:left w:val="nil"/>
              <w:bottom w:val="nil"/>
              <w:right w:val="nil"/>
            </w:tcBorders>
            <w:shd w:val="clear" w:color="000000" w:fill="FFFFFF"/>
            <w:noWrap/>
            <w:vAlign w:val="center"/>
            <w:hideMark/>
          </w:tcPr>
          <w:p w14:paraId="74038081" w14:textId="77777777" w:rsidR="000740C4" w:rsidRPr="00DC5278" w:rsidRDefault="000740C4" w:rsidP="0085547B">
            <w:pPr>
              <w:suppressAutoHyphens/>
              <w:jc w:val="right"/>
              <w:rPr>
                <w:color w:val="000000"/>
              </w:rPr>
            </w:pPr>
            <w:r w:rsidRPr="00DC5278">
              <w:rPr>
                <w:color w:val="000000"/>
              </w:rPr>
              <w:t>2,815</w:t>
            </w:r>
          </w:p>
        </w:tc>
        <w:tc>
          <w:tcPr>
            <w:tcW w:w="993" w:type="dxa"/>
            <w:tcBorders>
              <w:top w:val="nil"/>
              <w:left w:val="nil"/>
              <w:bottom w:val="nil"/>
              <w:right w:val="nil"/>
            </w:tcBorders>
            <w:shd w:val="clear" w:color="000000" w:fill="FFFFFF"/>
            <w:noWrap/>
            <w:vAlign w:val="center"/>
            <w:hideMark/>
          </w:tcPr>
          <w:p w14:paraId="74038082" w14:textId="77777777" w:rsidR="000740C4" w:rsidRPr="00DC5278" w:rsidRDefault="000740C4" w:rsidP="0085547B">
            <w:pPr>
              <w:suppressAutoHyphens/>
              <w:jc w:val="right"/>
              <w:rPr>
                <w:color w:val="000000"/>
              </w:rPr>
            </w:pPr>
            <w:r w:rsidRPr="00DC5278">
              <w:rPr>
                <w:color w:val="000000"/>
              </w:rPr>
              <w:t>46.9%</w:t>
            </w:r>
          </w:p>
        </w:tc>
        <w:tc>
          <w:tcPr>
            <w:tcW w:w="1413" w:type="dxa"/>
            <w:tcBorders>
              <w:top w:val="nil"/>
              <w:left w:val="nil"/>
              <w:bottom w:val="nil"/>
              <w:right w:val="nil"/>
            </w:tcBorders>
            <w:shd w:val="clear" w:color="000000" w:fill="FFFFFF"/>
            <w:noWrap/>
            <w:vAlign w:val="center"/>
            <w:hideMark/>
          </w:tcPr>
          <w:p w14:paraId="74038083" w14:textId="77777777" w:rsidR="000740C4" w:rsidRPr="00DC5278" w:rsidRDefault="000740C4" w:rsidP="0085547B">
            <w:pPr>
              <w:suppressAutoHyphens/>
              <w:jc w:val="right"/>
              <w:rPr>
                <w:color w:val="000000"/>
              </w:rPr>
            </w:pPr>
            <w:r w:rsidRPr="00DC5278">
              <w:rPr>
                <w:color w:val="000000"/>
              </w:rPr>
              <w:t>93.0%</w:t>
            </w:r>
          </w:p>
        </w:tc>
      </w:tr>
      <w:tr w:rsidR="000740C4" w:rsidRPr="00DC5278" w14:paraId="74038089" w14:textId="77777777" w:rsidTr="0085547B">
        <w:trPr>
          <w:trHeight w:val="255"/>
          <w:jc w:val="center"/>
        </w:trPr>
        <w:tc>
          <w:tcPr>
            <w:tcW w:w="4448" w:type="dxa"/>
            <w:tcBorders>
              <w:top w:val="nil"/>
              <w:left w:val="nil"/>
              <w:bottom w:val="nil"/>
              <w:right w:val="nil"/>
            </w:tcBorders>
            <w:shd w:val="clear" w:color="000000" w:fill="FFFFFF"/>
            <w:noWrap/>
            <w:vAlign w:val="center"/>
            <w:hideMark/>
          </w:tcPr>
          <w:p w14:paraId="74038085" w14:textId="77777777" w:rsidR="000740C4" w:rsidRPr="00DC5278" w:rsidRDefault="000740C4" w:rsidP="0085547B">
            <w:pPr>
              <w:suppressAutoHyphens/>
              <w:rPr>
                <w:color w:val="000000"/>
              </w:rPr>
            </w:pPr>
            <w:r w:rsidRPr="00DC5278">
              <w:rPr>
                <w:color w:val="000000"/>
              </w:rPr>
              <w:t xml:space="preserve">B: </w:t>
            </w:r>
            <w:proofErr w:type="gramStart"/>
            <w:r w:rsidRPr="00DC5278">
              <w:rPr>
                <w:color w:val="000000"/>
              </w:rPr>
              <w:t>3 year</w:t>
            </w:r>
            <w:proofErr w:type="gramEnd"/>
            <w:r w:rsidRPr="00DC5278">
              <w:rPr>
                <w:color w:val="000000"/>
              </w:rPr>
              <w:t xml:space="preserve"> phasing </w:t>
            </w:r>
          </w:p>
        </w:tc>
        <w:tc>
          <w:tcPr>
            <w:tcW w:w="992" w:type="dxa"/>
            <w:tcBorders>
              <w:top w:val="nil"/>
              <w:left w:val="nil"/>
              <w:bottom w:val="nil"/>
              <w:right w:val="nil"/>
            </w:tcBorders>
            <w:shd w:val="clear" w:color="000000" w:fill="FFFFFF"/>
            <w:noWrap/>
            <w:vAlign w:val="center"/>
            <w:hideMark/>
          </w:tcPr>
          <w:p w14:paraId="74038086" w14:textId="77777777" w:rsidR="000740C4" w:rsidRPr="00DC5278" w:rsidRDefault="000740C4" w:rsidP="0085547B">
            <w:pPr>
              <w:suppressAutoHyphens/>
              <w:jc w:val="right"/>
              <w:rPr>
                <w:color w:val="000000"/>
              </w:rPr>
            </w:pPr>
            <w:r w:rsidRPr="00DC5278">
              <w:rPr>
                <w:color w:val="000000"/>
              </w:rPr>
              <w:t>210</w:t>
            </w:r>
          </w:p>
        </w:tc>
        <w:tc>
          <w:tcPr>
            <w:tcW w:w="993" w:type="dxa"/>
            <w:tcBorders>
              <w:top w:val="nil"/>
              <w:left w:val="nil"/>
              <w:bottom w:val="nil"/>
              <w:right w:val="nil"/>
            </w:tcBorders>
            <w:shd w:val="clear" w:color="000000" w:fill="FFFFFF"/>
            <w:noWrap/>
            <w:vAlign w:val="center"/>
            <w:hideMark/>
          </w:tcPr>
          <w:p w14:paraId="74038087" w14:textId="77777777" w:rsidR="000740C4" w:rsidRPr="00DC5278" w:rsidRDefault="000740C4" w:rsidP="0085547B">
            <w:pPr>
              <w:suppressAutoHyphens/>
              <w:jc w:val="right"/>
              <w:rPr>
                <w:color w:val="000000"/>
              </w:rPr>
            </w:pPr>
            <w:r w:rsidRPr="00DC5278">
              <w:rPr>
                <w:color w:val="000000"/>
              </w:rPr>
              <w:t>3.5%</w:t>
            </w:r>
          </w:p>
        </w:tc>
        <w:tc>
          <w:tcPr>
            <w:tcW w:w="1413" w:type="dxa"/>
            <w:tcBorders>
              <w:top w:val="nil"/>
              <w:left w:val="nil"/>
              <w:bottom w:val="nil"/>
              <w:right w:val="nil"/>
            </w:tcBorders>
            <w:shd w:val="clear" w:color="000000" w:fill="FFFFFF"/>
            <w:noWrap/>
            <w:vAlign w:val="center"/>
            <w:hideMark/>
          </w:tcPr>
          <w:p w14:paraId="74038088" w14:textId="77777777" w:rsidR="000740C4" w:rsidRPr="00DC5278" w:rsidRDefault="000740C4" w:rsidP="0085547B">
            <w:pPr>
              <w:suppressAutoHyphens/>
              <w:jc w:val="right"/>
              <w:rPr>
                <w:color w:val="000000"/>
              </w:rPr>
            </w:pPr>
            <w:r w:rsidRPr="00DC5278">
              <w:rPr>
                <w:color w:val="000000"/>
              </w:rPr>
              <w:t>96.5%</w:t>
            </w:r>
          </w:p>
        </w:tc>
      </w:tr>
      <w:tr w:rsidR="000740C4" w:rsidRPr="00DC5278" w14:paraId="7403808E" w14:textId="77777777" w:rsidTr="0085547B">
        <w:trPr>
          <w:trHeight w:val="255"/>
          <w:jc w:val="center"/>
        </w:trPr>
        <w:tc>
          <w:tcPr>
            <w:tcW w:w="4448" w:type="dxa"/>
            <w:tcBorders>
              <w:top w:val="nil"/>
              <w:left w:val="nil"/>
              <w:bottom w:val="nil"/>
              <w:right w:val="nil"/>
            </w:tcBorders>
            <w:shd w:val="clear" w:color="000000" w:fill="FFFFFF"/>
            <w:noWrap/>
            <w:vAlign w:val="center"/>
            <w:hideMark/>
          </w:tcPr>
          <w:p w14:paraId="7403808A" w14:textId="77777777" w:rsidR="000740C4" w:rsidRPr="00DC5278" w:rsidRDefault="000740C4" w:rsidP="0085547B">
            <w:pPr>
              <w:suppressAutoHyphens/>
              <w:rPr>
                <w:color w:val="000000"/>
              </w:rPr>
            </w:pPr>
            <w:r w:rsidRPr="00DC5278">
              <w:rPr>
                <w:color w:val="000000"/>
              </w:rPr>
              <w:t xml:space="preserve">C: </w:t>
            </w:r>
            <w:proofErr w:type="gramStart"/>
            <w:r w:rsidRPr="00DC5278">
              <w:rPr>
                <w:color w:val="000000"/>
              </w:rPr>
              <w:t>4 year</w:t>
            </w:r>
            <w:proofErr w:type="gramEnd"/>
            <w:r w:rsidRPr="00DC5278">
              <w:rPr>
                <w:color w:val="000000"/>
              </w:rPr>
              <w:t xml:space="preserve"> phasing </w:t>
            </w:r>
          </w:p>
        </w:tc>
        <w:tc>
          <w:tcPr>
            <w:tcW w:w="992" w:type="dxa"/>
            <w:tcBorders>
              <w:top w:val="nil"/>
              <w:left w:val="nil"/>
              <w:bottom w:val="nil"/>
              <w:right w:val="nil"/>
            </w:tcBorders>
            <w:shd w:val="clear" w:color="000000" w:fill="FFFFFF"/>
            <w:noWrap/>
            <w:vAlign w:val="center"/>
            <w:hideMark/>
          </w:tcPr>
          <w:p w14:paraId="7403808B" w14:textId="77777777" w:rsidR="000740C4" w:rsidRPr="00DC5278" w:rsidRDefault="000740C4" w:rsidP="0085547B">
            <w:pPr>
              <w:suppressAutoHyphens/>
              <w:jc w:val="right"/>
              <w:rPr>
                <w:color w:val="000000"/>
              </w:rPr>
            </w:pPr>
            <w:r w:rsidRPr="00DC5278">
              <w:rPr>
                <w:color w:val="000000"/>
              </w:rPr>
              <w:t>200</w:t>
            </w:r>
          </w:p>
        </w:tc>
        <w:tc>
          <w:tcPr>
            <w:tcW w:w="993" w:type="dxa"/>
            <w:tcBorders>
              <w:top w:val="nil"/>
              <w:left w:val="nil"/>
              <w:bottom w:val="nil"/>
              <w:right w:val="nil"/>
            </w:tcBorders>
            <w:shd w:val="clear" w:color="000000" w:fill="FFFFFF"/>
            <w:noWrap/>
            <w:vAlign w:val="center"/>
            <w:hideMark/>
          </w:tcPr>
          <w:p w14:paraId="7403808C" w14:textId="77777777" w:rsidR="000740C4" w:rsidRPr="00DC5278" w:rsidRDefault="000740C4" w:rsidP="0085547B">
            <w:pPr>
              <w:suppressAutoHyphens/>
              <w:jc w:val="right"/>
              <w:rPr>
                <w:color w:val="000000"/>
              </w:rPr>
            </w:pPr>
            <w:r w:rsidRPr="00DC5278">
              <w:rPr>
                <w:color w:val="000000"/>
              </w:rPr>
              <w:t>3.3%</w:t>
            </w:r>
          </w:p>
        </w:tc>
        <w:tc>
          <w:tcPr>
            <w:tcW w:w="1413" w:type="dxa"/>
            <w:tcBorders>
              <w:top w:val="nil"/>
              <w:left w:val="nil"/>
              <w:bottom w:val="nil"/>
              <w:right w:val="nil"/>
            </w:tcBorders>
            <w:shd w:val="clear" w:color="000000" w:fill="FFFFFF"/>
            <w:noWrap/>
            <w:vAlign w:val="center"/>
            <w:hideMark/>
          </w:tcPr>
          <w:p w14:paraId="7403808D" w14:textId="77777777" w:rsidR="000740C4" w:rsidRPr="00DC5278" w:rsidRDefault="000740C4" w:rsidP="0085547B">
            <w:pPr>
              <w:suppressAutoHyphens/>
              <w:jc w:val="right"/>
              <w:rPr>
                <w:color w:val="000000"/>
              </w:rPr>
            </w:pPr>
            <w:r w:rsidRPr="00DC5278">
              <w:rPr>
                <w:color w:val="000000"/>
              </w:rPr>
              <w:t>99.9%</w:t>
            </w:r>
          </w:p>
        </w:tc>
      </w:tr>
      <w:tr w:rsidR="000740C4" w:rsidRPr="00DC5278" w14:paraId="74038093" w14:textId="77777777" w:rsidTr="0085547B">
        <w:trPr>
          <w:trHeight w:val="510"/>
          <w:jc w:val="center"/>
        </w:trPr>
        <w:tc>
          <w:tcPr>
            <w:tcW w:w="4448" w:type="dxa"/>
            <w:tcBorders>
              <w:top w:val="nil"/>
              <w:left w:val="nil"/>
              <w:bottom w:val="nil"/>
              <w:right w:val="nil"/>
            </w:tcBorders>
            <w:vAlign w:val="bottom"/>
            <w:hideMark/>
          </w:tcPr>
          <w:p w14:paraId="7403808F" w14:textId="77777777" w:rsidR="000740C4" w:rsidRPr="00DC5278" w:rsidRDefault="000740C4" w:rsidP="0085547B">
            <w:pPr>
              <w:suppressAutoHyphens/>
              <w:rPr>
                <w:color w:val="000000"/>
              </w:rPr>
            </w:pPr>
            <w:r w:rsidRPr="00DC5278">
              <w:rPr>
                <w:color w:val="000000"/>
              </w:rPr>
              <w:t>D: Used car tariff (ad valorem component eliminated, specific tariff remains)</w:t>
            </w:r>
          </w:p>
        </w:tc>
        <w:tc>
          <w:tcPr>
            <w:tcW w:w="992" w:type="dxa"/>
            <w:tcBorders>
              <w:top w:val="nil"/>
              <w:left w:val="nil"/>
              <w:bottom w:val="nil"/>
              <w:right w:val="nil"/>
            </w:tcBorders>
            <w:shd w:val="clear" w:color="000000" w:fill="FFFFFF"/>
            <w:noWrap/>
            <w:vAlign w:val="center"/>
            <w:hideMark/>
          </w:tcPr>
          <w:p w14:paraId="74038090" w14:textId="77777777" w:rsidR="000740C4" w:rsidRPr="00DC5278" w:rsidRDefault="000740C4" w:rsidP="0085547B">
            <w:pPr>
              <w:suppressAutoHyphens/>
              <w:jc w:val="right"/>
              <w:rPr>
                <w:color w:val="000000"/>
              </w:rPr>
            </w:pPr>
            <w:r w:rsidRPr="00DC5278">
              <w:rPr>
                <w:color w:val="000000"/>
              </w:rPr>
              <w:t>8</w:t>
            </w:r>
          </w:p>
        </w:tc>
        <w:tc>
          <w:tcPr>
            <w:tcW w:w="993" w:type="dxa"/>
            <w:tcBorders>
              <w:top w:val="nil"/>
              <w:left w:val="nil"/>
              <w:bottom w:val="nil"/>
              <w:right w:val="nil"/>
            </w:tcBorders>
            <w:shd w:val="clear" w:color="000000" w:fill="FFFFFF"/>
            <w:noWrap/>
            <w:vAlign w:val="center"/>
            <w:hideMark/>
          </w:tcPr>
          <w:p w14:paraId="74038091" w14:textId="77777777" w:rsidR="000740C4" w:rsidRPr="00DC5278" w:rsidRDefault="000740C4" w:rsidP="0085547B">
            <w:pPr>
              <w:suppressAutoHyphens/>
              <w:jc w:val="right"/>
              <w:rPr>
                <w:color w:val="000000"/>
              </w:rPr>
            </w:pPr>
            <w:r w:rsidRPr="00DC5278">
              <w:rPr>
                <w:color w:val="000000"/>
              </w:rPr>
              <w:t>0.1%</w:t>
            </w:r>
          </w:p>
        </w:tc>
        <w:tc>
          <w:tcPr>
            <w:tcW w:w="1413" w:type="dxa"/>
            <w:tcBorders>
              <w:top w:val="nil"/>
              <w:left w:val="nil"/>
              <w:bottom w:val="nil"/>
              <w:right w:val="nil"/>
            </w:tcBorders>
            <w:shd w:val="clear" w:color="000000" w:fill="FFFFFF"/>
            <w:noWrap/>
            <w:vAlign w:val="center"/>
            <w:hideMark/>
          </w:tcPr>
          <w:p w14:paraId="74038092" w14:textId="77777777" w:rsidR="000740C4" w:rsidRPr="00DC5278" w:rsidRDefault="000740C4" w:rsidP="0085547B">
            <w:pPr>
              <w:suppressAutoHyphens/>
              <w:jc w:val="right"/>
              <w:rPr>
                <w:color w:val="000000"/>
              </w:rPr>
            </w:pPr>
            <w:r w:rsidRPr="00DC5278">
              <w:rPr>
                <w:color w:val="000000"/>
              </w:rPr>
              <w:t>100.0%</w:t>
            </w:r>
          </w:p>
        </w:tc>
      </w:tr>
      <w:tr w:rsidR="000740C4" w:rsidRPr="00DC5278" w14:paraId="74038098" w14:textId="77777777" w:rsidTr="0085547B">
        <w:trPr>
          <w:trHeight w:val="270"/>
          <w:jc w:val="center"/>
        </w:trPr>
        <w:tc>
          <w:tcPr>
            <w:tcW w:w="4448" w:type="dxa"/>
            <w:tcBorders>
              <w:top w:val="nil"/>
              <w:left w:val="nil"/>
              <w:bottom w:val="single" w:sz="8" w:space="0" w:color="auto"/>
              <w:right w:val="nil"/>
            </w:tcBorders>
            <w:noWrap/>
            <w:vAlign w:val="bottom"/>
            <w:hideMark/>
          </w:tcPr>
          <w:p w14:paraId="74038094" w14:textId="77777777" w:rsidR="000740C4" w:rsidRPr="00DC5278" w:rsidRDefault="000740C4" w:rsidP="0085547B">
            <w:pPr>
              <w:suppressAutoHyphens/>
              <w:rPr>
                <w:color w:val="000000"/>
              </w:rPr>
            </w:pPr>
            <w:r w:rsidRPr="00DC5278">
              <w:rPr>
                <w:color w:val="000000"/>
              </w:rPr>
              <w:t>Total</w:t>
            </w:r>
          </w:p>
        </w:tc>
        <w:tc>
          <w:tcPr>
            <w:tcW w:w="992" w:type="dxa"/>
            <w:tcBorders>
              <w:top w:val="nil"/>
              <w:left w:val="nil"/>
              <w:bottom w:val="single" w:sz="8" w:space="0" w:color="auto"/>
              <w:right w:val="nil"/>
            </w:tcBorders>
            <w:shd w:val="clear" w:color="000000" w:fill="FFFFFF"/>
            <w:noWrap/>
            <w:vAlign w:val="center"/>
            <w:hideMark/>
          </w:tcPr>
          <w:p w14:paraId="74038095" w14:textId="77777777" w:rsidR="000740C4" w:rsidRPr="00DC5278" w:rsidRDefault="000740C4" w:rsidP="0085547B">
            <w:pPr>
              <w:suppressAutoHyphens/>
              <w:jc w:val="right"/>
              <w:rPr>
                <w:color w:val="000000"/>
              </w:rPr>
            </w:pPr>
            <w:r w:rsidRPr="00DC5278">
              <w:rPr>
                <w:color w:val="000000"/>
              </w:rPr>
              <w:t>6,008</w:t>
            </w:r>
          </w:p>
        </w:tc>
        <w:tc>
          <w:tcPr>
            <w:tcW w:w="993" w:type="dxa"/>
            <w:tcBorders>
              <w:top w:val="nil"/>
              <w:left w:val="nil"/>
              <w:bottom w:val="single" w:sz="8" w:space="0" w:color="auto"/>
              <w:right w:val="nil"/>
            </w:tcBorders>
            <w:shd w:val="clear" w:color="000000" w:fill="FFFFFF"/>
            <w:noWrap/>
            <w:vAlign w:val="center"/>
            <w:hideMark/>
          </w:tcPr>
          <w:p w14:paraId="74038096" w14:textId="77777777" w:rsidR="000740C4" w:rsidRPr="00DC5278" w:rsidRDefault="000740C4" w:rsidP="0085547B">
            <w:pPr>
              <w:suppressAutoHyphens/>
              <w:jc w:val="right"/>
              <w:rPr>
                <w:color w:val="000000"/>
              </w:rPr>
            </w:pPr>
            <w:r w:rsidRPr="00DC5278">
              <w:rPr>
                <w:color w:val="000000"/>
              </w:rPr>
              <w:t>100.0%</w:t>
            </w:r>
          </w:p>
        </w:tc>
        <w:tc>
          <w:tcPr>
            <w:tcW w:w="1413" w:type="dxa"/>
            <w:tcBorders>
              <w:top w:val="nil"/>
              <w:left w:val="nil"/>
              <w:bottom w:val="single" w:sz="8" w:space="0" w:color="auto"/>
              <w:right w:val="nil"/>
            </w:tcBorders>
            <w:shd w:val="clear" w:color="000000" w:fill="FFFFFF"/>
            <w:noWrap/>
            <w:vAlign w:val="center"/>
            <w:hideMark/>
          </w:tcPr>
          <w:p w14:paraId="74038097" w14:textId="77777777" w:rsidR="000740C4" w:rsidRPr="00DC5278" w:rsidRDefault="000740C4" w:rsidP="0085547B">
            <w:pPr>
              <w:suppressAutoHyphens/>
              <w:jc w:val="right"/>
              <w:rPr>
                <w:color w:val="000000"/>
              </w:rPr>
            </w:pPr>
            <w:r w:rsidRPr="00DC5278">
              <w:rPr>
                <w:color w:val="000000"/>
              </w:rPr>
              <w:t>100.0%</w:t>
            </w:r>
          </w:p>
        </w:tc>
      </w:tr>
    </w:tbl>
    <w:p w14:paraId="74038099" w14:textId="77777777" w:rsidR="00426123" w:rsidRPr="00DC5278" w:rsidRDefault="00426123" w:rsidP="0085547B">
      <w:pPr>
        <w:pStyle w:val="BodyA"/>
        <w:suppressAutoHyphens/>
        <w:rPr>
          <w:rFonts w:ascii="Times New Roman" w:eastAsia="Times New Roman" w:hAnsi="Times New Roman" w:cs="Times New Roman"/>
          <w:color w:val="auto"/>
          <w:sz w:val="24"/>
          <w:szCs w:val="24"/>
          <w:lang w:val="en-AU"/>
        </w:rPr>
      </w:pPr>
    </w:p>
    <w:p w14:paraId="7403809A" w14:textId="5459D276" w:rsidR="00426123" w:rsidRPr="00DC5278" w:rsidRDefault="00426123" w:rsidP="0085547B">
      <w:pPr>
        <w:pStyle w:val="BodyA"/>
        <w:keepNext/>
        <w:suppressAutoHyphens/>
        <w:rPr>
          <w:rFonts w:ascii="Times New Roman" w:eastAsia="Times New Roman" w:hAnsi="Times New Roman" w:cs="Times New Roman"/>
          <w:b/>
          <w:i/>
          <w:color w:val="auto"/>
          <w:sz w:val="24"/>
          <w:szCs w:val="24"/>
          <w:lang w:val="en-AU"/>
        </w:rPr>
      </w:pPr>
      <w:r w:rsidRPr="00DC5278">
        <w:rPr>
          <w:rFonts w:ascii="Times New Roman" w:eastAsia="Times New Roman" w:hAnsi="Times New Roman" w:cs="Times New Roman"/>
          <w:b/>
          <w:i/>
          <w:color w:val="auto"/>
          <w:sz w:val="24"/>
          <w:szCs w:val="24"/>
          <w:lang w:val="en-AU"/>
        </w:rPr>
        <w:t xml:space="preserve">Impact on </w:t>
      </w:r>
      <w:r w:rsidR="00544FC6">
        <w:rPr>
          <w:rFonts w:ascii="Times New Roman" w:eastAsia="Times New Roman" w:hAnsi="Times New Roman" w:cs="Times New Roman"/>
          <w:b/>
          <w:i/>
          <w:color w:val="auto"/>
          <w:sz w:val="24"/>
          <w:szCs w:val="24"/>
          <w:lang w:val="en-AU"/>
        </w:rPr>
        <w:t>i</w:t>
      </w:r>
      <w:r w:rsidRPr="00DC5278">
        <w:rPr>
          <w:rFonts w:ascii="Times New Roman" w:eastAsia="Times New Roman" w:hAnsi="Times New Roman" w:cs="Times New Roman"/>
          <w:b/>
          <w:i/>
          <w:color w:val="auto"/>
          <w:sz w:val="24"/>
          <w:szCs w:val="24"/>
          <w:lang w:val="en-AU"/>
        </w:rPr>
        <w:t>nvestment</w:t>
      </w:r>
    </w:p>
    <w:p w14:paraId="7403809B" w14:textId="77777777" w:rsidR="00426123" w:rsidRPr="00DC5278" w:rsidRDefault="00426123" w:rsidP="0085547B">
      <w:pPr>
        <w:pStyle w:val="BodyA"/>
        <w:keepNext/>
        <w:suppressAutoHyphens/>
        <w:rPr>
          <w:rFonts w:ascii="Times New Roman" w:eastAsia="Times New Roman" w:hAnsi="Times New Roman" w:cs="Times New Roman"/>
          <w:b/>
          <w:i/>
          <w:color w:val="auto"/>
          <w:sz w:val="24"/>
          <w:szCs w:val="24"/>
          <w:lang w:val="en-AU"/>
        </w:rPr>
      </w:pPr>
    </w:p>
    <w:p w14:paraId="7403809C" w14:textId="2A9D1C4A" w:rsidR="00214009" w:rsidRPr="00DC5278" w:rsidRDefault="005B6B31" w:rsidP="00BD58FB">
      <w:pPr>
        <w:pStyle w:val="BodyA"/>
        <w:keepNext/>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u w:color="414042"/>
          <w:lang w:val="en-AU"/>
        </w:rPr>
        <w:t xml:space="preserve">The </w:t>
      </w:r>
      <w:r w:rsidR="00240F08">
        <w:rPr>
          <w:rFonts w:ascii="Times New Roman" w:hAnsi="Times New Roman" w:cs="Times New Roman"/>
          <w:color w:val="auto"/>
          <w:sz w:val="24"/>
          <w:szCs w:val="24"/>
          <w:u w:color="414042"/>
          <w:lang w:val="en-AU"/>
        </w:rPr>
        <w:t>TPP-11</w:t>
      </w:r>
      <w:r w:rsidRPr="00DC5278">
        <w:rPr>
          <w:rFonts w:ascii="Times New Roman" w:hAnsi="Times New Roman" w:cs="Times New Roman"/>
          <w:color w:val="auto"/>
          <w:sz w:val="24"/>
          <w:szCs w:val="24"/>
          <w:u w:color="414042"/>
          <w:lang w:val="en-AU"/>
        </w:rPr>
        <w:t xml:space="preserve">’s rules to protect and promote foreign investment are contemporary and robust. </w:t>
      </w:r>
      <w:r w:rsidR="0085547B" w:rsidRPr="00DC5278">
        <w:rPr>
          <w:rFonts w:ascii="Times New Roman" w:hAnsi="Times New Roman" w:cs="Times New Roman"/>
          <w:color w:val="auto"/>
          <w:sz w:val="24"/>
          <w:szCs w:val="24"/>
          <w:u w:color="414042"/>
          <w:lang w:val="en-AU"/>
        </w:rPr>
        <w:t xml:space="preserve"> </w:t>
      </w:r>
      <w:r w:rsidRPr="00DC5278">
        <w:rPr>
          <w:rFonts w:ascii="Times New Roman" w:hAnsi="Times New Roman" w:cs="Times New Roman"/>
          <w:color w:val="auto"/>
          <w:sz w:val="24"/>
          <w:szCs w:val="24"/>
          <w:u w:color="414042"/>
          <w:lang w:val="en-AU"/>
        </w:rPr>
        <w:t xml:space="preserve">In embracing these, Australia demonstrates that it understands and values the role of investment for our economy – in driving competition, productivity and innovation. </w:t>
      </w:r>
      <w:r w:rsidR="0085547B" w:rsidRPr="00DC5278">
        <w:rPr>
          <w:rFonts w:ascii="Times New Roman" w:hAnsi="Times New Roman" w:cs="Times New Roman"/>
          <w:color w:val="auto"/>
          <w:sz w:val="24"/>
          <w:szCs w:val="24"/>
          <w:u w:color="414042"/>
          <w:lang w:val="en-AU"/>
        </w:rPr>
        <w:t xml:space="preserve"> </w:t>
      </w:r>
      <w:r w:rsidRPr="00DC5278">
        <w:rPr>
          <w:rFonts w:ascii="Times New Roman" w:hAnsi="Times New Roman" w:cs="Times New Roman"/>
          <w:color w:val="auto"/>
          <w:sz w:val="24"/>
          <w:szCs w:val="24"/>
          <w:u w:color="414042"/>
          <w:lang w:val="en-AU"/>
        </w:rPr>
        <w:t xml:space="preserve">The </w:t>
      </w:r>
      <w:r w:rsidR="00684946" w:rsidRPr="00DC5278">
        <w:rPr>
          <w:rFonts w:ascii="Times New Roman" w:hAnsi="Times New Roman" w:cs="Times New Roman"/>
          <w:color w:val="auto"/>
          <w:sz w:val="24"/>
          <w:szCs w:val="24"/>
          <w:u w:color="414042"/>
          <w:lang w:val="en-AU"/>
        </w:rPr>
        <w:t>raising of FIRB gener</w:t>
      </w:r>
      <w:r w:rsidR="00866B7A">
        <w:rPr>
          <w:rFonts w:ascii="Times New Roman" w:hAnsi="Times New Roman" w:cs="Times New Roman"/>
          <w:color w:val="auto"/>
          <w:sz w:val="24"/>
          <w:szCs w:val="24"/>
          <w:u w:color="414042"/>
          <w:lang w:val="en-AU"/>
        </w:rPr>
        <w:t>al screening threshold to $1,134</w:t>
      </w:r>
      <w:r w:rsidR="00684946" w:rsidRPr="00DC5278">
        <w:rPr>
          <w:rFonts w:ascii="Times New Roman" w:hAnsi="Times New Roman" w:cs="Times New Roman"/>
          <w:color w:val="auto"/>
          <w:sz w:val="24"/>
          <w:szCs w:val="24"/>
          <w:u w:color="414042"/>
          <w:lang w:val="en-AU"/>
        </w:rPr>
        <w:t xml:space="preserve"> million for </w:t>
      </w:r>
      <w:r w:rsidRPr="00DC5278">
        <w:rPr>
          <w:rFonts w:ascii="Times New Roman" w:hAnsi="Times New Roman" w:cs="Times New Roman"/>
          <w:color w:val="auto"/>
          <w:sz w:val="24"/>
          <w:szCs w:val="24"/>
          <w:u w:color="414042"/>
          <w:lang w:val="en-AU"/>
        </w:rPr>
        <w:t xml:space="preserve">foreign investment </w:t>
      </w:r>
      <w:r w:rsidR="00684946" w:rsidRPr="00DC5278">
        <w:rPr>
          <w:rFonts w:ascii="Times New Roman" w:hAnsi="Times New Roman" w:cs="Times New Roman"/>
          <w:color w:val="auto"/>
          <w:sz w:val="24"/>
          <w:szCs w:val="24"/>
          <w:u w:color="414042"/>
          <w:lang w:val="en-AU"/>
        </w:rPr>
        <w:t xml:space="preserve">from </w:t>
      </w:r>
      <w:r w:rsidR="00240F08">
        <w:rPr>
          <w:rFonts w:ascii="Times New Roman" w:hAnsi="Times New Roman" w:cs="Times New Roman"/>
          <w:color w:val="auto"/>
          <w:sz w:val="24"/>
          <w:szCs w:val="24"/>
          <w:u w:color="414042"/>
          <w:lang w:val="en-AU"/>
        </w:rPr>
        <w:t>TPP-11</w:t>
      </w:r>
      <w:r w:rsidR="00684946" w:rsidRPr="00DC5278">
        <w:rPr>
          <w:rFonts w:ascii="Times New Roman" w:hAnsi="Times New Roman" w:cs="Times New Roman"/>
          <w:color w:val="auto"/>
          <w:sz w:val="24"/>
          <w:szCs w:val="24"/>
          <w:u w:color="414042"/>
          <w:lang w:val="en-AU"/>
        </w:rPr>
        <w:t xml:space="preserve"> countries </w:t>
      </w:r>
      <w:r w:rsidRPr="00DC5278">
        <w:rPr>
          <w:rFonts w:ascii="Times New Roman" w:hAnsi="Times New Roman" w:cs="Times New Roman"/>
          <w:color w:val="auto"/>
          <w:sz w:val="24"/>
          <w:szCs w:val="24"/>
          <w:u w:color="414042"/>
          <w:lang w:val="en-AU"/>
        </w:rPr>
        <w:t xml:space="preserve">in non-sensitive sectors will further encourage investment into Australia from the </w:t>
      </w:r>
      <w:r w:rsidR="00240F08">
        <w:rPr>
          <w:rFonts w:ascii="Times New Roman" w:hAnsi="Times New Roman" w:cs="Times New Roman"/>
          <w:color w:val="auto"/>
          <w:sz w:val="24"/>
          <w:szCs w:val="24"/>
          <w:u w:color="414042"/>
          <w:lang w:val="en-AU"/>
        </w:rPr>
        <w:t>TPP-11</w:t>
      </w:r>
      <w:r w:rsidRPr="00DC5278">
        <w:rPr>
          <w:rFonts w:ascii="Times New Roman" w:hAnsi="Times New Roman" w:cs="Times New Roman"/>
          <w:color w:val="auto"/>
          <w:sz w:val="24"/>
          <w:szCs w:val="24"/>
          <w:u w:color="414042"/>
          <w:lang w:val="en-AU"/>
        </w:rPr>
        <w:t xml:space="preserve"> region, particularly from financial hubs such as Singapore. </w:t>
      </w:r>
    </w:p>
    <w:p w14:paraId="7403809D" w14:textId="77777777" w:rsidR="00214009" w:rsidRPr="00DC5278" w:rsidRDefault="00214009" w:rsidP="0085547B">
      <w:pPr>
        <w:pStyle w:val="BodyA"/>
        <w:suppressAutoHyphens/>
        <w:ind w:left="660"/>
        <w:rPr>
          <w:rFonts w:ascii="Times New Roman" w:eastAsia="Times New Roman" w:hAnsi="Times New Roman" w:cs="Times New Roman"/>
          <w:color w:val="auto"/>
          <w:sz w:val="24"/>
          <w:szCs w:val="24"/>
          <w:lang w:val="en-AU"/>
        </w:rPr>
      </w:pPr>
    </w:p>
    <w:p w14:paraId="7403809E" w14:textId="7151007D" w:rsidR="00214009" w:rsidRPr="00DC5278" w:rsidRDefault="009E4DAD" w:rsidP="0085547B">
      <w:pPr>
        <w:pStyle w:val="BodyA"/>
        <w:suppressAutoHyphens/>
        <w:rPr>
          <w:rFonts w:ascii="Times New Roman" w:hAnsi="Times New Roman" w:cs="Times New Roman"/>
          <w:b/>
          <w:i/>
          <w:color w:val="auto"/>
          <w:sz w:val="24"/>
          <w:szCs w:val="24"/>
          <w:u w:color="414042"/>
          <w:lang w:val="en-AU"/>
        </w:rPr>
      </w:pPr>
      <w:r w:rsidRPr="00DC5278">
        <w:rPr>
          <w:rFonts w:ascii="Times New Roman" w:hAnsi="Times New Roman" w:cs="Times New Roman"/>
          <w:b/>
          <w:i/>
          <w:color w:val="auto"/>
          <w:sz w:val="24"/>
          <w:szCs w:val="24"/>
          <w:u w:color="414042"/>
          <w:lang w:val="en-AU"/>
        </w:rPr>
        <w:t xml:space="preserve">Impact on </w:t>
      </w:r>
      <w:r w:rsidR="00544FC6">
        <w:rPr>
          <w:rFonts w:ascii="Times New Roman" w:hAnsi="Times New Roman" w:cs="Times New Roman"/>
          <w:b/>
          <w:i/>
          <w:color w:val="auto"/>
          <w:sz w:val="24"/>
          <w:szCs w:val="24"/>
          <w:u w:color="414042"/>
          <w:lang w:val="en-AU"/>
        </w:rPr>
        <w:t>services e</w:t>
      </w:r>
      <w:r w:rsidR="00214009" w:rsidRPr="00DC5278">
        <w:rPr>
          <w:rFonts w:ascii="Times New Roman" w:hAnsi="Times New Roman" w:cs="Times New Roman"/>
          <w:b/>
          <w:i/>
          <w:color w:val="auto"/>
          <w:sz w:val="24"/>
          <w:szCs w:val="24"/>
          <w:u w:color="414042"/>
          <w:lang w:val="en-AU"/>
        </w:rPr>
        <w:t>xports</w:t>
      </w:r>
    </w:p>
    <w:p w14:paraId="7403809F" w14:textId="77777777" w:rsidR="00214009" w:rsidRPr="00DC5278" w:rsidRDefault="00214009" w:rsidP="0085547B">
      <w:pPr>
        <w:pStyle w:val="BodyA"/>
        <w:suppressAutoHyphens/>
        <w:rPr>
          <w:rFonts w:ascii="Times New Roman" w:eastAsia="Times New Roman" w:hAnsi="Times New Roman" w:cs="Times New Roman"/>
          <w:color w:val="auto"/>
          <w:sz w:val="24"/>
          <w:szCs w:val="24"/>
          <w:lang w:val="en-AU"/>
        </w:rPr>
      </w:pPr>
    </w:p>
    <w:p w14:paraId="740380A0" w14:textId="66F338CF" w:rsidR="00214009" w:rsidRPr="00DC5278" w:rsidRDefault="00214009" w:rsidP="00866B7A">
      <w:pPr>
        <w:pStyle w:val="BodyA"/>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u w:color="414042"/>
          <w:lang w:val="en-AU"/>
        </w:rPr>
        <w:t xml:space="preserve">The </w:t>
      </w:r>
      <w:r w:rsidR="00240F08">
        <w:rPr>
          <w:rFonts w:ascii="Times New Roman" w:hAnsi="Times New Roman" w:cs="Times New Roman"/>
          <w:color w:val="auto"/>
          <w:sz w:val="24"/>
          <w:szCs w:val="24"/>
          <w:u w:color="414042"/>
          <w:lang w:val="en-AU"/>
        </w:rPr>
        <w:t>TPP-11</w:t>
      </w:r>
      <w:r w:rsidRPr="00DC5278">
        <w:rPr>
          <w:rFonts w:ascii="Times New Roman" w:hAnsi="Times New Roman" w:cs="Times New Roman"/>
          <w:color w:val="auto"/>
          <w:sz w:val="24"/>
          <w:szCs w:val="24"/>
          <w:u w:color="414042"/>
          <w:lang w:val="en-AU"/>
        </w:rPr>
        <w:t xml:space="preserve"> will contribute to the growth and diversification of Australian exports of services by liberalising barriers and providing more transparent and predictable operating conditions in </w:t>
      </w:r>
      <w:r w:rsidR="00240F08">
        <w:rPr>
          <w:rFonts w:ascii="Times New Roman" w:hAnsi="Times New Roman" w:cs="Times New Roman"/>
          <w:color w:val="auto"/>
          <w:sz w:val="24"/>
          <w:szCs w:val="24"/>
          <w:u w:color="414042"/>
          <w:lang w:val="en-AU"/>
        </w:rPr>
        <w:t>TPP-11</w:t>
      </w:r>
      <w:r w:rsidRPr="00DC5278">
        <w:rPr>
          <w:rFonts w:ascii="Times New Roman" w:hAnsi="Times New Roman" w:cs="Times New Roman"/>
          <w:color w:val="auto"/>
          <w:sz w:val="24"/>
          <w:szCs w:val="24"/>
          <w:u w:color="414042"/>
          <w:lang w:val="en-AU"/>
        </w:rPr>
        <w:t xml:space="preserve"> countries.  </w:t>
      </w:r>
      <w:r w:rsidR="00866B7A" w:rsidRPr="00866B7A">
        <w:rPr>
          <w:rFonts w:ascii="Times New Roman" w:hAnsi="Times New Roman" w:cs="Times New Roman"/>
          <w:color w:val="auto"/>
          <w:sz w:val="24"/>
          <w:szCs w:val="24"/>
          <w:u w:color="414042"/>
          <w:lang w:val="en-AU"/>
        </w:rPr>
        <w:t>Australia’s services exports to TPP-11 countries were worth over $18 billion in 2016-17 (22.5 per cent of total</w:t>
      </w:r>
      <w:r w:rsidR="00866B7A">
        <w:rPr>
          <w:rFonts w:ascii="Times New Roman" w:hAnsi="Times New Roman" w:cs="Times New Roman"/>
          <w:color w:val="auto"/>
          <w:sz w:val="24"/>
          <w:szCs w:val="24"/>
          <w:u w:color="414042"/>
          <w:lang w:val="en-AU"/>
        </w:rPr>
        <w:t xml:space="preserve"> Australian services exports). </w:t>
      </w:r>
      <w:r w:rsidR="00DA6465">
        <w:rPr>
          <w:rFonts w:ascii="Times New Roman" w:hAnsi="Times New Roman" w:cs="Times New Roman"/>
          <w:color w:val="auto"/>
          <w:sz w:val="24"/>
          <w:szCs w:val="24"/>
          <w:u w:color="414042"/>
          <w:lang w:val="en-AU"/>
        </w:rPr>
        <w:t xml:space="preserve"> </w:t>
      </w:r>
      <w:r w:rsidRPr="00DC5278">
        <w:rPr>
          <w:rFonts w:ascii="Times New Roman" w:hAnsi="Times New Roman" w:cs="Times New Roman"/>
          <w:color w:val="auto"/>
          <w:sz w:val="24"/>
          <w:szCs w:val="24"/>
          <w:u w:color="414042"/>
          <w:lang w:val="en-AU"/>
        </w:rPr>
        <w:t>Australians involved in education, finance, ICT, health, transport and logistics, tourism, mining and professional services sectors all stand to benefit from this deal.</w:t>
      </w:r>
    </w:p>
    <w:p w14:paraId="740380A1" w14:textId="77777777" w:rsidR="00E009F5" w:rsidRPr="00DC5278" w:rsidRDefault="00E009F5" w:rsidP="0085547B">
      <w:pPr>
        <w:pStyle w:val="BodyA"/>
        <w:suppressAutoHyphens/>
        <w:rPr>
          <w:rFonts w:ascii="Times New Roman" w:eastAsia="Times New Roman" w:hAnsi="Times New Roman" w:cs="Times New Roman"/>
          <w:color w:val="auto"/>
          <w:sz w:val="24"/>
          <w:szCs w:val="24"/>
          <w:lang w:val="en-AU"/>
        </w:rPr>
      </w:pPr>
    </w:p>
    <w:p w14:paraId="740380A2" w14:textId="0F5672FC" w:rsidR="00E009F5" w:rsidRPr="00DC5278" w:rsidRDefault="00E009F5" w:rsidP="0085547B">
      <w:pPr>
        <w:pStyle w:val="BodyA"/>
        <w:keepNext/>
        <w:suppressAutoHyphens/>
        <w:rPr>
          <w:rFonts w:ascii="Times New Roman" w:hAnsi="Times New Roman" w:cs="Times New Roman"/>
          <w:b/>
          <w:i/>
          <w:color w:val="auto"/>
          <w:sz w:val="24"/>
          <w:szCs w:val="24"/>
          <w:u w:color="414042"/>
          <w:lang w:val="en-AU"/>
        </w:rPr>
      </w:pPr>
      <w:r w:rsidRPr="00DC5278">
        <w:rPr>
          <w:rFonts w:ascii="Times New Roman" w:hAnsi="Times New Roman" w:cs="Times New Roman"/>
          <w:b/>
          <w:i/>
          <w:color w:val="auto"/>
          <w:sz w:val="24"/>
          <w:szCs w:val="24"/>
          <w:u w:color="414042"/>
          <w:lang w:val="en-AU"/>
        </w:rPr>
        <w:t xml:space="preserve">Impact on </w:t>
      </w:r>
      <w:r w:rsidR="00544FC6">
        <w:rPr>
          <w:rFonts w:ascii="Times New Roman" w:hAnsi="Times New Roman" w:cs="Times New Roman"/>
          <w:b/>
          <w:i/>
          <w:color w:val="auto"/>
          <w:sz w:val="24"/>
          <w:szCs w:val="24"/>
          <w:u w:color="414042"/>
          <w:lang w:val="en-AU"/>
        </w:rPr>
        <w:t>domestic services s</w:t>
      </w:r>
      <w:r w:rsidRPr="00DC5278">
        <w:rPr>
          <w:rFonts w:ascii="Times New Roman" w:hAnsi="Times New Roman" w:cs="Times New Roman"/>
          <w:b/>
          <w:i/>
          <w:color w:val="auto"/>
          <w:sz w:val="24"/>
          <w:szCs w:val="24"/>
          <w:u w:color="414042"/>
          <w:lang w:val="en-AU"/>
        </w:rPr>
        <w:t>ectors</w:t>
      </w:r>
    </w:p>
    <w:p w14:paraId="740380A3" w14:textId="77777777" w:rsidR="00E009F5" w:rsidRPr="00DC5278" w:rsidRDefault="00E009F5" w:rsidP="0085547B">
      <w:pPr>
        <w:pStyle w:val="BodyA"/>
        <w:keepNext/>
        <w:suppressAutoHyphens/>
        <w:rPr>
          <w:rFonts w:ascii="Times New Roman" w:eastAsia="Times New Roman" w:hAnsi="Times New Roman" w:cs="Times New Roman"/>
          <w:color w:val="auto"/>
          <w:sz w:val="24"/>
          <w:szCs w:val="24"/>
          <w:lang w:val="en-AU"/>
        </w:rPr>
      </w:pPr>
    </w:p>
    <w:p w14:paraId="740380A4" w14:textId="1E38BD1D" w:rsidR="00E009F5" w:rsidRPr="00DC5278" w:rsidRDefault="00E009F5" w:rsidP="00BD58FB">
      <w:pPr>
        <w:pStyle w:val="BodyA"/>
        <w:keepNext/>
        <w:numPr>
          <w:ilvl w:val="0"/>
          <w:numId w:val="83"/>
        </w:numPr>
        <w:suppressAutoHyphens/>
        <w:rPr>
          <w:rFonts w:ascii="Times New Roman" w:eastAsia="Times New Roman" w:hAnsi="Times New Roman" w:cs="Times New Roman"/>
          <w:color w:val="auto"/>
          <w:sz w:val="24"/>
          <w:szCs w:val="24"/>
          <w:lang w:val="en-AU"/>
        </w:rPr>
      </w:pPr>
      <w:r w:rsidRPr="00DC5278">
        <w:rPr>
          <w:rFonts w:ascii="Times New Roman" w:eastAsia="Times New Roman" w:hAnsi="Times New Roman" w:cs="Times New Roman"/>
          <w:color w:val="auto"/>
          <w:sz w:val="24"/>
          <w:szCs w:val="24"/>
          <w:lang w:val="en-AU"/>
        </w:rPr>
        <w:t xml:space="preserve">The new services market access opportunities created by the </w:t>
      </w:r>
      <w:r w:rsidR="00240F08">
        <w:rPr>
          <w:rFonts w:ascii="Times New Roman" w:eastAsia="Times New Roman" w:hAnsi="Times New Roman" w:cs="Times New Roman"/>
          <w:color w:val="auto"/>
          <w:sz w:val="24"/>
          <w:szCs w:val="24"/>
          <w:lang w:val="en-AU"/>
        </w:rPr>
        <w:t>TPP-11</w:t>
      </w:r>
      <w:r w:rsidRPr="00DC5278">
        <w:rPr>
          <w:rFonts w:ascii="Times New Roman" w:eastAsia="Times New Roman" w:hAnsi="Times New Roman" w:cs="Times New Roman"/>
          <w:color w:val="auto"/>
          <w:sz w:val="24"/>
          <w:szCs w:val="24"/>
          <w:lang w:val="en-AU"/>
        </w:rPr>
        <w:t xml:space="preserve"> will promote a greater export orientation in Australia’s services sectors and increased foreign investment and employment in Australia’s export-focused services industries.  The </w:t>
      </w:r>
      <w:r w:rsidR="00240F08">
        <w:rPr>
          <w:rFonts w:ascii="Times New Roman" w:eastAsia="Times New Roman" w:hAnsi="Times New Roman" w:cs="Times New Roman"/>
          <w:color w:val="auto"/>
          <w:sz w:val="24"/>
          <w:szCs w:val="24"/>
          <w:lang w:val="en-AU"/>
        </w:rPr>
        <w:t>TPP-11</w:t>
      </w:r>
      <w:r w:rsidRPr="00DC5278">
        <w:rPr>
          <w:rFonts w:ascii="Times New Roman" w:eastAsia="Times New Roman" w:hAnsi="Times New Roman" w:cs="Times New Roman"/>
          <w:color w:val="auto"/>
          <w:sz w:val="24"/>
          <w:szCs w:val="24"/>
          <w:lang w:val="en-AU"/>
        </w:rPr>
        <w:t xml:space="preserve"> will not impact on the provision of social </w:t>
      </w:r>
      <w:r w:rsidRPr="00DC5278">
        <w:rPr>
          <w:rFonts w:ascii="Times New Roman" w:eastAsia="Times New Roman" w:hAnsi="Times New Roman" w:cs="Times New Roman"/>
          <w:color w:val="auto"/>
          <w:sz w:val="24"/>
          <w:szCs w:val="24"/>
          <w:lang w:val="en-AU"/>
        </w:rPr>
        <w:lastRenderedPageBreak/>
        <w:t xml:space="preserve">services. </w:t>
      </w:r>
      <w:r w:rsidR="00DA6465">
        <w:rPr>
          <w:rFonts w:ascii="Times New Roman" w:eastAsia="Times New Roman" w:hAnsi="Times New Roman" w:cs="Times New Roman"/>
          <w:color w:val="auto"/>
          <w:sz w:val="24"/>
          <w:szCs w:val="24"/>
          <w:lang w:val="en-AU"/>
        </w:rPr>
        <w:t xml:space="preserve"> </w:t>
      </w:r>
      <w:r w:rsidRPr="00DC5278">
        <w:rPr>
          <w:rFonts w:ascii="Times New Roman" w:eastAsia="Times New Roman" w:hAnsi="Times New Roman" w:cs="Times New Roman"/>
          <w:color w:val="auto"/>
          <w:sz w:val="24"/>
          <w:szCs w:val="24"/>
          <w:lang w:val="en-AU"/>
        </w:rPr>
        <w:t xml:space="preserve">As in other FTAs, Australia has preserved policy space in the </w:t>
      </w:r>
      <w:r w:rsidR="00240F08">
        <w:rPr>
          <w:rFonts w:ascii="Times New Roman" w:eastAsia="Times New Roman" w:hAnsi="Times New Roman" w:cs="Times New Roman"/>
          <w:color w:val="auto"/>
          <w:sz w:val="24"/>
          <w:szCs w:val="24"/>
          <w:lang w:val="en-AU"/>
        </w:rPr>
        <w:t>TPP-11</w:t>
      </w:r>
      <w:r w:rsidRPr="00DC5278">
        <w:rPr>
          <w:rFonts w:ascii="Times New Roman" w:eastAsia="Times New Roman" w:hAnsi="Times New Roman" w:cs="Times New Roman"/>
          <w:color w:val="auto"/>
          <w:sz w:val="24"/>
          <w:szCs w:val="24"/>
          <w:lang w:val="en-AU"/>
        </w:rPr>
        <w:t xml:space="preserve"> with respect to sensitive sectors, such as primary education and audiovisual services.</w:t>
      </w:r>
    </w:p>
    <w:p w14:paraId="740380A5" w14:textId="77777777" w:rsidR="00214009" w:rsidRPr="00DC5278" w:rsidRDefault="00214009" w:rsidP="0085547B">
      <w:pPr>
        <w:pStyle w:val="BodyA"/>
        <w:suppressAutoHyphens/>
        <w:rPr>
          <w:rFonts w:ascii="Times New Roman" w:eastAsia="Times New Roman" w:hAnsi="Times New Roman" w:cs="Times New Roman"/>
          <w:b/>
          <w:i/>
          <w:color w:val="auto"/>
          <w:sz w:val="24"/>
          <w:szCs w:val="24"/>
          <w:lang w:val="en-AU"/>
        </w:rPr>
      </w:pPr>
    </w:p>
    <w:p w14:paraId="740380A6" w14:textId="77777777" w:rsidR="00BC1E8B" w:rsidRPr="00DC5278" w:rsidRDefault="005B6B31" w:rsidP="0085547B">
      <w:pPr>
        <w:pStyle w:val="Body"/>
        <w:suppressAutoHyphens/>
        <w:spacing w:after="200"/>
        <w:rPr>
          <w:rFonts w:hAnsi="Times New Roman" w:cs="Times New Roman"/>
          <w:b/>
          <w:i/>
          <w:color w:val="auto"/>
          <w:u w:color="414042"/>
          <w:lang w:val="en-AU"/>
        </w:rPr>
      </w:pPr>
      <w:r w:rsidRPr="00DC5278">
        <w:rPr>
          <w:rFonts w:hAnsi="Times New Roman" w:cs="Times New Roman"/>
          <w:b/>
          <w:i/>
          <w:color w:val="auto"/>
          <w:u w:color="414042"/>
          <w:lang w:val="en-AU"/>
        </w:rPr>
        <w:t>Incentivising R&amp;D</w:t>
      </w:r>
    </w:p>
    <w:p w14:paraId="740380A7" w14:textId="3CA5879D" w:rsidR="0072791A" w:rsidRPr="00DC5278" w:rsidRDefault="005B6B31" w:rsidP="00BD58FB">
      <w:pPr>
        <w:pStyle w:val="Body"/>
        <w:keepNext/>
        <w:numPr>
          <w:ilvl w:val="0"/>
          <w:numId w:val="83"/>
        </w:numPr>
        <w:suppressAutoHyphens/>
        <w:spacing w:after="200"/>
        <w:rPr>
          <w:rFonts w:hAnsi="Times New Roman" w:cs="Times New Roman"/>
          <w:b/>
          <w:i/>
          <w:color w:val="auto"/>
          <w:u w:color="414042"/>
          <w:lang w:val="en-AU"/>
        </w:rPr>
      </w:pPr>
      <w:r w:rsidRPr="00DC5278">
        <w:rPr>
          <w:rFonts w:hAnsi="Times New Roman" w:cs="Times New Roman"/>
          <w:color w:val="auto"/>
          <w:u w:color="414042"/>
          <w:lang w:val="en-AU"/>
        </w:rPr>
        <w:t xml:space="preserve">The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establishes a common set of rules on </w:t>
      </w:r>
      <w:r w:rsidR="009E4DAD" w:rsidRPr="00DC5278">
        <w:rPr>
          <w:rFonts w:hAnsi="Times New Roman" w:cs="Times New Roman"/>
          <w:color w:val="auto"/>
          <w:u w:color="414042"/>
          <w:lang w:val="en-AU"/>
        </w:rPr>
        <w:t>IP</w:t>
      </w:r>
      <w:r w:rsidRPr="00DC5278">
        <w:rPr>
          <w:rFonts w:hAnsi="Times New Roman" w:cs="Times New Roman"/>
          <w:color w:val="auto"/>
          <w:u w:color="414042"/>
          <w:lang w:val="en-AU"/>
        </w:rPr>
        <w:t xml:space="preserve"> protection and enforcement for the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region.  Knowing that IP rights can be protected and enforced in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markets provides an important incentive for Australia’s businesses and investors to expand their activities in the region.  </w:t>
      </w:r>
    </w:p>
    <w:p w14:paraId="740380A8" w14:textId="0B61D7B6" w:rsidR="00214009" w:rsidRPr="00DC5278" w:rsidRDefault="00544FC6" w:rsidP="0085547B">
      <w:pPr>
        <w:pStyle w:val="Body"/>
        <w:suppressAutoHyphens/>
        <w:spacing w:after="200"/>
        <w:rPr>
          <w:rFonts w:hAnsi="Times New Roman" w:cs="Times New Roman"/>
          <w:b/>
          <w:i/>
          <w:color w:val="auto"/>
          <w:u w:color="414042"/>
          <w:lang w:val="en-AU"/>
        </w:rPr>
      </w:pPr>
      <w:r>
        <w:rPr>
          <w:rFonts w:hAnsi="Times New Roman" w:cs="Times New Roman"/>
          <w:b/>
          <w:i/>
          <w:color w:val="auto"/>
          <w:u w:color="414042"/>
          <w:lang w:val="en-AU"/>
        </w:rPr>
        <w:t>A competitive e</w:t>
      </w:r>
      <w:r w:rsidR="00214009" w:rsidRPr="00DC5278">
        <w:rPr>
          <w:rFonts w:hAnsi="Times New Roman" w:cs="Times New Roman"/>
          <w:b/>
          <w:i/>
          <w:color w:val="auto"/>
          <w:u w:color="414042"/>
          <w:lang w:val="en-AU"/>
        </w:rPr>
        <w:t>nvironment</w:t>
      </w:r>
    </w:p>
    <w:p w14:paraId="740380A9" w14:textId="29A364CF" w:rsidR="00214009" w:rsidRPr="00DC5278" w:rsidRDefault="00214009" w:rsidP="00BD58FB">
      <w:pPr>
        <w:pStyle w:val="Body"/>
        <w:numPr>
          <w:ilvl w:val="0"/>
          <w:numId w:val="83"/>
        </w:numPr>
        <w:suppressAutoHyphens/>
        <w:spacing w:after="200"/>
        <w:rPr>
          <w:rFonts w:hAnsi="Times New Roman" w:cs="Times New Roman"/>
          <w:color w:val="auto"/>
          <w:u w:color="414042"/>
          <w:lang w:val="en-AU"/>
        </w:rPr>
      </w:pPr>
      <w:r w:rsidRPr="00DC5278">
        <w:rPr>
          <w:rFonts w:hAnsi="Times New Roman" w:cs="Times New Roman"/>
          <w:color w:val="auto"/>
          <w:u w:color="414042"/>
          <w:lang w:val="en-AU"/>
        </w:rPr>
        <w:t xml:space="preserve">The Australian business community will be able to benefit from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rules ensuring </w:t>
      </w:r>
      <w:r w:rsidR="00544FC6">
        <w:rPr>
          <w:rFonts w:hAnsi="Times New Roman" w:cs="Times New Roman"/>
          <w:color w:val="auto"/>
          <w:u w:color="414042"/>
          <w:lang w:val="en-AU"/>
        </w:rPr>
        <w:t>SOEs</w:t>
      </w:r>
      <w:r w:rsidRPr="00DC5278">
        <w:rPr>
          <w:rFonts w:hAnsi="Times New Roman" w:cs="Times New Roman"/>
          <w:color w:val="auto"/>
          <w:u w:color="414042"/>
          <w:lang w:val="en-AU"/>
        </w:rPr>
        <w:t xml:space="preserve"> and government-designated monopolies engaged in commercial activities make purchasing and sales decisions </w:t>
      </w:r>
      <w:proofErr w:type="gramStart"/>
      <w:r w:rsidRPr="00DC5278">
        <w:rPr>
          <w:rFonts w:hAnsi="Times New Roman" w:cs="Times New Roman"/>
          <w:color w:val="auto"/>
          <w:u w:color="414042"/>
          <w:lang w:val="en-AU"/>
        </w:rPr>
        <w:t>on the basis of</w:t>
      </w:r>
      <w:proofErr w:type="gramEnd"/>
      <w:r w:rsidRPr="00DC5278">
        <w:rPr>
          <w:rFonts w:hAnsi="Times New Roman" w:cs="Times New Roman"/>
          <w:color w:val="auto"/>
          <w:u w:color="414042"/>
          <w:lang w:val="en-AU"/>
        </w:rPr>
        <w:t xml:space="preserve"> commercial decisions and do not unjustifiably discriminate against suppliers of goo</w:t>
      </w:r>
      <w:r w:rsidR="0085547B" w:rsidRPr="00DC5278">
        <w:rPr>
          <w:rFonts w:hAnsi="Times New Roman" w:cs="Times New Roman"/>
          <w:color w:val="auto"/>
          <w:u w:color="414042"/>
          <w:lang w:val="en-AU"/>
        </w:rPr>
        <w:t xml:space="preserve">ds and services from other </w:t>
      </w:r>
      <w:r w:rsidR="00240F08">
        <w:rPr>
          <w:rFonts w:hAnsi="Times New Roman" w:cs="Times New Roman"/>
          <w:color w:val="auto"/>
          <w:u w:color="414042"/>
          <w:lang w:val="en-AU"/>
        </w:rPr>
        <w:t>TPP-11</w:t>
      </w:r>
      <w:r w:rsidR="0085547B" w:rsidRPr="00DC5278">
        <w:rPr>
          <w:rFonts w:hAnsi="Times New Roman" w:cs="Times New Roman"/>
          <w:color w:val="auto"/>
          <w:u w:color="414042"/>
          <w:lang w:val="en-AU"/>
        </w:rPr>
        <w:t xml:space="preserve"> P</w:t>
      </w:r>
      <w:r w:rsidRPr="00DC5278">
        <w:rPr>
          <w:rFonts w:hAnsi="Times New Roman" w:cs="Times New Roman"/>
          <w:color w:val="auto"/>
          <w:u w:color="414042"/>
          <w:lang w:val="en-AU"/>
        </w:rPr>
        <w:t xml:space="preserve">arties. </w:t>
      </w:r>
      <w:r w:rsidR="0085547B" w:rsidRPr="00DC5278">
        <w:rPr>
          <w:rFonts w:hAnsi="Times New Roman" w:cs="Times New Roman"/>
          <w:color w:val="auto"/>
          <w:u w:color="414042"/>
          <w:lang w:val="en-AU"/>
        </w:rPr>
        <w:t xml:space="preserve"> </w:t>
      </w:r>
      <w:r w:rsidRPr="00DC5278">
        <w:rPr>
          <w:rFonts w:hAnsi="Times New Roman" w:cs="Times New Roman"/>
          <w:color w:val="auto"/>
          <w:u w:color="414042"/>
          <w:lang w:val="en-AU"/>
        </w:rPr>
        <w:t xml:space="preserve">The </w:t>
      </w:r>
      <w:r w:rsidR="00240F08">
        <w:rPr>
          <w:rFonts w:hAnsi="Times New Roman" w:cs="Times New Roman"/>
          <w:color w:val="auto"/>
          <w:u w:color="414042"/>
          <w:lang w:val="en-AU"/>
        </w:rPr>
        <w:t>TPP-11</w:t>
      </w:r>
      <w:r w:rsidRPr="00DC5278">
        <w:rPr>
          <w:rFonts w:hAnsi="Times New Roman" w:cs="Times New Roman"/>
          <w:color w:val="auto"/>
          <w:u w:color="414042"/>
          <w:lang w:val="en-AU"/>
        </w:rPr>
        <w:t xml:space="preserve"> will help to ensure Australian exporters are able to compete on a more level playing field.</w:t>
      </w:r>
    </w:p>
    <w:p w14:paraId="740380AA" w14:textId="6CF40DCF" w:rsidR="00214009" w:rsidRDefault="00DE462F" w:rsidP="0085547B">
      <w:pPr>
        <w:pStyle w:val="Heading"/>
        <w:suppressAutoHyphens/>
        <w:rPr>
          <w:rFonts w:eastAsia="Arial Unicode MS"/>
          <w:color w:val="auto"/>
        </w:rPr>
      </w:pPr>
      <w:bookmarkStart w:id="6" w:name="_Toc508810491"/>
      <w:r w:rsidRPr="008D4C03">
        <w:rPr>
          <w:rFonts w:eastAsia="Arial Unicode MS"/>
          <w:color w:val="auto"/>
        </w:rPr>
        <w:t xml:space="preserve">PART 7: </w:t>
      </w:r>
      <w:r w:rsidR="00214009" w:rsidRPr="008D4C03">
        <w:rPr>
          <w:rFonts w:eastAsia="Arial Unicode MS"/>
          <w:color w:val="auto"/>
        </w:rPr>
        <w:t>CONSULTATION</w:t>
      </w:r>
      <w:bookmarkEnd w:id="6"/>
      <w:r w:rsidR="00214009" w:rsidRPr="008D4C03">
        <w:rPr>
          <w:rFonts w:eastAsia="Arial Unicode MS"/>
          <w:color w:val="auto"/>
        </w:rPr>
        <w:t xml:space="preserve"> </w:t>
      </w:r>
    </w:p>
    <w:p w14:paraId="69C2A6DF" w14:textId="04E2A010" w:rsidR="00CB04C1" w:rsidRPr="00CB04C1" w:rsidRDefault="00CB04C1" w:rsidP="00CB04C1">
      <w:pPr>
        <w:pStyle w:val="ListParagraph"/>
        <w:numPr>
          <w:ilvl w:val="0"/>
          <w:numId w:val="83"/>
        </w:numPr>
        <w:suppressAutoHyphens/>
        <w:spacing w:after="200"/>
        <w:rPr>
          <w:rFonts w:ascii="Times New Roman" w:hAnsi="Times New Roman" w:cs="Times New Roman"/>
          <w:sz w:val="24"/>
          <w:szCs w:val="24"/>
        </w:rPr>
      </w:pPr>
      <w:r w:rsidRPr="00DC5278">
        <w:rPr>
          <w:rFonts w:ascii="Times New Roman" w:hAnsi="Times New Roman" w:cs="Times New Roman"/>
          <w:color w:val="auto"/>
          <w:sz w:val="24"/>
          <w:szCs w:val="24"/>
          <w:lang w:val="en-AU"/>
        </w:rPr>
        <w:t>Stakeholder views were actively encouraged and considered throughout negotiations on the</w:t>
      </w:r>
      <w:r>
        <w:rPr>
          <w:rFonts w:ascii="Times New Roman" w:hAnsi="Times New Roman" w:cs="Times New Roman"/>
          <w:color w:val="auto"/>
          <w:sz w:val="24"/>
          <w:szCs w:val="24"/>
          <w:lang w:val="en-AU"/>
        </w:rPr>
        <w:t xml:space="preserve"> original</w:t>
      </w:r>
      <w:r w:rsidRPr="00DC5278">
        <w:rPr>
          <w:rFonts w:ascii="Times New Roman" w:hAnsi="Times New Roman" w:cs="Times New Roman"/>
          <w:color w:val="auto"/>
          <w:sz w:val="24"/>
          <w:szCs w:val="24"/>
          <w:lang w:val="en-AU"/>
        </w:rPr>
        <w:t xml:space="preserve"> </w:t>
      </w:r>
      <w:r>
        <w:rPr>
          <w:rFonts w:ascii="Times New Roman" w:hAnsi="Times New Roman" w:cs="Times New Roman"/>
          <w:color w:val="auto"/>
          <w:sz w:val="24"/>
          <w:szCs w:val="24"/>
          <w:lang w:val="en-AU"/>
        </w:rPr>
        <w:t>TPP, which spanned many years.</w:t>
      </w:r>
      <w:r w:rsidR="00C21358">
        <w:rPr>
          <w:rFonts w:ascii="Times New Roman" w:hAnsi="Times New Roman" w:cs="Times New Roman"/>
          <w:color w:val="auto"/>
          <w:sz w:val="24"/>
          <w:szCs w:val="24"/>
          <w:lang w:val="en-AU"/>
        </w:rPr>
        <w:t xml:space="preserve"> </w:t>
      </w:r>
      <w:r>
        <w:rPr>
          <w:rFonts w:ascii="Times New Roman" w:hAnsi="Times New Roman" w:cs="Times New Roman"/>
          <w:color w:val="auto"/>
          <w:sz w:val="24"/>
          <w:szCs w:val="24"/>
          <w:lang w:val="en-AU"/>
        </w:rPr>
        <w:t xml:space="preserve">This </w:t>
      </w:r>
      <w:r w:rsidR="00C21358">
        <w:rPr>
          <w:rFonts w:ascii="Times New Roman" w:hAnsi="Times New Roman" w:cs="Times New Roman"/>
          <w:color w:val="auto"/>
          <w:sz w:val="24"/>
          <w:szCs w:val="24"/>
          <w:lang w:val="en-AU"/>
        </w:rPr>
        <w:t xml:space="preserve">consultation process, detailed further below, </w:t>
      </w:r>
      <w:r>
        <w:rPr>
          <w:rFonts w:ascii="Times New Roman" w:hAnsi="Times New Roman" w:cs="Times New Roman"/>
          <w:color w:val="auto"/>
          <w:sz w:val="24"/>
          <w:szCs w:val="24"/>
          <w:lang w:val="en-AU"/>
        </w:rPr>
        <w:t xml:space="preserve">culminated in two parliamentary enquiries, triggered by the tabling of the TPP text </w:t>
      </w:r>
      <w:r w:rsidR="00F978C8">
        <w:rPr>
          <w:rFonts w:ascii="Times New Roman" w:hAnsi="Times New Roman" w:cs="Times New Roman"/>
          <w:color w:val="auto"/>
          <w:sz w:val="24"/>
          <w:szCs w:val="24"/>
          <w:lang w:val="en-AU"/>
        </w:rPr>
        <w:t xml:space="preserve">in the Australian Parliament on </w:t>
      </w:r>
      <w:r>
        <w:rPr>
          <w:rFonts w:ascii="Times New Roman" w:hAnsi="Times New Roman" w:cs="Times New Roman"/>
          <w:color w:val="auto"/>
          <w:sz w:val="24"/>
          <w:szCs w:val="24"/>
          <w:lang w:val="en-AU"/>
        </w:rPr>
        <w:t xml:space="preserve">9 February 2016. </w:t>
      </w:r>
    </w:p>
    <w:p w14:paraId="4252E9EA" w14:textId="2EFC69D6" w:rsidR="00CB04C1" w:rsidRPr="00E46EE2" w:rsidRDefault="00CB04C1" w:rsidP="00CB04C1">
      <w:pPr>
        <w:pStyle w:val="ListParagraph"/>
        <w:numPr>
          <w:ilvl w:val="0"/>
          <w:numId w:val="83"/>
        </w:numPr>
        <w:suppressAutoHyphens/>
        <w:spacing w:after="200"/>
        <w:rPr>
          <w:rFonts w:ascii="Times New Roman" w:hAnsi="Times New Roman" w:cs="Times New Roman"/>
          <w:sz w:val="24"/>
          <w:szCs w:val="24"/>
        </w:rPr>
      </w:pPr>
      <w:r>
        <w:rPr>
          <w:rFonts w:ascii="Times New Roman" w:hAnsi="Times New Roman" w:cs="Times New Roman"/>
          <w:color w:val="auto"/>
          <w:sz w:val="24"/>
          <w:szCs w:val="24"/>
          <w:lang w:val="en-AU"/>
        </w:rPr>
        <w:t xml:space="preserve">The Joint Standing Committee on Treaties (JSCOT) invited submissions from State Premiers, Territory Chief Ministers and Presiding Officers of each Parliament, as well </w:t>
      </w:r>
      <w:r w:rsidR="00E46EE2">
        <w:rPr>
          <w:rFonts w:ascii="Times New Roman" w:hAnsi="Times New Roman" w:cs="Times New Roman"/>
          <w:color w:val="auto"/>
          <w:sz w:val="24"/>
          <w:szCs w:val="24"/>
          <w:lang w:val="en-AU"/>
        </w:rPr>
        <w:t xml:space="preserve">interested individuals and organisations. </w:t>
      </w:r>
      <w:r w:rsidR="004E1DF4">
        <w:rPr>
          <w:rFonts w:ascii="Times New Roman" w:hAnsi="Times New Roman" w:cs="Times New Roman"/>
          <w:color w:val="auto"/>
          <w:sz w:val="24"/>
          <w:szCs w:val="24"/>
          <w:lang w:val="en-AU"/>
        </w:rPr>
        <w:t xml:space="preserve"> </w:t>
      </w:r>
      <w:r w:rsidR="00E46EE2">
        <w:rPr>
          <w:rFonts w:ascii="Times New Roman" w:hAnsi="Times New Roman" w:cs="Times New Roman"/>
          <w:color w:val="auto"/>
          <w:sz w:val="24"/>
          <w:szCs w:val="24"/>
          <w:lang w:val="en-AU"/>
        </w:rPr>
        <w:t xml:space="preserve">JSCOT held public hearings in Canberra, Sydney, Perth and Melbourne throughout 2016. The final JSCOT report on the TPP, tabled on </w:t>
      </w:r>
      <w:r w:rsidR="00DF318A">
        <w:rPr>
          <w:rFonts w:ascii="Times New Roman" w:hAnsi="Times New Roman" w:cs="Times New Roman"/>
          <w:color w:val="auto"/>
          <w:sz w:val="24"/>
          <w:szCs w:val="24"/>
          <w:lang w:val="en-AU"/>
        </w:rPr>
        <w:t>30 November 2016</w:t>
      </w:r>
      <w:r w:rsidR="00E46EE2">
        <w:rPr>
          <w:rFonts w:ascii="Times New Roman" w:hAnsi="Times New Roman" w:cs="Times New Roman"/>
          <w:color w:val="auto"/>
          <w:sz w:val="24"/>
          <w:szCs w:val="24"/>
          <w:lang w:val="en-AU"/>
        </w:rPr>
        <w:t>, records that over 260 submissions were considered by the Committee.</w:t>
      </w:r>
      <w:r w:rsidR="004E1DF4">
        <w:rPr>
          <w:rFonts w:ascii="Times New Roman" w:hAnsi="Times New Roman" w:cs="Times New Roman"/>
          <w:color w:val="auto"/>
          <w:sz w:val="24"/>
          <w:szCs w:val="24"/>
          <w:lang w:val="en-AU"/>
        </w:rPr>
        <w:t xml:space="preserve"> </w:t>
      </w:r>
      <w:r w:rsidR="00E46EE2">
        <w:rPr>
          <w:rFonts w:ascii="Times New Roman" w:hAnsi="Times New Roman" w:cs="Times New Roman"/>
          <w:color w:val="auto"/>
          <w:sz w:val="24"/>
          <w:szCs w:val="24"/>
          <w:lang w:val="en-AU"/>
        </w:rPr>
        <w:t xml:space="preserve"> </w:t>
      </w:r>
      <w:proofErr w:type="gramStart"/>
      <w:r w:rsidR="00E46EE2">
        <w:rPr>
          <w:rFonts w:ascii="Times New Roman" w:hAnsi="Times New Roman" w:cs="Times New Roman"/>
          <w:color w:val="auto"/>
          <w:sz w:val="24"/>
          <w:szCs w:val="24"/>
          <w:lang w:val="en-AU"/>
        </w:rPr>
        <w:t>The majority of</w:t>
      </w:r>
      <w:proofErr w:type="gramEnd"/>
      <w:r w:rsidR="00E46EE2">
        <w:rPr>
          <w:rFonts w:ascii="Times New Roman" w:hAnsi="Times New Roman" w:cs="Times New Roman"/>
          <w:color w:val="auto"/>
          <w:sz w:val="24"/>
          <w:szCs w:val="24"/>
          <w:lang w:val="en-AU"/>
        </w:rPr>
        <w:t xml:space="preserve"> the Committee recommended that ‘binding treaty action be taken’ in relation to the TPP. </w:t>
      </w:r>
    </w:p>
    <w:p w14:paraId="2F1D51FD" w14:textId="6B0F4766" w:rsidR="00AF6514" w:rsidRDefault="007C0FDB" w:rsidP="00CB04C1">
      <w:pPr>
        <w:pStyle w:val="ListParagraph"/>
        <w:numPr>
          <w:ilvl w:val="0"/>
          <w:numId w:val="83"/>
        </w:numPr>
        <w:suppressAutoHyphens/>
        <w:spacing w:after="200"/>
        <w:rPr>
          <w:rFonts w:ascii="Times New Roman" w:hAnsi="Times New Roman" w:cs="Times New Roman"/>
          <w:sz w:val="24"/>
          <w:szCs w:val="24"/>
        </w:rPr>
      </w:pPr>
      <w:r>
        <w:rPr>
          <w:rFonts w:ascii="Times New Roman" w:hAnsi="Times New Roman" w:cs="Times New Roman"/>
          <w:sz w:val="24"/>
          <w:szCs w:val="24"/>
        </w:rPr>
        <w:t xml:space="preserve">On 15 September 2016, the Senate referred an inquiry into the TPP to the Foreign Affairs,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and Trade References </w:t>
      </w:r>
      <w:r w:rsidR="003C7151">
        <w:rPr>
          <w:rFonts w:ascii="Times New Roman" w:hAnsi="Times New Roman" w:cs="Times New Roman"/>
          <w:sz w:val="24"/>
          <w:szCs w:val="24"/>
        </w:rPr>
        <w:t>C</w:t>
      </w:r>
      <w:r>
        <w:rPr>
          <w:rFonts w:ascii="Times New Roman" w:hAnsi="Times New Roman" w:cs="Times New Roman"/>
          <w:sz w:val="24"/>
          <w:szCs w:val="24"/>
        </w:rPr>
        <w:t xml:space="preserve">ommittee. </w:t>
      </w:r>
      <w:r w:rsidR="004E1DF4">
        <w:rPr>
          <w:rFonts w:ascii="Times New Roman" w:hAnsi="Times New Roman" w:cs="Times New Roman"/>
          <w:sz w:val="24"/>
          <w:szCs w:val="24"/>
        </w:rPr>
        <w:t xml:space="preserve"> </w:t>
      </w:r>
      <w:r>
        <w:rPr>
          <w:rFonts w:ascii="Times New Roman" w:hAnsi="Times New Roman" w:cs="Times New Roman"/>
          <w:sz w:val="24"/>
          <w:szCs w:val="24"/>
        </w:rPr>
        <w:t xml:space="preserve">The Committee advertised the inquiry on its website and wrote to individuals and organisations likely to have an interest in the inquiry and invited them to make written submissions. </w:t>
      </w:r>
      <w:r w:rsidR="004E1DF4">
        <w:rPr>
          <w:rFonts w:ascii="Times New Roman" w:hAnsi="Times New Roman" w:cs="Times New Roman"/>
          <w:sz w:val="24"/>
          <w:szCs w:val="24"/>
        </w:rPr>
        <w:t xml:space="preserve"> </w:t>
      </w:r>
      <w:r>
        <w:rPr>
          <w:rFonts w:ascii="Times New Roman" w:hAnsi="Times New Roman" w:cs="Times New Roman"/>
          <w:sz w:val="24"/>
          <w:szCs w:val="24"/>
        </w:rPr>
        <w:t xml:space="preserve">The Committee received over 100 submissions to the </w:t>
      </w:r>
      <w:proofErr w:type="gramStart"/>
      <w:r>
        <w:rPr>
          <w:rFonts w:ascii="Times New Roman" w:hAnsi="Times New Roman" w:cs="Times New Roman"/>
          <w:sz w:val="24"/>
          <w:szCs w:val="24"/>
        </w:rPr>
        <w:t>inquiry, but</w:t>
      </w:r>
      <w:proofErr w:type="gramEnd"/>
      <w:r>
        <w:rPr>
          <w:rFonts w:ascii="Times New Roman" w:hAnsi="Times New Roman" w:cs="Times New Roman"/>
          <w:sz w:val="24"/>
          <w:szCs w:val="24"/>
        </w:rPr>
        <w:t xml:space="preserve"> did not hold a public hearing due to the likelihood that the TPP would not enter into force following the withdrawal of the United States. </w:t>
      </w:r>
      <w:r w:rsidR="004E1DF4">
        <w:rPr>
          <w:rFonts w:ascii="Times New Roman" w:hAnsi="Times New Roman" w:cs="Times New Roman"/>
          <w:sz w:val="24"/>
          <w:szCs w:val="24"/>
        </w:rPr>
        <w:t xml:space="preserve"> </w:t>
      </w:r>
      <w:r>
        <w:rPr>
          <w:rFonts w:ascii="Times New Roman" w:hAnsi="Times New Roman" w:cs="Times New Roman"/>
          <w:sz w:val="24"/>
          <w:szCs w:val="24"/>
        </w:rPr>
        <w:t xml:space="preserve">It nevertheless </w:t>
      </w:r>
      <w:r w:rsidR="00AF6514">
        <w:rPr>
          <w:rFonts w:ascii="Times New Roman" w:hAnsi="Times New Roman" w:cs="Times New Roman"/>
          <w:sz w:val="24"/>
          <w:szCs w:val="24"/>
        </w:rPr>
        <w:t>completed the inquiry ‘on-the-papers’ and recommended that the Australian Government ‘should defer undertaking binding treaty action until the future of the Trans-Pacific Partnership Agreement is clarified through further negotiations with Australia’s major trading partners.’</w:t>
      </w:r>
    </w:p>
    <w:p w14:paraId="68CFE2ED" w14:textId="78ECCFF7" w:rsidR="00E46EE2" w:rsidRPr="00CB04C1" w:rsidRDefault="00B9446D" w:rsidP="00CB04C1">
      <w:pPr>
        <w:pStyle w:val="ListParagraph"/>
        <w:numPr>
          <w:ilvl w:val="0"/>
          <w:numId w:val="83"/>
        </w:numPr>
        <w:suppressAutoHyphens/>
        <w:spacing w:after="200"/>
        <w:rPr>
          <w:rFonts w:ascii="Times New Roman" w:hAnsi="Times New Roman" w:cs="Times New Roman"/>
          <w:sz w:val="24"/>
          <w:szCs w:val="24"/>
        </w:rPr>
      </w:pPr>
      <w:r>
        <w:rPr>
          <w:rFonts w:ascii="Times New Roman" w:hAnsi="Times New Roman" w:cs="Times New Roman"/>
          <w:sz w:val="24"/>
          <w:szCs w:val="24"/>
        </w:rPr>
        <w:t xml:space="preserve">Given that the TPP-11 incorporates the provisions of the original TPP, with a limited number of suspensions, the </w:t>
      </w:r>
      <w:r w:rsidR="005F2E68">
        <w:rPr>
          <w:rFonts w:ascii="Times New Roman" w:hAnsi="Times New Roman" w:cs="Times New Roman"/>
          <w:sz w:val="24"/>
          <w:szCs w:val="24"/>
        </w:rPr>
        <w:t>consultation</w:t>
      </w:r>
      <w:r>
        <w:rPr>
          <w:rFonts w:ascii="Times New Roman" w:hAnsi="Times New Roman" w:cs="Times New Roman"/>
          <w:sz w:val="24"/>
          <w:szCs w:val="24"/>
        </w:rPr>
        <w:t xml:space="preserve"> processes and outcomes of the above parliamentary inqui</w:t>
      </w:r>
      <w:r w:rsidR="003C7151">
        <w:rPr>
          <w:rFonts w:ascii="Times New Roman" w:hAnsi="Times New Roman" w:cs="Times New Roman"/>
          <w:sz w:val="24"/>
          <w:szCs w:val="24"/>
        </w:rPr>
        <w:t>ries remain</w:t>
      </w:r>
      <w:r>
        <w:rPr>
          <w:rFonts w:ascii="Times New Roman" w:hAnsi="Times New Roman" w:cs="Times New Roman"/>
          <w:sz w:val="24"/>
          <w:szCs w:val="24"/>
        </w:rPr>
        <w:t xml:space="preserve"> relevant. </w:t>
      </w:r>
    </w:p>
    <w:p w14:paraId="740380AB" w14:textId="7AB0BD3A" w:rsidR="00214009" w:rsidRPr="00DC5278" w:rsidRDefault="00C375B9" w:rsidP="00DE462F">
      <w:pPr>
        <w:suppressAutoHyphens/>
        <w:spacing w:after="200"/>
        <w:rPr>
          <w:rFonts w:eastAsia="Times New Roman"/>
          <w:b/>
          <w:bCs/>
          <w:i/>
          <w:iCs/>
        </w:rPr>
      </w:pPr>
      <w:r>
        <w:rPr>
          <w:b/>
          <w:bCs/>
          <w:i/>
          <w:iCs/>
        </w:rPr>
        <w:lastRenderedPageBreak/>
        <w:t>Stakeholder consultation</w:t>
      </w:r>
    </w:p>
    <w:p w14:paraId="10B13270" w14:textId="2FEF53D1" w:rsidR="004C5087" w:rsidRPr="008F6867" w:rsidRDefault="00B668A7" w:rsidP="004C5087">
      <w:pPr>
        <w:pStyle w:val="ListParagraph"/>
        <w:numPr>
          <w:ilvl w:val="0"/>
          <w:numId w:val="83"/>
        </w:numPr>
        <w:suppressAutoHyphens/>
        <w:spacing w:after="200"/>
        <w:rPr>
          <w:rFonts w:ascii="Times New Roman" w:hAnsi="Times New Roman" w:cs="Times New Roman"/>
          <w:sz w:val="24"/>
          <w:szCs w:val="24"/>
        </w:rPr>
      </w:pPr>
      <w:r w:rsidRPr="00DC5278">
        <w:rPr>
          <w:rFonts w:ascii="Times New Roman" w:hAnsi="Times New Roman" w:cs="Times New Roman"/>
          <w:color w:val="auto"/>
          <w:sz w:val="24"/>
          <w:szCs w:val="24"/>
          <w:lang w:val="en-AU"/>
        </w:rPr>
        <w:t>Stakeholder views were actively encouraged and considered throughout negotiations on the</w:t>
      </w:r>
      <w:r w:rsidR="0017499F">
        <w:rPr>
          <w:rFonts w:ascii="Times New Roman" w:hAnsi="Times New Roman" w:cs="Times New Roman"/>
          <w:color w:val="auto"/>
          <w:sz w:val="24"/>
          <w:szCs w:val="24"/>
          <w:lang w:val="en-AU"/>
        </w:rPr>
        <w:t xml:space="preserve"> original</w:t>
      </w:r>
      <w:r w:rsidRPr="00DC5278">
        <w:rPr>
          <w:rFonts w:ascii="Times New Roman" w:hAnsi="Times New Roman" w:cs="Times New Roman"/>
          <w:color w:val="auto"/>
          <w:sz w:val="24"/>
          <w:szCs w:val="24"/>
          <w:lang w:val="en-AU"/>
        </w:rPr>
        <w:t xml:space="preserve"> </w:t>
      </w:r>
      <w:r w:rsidR="0017499F">
        <w:rPr>
          <w:rFonts w:ascii="Times New Roman" w:hAnsi="Times New Roman" w:cs="Times New Roman"/>
          <w:color w:val="auto"/>
          <w:sz w:val="24"/>
          <w:szCs w:val="24"/>
          <w:lang w:val="en-AU"/>
        </w:rPr>
        <w:t>TPP and the TPP-11.</w:t>
      </w:r>
    </w:p>
    <w:p w14:paraId="4CB0E225" w14:textId="355EBFDB" w:rsidR="0033053D" w:rsidRPr="0033053D" w:rsidRDefault="0033053D" w:rsidP="0033053D">
      <w:pPr>
        <w:suppressAutoHyphens/>
        <w:spacing w:after="200"/>
        <w:rPr>
          <w:i/>
        </w:rPr>
      </w:pPr>
      <w:r>
        <w:rPr>
          <w:i/>
        </w:rPr>
        <w:t>TPP</w:t>
      </w:r>
    </w:p>
    <w:p w14:paraId="740380AC" w14:textId="243A2EE0" w:rsidR="00B668A7" w:rsidRPr="00DC5278" w:rsidRDefault="00B668A7" w:rsidP="00BD58FB">
      <w:pPr>
        <w:pStyle w:val="ListParagraph"/>
        <w:numPr>
          <w:ilvl w:val="0"/>
          <w:numId w:val="83"/>
        </w:numPr>
        <w:suppressAutoHyphens/>
        <w:spacing w:after="200"/>
        <w:rPr>
          <w:rFonts w:ascii="Times New Roman" w:hAnsi="Times New Roman" w:cs="Times New Roman"/>
          <w:sz w:val="24"/>
          <w:szCs w:val="24"/>
        </w:rPr>
      </w:pPr>
      <w:r w:rsidRPr="00DC5278">
        <w:rPr>
          <w:rFonts w:ascii="Times New Roman" w:hAnsi="Times New Roman" w:cs="Times New Roman"/>
          <w:sz w:val="24"/>
          <w:szCs w:val="24"/>
        </w:rPr>
        <w:t>In November 2008, the Australian Government publicly announced that Australia would parti</w:t>
      </w:r>
      <w:r w:rsidR="005029DC" w:rsidRPr="00DC5278">
        <w:rPr>
          <w:rFonts w:ascii="Times New Roman" w:hAnsi="Times New Roman" w:cs="Times New Roman"/>
          <w:sz w:val="24"/>
          <w:szCs w:val="24"/>
        </w:rPr>
        <w:t>cipate in the</w:t>
      </w:r>
      <w:r w:rsidR="00D51400">
        <w:rPr>
          <w:rFonts w:ascii="Times New Roman" w:hAnsi="Times New Roman" w:cs="Times New Roman"/>
          <w:sz w:val="24"/>
          <w:szCs w:val="24"/>
        </w:rPr>
        <w:t xml:space="preserve"> original</w:t>
      </w:r>
      <w:r w:rsidR="005029DC" w:rsidRPr="00DC5278">
        <w:rPr>
          <w:rFonts w:ascii="Times New Roman" w:hAnsi="Times New Roman" w:cs="Times New Roman"/>
          <w:sz w:val="24"/>
          <w:szCs w:val="24"/>
        </w:rPr>
        <w:t xml:space="preserve"> </w:t>
      </w:r>
      <w:r w:rsidR="00E7088F">
        <w:rPr>
          <w:rFonts w:ascii="Times New Roman" w:hAnsi="Times New Roman" w:cs="Times New Roman"/>
          <w:sz w:val="24"/>
          <w:szCs w:val="24"/>
        </w:rPr>
        <w:t>TPP</w:t>
      </w:r>
      <w:r w:rsidR="005029DC" w:rsidRPr="00DC5278">
        <w:rPr>
          <w:rFonts w:ascii="Times New Roman" w:hAnsi="Times New Roman" w:cs="Times New Roman"/>
          <w:sz w:val="24"/>
          <w:szCs w:val="24"/>
        </w:rPr>
        <w:t xml:space="preserve"> negotiations.  A</w:t>
      </w:r>
      <w:r w:rsidRPr="00DC5278">
        <w:rPr>
          <w:rFonts w:ascii="Times New Roman" w:hAnsi="Times New Roman" w:cs="Times New Roman"/>
          <w:sz w:val="24"/>
          <w:szCs w:val="24"/>
        </w:rPr>
        <w:t xml:space="preserve">ustralia’s decision to participate in the </w:t>
      </w:r>
      <w:r w:rsidR="00E7088F">
        <w:rPr>
          <w:rFonts w:ascii="Times New Roman" w:hAnsi="Times New Roman" w:cs="Times New Roman"/>
          <w:sz w:val="24"/>
          <w:szCs w:val="24"/>
        </w:rPr>
        <w:t>TPP</w:t>
      </w:r>
      <w:r w:rsidRPr="00DC5278">
        <w:rPr>
          <w:rFonts w:ascii="Times New Roman" w:hAnsi="Times New Roman" w:cs="Times New Roman"/>
          <w:sz w:val="24"/>
          <w:szCs w:val="24"/>
        </w:rPr>
        <w:t xml:space="preserve"> negotiations followed extensive consultations involving a wide range of stakeholders and St</w:t>
      </w:r>
      <w:r w:rsidR="005029DC" w:rsidRPr="00DC5278">
        <w:rPr>
          <w:rFonts w:ascii="Times New Roman" w:hAnsi="Times New Roman" w:cs="Times New Roman"/>
          <w:sz w:val="24"/>
          <w:szCs w:val="24"/>
        </w:rPr>
        <w:t xml:space="preserve">ate and Territory Governments. </w:t>
      </w:r>
      <w:r w:rsidRPr="00DC5278">
        <w:rPr>
          <w:rFonts w:ascii="Times New Roman" w:hAnsi="Times New Roman" w:cs="Times New Roman"/>
          <w:b/>
          <w:bCs/>
          <w:sz w:val="24"/>
          <w:szCs w:val="24"/>
        </w:rPr>
        <w:t xml:space="preserve"> </w:t>
      </w:r>
      <w:r w:rsidRPr="00DC5278">
        <w:rPr>
          <w:rFonts w:ascii="Times New Roman" w:hAnsi="Times New Roman" w:cs="Times New Roman"/>
          <w:sz w:val="24"/>
          <w:szCs w:val="24"/>
        </w:rPr>
        <w:t>Ov</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r</w:t>
      </w:r>
      <w:r w:rsidRPr="00DC5278">
        <w:rPr>
          <w:rFonts w:ascii="Times New Roman" w:hAnsi="Times New Roman" w:cs="Times New Roman"/>
          <w:spacing w:val="-2"/>
          <w:sz w:val="24"/>
          <w:szCs w:val="24"/>
        </w:rPr>
        <w:t>a</w:t>
      </w:r>
      <w:r w:rsidRPr="00DC5278">
        <w:rPr>
          <w:rFonts w:ascii="Times New Roman" w:hAnsi="Times New Roman" w:cs="Times New Roman"/>
          <w:sz w:val="24"/>
          <w:szCs w:val="24"/>
        </w:rPr>
        <w:t>l</w:t>
      </w:r>
      <w:r w:rsidRPr="00DC5278">
        <w:rPr>
          <w:rFonts w:ascii="Times New Roman" w:hAnsi="Times New Roman" w:cs="Times New Roman"/>
          <w:spacing w:val="1"/>
          <w:sz w:val="24"/>
          <w:szCs w:val="24"/>
        </w:rPr>
        <w:t>l</w:t>
      </w:r>
      <w:r w:rsidRPr="00DC5278">
        <w:rPr>
          <w:rFonts w:ascii="Times New Roman" w:hAnsi="Times New Roman" w:cs="Times New Roman"/>
          <w:sz w:val="24"/>
          <w:szCs w:val="24"/>
        </w:rPr>
        <w:t>, the</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e</w:t>
      </w:r>
      <w:r w:rsidRPr="00DC5278">
        <w:rPr>
          <w:rFonts w:ascii="Times New Roman" w:hAnsi="Times New Roman" w:cs="Times New Roman"/>
          <w:spacing w:val="-1"/>
          <w:sz w:val="24"/>
          <w:szCs w:val="24"/>
        </w:rPr>
        <w:t xml:space="preserve"> </w:t>
      </w:r>
      <w:r w:rsidRPr="00DC5278">
        <w:rPr>
          <w:rFonts w:ascii="Times New Roman" w:hAnsi="Times New Roman" w:cs="Times New Roman"/>
          <w:spacing w:val="2"/>
          <w:sz w:val="24"/>
          <w:szCs w:val="24"/>
        </w:rPr>
        <w:t>w</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 xml:space="preserve">s </w:t>
      </w:r>
      <w:r w:rsidRPr="00DC5278">
        <w:rPr>
          <w:rFonts w:ascii="Times New Roman" w:hAnsi="Times New Roman" w:cs="Times New Roman"/>
          <w:spacing w:val="1"/>
          <w:sz w:val="24"/>
          <w:szCs w:val="24"/>
        </w:rPr>
        <w:t>w</w:t>
      </w:r>
      <w:r w:rsidRPr="00DC5278">
        <w:rPr>
          <w:rFonts w:ascii="Times New Roman" w:hAnsi="Times New Roman" w:cs="Times New Roman"/>
          <w:sz w:val="24"/>
          <w:szCs w:val="24"/>
        </w:rPr>
        <w:t>idesp</w:t>
      </w:r>
      <w:r w:rsidRPr="00DC5278">
        <w:rPr>
          <w:rFonts w:ascii="Times New Roman" w:hAnsi="Times New Roman" w:cs="Times New Roman"/>
          <w:spacing w:val="1"/>
          <w:sz w:val="24"/>
          <w:szCs w:val="24"/>
        </w:rPr>
        <w:t>r</w:t>
      </w:r>
      <w:r w:rsidRPr="00DC5278">
        <w:rPr>
          <w:rFonts w:ascii="Times New Roman" w:hAnsi="Times New Roman" w:cs="Times New Roman"/>
          <w:spacing w:val="-1"/>
          <w:sz w:val="24"/>
          <w:szCs w:val="24"/>
        </w:rPr>
        <w:t>ea</w:t>
      </w:r>
      <w:r w:rsidRPr="00DC5278">
        <w:rPr>
          <w:rFonts w:ascii="Times New Roman" w:hAnsi="Times New Roman" w:cs="Times New Roman"/>
          <w:sz w:val="24"/>
          <w:szCs w:val="24"/>
        </w:rPr>
        <w:t>d su</w:t>
      </w:r>
      <w:r w:rsidRPr="00DC5278">
        <w:rPr>
          <w:rFonts w:ascii="Times New Roman" w:hAnsi="Times New Roman" w:cs="Times New Roman"/>
          <w:spacing w:val="2"/>
          <w:sz w:val="24"/>
          <w:szCs w:val="24"/>
        </w:rPr>
        <w:t>p</w:t>
      </w:r>
      <w:r w:rsidRPr="00DC5278">
        <w:rPr>
          <w:rFonts w:ascii="Times New Roman" w:hAnsi="Times New Roman" w:cs="Times New Roman"/>
          <w:sz w:val="24"/>
          <w:szCs w:val="24"/>
        </w:rPr>
        <w:t xml:space="preserve">port </w:t>
      </w:r>
      <w:r w:rsidRPr="00DC5278">
        <w:rPr>
          <w:rFonts w:ascii="Times New Roman" w:hAnsi="Times New Roman" w:cs="Times New Roman"/>
          <w:spacing w:val="-1"/>
          <w:sz w:val="24"/>
          <w:szCs w:val="24"/>
        </w:rPr>
        <w:t>f</w:t>
      </w:r>
      <w:r w:rsidRPr="00DC5278">
        <w:rPr>
          <w:rFonts w:ascii="Times New Roman" w:hAnsi="Times New Roman" w:cs="Times New Roman"/>
          <w:sz w:val="24"/>
          <w:szCs w:val="24"/>
        </w:rPr>
        <w:t>or</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Austr</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l</w:t>
      </w:r>
      <w:r w:rsidRPr="00DC5278">
        <w:rPr>
          <w:rFonts w:ascii="Times New Roman" w:hAnsi="Times New Roman" w:cs="Times New Roman"/>
          <w:spacing w:val="1"/>
          <w:sz w:val="24"/>
          <w:szCs w:val="24"/>
        </w:rPr>
        <w:t>ia’</w:t>
      </w:r>
      <w:r w:rsidRPr="00DC5278">
        <w:rPr>
          <w:rFonts w:ascii="Times New Roman" w:hAnsi="Times New Roman" w:cs="Times New Roman"/>
          <w:sz w:val="24"/>
          <w:szCs w:val="24"/>
        </w:rPr>
        <w:t>s pa</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t</w:t>
      </w:r>
      <w:r w:rsidRPr="00DC5278">
        <w:rPr>
          <w:rFonts w:ascii="Times New Roman" w:hAnsi="Times New Roman" w:cs="Times New Roman"/>
          <w:spacing w:val="1"/>
          <w:sz w:val="24"/>
          <w:szCs w:val="24"/>
        </w:rPr>
        <w:t>ic</w:t>
      </w:r>
      <w:r w:rsidRPr="00DC5278">
        <w:rPr>
          <w:rFonts w:ascii="Times New Roman" w:hAnsi="Times New Roman" w:cs="Times New Roman"/>
          <w:sz w:val="24"/>
          <w:szCs w:val="24"/>
        </w:rPr>
        <w:t xml:space="preserve">ipation </w:t>
      </w:r>
      <w:r w:rsidRPr="00DC5278">
        <w:rPr>
          <w:rFonts w:ascii="Times New Roman" w:hAnsi="Times New Roman" w:cs="Times New Roman"/>
          <w:spacing w:val="1"/>
          <w:sz w:val="24"/>
          <w:szCs w:val="24"/>
        </w:rPr>
        <w:t>i</w:t>
      </w:r>
      <w:r w:rsidRPr="00DC5278">
        <w:rPr>
          <w:rFonts w:ascii="Times New Roman" w:hAnsi="Times New Roman" w:cs="Times New Roman"/>
          <w:sz w:val="24"/>
          <w:szCs w:val="24"/>
        </w:rPr>
        <w:t xml:space="preserve">n the </w:t>
      </w:r>
      <w:r w:rsidR="00E7088F">
        <w:rPr>
          <w:rFonts w:ascii="Times New Roman" w:hAnsi="Times New Roman" w:cs="Times New Roman"/>
          <w:spacing w:val="-1"/>
          <w:sz w:val="24"/>
          <w:szCs w:val="24"/>
        </w:rPr>
        <w:t>TPP</w:t>
      </w:r>
      <w:r w:rsidRPr="00DC5278">
        <w:rPr>
          <w:rFonts w:ascii="Times New Roman" w:hAnsi="Times New Roman" w:cs="Times New Roman"/>
          <w:sz w:val="24"/>
          <w:szCs w:val="24"/>
        </w:rPr>
        <w:t>.</w:t>
      </w:r>
    </w:p>
    <w:p w14:paraId="740380AD" w14:textId="1631AEC9" w:rsidR="00B668A7" w:rsidRPr="00DC5278" w:rsidRDefault="00B668A7" w:rsidP="00BD58FB">
      <w:pPr>
        <w:pStyle w:val="ListParagraph"/>
        <w:numPr>
          <w:ilvl w:val="0"/>
          <w:numId w:val="83"/>
        </w:numPr>
        <w:suppressAutoHyphens/>
        <w:spacing w:after="200"/>
        <w:rPr>
          <w:rFonts w:ascii="Times New Roman" w:hAnsi="Times New Roman" w:cs="Times New Roman"/>
          <w:sz w:val="24"/>
          <w:szCs w:val="24"/>
        </w:rPr>
      </w:pPr>
      <w:r w:rsidRPr="00DC5278">
        <w:rPr>
          <w:rFonts w:ascii="Times New Roman" w:hAnsi="Times New Roman" w:cs="Times New Roman"/>
          <w:sz w:val="24"/>
          <w:szCs w:val="24"/>
        </w:rPr>
        <w:t xml:space="preserve">The Department of Foreign Affairs and Trade (DFAT) engaged in over 1000 stakeholder briefings and consultations over </w:t>
      </w:r>
      <w:r w:rsidR="0085547B" w:rsidRPr="00DC5278">
        <w:rPr>
          <w:rFonts w:ascii="Times New Roman" w:hAnsi="Times New Roman" w:cs="Times New Roman"/>
          <w:sz w:val="24"/>
          <w:szCs w:val="24"/>
        </w:rPr>
        <w:t xml:space="preserve">the </w:t>
      </w:r>
      <w:proofErr w:type="gramStart"/>
      <w:r w:rsidRPr="00DC5278">
        <w:rPr>
          <w:rFonts w:ascii="Times New Roman" w:hAnsi="Times New Roman" w:cs="Times New Roman"/>
          <w:sz w:val="24"/>
          <w:szCs w:val="24"/>
        </w:rPr>
        <w:t>time period</w:t>
      </w:r>
      <w:proofErr w:type="gramEnd"/>
      <w:r w:rsidRPr="00DC5278">
        <w:rPr>
          <w:rFonts w:ascii="Times New Roman" w:hAnsi="Times New Roman" w:cs="Times New Roman"/>
          <w:sz w:val="24"/>
          <w:szCs w:val="24"/>
        </w:rPr>
        <w:t xml:space="preserve"> of </w:t>
      </w:r>
      <w:r w:rsidR="00C61644">
        <w:rPr>
          <w:rFonts w:ascii="Times New Roman" w:hAnsi="Times New Roman" w:cs="Times New Roman"/>
          <w:sz w:val="24"/>
          <w:szCs w:val="24"/>
        </w:rPr>
        <w:t>the TPP</w:t>
      </w:r>
      <w:r w:rsidR="00CB7106">
        <w:rPr>
          <w:rFonts w:ascii="Times New Roman" w:hAnsi="Times New Roman" w:cs="Times New Roman"/>
          <w:sz w:val="24"/>
          <w:szCs w:val="24"/>
        </w:rPr>
        <w:t xml:space="preserve"> negotiations</w:t>
      </w:r>
      <w:r w:rsidRPr="00DC5278">
        <w:rPr>
          <w:rFonts w:ascii="Times New Roman" w:hAnsi="Times New Roman" w:cs="Times New Roman"/>
          <w:sz w:val="24"/>
          <w:szCs w:val="24"/>
        </w:rPr>
        <w:t xml:space="preserve"> with a wide range of domestic stakeholders, including representatives from peak industry bodies, individual companies, academics, unions, consumer groups, special interest groups and other organisations representing civil society. </w:t>
      </w:r>
      <w:r w:rsidR="0085547B" w:rsidRPr="00DC5278">
        <w:rPr>
          <w:rFonts w:ascii="Times New Roman" w:hAnsi="Times New Roman" w:cs="Times New Roman"/>
          <w:sz w:val="24"/>
          <w:szCs w:val="24"/>
        </w:rPr>
        <w:t xml:space="preserve"> </w:t>
      </w:r>
      <w:r w:rsidR="00EE27CE">
        <w:rPr>
          <w:rFonts w:ascii="Times New Roman" w:hAnsi="Times New Roman" w:cs="Times New Roman"/>
          <w:sz w:val="24"/>
          <w:szCs w:val="24"/>
        </w:rPr>
        <w:t xml:space="preserve">An attachment to the National International Analysis tabled in respect of the original TPP </w:t>
      </w:r>
      <w:r w:rsidR="003C7151">
        <w:rPr>
          <w:rFonts w:ascii="Times New Roman" w:hAnsi="Times New Roman" w:cs="Times New Roman"/>
          <w:sz w:val="24"/>
          <w:szCs w:val="24"/>
        </w:rPr>
        <w:t xml:space="preserve">in 2016 </w:t>
      </w:r>
      <w:r w:rsidR="00EE27CE">
        <w:rPr>
          <w:rFonts w:ascii="Times New Roman" w:hAnsi="Times New Roman" w:cs="Times New Roman"/>
          <w:sz w:val="24"/>
          <w:szCs w:val="24"/>
        </w:rPr>
        <w:t xml:space="preserve">records that 485 stakeholders were consulted and 83 written submissions were received.  </w:t>
      </w:r>
      <w:r w:rsidRPr="00DC5278">
        <w:rPr>
          <w:rFonts w:ascii="Times New Roman" w:hAnsi="Times New Roman" w:cs="Times New Roman"/>
          <w:sz w:val="24"/>
          <w:szCs w:val="24"/>
        </w:rPr>
        <w:t xml:space="preserve">Many stakeholders were consulted on several occasions and provided more than one written submission. </w:t>
      </w:r>
    </w:p>
    <w:p w14:paraId="740380AE" w14:textId="256191F6" w:rsidR="00B668A7" w:rsidRPr="00DC5278" w:rsidRDefault="00B668A7" w:rsidP="00BD58FB">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0"/>
        <w:ind w:right="83"/>
        <w:rPr>
          <w:rFonts w:ascii="Times New Roman" w:hAnsi="Times New Roman" w:cs="Times New Roman"/>
          <w:sz w:val="24"/>
          <w:szCs w:val="24"/>
        </w:rPr>
      </w:pPr>
      <w:r w:rsidRPr="00DC5278">
        <w:rPr>
          <w:rFonts w:ascii="Times New Roman" w:hAnsi="Times New Roman" w:cs="Times New Roman"/>
          <w:spacing w:val="1"/>
          <w:sz w:val="24"/>
          <w:szCs w:val="24"/>
        </w:rPr>
        <w:t>S</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n</w:t>
      </w:r>
      <w:r w:rsidRPr="00DC5278">
        <w:rPr>
          <w:rFonts w:ascii="Times New Roman" w:hAnsi="Times New Roman" w:cs="Times New Roman"/>
          <w:spacing w:val="4"/>
          <w:sz w:val="24"/>
          <w:szCs w:val="24"/>
        </w:rPr>
        <w:t>i</w:t>
      </w:r>
      <w:r w:rsidRPr="00DC5278">
        <w:rPr>
          <w:rFonts w:ascii="Times New Roman" w:hAnsi="Times New Roman" w:cs="Times New Roman"/>
          <w:sz w:val="24"/>
          <w:szCs w:val="24"/>
        </w:rPr>
        <w:t>or</w:t>
      </w:r>
      <w:r w:rsidRPr="00DC5278">
        <w:rPr>
          <w:rFonts w:ascii="Times New Roman" w:hAnsi="Times New Roman" w:cs="Times New Roman"/>
          <w:spacing w:val="-1"/>
          <w:sz w:val="24"/>
          <w:szCs w:val="24"/>
        </w:rPr>
        <w:t xml:space="preserve"> </w:t>
      </w:r>
      <w:r w:rsidR="00CB7106">
        <w:rPr>
          <w:rFonts w:ascii="Times New Roman" w:hAnsi="Times New Roman" w:cs="Times New Roman"/>
          <w:sz w:val="24"/>
          <w:szCs w:val="24"/>
        </w:rPr>
        <w:t xml:space="preserve">trade </w:t>
      </w:r>
      <w:r w:rsidRPr="00DC5278">
        <w:rPr>
          <w:rFonts w:ascii="Times New Roman" w:hAnsi="Times New Roman" w:cs="Times New Roman"/>
          <w:sz w:val="24"/>
          <w:szCs w:val="24"/>
        </w:rPr>
        <w:t>n</w:t>
      </w:r>
      <w:r w:rsidRPr="00DC5278">
        <w:rPr>
          <w:rFonts w:ascii="Times New Roman" w:hAnsi="Times New Roman" w:cs="Times New Roman"/>
          <w:spacing w:val="-1"/>
          <w:sz w:val="24"/>
          <w:szCs w:val="24"/>
        </w:rPr>
        <w:t>e</w:t>
      </w:r>
      <w:r w:rsidRPr="00DC5278">
        <w:rPr>
          <w:rFonts w:ascii="Times New Roman" w:hAnsi="Times New Roman" w:cs="Times New Roman"/>
          <w:spacing w:val="-2"/>
          <w:sz w:val="24"/>
          <w:szCs w:val="24"/>
        </w:rPr>
        <w:t>g</w:t>
      </w:r>
      <w:r w:rsidRPr="00DC5278">
        <w:rPr>
          <w:rFonts w:ascii="Times New Roman" w:hAnsi="Times New Roman" w:cs="Times New Roman"/>
          <w:sz w:val="24"/>
          <w:szCs w:val="24"/>
        </w:rPr>
        <w:t>ot</w:t>
      </w:r>
      <w:r w:rsidRPr="00DC5278">
        <w:rPr>
          <w:rFonts w:ascii="Times New Roman" w:hAnsi="Times New Roman" w:cs="Times New Roman"/>
          <w:spacing w:val="1"/>
          <w:sz w:val="24"/>
          <w:szCs w:val="24"/>
        </w:rPr>
        <w:t>i</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tors provided b</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ie</w:t>
      </w:r>
      <w:r w:rsidRPr="00DC5278">
        <w:rPr>
          <w:rFonts w:ascii="Times New Roman" w:hAnsi="Times New Roman" w:cs="Times New Roman"/>
          <w:spacing w:val="-1"/>
          <w:sz w:val="24"/>
          <w:szCs w:val="24"/>
        </w:rPr>
        <w:t>f</w:t>
      </w:r>
      <w:r w:rsidRPr="00DC5278">
        <w:rPr>
          <w:rFonts w:ascii="Times New Roman" w:hAnsi="Times New Roman" w:cs="Times New Roman"/>
          <w:sz w:val="24"/>
          <w:szCs w:val="24"/>
        </w:rPr>
        <w:t>i</w:t>
      </w:r>
      <w:r w:rsidRPr="00DC5278">
        <w:rPr>
          <w:rFonts w:ascii="Times New Roman" w:hAnsi="Times New Roman" w:cs="Times New Roman"/>
          <w:spacing w:val="3"/>
          <w:sz w:val="24"/>
          <w:szCs w:val="24"/>
        </w:rPr>
        <w:t>n</w:t>
      </w:r>
      <w:r w:rsidRPr="00DC5278">
        <w:rPr>
          <w:rFonts w:ascii="Times New Roman" w:hAnsi="Times New Roman" w:cs="Times New Roman"/>
          <w:spacing w:val="-2"/>
          <w:sz w:val="24"/>
          <w:szCs w:val="24"/>
        </w:rPr>
        <w:t>g</w:t>
      </w:r>
      <w:r w:rsidRPr="00DC5278">
        <w:rPr>
          <w:rFonts w:ascii="Times New Roman" w:hAnsi="Times New Roman" w:cs="Times New Roman"/>
          <w:sz w:val="24"/>
          <w:szCs w:val="24"/>
        </w:rPr>
        <w:t>s and</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info</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 xml:space="preserve">mation on </w:t>
      </w:r>
      <w:r w:rsidRPr="00DC5278">
        <w:rPr>
          <w:rFonts w:ascii="Times New Roman" w:hAnsi="Times New Roman" w:cs="Times New Roman"/>
          <w:spacing w:val="1"/>
          <w:sz w:val="24"/>
          <w:szCs w:val="24"/>
        </w:rPr>
        <w:t>t</w:t>
      </w:r>
      <w:r w:rsidRPr="00DC5278">
        <w:rPr>
          <w:rFonts w:ascii="Times New Roman" w:hAnsi="Times New Roman" w:cs="Times New Roman"/>
          <w:sz w:val="24"/>
          <w:szCs w:val="24"/>
        </w:rPr>
        <w:t>he</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pr</w:t>
      </w:r>
      <w:r w:rsidRPr="00DC5278">
        <w:rPr>
          <w:rFonts w:ascii="Times New Roman" w:hAnsi="Times New Roman" w:cs="Times New Roman"/>
          <w:spacing w:val="1"/>
          <w:sz w:val="24"/>
          <w:szCs w:val="24"/>
        </w:rPr>
        <w:t>o</w:t>
      </w:r>
      <w:r w:rsidRPr="00DC5278">
        <w:rPr>
          <w:rFonts w:ascii="Times New Roman" w:hAnsi="Times New Roman" w:cs="Times New Roman"/>
          <w:spacing w:val="-2"/>
          <w:sz w:val="24"/>
          <w:szCs w:val="24"/>
        </w:rPr>
        <w:t>g</w:t>
      </w:r>
      <w:r w:rsidRPr="00DC5278">
        <w:rPr>
          <w:rFonts w:ascii="Times New Roman" w:hAnsi="Times New Roman" w:cs="Times New Roman"/>
          <w:sz w:val="24"/>
          <w:szCs w:val="24"/>
        </w:rPr>
        <w:t>r</w:t>
      </w:r>
      <w:r w:rsidRPr="00DC5278">
        <w:rPr>
          <w:rFonts w:ascii="Times New Roman" w:hAnsi="Times New Roman" w:cs="Times New Roman"/>
          <w:spacing w:val="-2"/>
          <w:sz w:val="24"/>
          <w:szCs w:val="24"/>
        </w:rPr>
        <w:t>e</w:t>
      </w:r>
      <w:r w:rsidRPr="00DC5278">
        <w:rPr>
          <w:rFonts w:ascii="Times New Roman" w:hAnsi="Times New Roman" w:cs="Times New Roman"/>
          <w:sz w:val="24"/>
          <w:szCs w:val="24"/>
        </w:rPr>
        <w:t xml:space="preserve">ss </w:t>
      </w:r>
      <w:r w:rsidRPr="00DC5278">
        <w:rPr>
          <w:rFonts w:ascii="Times New Roman" w:hAnsi="Times New Roman" w:cs="Times New Roman"/>
          <w:spacing w:val="3"/>
          <w:sz w:val="24"/>
          <w:szCs w:val="24"/>
        </w:rPr>
        <w:t>o</w:t>
      </w:r>
      <w:r w:rsidRPr="00DC5278">
        <w:rPr>
          <w:rFonts w:ascii="Times New Roman" w:hAnsi="Times New Roman" w:cs="Times New Roman"/>
          <w:sz w:val="24"/>
          <w:szCs w:val="24"/>
        </w:rPr>
        <w:t xml:space="preserve">f </w:t>
      </w:r>
      <w:r w:rsidR="00CB7106">
        <w:rPr>
          <w:rFonts w:ascii="Times New Roman" w:hAnsi="Times New Roman" w:cs="Times New Roman"/>
          <w:sz w:val="24"/>
          <w:szCs w:val="24"/>
        </w:rPr>
        <w:t xml:space="preserve">TPP </w:t>
      </w:r>
      <w:r w:rsidRPr="00DC5278">
        <w:rPr>
          <w:rFonts w:ascii="Times New Roman" w:hAnsi="Times New Roman" w:cs="Times New Roman"/>
          <w:sz w:val="24"/>
          <w:szCs w:val="24"/>
        </w:rPr>
        <w:t>ne</w:t>
      </w:r>
      <w:r w:rsidRPr="00DC5278">
        <w:rPr>
          <w:rFonts w:ascii="Times New Roman" w:hAnsi="Times New Roman" w:cs="Times New Roman"/>
          <w:spacing w:val="-2"/>
          <w:sz w:val="24"/>
          <w:szCs w:val="24"/>
        </w:rPr>
        <w:t>g</w:t>
      </w:r>
      <w:r w:rsidRPr="00DC5278">
        <w:rPr>
          <w:rFonts w:ascii="Times New Roman" w:hAnsi="Times New Roman" w:cs="Times New Roman"/>
          <w:sz w:val="24"/>
          <w:szCs w:val="24"/>
        </w:rPr>
        <w:t>ot</w:t>
      </w:r>
      <w:r w:rsidRPr="00DC5278">
        <w:rPr>
          <w:rFonts w:ascii="Times New Roman" w:hAnsi="Times New Roman" w:cs="Times New Roman"/>
          <w:spacing w:val="1"/>
          <w:sz w:val="24"/>
          <w:szCs w:val="24"/>
        </w:rPr>
        <w:t>i</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t</w:t>
      </w:r>
      <w:r w:rsidRPr="00DC5278">
        <w:rPr>
          <w:rFonts w:ascii="Times New Roman" w:hAnsi="Times New Roman" w:cs="Times New Roman"/>
          <w:spacing w:val="1"/>
          <w:sz w:val="24"/>
          <w:szCs w:val="24"/>
        </w:rPr>
        <w:t>i</w:t>
      </w:r>
      <w:r w:rsidRPr="00DC5278">
        <w:rPr>
          <w:rFonts w:ascii="Times New Roman" w:hAnsi="Times New Roman" w:cs="Times New Roman"/>
          <w:sz w:val="24"/>
          <w:szCs w:val="24"/>
        </w:rPr>
        <w:t xml:space="preserve">ons to stakeholders on request </w:t>
      </w:r>
      <w:proofErr w:type="gramStart"/>
      <w:r w:rsidRPr="00DC5278">
        <w:rPr>
          <w:rFonts w:ascii="Times New Roman" w:hAnsi="Times New Roman" w:cs="Times New Roman"/>
          <w:sz w:val="24"/>
          <w:szCs w:val="24"/>
        </w:rPr>
        <w:t>during the course of</w:t>
      </w:r>
      <w:proofErr w:type="gramEnd"/>
      <w:r w:rsidRPr="00DC5278">
        <w:rPr>
          <w:rFonts w:ascii="Times New Roman" w:hAnsi="Times New Roman" w:cs="Times New Roman"/>
          <w:sz w:val="24"/>
          <w:szCs w:val="24"/>
        </w:rPr>
        <w:t xml:space="preserve"> the negotiations</w:t>
      </w:r>
      <w:r w:rsidR="008F6867">
        <w:rPr>
          <w:rFonts w:ascii="Times New Roman" w:hAnsi="Times New Roman" w:cs="Times New Roman"/>
          <w:sz w:val="24"/>
          <w:szCs w:val="24"/>
        </w:rPr>
        <w:t xml:space="preserve">. </w:t>
      </w:r>
      <w:r w:rsidR="004E1DF4">
        <w:rPr>
          <w:rFonts w:ascii="Times New Roman" w:hAnsi="Times New Roman" w:cs="Times New Roman"/>
          <w:sz w:val="24"/>
          <w:szCs w:val="24"/>
        </w:rPr>
        <w:t xml:space="preserve"> </w:t>
      </w:r>
      <w:r w:rsidRPr="00DC5278">
        <w:rPr>
          <w:rFonts w:ascii="Times New Roman" w:hAnsi="Times New Roman" w:cs="Times New Roman"/>
          <w:spacing w:val="1"/>
          <w:sz w:val="24"/>
          <w:szCs w:val="24"/>
        </w:rPr>
        <w:t>S</w:t>
      </w:r>
      <w:r w:rsidRPr="00DC5278">
        <w:rPr>
          <w:rFonts w:ascii="Times New Roman" w:hAnsi="Times New Roman" w:cs="Times New Roman"/>
          <w:sz w:val="24"/>
          <w:szCs w:val="24"/>
        </w:rPr>
        <w:t>u</w:t>
      </w:r>
      <w:r w:rsidRPr="00DC5278">
        <w:rPr>
          <w:rFonts w:ascii="Times New Roman" w:hAnsi="Times New Roman" w:cs="Times New Roman"/>
          <w:spacing w:val="-1"/>
          <w:sz w:val="24"/>
          <w:szCs w:val="24"/>
        </w:rPr>
        <w:t>c</w:t>
      </w:r>
      <w:r w:rsidRPr="00DC5278">
        <w:rPr>
          <w:rFonts w:ascii="Times New Roman" w:hAnsi="Times New Roman" w:cs="Times New Roman"/>
          <w:sz w:val="24"/>
          <w:szCs w:val="24"/>
        </w:rPr>
        <w:t xml:space="preserve">h </w:t>
      </w:r>
      <w:r w:rsidRPr="00DC5278">
        <w:rPr>
          <w:rFonts w:ascii="Times New Roman" w:hAnsi="Times New Roman" w:cs="Times New Roman"/>
          <w:spacing w:val="-1"/>
          <w:sz w:val="24"/>
          <w:szCs w:val="24"/>
        </w:rPr>
        <w:t>c</w:t>
      </w:r>
      <w:r w:rsidRPr="00DC5278">
        <w:rPr>
          <w:rFonts w:ascii="Times New Roman" w:hAnsi="Times New Roman" w:cs="Times New Roman"/>
          <w:sz w:val="24"/>
          <w:szCs w:val="24"/>
        </w:rPr>
        <w:t>onsultations we</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e</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op</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n to business</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s, civ</w:t>
      </w:r>
      <w:r w:rsidRPr="00DC5278">
        <w:rPr>
          <w:rFonts w:ascii="Times New Roman" w:hAnsi="Times New Roman" w:cs="Times New Roman"/>
          <w:spacing w:val="2"/>
          <w:sz w:val="24"/>
          <w:szCs w:val="24"/>
        </w:rPr>
        <w:t>i</w:t>
      </w:r>
      <w:r w:rsidRPr="00DC5278">
        <w:rPr>
          <w:rFonts w:ascii="Times New Roman" w:hAnsi="Times New Roman" w:cs="Times New Roman"/>
          <w:sz w:val="24"/>
          <w:szCs w:val="24"/>
        </w:rPr>
        <w:t>l socie</w:t>
      </w:r>
      <w:r w:rsidRPr="00DC5278">
        <w:rPr>
          <w:rFonts w:ascii="Times New Roman" w:hAnsi="Times New Roman" w:cs="Times New Roman"/>
          <w:spacing w:val="2"/>
          <w:sz w:val="24"/>
          <w:szCs w:val="24"/>
        </w:rPr>
        <w:t>t</w:t>
      </w:r>
      <w:r w:rsidRPr="00DC5278">
        <w:rPr>
          <w:rFonts w:ascii="Times New Roman" w:hAnsi="Times New Roman" w:cs="Times New Roman"/>
          <w:sz w:val="24"/>
          <w:szCs w:val="24"/>
        </w:rPr>
        <w:t>y</w:t>
      </w:r>
      <w:r w:rsidRPr="00DC5278">
        <w:rPr>
          <w:rFonts w:ascii="Times New Roman" w:hAnsi="Times New Roman" w:cs="Times New Roman"/>
          <w:spacing w:val="-5"/>
          <w:sz w:val="24"/>
          <w:szCs w:val="24"/>
        </w:rPr>
        <w:t xml:space="preserve"> </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nd in</w:t>
      </w:r>
      <w:r w:rsidRPr="00DC5278">
        <w:rPr>
          <w:rFonts w:ascii="Times New Roman" w:hAnsi="Times New Roman" w:cs="Times New Roman"/>
          <w:spacing w:val="1"/>
          <w:sz w:val="24"/>
          <w:szCs w:val="24"/>
        </w:rPr>
        <w:t>t</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r</w:t>
      </w:r>
      <w:r w:rsidRPr="00DC5278">
        <w:rPr>
          <w:rFonts w:ascii="Times New Roman" w:hAnsi="Times New Roman" w:cs="Times New Roman"/>
          <w:spacing w:val="-2"/>
          <w:sz w:val="24"/>
          <w:szCs w:val="24"/>
        </w:rPr>
        <w:t>e</w:t>
      </w:r>
      <w:r w:rsidRPr="00DC5278">
        <w:rPr>
          <w:rFonts w:ascii="Times New Roman" w:hAnsi="Times New Roman" w:cs="Times New Roman"/>
          <w:sz w:val="24"/>
          <w:szCs w:val="24"/>
        </w:rPr>
        <w:t>sted m</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mbe</w:t>
      </w:r>
      <w:r w:rsidRPr="00DC5278">
        <w:rPr>
          <w:rFonts w:ascii="Times New Roman" w:hAnsi="Times New Roman" w:cs="Times New Roman"/>
          <w:spacing w:val="-1"/>
          <w:sz w:val="24"/>
          <w:szCs w:val="24"/>
        </w:rPr>
        <w:t>r</w:t>
      </w:r>
      <w:r w:rsidRPr="00DC5278">
        <w:rPr>
          <w:rFonts w:ascii="Times New Roman" w:hAnsi="Times New Roman" w:cs="Times New Roman"/>
          <w:sz w:val="24"/>
          <w:szCs w:val="24"/>
        </w:rPr>
        <w:t xml:space="preserve">s </w:t>
      </w:r>
      <w:r w:rsidRPr="00DC5278">
        <w:rPr>
          <w:rFonts w:ascii="Times New Roman" w:hAnsi="Times New Roman" w:cs="Times New Roman"/>
          <w:spacing w:val="2"/>
          <w:sz w:val="24"/>
          <w:szCs w:val="24"/>
        </w:rPr>
        <w:t>o</w:t>
      </w:r>
      <w:r w:rsidRPr="00DC5278">
        <w:rPr>
          <w:rFonts w:ascii="Times New Roman" w:hAnsi="Times New Roman" w:cs="Times New Roman"/>
          <w:sz w:val="24"/>
          <w:szCs w:val="24"/>
        </w:rPr>
        <w:t>f the</w:t>
      </w:r>
      <w:r w:rsidRPr="00DC5278">
        <w:rPr>
          <w:rFonts w:ascii="Times New Roman" w:hAnsi="Times New Roman" w:cs="Times New Roman"/>
          <w:spacing w:val="-1"/>
          <w:sz w:val="24"/>
          <w:szCs w:val="24"/>
        </w:rPr>
        <w:t xml:space="preserve"> </w:t>
      </w:r>
      <w:r w:rsidRPr="00DC5278">
        <w:rPr>
          <w:rFonts w:ascii="Times New Roman" w:hAnsi="Times New Roman" w:cs="Times New Roman"/>
          <w:sz w:val="24"/>
          <w:szCs w:val="24"/>
        </w:rPr>
        <w:t>publ</w:t>
      </w:r>
      <w:r w:rsidRPr="00DC5278">
        <w:rPr>
          <w:rFonts w:ascii="Times New Roman" w:hAnsi="Times New Roman" w:cs="Times New Roman"/>
          <w:spacing w:val="1"/>
          <w:sz w:val="24"/>
          <w:szCs w:val="24"/>
        </w:rPr>
        <w:t>i</w:t>
      </w:r>
      <w:r w:rsidRPr="00DC5278">
        <w:rPr>
          <w:rFonts w:ascii="Times New Roman" w:hAnsi="Times New Roman" w:cs="Times New Roman"/>
          <w:spacing w:val="-1"/>
          <w:sz w:val="24"/>
          <w:szCs w:val="24"/>
        </w:rPr>
        <w:t>c</w:t>
      </w:r>
      <w:r w:rsidRPr="00DC5278">
        <w:rPr>
          <w:rFonts w:ascii="Times New Roman" w:hAnsi="Times New Roman" w:cs="Times New Roman"/>
          <w:sz w:val="24"/>
          <w:szCs w:val="24"/>
        </w:rPr>
        <w:t xml:space="preserve">, </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nd were</w:t>
      </w:r>
      <w:r w:rsidRPr="00DC5278">
        <w:rPr>
          <w:rFonts w:ascii="Times New Roman" w:hAnsi="Times New Roman" w:cs="Times New Roman"/>
          <w:spacing w:val="2"/>
          <w:sz w:val="24"/>
          <w:szCs w:val="24"/>
        </w:rPr>
        <w:t xml:space="preserve"> </w:t>
      </w:r>
      <w:r w:rsidRPr="00DC5278">
        <w:rPr>
          <w:rFonts w:ascii="Times New Roman" w:hAnsi="Times New Roman" w:cs="Times New Roman"/>
          <w:spacing w:val="1"/>
          <w:sz w:val="24"/>
          <w:szCs w:val="24"/>
        </w:rPr>
        <w:t>a</w:t>
      </w:r>
      <w:r w:rsidRPr="00DC5278">
        <w:rPr>
          <w:rFonts w:ascii="Times New Roman" w:hAnsi="Times New Roman" w:cs="Times New Roman"/>
          <w:sz w:val="24"/>
          <w:szCs w:val="24"/>
        </w:rPr>
        <w:t>dv</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rtised on the</w:t>
      </w:r>
      <w:r w:rsidRPr="00DC5278">
        <w:rPr>
          <w:rFonts w:ascii="Times New Roman" w:hAnsi="Times New Roman" w:cs="Times New Roman"/>
          <w:spacing w:val="-1"/>
          <w:sz w:val="24"/>
          <w:szCs w:val="24"/>
        </w:rPr>
        <w:t xml:space="preserve"> </w:t>
      </w:r>
      <w:r w:rsidRPr="00DC5278">
        <w:rPr>
          <w:rFonts w:ascii="Times New Roman" w:hAnsi="Times New Roman" w:cs="Times New Roman"/>
          <w:spacing w:val="2"/>
          <w:sz w:val="24"/>
          <w:szCs w:val="24"/>
        </w:rPr>
        <w:t>D</w:t>
      </w:r>
      <w:r w:rsidRPr="00DC5278">
        <w:rPr>
          <w:rFonts w:ascii="Times New Roman" w:hAnsi="Times New Roman" w:cs="Times New Roman"/>
          <w:spacing w:val="-1"/>
          <w:sz w:val="24"/>
          <w:szCs w:val="24"/>
        </w:rPr>
        <w:t>F</w:t>
      </w:r>
      <w:r w:rsidRPr="00DC5278">
        <w:rPr>
          <w:rFonts w:ascii="Times New Roman" w:hAnsi="Times New Roman" w:cs="Times New Roman"/>
          <w:sz w:val="24"/>
          <w:szCs w:val="24"/>
        </w:rPr>
        <w:t xml:space="preserve">AT </w:t>
      </w:r>
      <w:r w:rsidRPr="00DC5278">
        <w:rPr>
          <w:rFonts w:ascii="Times New Roman" w:hAnsi="Times New Roman" w:cs="Times New Roman"/>
          <w:spacing w:val="1"/>
          <w:sz w:val="24"/>
          <w:szCs w:val="24"/>
        </w:rPr>
        <w:t>w</w:t>
      </w:r>
      <w:r w:rsidRPr="00DC5278">
        <w:rPr>
          <w:rFonts w:ascii="Times New Roman" w:hAnsi="Times New Roman" w:cs="Times New Roman"/>
          <w:spacing w:val="-1"/>
          <w:sz w:val="24"/>
          <w:szCs w:val="24"/>
        </w:rPr>
        <w:t>e</w:t>
      </w:r>
      <w:r w:rsidRPr="00DC5278">
        <w:rPr>
          <w:rFonts w:ascii="Times New Roman" w:hAnsi="Times New Roman" w:cs="Times New Roman"/>
          <w:sz w:val="24"/>
          <w:szCs w:val="24"/>
        </w:rPr>
        <w:t>bsi</w:t>
      </w:r>
      <w:r w:rsidRPr="00DC5278">
        <w:rPr>
          <w:rFonts w:ascii="Times New Roman" w:hAnsi="Times New Roman" w:cs="Times New Roman"/>
          <w:spacing w:val="1"/>
          <w:sz w:val="24"/>
          <w:szCs w:val="24"/>
        </w:rPr>
        <w:t>t</w:t>
      </w:r>
      <w:r w:rsidRPr="00DC5278">
        <w:rPr>
          <w:rFonts w:ascii="Times New Roman" w:hAnsi="Times New Roman" w:cs="Times New Roman"/>
          <w:spacing w:val="-1"/>
          <w:sz w:val="24"/>
          <w:szCs w:val="24"/>
        </w:rPr>
        <w:t xml:space="preserve">e. DFAT provided updates on the </w:t>
      </w:r>
      <w:r w:rsidR="00471135">
        <w:rPr>
          <w:rFonts w:ascii="Times New Roman" w:hAnsi="Times New Roman" w:cs="Times New Roman"/>
          <w:spacing w:val="-1"/>
          <w:sz w:val="24"/>
          <w:szCs w:val="24"/>
        </w:rPr>
        <w:t>TPP</w:t>
      </w:r>
      <w:r w:rsidRPr="00DC5278">
        <w:rPr>
          <w:rFonts w:ascii="Times New Roman" w:hAnsi="Times New Roman" w:cs="Times New Roman"/>
          <w:spacing w:val="-1"/>
          <w:sz w:val="24"/>
          <w:szCs w:val="24"/>
        </w:rPr>
        <w:t xml:space="preserve"> negotiations via its </w:t>
      </w:r>
      <w:proofErr w:type="gramStart"/>
      <w:r w:rsidRPr="00DC5278">
        <w:rPr>
          <w:rFonts w:ascii="Times New Roman" w:hAnsi="Times New Roman" w:cs="Times New Roman"/>
          <w:spacing w:val="-1"/>
          <w:sz w:val="24"/>
          <w:szCs w:val="24"/>
        </w:rPr>
        <w:t>website, and</w:t>
      </w:r>
      <w:proofErr w:type="gramEnd"/>
      <w:r w:rsidRPr="00DC5278">
        <w:rPr>
          <w:rFonts w:ascii="Times New Roman" w:hAnsi="Times New Roman" w:cs="Times New Roman"/>
          <w:spacing w:val="-1"/>
          <w:sz w:val="24"/>
          <w:szCs w:val="24"/>
        </w:rPr>
        <w:t xml:space="preserve"> consulted stakeholders and interested members of the public via group email address (</w:t>
      </w:r>
      <w:r w:rsidRPr="00DC5278">
        <w:rPr>
          <w:rStyle w:val="Strong"/>
          <w:rFonts w:ascii="Times New Roman" w:hAnsi="Times New Roman" w:cs="Times New Roman"/>
          <w:sz w:val="24"/>
          <w:szCs w:val="24"/>
        </w:rPr>
        <w:t>Email:</w:t>
      </w:r>
      <w:r w:rsidRPr="00DC5278">
        <w:rPr>
          <w:rFonts w:ascii="Times New Roman" w:hAnsi="Times New Roman" w:cs="Times New Roman"/>
          <w:sz w:val="24"/>
          <w:szCs w:val="24"/>
        </w:rPr>
        <w:t xml:space="preserve"> </w:t>
      </w:r>
      <w:hyperlink r:id="rId8" w:history="1">
        <w:r w:rsidR="008F6867" w:rsidRPr="00000337">
          <w:rPr>
            <w:rStyle w:val="Hyperlink"/>
            <w:rFonts w:ascii="Times New Roman" w:hAnsi="Times New Roman" w:cs="Times New Roman"/>
            <w:sz w:val="24"/>
            <w:szCs w:val="24"/>
          </w:rPr>
          <w:t>TPP@dfat.gov.au</w:t>
        </w:r>
      </w:hyperlink>
      <w:r w:rsidRPr="00DC5278">
        <w:rPr>
          <w:rFonts w:ascii="Times New Roman" w:hAnsi="Times New Roman" w:cs="Times New Roman"/>
          <w:sz w:val="24"/>
          <w:szCs w:val="24"/>
        </w:rPr>
        <w:t>).</w:t>
      </w:r>
      <w:r w:rsidRPr="00DC5278">
        <w:rPr>
          <w:rFonts w:ascii="Times New Roman" w:hAnsi="Times New Roman" w:cs="Times New Roman"/>
          <w:spacing w:val="-1"/>
          <w:sz w:val="24"/>
          <w:szCs w:val="24"/>
        </w:rPr>
        <w:t xml:space="preserve"> </w:t>
      </w:r>
    </w:p>
    <w:p w14:paraId="740380AF" w14:textId="4F7158F7" w:rsidR="00B668A7" w:rsidRPr="00CB7106" w:rsidRDefault="00B668A7" w:rsidP="00BD58FB">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0"/>
        <w:ind w:right="133"/>
        <w:rPr>
          <w:rFonts w:ascii="Times New Roman" w:hAnsi="Times New Roman" w:cs="Times New Roman"/>
          <w:sz w:val="24"/>
          <w:szCs w:val="24"/>
        </w:rPr>
      </w:pPr>
      <w:r w:rsidRPr="00DC5278">
        <w:rPr>
          <w:rFonts w:ascii="Times New Roman" w:hAnsi="Times New Roman" w:cs="Times New Roman"/>
          <w:color w:val="auto"/>
          <w:sz w:val="24"/>
          <w:szCs w:val="24"/>
          <w:lang w:val="en-AU"/>
        </w:rPr>
        <w:t xml:space="preserve">Written stakeholder submissions were also actively encouraged throughout the </w:t>
      </w:r>
      <w:r w:rsidR="00CB7106">
        <w:rPr>
          <w:rFonts w:ascii="Times New Roman" w:hAnsi="Times New Roman" w:cs="Times New Roman"/>
          <w:color w:val="auto"/>
          <w:sz w:val="24"/>
          <w:szCs w:val="24"/>
          <w:lang w:val="en-AU"/>
        </w:rPr>
        <w:t xml:space="preserve">original TPP </w:t>
      </w:r>
      <w:r w:rsidRPr="00DC5278">
        <w:rPr>
          <w:rFonts w:ascii="Times New Roman" w:hAnsi="Times New Roman" w:cs="Times New Roman"/>
          <w:color w:val="auto"/>
          <w:sz w:val="24"/>
          <w:szCs w:val="24"/>
          <w:lang w:val="en-AU"/>
        </w:rPr>
        <w:t xml:space="preserve">negotiations by DFAT. </w:t>
      </w:r>
      <w:r w:rsidR="004E1DF4">
        <w:rPr>
          <w:rFonts w:ascii="Times New Roman" w:hAnsi="Times New Roman" w:cs="Times New Roman"/>
          <w:color w:val="auto"/>
          <w:sz w:val="24"/>
          <w:szCs w:val="24"/>
          <w:lang w:val="en-AU"/>
        </w:rPr>
        <w:t xml:space="preserve"> </w:t>
      </w:r>
      <w:r w:rsidRPr="00DC5278">
        <w:rPr>
          <w:rFonts w:ascii="Times New Roman" w:hAnsi="Times New Roman" w:cs="Times New Roman"/>
          <w:color w:val="auto"/>
          <w:sz w:val="24"/>
          <w:szCs w:val="24"/>
          <w:lang w:val="en-AU"/>
        </w:rPr>
        <w:t xml:space="preserve">The Government received more than 85 submissions, from a wide range of domestic stakeholders. </w:t>
      </w:r>
    </w:p>
    <w:p w14:paraId="740380B1" w14:textId="438CDAD3" w:rsidR="00B668A7" w:rsidRPr="00DC5278" w:rsidRDefault="0085547B" w:rsidP="00BD58FB">
      <w:pPr>
        <w:pStyle w:val="ListParagraph"/>
        <w:numPr>
          <w:ilvl w:val="0"/>
          <w:numId w:val="83"/>
        </w:numPr>
        <w:suppressAutoHyphens/>
        <w:spacing w:after="200"/>
        <w:rPr>
          <w:rFonts w:ascii="Times New Roman" w:eastAsia="Times New Roman" w:hAnsi="Times New Roman" w:cs="Times New Roman"/>
          <w:sz w:val="24"/>
          <w:szCs w:val="24"/>
        </w:rPr>
      </w:pPr>
      <w:r w:rsidRPr="00DC5278">
        <w:rPr>
          <w:rFonts w:ascii="Times New Roman" w:hAnsi="Times New Roman" w:cs="Times New Roman"/>
          <w:sz w:val="24"/>
          <w:szCs w:val="24"/>
        </w:rPr>
        <w:t>State and Territory G</w:t>
      </w:r>
      <w:r w:rsidR="00B668A7" w:rsidRPr="00DC5278">
        <w:rPr>
          <w:rFonts w:ascii="Times New Roman" w:hAnsi="Times New Roman" w:cs="Times New Roman"/>
          <w:sz w:val="24"/>
          <w:szCs w:val="24"/>
        </w:rPr>
        <w:t xml:space="preserve">overnments were consulted on a regular basis, including via correspondence, teleconferences, and at meetings of the Trade and Investment Ministers, Senior State and Territory Trade Officials Group (STOG) and Commonwealth-State-Territory Standing Committee on Treaties (SCOT). State and Territory departments were invited to make public submissions at the outset of negotiations and had the opportunity to make submissions throughout the negotiating period. </w:t>
      </w:r>
      <w:r w:rsidR="005029DC" w:rsidRPr="00DC5278">
        <w:rPr>
          <w:rFonts w:ascii="Times New Roman" w:hAnsi="Times New Roman" w:cs="Times New Roman"/>
          <w:sz w:val="24"/>
          <w:szCs w:val="24"/>
        </w:rPr>
        <w:t xml:space="preserve"> Throughout the negotiations,</w:t>
      </w:r>
      <w:r w:rsidR="00B668A7" w:rsidRPr="00DC5278">
        <w:rPr>
          <w:rFonts w:ascii="Times New Roman" w:hAnsi="Times New Roman" w:cs="Times New Roman"/>
          <w:sz w:val="24"/>
          <w:szCs w:val="24"/>
        </w:rPr>
        <w:t xml:space="preserve"> </w:t>
      </w:r>
      <w:r w:rsidR="005029DC" w:rsidRPr="00DC5278">
        <w:rPr>
          <w:rFonts w:ascii="Times New Roman" w:hAnsi="Times New Roman" w:cs="Times New Roman"/>
          <w:sz w:val="24"/>
          <w:szCs w:val="24"/>
        </w:rPr>
        <w:t xml:space="preserve">the </w:t>
      </w:r>
      <w:proofErr w:type="gramStart"/>
      <w:r w:rsidR="00B668A7" w:rsidRPr="00DC5278">
        <w:rPr>
          <w:rFonts w:ascii="Times New Roman" w:hAnsi="Times New Roman" w:cs="Times New Roman"/>
          <w:sz w:val="24"/>
          <w:szCs w:val="24"/>
        </w:rPr>
        <w:t>Trade Minister</w:t>
      </w:r>
      <w:proofErr w:type="gramEnd"/>
      <w:r w:rsidR="00B668A7" w:rsidRPr="00DC5278">
        <w:rPr>
          <w:rFonts w:ascii="Times New Roman" w:hAnsi="Times New Roman" w:cs="Times New Roman"/>
          <w:sz w:val="24"/>
          <w:szCs w:val="24"/>
        </w:rPr>
        <w:t xml:space="preserve"> wrote to State and Territory leaders seeking endorsement of Australia’s services and investment offer</w:t>
      </w:r>
      <w:r w:rsidR="005029DC" w:rsidRPr="00DC5278">
        <w:rPr>
          <w:rFonts w:ascii="Times New Roman" w:hAnsi="Times New Roman" w:cs="Times New Roman"/>
          <w:sz w:val="24"/>
          <w:szCs w:val="24"/>
        </w:rPr>
        <w:t>s</w:t>
      </w:r>
      <w:r w:rsidRPr="00DC5278">
        <w:rPr>
          <w:rFonts w:ascii="Times New Roman" w:hAnsi="Times New Roman" w:cs="Times New Roman"/>
          <w:sz w:val="24"/>
          <w:szCs w:val="24"/>
        </w:rPr>
        <w:t xml:space="preserve">, prior to exchanging offers with other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negotiating parties</w:t>
      </w:r>
      <w:r w:rsidR="00B668A7" w:rsidRPr="00DC5278">
        <w:rPr>
          <w:rFonts w:ascii="Times New Roman" w:hAnsi="Times New Roman" w:cs="Times New Roman"/>
          <w:sz w:val="24"/>
          <w:szCs w:val="24"/>
        </w:rPr>
        <w:t xml:space="preserve">, reflecting the responsibilities State and Territory Governments have for regulation of services and investment activities. </w:t>
      </w:r>
      <w:r w:rsidR="004E1DF4">
        <w:rPr>
          <w:rFonts w:ascii="Times New Roman" w:hAnsi="Times New Roman" w:cs="Times New Roman"/>
          <w:sz w:val="24"/>
          <w:szCs w:val="24"/>
        </w:rPr>
        <w:t xml:space="preserve"> </w:t>
      </w:r>
      <w:r w:rsidR="00B668A7" w:rsidRPr="00DC5278">
        <w:rPr>
          <w:rFonts w:ascii="Times New Roman" w:hAnsi="Times New Roman" w:cs="Times New Roman"/>
          <w:sz w:val="24"/>
          <w:szCs w:val="24"/>
        </w:rPr>
        <w:t xml:space="preserve">State and Territory Governments subsequently advised that they supported the initial offer subject to continuing consultations on </w:t>
      </w:r>
      <w:r w:rsidR="00240F08">
        <w:rPr>
          <w:rFonts w:ascii="Times New Roman" w:hAnsi="Times New Roman" w:cs="Times New Roman"/>
          <w:sz w:val="24"/>
          <w:szCs w:val="24"/>
        </w:rPr>
        <w:t>TPP-11</w:t>
      </w:r>
      <w:r w:rsidR="00B668A7" w:rsidRPr="00DC5278">
        <w:rPr>
          <w:rFonts w:ascii="Times New Roman" w:hAnsi="Times New Roman" w:cs="Times New Roman"/>
          <w:sz w:val="24"/>
          <w:szCs w:val="24"/>
        </w:rPr>
        <w:t>.</w:t>
      </w:r>
    </w:p>
    <w:p w14:paraId="77770AB7" w14:textId="3C32B9B6" w:rsidR="000C7D4E" w:rsidRDefault="00B668A7" w:rsidP="000C7D4E">
      <w:pPr>
        <w:pStyle w:val="ListParagraph"/>
        <w:numPr>
          <w:ilvl w:val="0"/>
          <w:numId w:val="83"/>
        </w:numPr>
        <w:suppressAutoHyphens/>
        <w:spacing w:after="200"/>
        <w:rPr>
          <w:rFonts w:ascii="Times New Roman" w:hAnsi="Times New Roman" w:cs="Times New Roman"/>
          <w:sz w:val="24"/>
          <w:szCs w:val="24"/>
        </w:rPr>
      </w:pPr>
      <w:r w:rsidRPr="00DC5278">
        <w:rPr>
          <w:rFonts w:ascii="Times New Roman" w:hAnsi="Times New Roman" w:cs="Times New Roman"/>
          <w:sz w:val="24"/>
          <w:szCs w:val="24"/>
        </w:rPr>
        <w:t xml:space="preserve">Commonwealth Government departments were consulted extensively throughout the negotiations and representatives from relevant departments </w:t>
      </w:r>
      <w:r w:rsidRPr="00DC5278">
        <w:rPr>
          <w:rFonts w:ascii="Times New Roman" w:hAnsi="Times New Roman" w:cs="Times New Roman"/>
          <w:sz w:val="24"/>
          <w:szCs w:val="24"/>
        </w:rPr>
        <w:lastRenderedPageBreak/>
        <w:t xml:space="preserve">participated in negotiating sessions held in in Australia and other </w:t>
      </w:r>
      <w:r w:rsidR="004E1DF4">
        <w:rPr>
          <w:rFonts w:ascii="Times New Roman" w:hAnsi="Times New Roman" w:cs="Times New Roman"/>
          <w:sz w:val="24"/>
          <w:szCs w:val="24"/>
        </w:rPr>
        <w:t>TPP</w:t>
      </w:r>
      <w:r w:rsidRPr="00DC5278">
        <w:rPr>
          <w:rFonts w:ascii="Times New Roman" w:hAnsi="Times New Roman" w:cs="Times New Roman"/>
          <w:sz w:val="24"/>
          <w:szCs w:val="24"/>
        </w:rPr>
        <w:t xml:space="preserve"> countries.</w:t>
      </w:r>
    </w:p>
    <w:p w14:paraId="4EF95E33" w14:textId="70DE5A84" w:rsidR="000C7D4E" w:rsidRPr="000C7D4E" w:rsidRDefault="000C7D4E" w:rsidP="000C7D4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0"/>
        <w:ind w:right="133"/>
        <w:rPr>
          <w:i/>
        </w:rPr>
      </w:pPr>
      <w:r>
        <w:rPr>
          <w:i/>
        </w:rPr>
        <w:t>TPP-11</w:t>
      </w:r>
    </w:p>
    <w:p w14:paraId="740380B5" w14:textId="22F24A32" w:rsidR="00DE462F" w:rsidRPr="00DE462F" w:rsidRDefault="00DE462F" w:rsidP="00C2238D">
      <w:pPr>
        <w:pStyle w:val="ListParagraph"/>
        <w:numPr>
          <w:ilvl w:val="0"/>
          <w:numId w:val="83"/>
        </w:numPr>
        <w:suppressAutoHyphens/>
        <w:spacing w:after="200"/>
        <w:rPr>
          <w:rFonts w:ascii="Times New Roman" w:hAnsi="Times New Roman" w:cs="Times New Roman"/>
          <w:sz w:val="24"/>
          <w:szCs w:val="24"/>
        </w:rPr>
      </w:pPr>
      <w:r w:rsidRPr="00DE462F">
        <w:rPr>
          <w:rFonts w:ascii="Times New Roman" w:hAnsi="Times New Roman" w:cs="Times New Roman"/>
          <w:sz w:val="24"/>
          <w:szCs w:val="24"/>
        </w:rPr>
        <w:t xml:space="preserve">DFAT continued to consult stakeholders, State and Territory Governments, interested members of the public, and other Commonwealth Government departments since the </w:t>
      </w:r>
      <w:r w:rsidR="00414D2D">
        <w:rPr>
          <w:rFonts w:ascii="Times New Roman" w:hAnsi="Times New Roman" w:cs="Times New Roman"/>
          <w:sz w:val="24"/>
          <w:szCs w:val="24"/>
        </w:rPr>
        <w:t xml:space="preserve">original TPP </w:t>
      </w:r>
      <w:r w:rsidRPr="00DE462F">
        <w:rPr>
          <w:rFonts w:ascii="Times New Roman" w:hAnsi="Times New Roman" w:cs="Times New Roman"/>
          <w:sz w:val="24"/>
          <w:szCs w:val="24"/>
        </w:rPr>
        <w:t xml:space="preserve">negotiations concluded on 5 October in Atlanta. </w:t>
      </w:r>
      <w:r w:rsidR="003D5E43">
        <w:rPr>
          <w:rFonts w:ascii="Times New Roman" w:hAnsi="Times New Roman" w:cs="Times New Roman"/>
          <w:sz w:val="24"/>
          <w:szCs w:val="24"/>
        </w:rPr>
        <w:t xml:space="preserve"> This continued throughout the TPP-11 negotiation process from February 2017. </w:t>
      </w:r>
      <w:r>
        <w:rPr>
          <w:rFonts w:ascii="Times New Roman" w:hAnsi="Times New Roman" w:cs="Times New Roman"/>
          <w:sz w:val="24"/>
          <w:szCs w:val="24"/>
        </w:rPr>
        <w:t xml:space="preserve"> </w:t>
      </w:r>
      <w:r w:rsidRPr="00DE462F">
        <w:rPr>
          <w:rFonts w:ascii="Times New Roman" w:hAnsi="Times New Roman" w:cs="Times New Roman"/>
          <w:sz w:val="24"/>
          <w:szCs w:val="24"/>
        </w:rPr>
        <w:t>DFAT continue</w:t>
      </w:r>
      <w:r w:rsidR="00414D2D">
        <w:rPr>
          <w:rFonts w:ascii="Times New Roman" w:hAnsi="Times New Roman" w:cs="Times New Roman"/>
          <w:sz w:val="24"/>
          <w:szCs w:val="24"/>
        </w:rPr>
        <w:t>d</w:t>
      </w:r>
      <w:r w:rsidRPr="00DE462F">
        <w:rPr>
          <w:rFonts w:ascii="Times New Roman" w:hAnsi="Times New Roman" w:cs="Times New Roman"/>
          <w:sz w:val="24"/>
          <w:szCs w:val="24"/>
        </w:rPr>
        <w:t xml:space="preserve"> to make information on the </w:t>
      </w:r>
      <w:r w:rsidR="00240F08">
        <w:rPr>
          <w:rFonts w:ascii="Times New Roman" w:hAnsi="Times New Roman" w:cs="Times New Roman"/>
          <w:sz w:val="24"/>
          <w:szCs w:val="24"/>
        </w:rPr>
        <w:t>TPP-11</w:t>
      </w:r>
      <w:r w:rsidRPr="00DE462F">
        <w:rPr>
          <w:rFonts w:ascii="Times New Roman" w:hAnsi="Times New Roman" w:cs="Times New Roman"/>
          <w:sz w:val="24"/>
          <w:szCs w:val="24"/>
        </w:rPr>
        <w:t xml:space="preserve"> publicly available in a</w:t>
      </w:r>
      <w:r w:rsidR="0036201B">
        <w:rPr>
          <w:rFonts w:ascii="Times New Roman" w:hAnsi="Times New Roman" w:cs="Times New Roman"/>
          <w:sz w:val="24"/>
          <w:szCs w:val="24"/>
        </w:rPr>
        <w:t xml:space="preserve"> timely fashion on its </w:t>
      </w:r>
      <w:hyperlink r:id="rId9" w:history="1">
        <w:r w:rsidR="0036201B" w:rsidRPr="0036201B">
          <w:rPr>
            <w:rStyle w:val="Hyperlink"/>
            <w:rFonts w:ascii="Times New Roman" w:hAnsi="Times New Roman" w:cs="Times New Roman"/>
            <w:sz w:val="24"/>
            <w:szCs w:val="24"/>
          </w:rPr>
          <w:t>website</w:t>
        </w:r>
      </w:hyperlink>
      <w:r w:rsidRPr="00DE462F">
        <w:rPr>
          <w:rFonts w:ascii="Times New Roman" w:hAnsi="Times New Roman" w:cs="Times New Roman"/>
          <w:sz w:val="24"/>
          <w:szCs w:val="24"/>
        </w:rPr>
        <w:t xml:space="preserve"> and respond appropriately to emails sent by stakeholders and interested members of the public to the DFAT </w:t>
      </w:r>
      <w:r w:rsidR="003D5E43">
        <w:rPr>
          <w:rFonts w:ascii="Times New Roman" w:hAnsi="Times New Roman" w:cs="Times New Roman"/>
          <w:sz w:val="24"/>
          <w:szCs w:val="24"/>
        </w:rPr>
        <w:t>TPP</w:t>
      </w:r>
      <w:r w:rsidRPr="00DE462F">
        <w:rPr>
          <w:rFonts w:ascii="Times New Roman" w:hAnsi="Times New Roman" w:cs="Times New Roman"/>
          <w:sz w:val="24"/>
          <w:szCs w:val="24"/>
        </w:rPr>
        <w:t xml:space="preserve"> email address (</w:t>
      </w:r>
      <w:r w:rsidRPr="00DE462F">
        <w:rPr>
          <w:rFonts w:ascii="Times New Roman" w:hAnsi="Times New Roman" w:cs="Times New Roman"/>
          <w:b/>
          <w:sz w:val="24"/>
          <w:szCs w:val="24"/>
        </w:rPr>
        <w:t>Email:</w:t>
      </w:r>
      <w:r w:rsidRPr="00DE462F">
        <w:rPr>
          <w:rFonts w:ascii="Times New Roman" w:hAnsi="Times New Roman" w:cs="Times New Roman"/>
          <w:sz w:val="24"/>
          <w:szCs w:val="24"/>
        </w:rPr>
        <w:t xml:space="preserve"> </w:t>
      </w:r>
      <w:r w:rsidR="003D5E43">
        <w:rPr>
          <w:rFonts w:ascii="Times New Roman" w:hAnsi="Times New Roman" w:cs="Times New Roman"/>
          <w:sz w:val="24"/>
          <w:szCs w:val="24"/>
        </w:rPr>
        <w:t>TPP</w:t>
      </w:r>
      <w:r w:rsidRPr="00DE462F">
        <w:rPr>
          <w:rFonts w:ascii="Times New Roman" w:hAnsi="Times New Roman" w:cs="Times New Roman"/>
          <w:sz w:val="24"/>
          <w:szCs w:val="24"/>
        </w:rPr>
        <w:t xml:space="preserve">@dfat.gov.au).  </w:t>
      </w:r>
    </w:p>
    <w:p w14:paraId="64782128" w14:textId="594BDADE" w:rsidR="00414D2D" w:rsidRPr="00CB7106" w:rsidRDefault="00414D2D" w:rsidP="00414D2D">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00"/>
        <w:ind w:right="133"/>
        <w:rPr>
          <w:rFonts w:ascii="Times New Roman" w:hAnsi="Times New Roman" w:cs="Times New Roman"/>
          <w:sz w:val="24"/>
          <w:szCs w:val="24"/>
        </w:rPr>
      </w:pPr>
      <w:r>
        <w:rPr>
          <w:rFonts w:ascii="Times New Roman" w:hAnsi="Times New Roman" w:cs="Times New Roman"/>
          <w:sz w:val="24"/>
          <w:szCs w:val="24"/>
        </w:rPr>
        <w:t xml:space="preserve">In relation to </w:t>
      </w:r>
      <w:proofErr w:type="gramStart"/>
      <w:r>
        <w:rPr>
          <w:rFonts w:ascii="Times New Roman" w:hAnsi="Times New Roman" w:cs="Times New Roman"/>
          <w:sz w:val="24"/>
          <w:szCs w:val="24"/>
        </w:rPr>
        <w:t>the TPP</w:t>
      </w:r>
      <w:proofErr w:type="gramEnd"/>
      <w:r>
        <w:rPr>
          <w:rFonts w:ascii="Times New Roman" w:hAnsi="Times New Roman" w:cs="Times New Roman"/>
          <w:sz w:val="24"/>
          <w:szCs w:val="24"/>
        </w:rPr>
        <w:t xml:space="preserve">-11, it is estimated </w:t>
      </w:r>
      <w:r w:rsidRPr="00CB7106">
        <w:rPr>
          <w:rFonts w:ascii="Times New Roman" w:hAnsi="Times New Roman" w:cs="Times New Roman"/>
          <w:sz w:val="24"/>
          <w:szCs w:val="24"/>
        </w:rPr>
        <w:t>that the</w:t>
      </w:r>
      <w:r>
        <w:rPr>
          <w:rFonts w:ascii="Times New Roman" w:hAnsi="Times New Roman" w:cs="Times New Roman"/>
          <w:sz w:val="24"/>
          <w:szCs w:val="24"/>
        </w:rPr>
        <w:t xml:space="preserve">re were 50 </w:t>
      </w:r>
      <w:r w:rsidRPr="00CB7106">
        <w:rPr>
          <w:rFonts w:ascii="Times New Roman" w:hAnsi="Times New Roman" w:cs="Times New Roman"/>
          <w:sz w:val="24"/>
          <w:szCs w:val="24"/>
        </w:rPr>
        <w:t>meetings, consultations and contacts undertaken over the period Feb</w:t>
      </w:r>
      <w:r>
        <w:rPr>
          <w:rFonts w:ascii="Times New Roman" w:hAnsi="Times New Roman" w:cs="Times New Roman"/>
          <w:sz w:val="24"/>
          <w:szCs w:val="24"/>
        </w:rPr>
        <w:t xml:space="preserve">ruary </w:t>
      </w:r>
      <w:r w:rsidRPr="00CB7106">
        <w:rPr>
          <w:rFonts w:ascii="Times New Roman" w:hAnsi="Times New Roman" w:cs="Times New Roman"/>
          <w:sz w:val="24"/>
          <w:szCs w:val="24"/>
        </w:rPr>
        <w:t>2017</w:t>
      </w:r>
      <w:r>
        <w:rPr>
          <w:rFonts w:ascii="Times New Roman" w:hAnsi="Times New Roman" w:cs="Times New Roman"/>
          <w:sz w:val="24"/>
          <w:szCs w:val="24"/>
        </w:rPr>
        <w:t xml:space="preserve"> </w:t>
      </w:r>
      <w:r w:rsidRPr="00CB7106">
        <w:rPr>
          <w:rFonts w:ascii="Times New Roman" w:hAnsi="Times New Roman" w:cs="Times New Roman"/>
          <w:sz w:val="24"/>
          <w:szCs w:val="24"/>
        </w:rPr>
        <w:t>-</w:t>
      </w:r>
      <w:r>
        <w:rPr>
          <w:rFonts w:ascii="Times New Roman" w:hAnsi="Times New Roman" w:cs="Times New Roman"/>
          <w:sz w:val="24"/>
          <w:szCs w:val="24"/>
        </w:rPr>
        <w:t xml:space="preserve"> January 2018.</w:t>
      </w:r>
    </w:p>
    <w:p w14:paraId="1B5FF50C" w14:textId="24D8DD16" w:rsidR="00414D2D" w:rsidRDefault="00DE462F" w:rsidP="00414D2D">
      <w:pPr>
        <w:pStyle w:val="ListParagraph"/>
        <w:numPr>
          <w:ilvl w:val="0"/>
          <w:numId w:val="83"/>
        </w:numPr>
        <w:suppressAutoHyphens/>
        <w:spacing w:after="200"/>
        <w:rPr>
          <w:rFonts w:ascii="Times New Roman" w:hAnsi="Times New Roman" w:cs="Times New Roman"/>
          <w:sz w:val="24"/>
          <w:szCs w:val="24"/>
        </w:rPr>
      </w:pPr>
      <w:proofErr w:type="gramStart"/>
      <w:r w:rsidRPr="00DE462F">
        <w:rPr>
          <w:rFonts w:ascii="Times New Roman" w:hAnsi="Times New Roman" w:cs="Times New Roman"/>
          <w:sz w:val="24"/>
          <w:szCs w:val="24"/>
        </w:rPr>
        <w:t>A large number of</w:t>
      </w:r>
      <w:proofErr w:type="gramEnd"/>
      <w:r w:rsidRPr="00DE462F">
        <w:rPr>
          <w:rFonts w:ascii="Times New Roman" w:hAnsi="Times New Roman" w:cs="Times New Roman"/>
          <w:sz w:val="24"/>
          <w:szCs w:val="24"/>
        </w:rPr>
        <w:t xml:space="preserve"> business stakeholders have made public comments welcoming the outcomes of the </w:t>
      </w:r>
      <w:r w:rsidR="00240F08">
        <w:rPr>
          <w:rFonts w:ascii="Times New Roman" w:hAnsi="Times New Roman" w:cs="Times New Roman"/>
          <w:sz w:val="24"/>
          <w:szCs w:val="24"/>
        </w:rPr>
        <w:t>TPP-11</w:t>
      </w:r>
      <w:r w:rsidRPr="00DE462F">
        <w:rPr>
          <w:rFonts w:ascii="Times New Roman" w:hAnsi="Times New Roman" w:cs="Times New Roman"/>
          <w:sz w:val="24"/>
          <w:szCs w:val="24"/>
        </w:rPr>
        <w:t xml:space="preserve"> negotiations. </w:t>
      </w:r>
      <w:r>
        <w:rPr>
          <w:rFonts w:ascii="Times New Roman" w:hAnsi="Times New Roman" w:cs="Times New Roman"/>
          <w:sz w:val="24"/>
          <w:szCs w:val="24"/>
        </w:rPr>
        <w:t xml:space="preserve"> </w:t>
      </w:r>
      <w:r w:rsidRPr="00DE462F">
        <w:rPr>
          <w:rFonts w:ascii="Times New Roman" w:hAnsi="Times New Roman" w:cs="Times New Roman"/>
          <w:sz w:val="24"/>
          <w:szCs w:val="24"/>
        </w:rPr>
        <w:t>Some civil society groups have expressed concern with the ISDS</w:t>
      </w:r>
      <w:r>
        <w:rPr>
          <w:rFonts w:ascii="Times New Roman" w:hAnsi="Times New Roman" w:cs="Times New Roman"/>
          <w:sz w:val="24"/>
          <w:szCs w:val="24"/>
        </w:rPr>
        <w:t>-</w:t>
      </w:r>
      <w:r w:rsidR="00414D2D">
        <w:rPr>
          <w:rFonts w:ascii="Times New Roman" w:hAnsi="Times New Roman" w:cs="Times New Roman"/>
          <w:sz w:val="24"/>
          <w:szCs w:val="24"/>
        </w:rPr>
        <w:t xml:space="preserve">related </w:t>
      </w:r>
      <w:r w:rsidR="0044666C">
        <w:rPr>
          <w:rFonts w:ascii="Times New Roman" w:hAnsi="Times New Roman" w:cs="Times New Roman"/>
          <w:sz w:val="24"/>
          <w:szCs w:val="24"/>
        </w:rPr>
        <w:t xml:space="preserve">and temporary entry </w:t>
      </w:r>
      <w:r w:rsidR="00414D2D">
        <w:rPr>
          <w:rFonts w:ascii="Times New Roman" w:hAnsi="Times New Roman" w:cs="Times New Roman"/>
          <w:sz w:val="24"/>
          <w:szCs w:val="24"/>
        </w:rPr>
        <w:t xml:space="preserve">outcomes. </w:t>
      </w:r>
    </w:p>
    <w:p w14:paraId="0D3B47FE" w14:textId="2138EA53" w:rsidR="00C61644" w:rsidRPr="00414D2D" w:rsidRDefault="00C61644" w:rsidP="00414D2D">
      <w:pPr>
        <w:pStyle w:val="ListParagraph"/>
        <w:numPr>
          <w:ilvl w:val="0"/>
          <w:numId w:val="83"/>
        </w:numPr>
        <w:suppressAutoHyphens/>
        <w:spacing w:after="200"/>
        <w:rPr>
          <w:rFonts w:ascii="Times New Roman" w:hAnsi="Times New Roman" w:cs="Times New Roman"/>
          <w:sz w:val="24"/>
          <w:szCs w:val="24"/>
        </w:rPr>
      </w:pPr>
      <w:r>
        <w:rPr>
          <w:rFonts w:ascii="Times New Roman" w:hAnsi="Times New Roman" w:cs="Times New Roman"/>
          <w:sz w:val="24"/>
          <w:szCs w:val="24"/>
        </w:rPr>
        <w:t>Once the TPP-11 enters into force, it is intended that DFAT and Austrade will implement an outreach strategy to ensure all Australians are able to take advantage of the Agreement.</w:t>
      </w:r>
      <w:r w:rsidR="004E1DF4">
        <w:rPr>
          <w:rFonts w:ascii="Times New Roman" w:hAnsi="Times New Roman" w:cs="Times New Roman"/>
          <w:sz w:val="24"/>
          <w:szCs w:val="24"/>
        </w:rPr>
        <w:t xml:space="preserve">  </w:t>
      </w:r>
      <w:r>
        <w:rPr>
          <w:rFonts w:ascii="Times New Roman" w:hAnsi="Times New Roman" w:cs="Times New Roman"/>
          <w:sz w:val="24"/>
          <w:szCs w:val="24"/>
        </w:rPr>
        <w:t>This will include information sessions held throughout Australia.</w:t>
      </w:r>
    </w:p>
    <w:p w14:paraId="740380B7" w14:textId="77777777" w:rsidR="00214009" w:rsidRPr="00DC5278" w:rsidRDefault="00DE462F" w:rsidP="00DE462F">
      <w:pPr>
        <w:pStyle w:val="Heading"/>
        <w:suppressAutoHyphens/>
        <w:spacing w:after="200"/>
        <w:rPr>
          <w:color w:val="auto"/>
        </w:rPr>
      </w:pPr>
      <w:bookmarkStart w:id="7" w:name="_Toc508810492"/>
      <w:r>
        <w:rPr>
          <w:rFonts w:eastAsia="Arial Unicode MS"/>
          <w:color w:val="auto"/>
        </w:rPr>
        <w:t xml:space="preserve">PART 8: </w:t>
      </w:r>
      <w:r w:rsidR="00214009" w:rsidRPr="00DC5278">
        <w:rPr>
          <w:rFonts w:eastAsia="Arial Unicode MS"/>
          <w:color w:val="auto"/>
        </w:rPr>
        <w:t>CONCLUSION</w:t>
      </w:r>
      <w:bookmarkEnd w:id="7"/>
      <w:r w:rsidR="00214009" w:rsidRPr="00DC5278">
        <w:rPr>
          <w:rFonts w:eastAsia="Arial Unicode MS"/>
          <w:color w:val="auto"/>
        </w:rPr>
        <w:t xml:space="preserve"> </w:t>
      </w:r>
    </w:p>
    <w:p w14:paraId="740380B8" w14:textId="531D2C8A" w:rsidR="00BC1E8B" w:rsidRPr="00DC5278" w:rsidRDefault="005B6B31" w:rsidP="00BD58FB">
      <w:pPr>
        <w:pStyle w:val="ListParagraph"/>
        <w:numPr>
          <w:ilvl w:val="0"/>
          <w:numId w:val="83"/>
        </w:numPr>
        <w:suppressAutoHyphens/>
        <w:spacing w:after="20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It is in Australia’s interests to </w:t>
      </w:r>
      <w:proofErr w:type="gramStart"/>
      <w:r w:rsidRPr="00DC5278">
        <w:rPr>
          <w:rFonts w:ascii="Times New Roman" w:hAnsi="Times New Roman" w:cs="Times New Roman"/>
          <w:sz w:val="24"/>
          <w:szCs w:val="24"/>
        </w:rPr>
        <w:t>enter into</w:t>
      </w:r>
      <w:proofErr w:type="gramEnd"/>
      <w:r w:rsidRPr="00DC5278">
        <w:rPr>
          <w:rFonts w:ascii="Times New Roman" w:hAnsi="Times New Roman" w:cs="Times New Roman"/>
          <w:sz w:val="24"/>
          <w:szCs w:val="24"/>
        </w:rPr>
        <w:t xml:space="preserve"> a regional FTA with </w:t>
      </w:r>
      <w:r w:rsidR="00F22B81" w:rsidRPr="00DC5278">
        <w:rPr>
          <w:rFonts w:ascii="Times New Roman" w:hAnsi="Times New Roman" w:cs="Times New Roman"/>
          <w:sz w:val="24"/>
          <w:szCs w:val="24"/>
        </w:rPr>
        <w:t>Brunei Darussalam, Canada, Chile, Japan, Malaysia, Mexico, Peru, New Zealand, Singapore, and Vietnam</w:t>
      </w:r>
      <w:r w:rsidRPr="00DC5278">
        <w:rPr>
          <w:rFonts w:ascii="Times New Roman" w:hAnsi="Times New Roman" w:cs="Times New Roman"/>
          <w:sz w:val="24"/>
          <w:szCs w:val="24"/>
        </w:rPr>
        <w:t xml:space="preserve">, given the </w:t>
      </w:r>
      <w:r w:rsidR="007242F3">
        <w:rPr>
          <w:rFonts w:ascii="Times New Roman" w:hAnsi="Times New Roman" w:cs="Times New Roman"/>
          <w:sz w:val="24"/>
          <w:szCs w:val="24"/>
        </w:rPr>
        <w:t>TPP</w:t>
      </w:r>
      <w:r w:rsidR="00240F08">
        <w:rPr>
          <w:rFonts w:ascii="Times New Roman" w:hAnsi="Times New Roman" w:cs="Times New Roman"/>
          <w:sz w:val="24"/>
          <w:szCs w:val="24"/>
        </w:rPr>
        <w:t>-11</w:t>
      </w:r>
      <w:r w:rsidRPr="00DC5278">
        <w:rPr>
          <w:rFonts w:ascii="Times New Roman" w:hAnsi="Times New Roman" w:cs="Times New Roman"/>
          <w:sz w:val="24"/>
          <w:szCs w:val="24"/>
        </w:rPr>
        <w:t xml:space="preserve"> is expected to:</w:t>
      </w:r>
    </w:p>
    <w:p w14:paraId="740380B9" w14:textId="77777777" w:rsidR="00BC1E8B" w:rsidRPr="00DC5278" w:rsidRDefault="005B6B31" w:rsidP="00BD58FB">
      <w:pPr>
        <w:pStyle w:val="ListParagraph"/>
        <w:numPr>
          <w:ilvl w:val="0"/>
          <w:numId w:val="84"/>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deliver commercially meaningful market access gains that will benefit Australian agriculture, resources, energy and manufacturing exporters, service providers, consumers and </w:t>
      </w:r>
      <w:proofErr w:type="gramStart"/>
      <w:r w:rsidRPr="00DC5278">
        <w:rPr>
          <w:rFonts w:ascii="Times New Roman" w:hAnsi="Times New Roman" w:cs="Times New Roman"/>
          <w:sz w:val="24"/>
          <w:szCs w:val="24"/>
        </w:rPr>
        <w:t>investors;</w:t>
      </w:r>
      <w:proofErr w:type="gramEnd"/>
    </w:p>
    <w:p w14:paraId="740380BA" w14:textId="77777777" w:rsidR="00BC1E8B" w:rsidRPr="00DC5278" w:rsidRDefault="005B6B31" w:rsidP="00BD58FB">
      <w:pPr>
        <w:pStyle w:val="ListParagraph"/>
        <w:numPr>
          <w:ilvl w:val="0"/>
          <w:numId w:val="84"/>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secure Australian exporters’ competitive position </w:t>
      </w:r>
      <w:r w:rsidR="00214009" w:rsidRPr="00DC5278">
        <w:rPr>
          <w:rFonts w:ascii="Times New Roman" w:hAnsi="Times New Roman" w:cs="Times New Roman"/>
          <w:sz w:val="24"/>
          <w:szCs w:val="24"/>
        </w:rPr>
        <w:t>in the Asia-</w:t>
      </w:r>
      <w:proofErr w:type="gramStart"/>
      <w:r w:rsidR="00214009" w:rsidRPr="00DC5278">
        <w:rPr>
          <w:rFonts w:ascii="Times New Roman" w:hAnsi="Times New Roman" w:cs="Times New Roman"/>
          <w:sz w:val="24"/>
          <w:szCs w:val="24"/>
        </w:rPr>
        <w:t>Pacific</w:t>
      </w:r>
      <w:r w:rsidRPr="00DC5278">
        <w:rPr>
          <w:rFonts w:ascii="Times New Roman" w:hAnsi="Times New Roman" w:cs="Times New Roman"/>
          <w:sz w:val="24"/>
          <w:szCs w:val="24"/>
        </w:rPr>
        <w:t>;</w:t>
      </w:r>
      <w:proofErr w:type="gramEnd"/>
    </w:p>
    <w:p w14:paraId="740380BB" w14:textId="77777777" w:rsidR="00BC1E8B" w:rsidRPr="00DC5278" w:rsidRDefault="005B6B31" w:rsidP="00BD58FB">
      <w:pPr>
        <w:pStyle w:val="ListParagraph"/>
        <w:numPr>
          <w:ilvl w:val="0"/>
          <w:numId w:val="84"/>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deliver faster and deeper market access gains than are possible through multilateral WTO </w:t>
      </w:r>
      <w:proofErr w:type="gramStart"/>
      <w:r w:rsidRPr="00DC5278">
        <w:rPr>
          <w:rFonts w:ascii="Times New Roman" w:hAnsi="Times New Roman" w:cs="Times New Roman"/>
          <w:sz w:val="24"/>
          <w:szCs w:val="24"/>
        </w:rPr>
        <w:t>negotiations;</w:t>
      </w:r>
      <w:proofErr w:type="gramEnd"/>
    </w:p>
    <w:p w14:paraId="740380BC" w14:textId="688DB3F4" w:rsidR="00BC1E8B" w:rsidRPr="00DC5278" w:rsidRDefault="005B6B31" w:rsidP="00BD58FB">
      <w:pPr>
        <w:pStyle w:val="ListParagraph"/>
        <w:numPr>
          <w:ilvl w:val="0"/>
          <w:numId w:val="84"/>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be consistent with WTO requirements for </w:t>
      </w:r>
      <w:r w:rsidR="008E4C24">
        <w:rPr>
          <w:rFonts w:ascii="Times New Roman" w:hAnsi="Times New Roman" w:cs="Times New Roman"/>
          <w:sz w:val="24"/>
          <w:szCs w:val="24"/>
        </w:rPr>
        <w:t>FTAs</w:t>
      </w:r>
      <w:r w:rsidRPr="00DC5278">
        <w:rPr>
          <w:rFonts w:ascii="Times New Roman" w:hAnsi="Times New Roman" w:cs="Times New Roman"/>
          <w:sz w:val="24"/>
          <w:szCs w:val="24"/>
        </w:rPr>
        <w:t>;</w:t>
      </w:r>
      <w:r w:rsidR="0072791A" w:rsidRPr="00DC5278">
        <w:rPr>
          <w:rFonts w:ascii="Times New Roman" w:hAnsi="Times New Roman" w:cs="Times New Roman"/>
          <w:sz w:val="24"/>
          <w:szCs w:val="24"/>
        </w:rPr>
        <w:t xml:space="preserve"> and</w:t>
      </w:r>
    </w:p>
    <w:p w14:paraId="740380BD" w14:textId="5D833B7C" w:rsidR="00BC1E8B" w:rsidRPr="00DC5278" w:rsidRDefault="005B6B31" w:rsidP="00BD58FB">
      <w:pPr>
        <w:pStyle w:val="ListParagraph"/>
        <w:numPr>
          <w:ilvl w:val="0"/>
          <w:numId w:val="84"/>
        </w:numPr>
        <w:tabs>
          <w:tab w:val="left" w:pos="851"/>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complement Australia’s efforts to seek additional trade </w:t>
      </w:r>
      <w:proofErr w:type="spellStart"/>
      <w:r w:rsidRPr="00DC5278">
        <w:rPr>
          <w:rFonts w:ascii="Times New Roman" w:hAnsi="Times New Roman" w:cs="Times New Roman"/>
          <w:sz w:val="24"/>
          <w:szCs w:val="24"/>
        </w:rPr>
        <w:t>liberalisation</w:t>
      </w:r>
      <w:proofErr w:type="spellEnd"/>
      <w:r w:rsidRPr="00DC5278">
        <w:rPr>
          <w:rFonts w:ascii="Times New Roman" w:hAnsi="Times New Roman" w:cs="Times New Roman"/>
          <w:sz w:val="24"/>
          <w:szCs w:val="24"/>
        </w:rPr>
        <w:t xml:space="preserve"> from </w:t>
      </w:r>
      <w:r w:rsidR="00AF611E" w:rsidRPr="00DC5278">
        <w:rPr>
          <w:rFonts w:ascii="Times New Roman" w:hAnsi="Times New Roman" w:cs="Times New Roman"/>
          <w:sz w:val="24"/>
          <w:szCs w:val="24"/>
        </w:rPr>
        <w:t xml:space="preserve">other </w:t>
      </w:r>
      <w:r w:rsidR="00240F08">
        <w:rPr>
          <w:rFonts w:ascii="Times New Roman" w:hAnsi="Times New Roman" w:cs="Times New Roman"/>
          <w:sz w:val="24"/>
          <w:szCs w:val="24"/>
        </w:rPr>
        <w:t>TPP-11</w:t>
      </w:r>
      <w:r w:rsidR="00AF611E" w:rsidRPr="00DC5278">
        <w:rPr>
          <w:rFonts w:ascii="Times New Roman" w:hAnsi="Times New Roman" w:cs="Times New Roman"/>
          <w:sz w:val="24"/>
          <w:szCs w:val="24"/>
        </w:rPr>
        <w:t xml:space="preserve"> </w:t>
      </w:r>
      <w:r w:rsidR="00757274" w:rsidRPr="00DC5278">
        <w:rPr>
          <w:rFonts w:ascii="Times New Roman" w:hAnsi="Times New Roman" w:cs="Times New Roman"/>
          <w:sz w:val="24"/>
          <w:szCs w:val="24"/>
        </w:rPr>
        <w:t>parties</w:t>
      </w:r>
      <w:r w:rsidRPr="00DC5278">
        <w:rPr>
          <w:rFonts w:ascii="Times New Roman" w:hAnsi="Times New Roman" w:cs="Times New Roman"/>
          <w:sz w:val="24"/>
          <w:szCs w:val="24"/>
        </w:rPr>
        <w:t xml:space="preserve"> through the WTO and regional mechanisms</w:t>
      </w:r>
      <w:r w:rsidR="0072791A" w:rsidRPr="00DC5278">
        <w:rPr>
          <w:rFonts w:ascii="Times New Roman" w:hAnsi="Times New Roman" w:cs="Times New Roman"/>
          <w:sz w:val="24"/>
          <w:szCs w:val="24"/>
        </w:rPr>
        <w:t>.</w:t>
      </w:r>
    </w:p>
    <w:p w14:paraId="740380BE" w14:textId="77777777" w:rsidR="00BC1E8B" w:rsidRPr="00DC5278" w:rsidRDefault="005B6B31" w:rsidP="00BD58FB">
      <w:pPr>
        <w:pStyle w:val="BodyA"/>
        <w:keepNext/>
        <w:numPr>
          <w:ilvl w:val="0"/>
          <w:numId w:val="83"/>
        </w:numPr>
        <w:suppressAutoHyphens/>
        <w:spacing w:after="120"/>
        <w:rPr>
          <w:rFonts w:ascii="Times New Roman" w:eastAsia="Times New Roman" w:hAnsi="Times New Roman" w:cs="Times New Roman"/>
          <w:color w:val="auto"/>
          <w:sz w:val="24"/>
          <w:szCs w:val="24"/>
          <w:lang w:val="en-AU"/>
        </w:rPr>
      </w:pPr>
      <w:r w:rsidRPr="00DC5278">
        <w:rPr>
          <w:rFonts w:ascii="Times New Roman" w:hAnsi="Times New Roman" w:cs="Times New Roman"/>
          <w:color w:val="auto"/>
          <w:sz w:val="24"/>
          <w:szCs w:val="24"/>
          <w:lang w:val="en-AU"/>
        </w:rPr>
        <w:t>It should be noted that:</w:t>
      </w:r>
    </w:p>
    <w:p w14:paraId="740380BF" w14:textId="35FCFE76" w:rsidR="00BC1E8B" w:rsidRPr="00DC5278" w:rsidRDefault="005B6B31" w:rsidP="00BD58FB">
      <w:pPr>
        <w:pStyle w:val="ListParagraph"/>
        <w:keepNext/>
        <w:numPr>
          <w:ilvl w:val="0"/>
          <w:numId w:val="85"/>
        </w:numPr>
        <w:tabs>
          <w:tab w:val="left" w:pos="709"/>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the removal of tariffs on merchandise imports </w:t>
      </w:r>
      <w:r w:rsidR="00611892">
        <w:rPr>
          <w:rFonts w:ascii="Times New Roman" w:hAnsi="Times New Roman" w:cs="Times New Roman"/>
          <w:sz w:val="24"/>
          <w:szCs w:val="24"/>
        </w:rPr>
        <w:t xml:space="preserve">from Canada and </w:t>
      </w:r>
      <w:r w:rsidR="0072791A" w:rsidRPr="00DC5278">
        <w:rPr>
          <w:rFonts w:ascii="Times New Roman" w:hAnsi="Times New Roman" w:cs="Times New Roman"/>
          <w:sz w:val="24"/>
          <w:szCs w:val="24"/>
        </w:rPr>
        <w:t xml:space="preserve">Mexico </w:t>
      </w:r>
      <w:r w:rsidRPr="00DC5278">
        <w:rPr>
          <w:rFonts w:ascii="Times New Roman" w:hAnsi="Times New Roman" w:cs="Times New Roman"/>
          <w:sz w:val="24"/>
          <w:szCs w:val="24"/>
        </w:rPr>
        <w:t>will lead to reductions in tariff r</w:t>
      </w:r>
      <w:r w:rsidR="0085547B" w:rsidRPr="00DC5278">
        <w:rPr>
          <w:rFonts w:ascii="Times New Roman" w:hAnsi="Times New Roman" w:cs="Times New Roman"/>
          <w:sz w:val="24"/>
          <w:szCs w:val="24"/>
        </w:rPr>
        <w:t>evenue, and thereby affect the G</w:t>
      </w:r>
      <w:r w:rsidRPr="00DC5278">
        <w:rPr>
          <w:rFonts w:ascii="Times New Roman" w:hAnsi="Times New Roman" w:cs="Times New Roman"/>
          <w:sz w:val="24"/>
          <w:szCs w:val="24"/>
        </w:rPr>
        <w:t xml:space="preserve">overnment’s fiscal position, although this would be offset over time by the second-round effects of </w:t>
      </w:r>
      <w:r w:rsidRPr="00DC5278">
        <w:rPr>
          <w:rFonts w:ascii="Times New Roman" w:hAnsi="Times New Roman" w:cs="Times New Roman"/>
          <w:sz w:val="24"/>
          <w:szCs w:val="24"/>
        </w:rPr>
        <w:lastRenderedPageBreak/>
        <w:t>increased economic activity</w:t>
      </w:r>
      <w:r w:rsidR="0072791A" w:rsidRPr="00DC5278">
        <w:rPr>
          <w:rFonts w:ascii="Times New Roman" w:hAnsi="Times New Roman" w:cs="Times New Roman"/>
          <w:sz w:val="24"/>
          <w:szCs w:val="24"/>
        </w:rPr>
        <w:t>.  The tariff reduction will also result in lower costs to Australian consumers</w:t>
      </w:r>
      <w:r w:rsidRPr="00DC5278">
        <w:rPr>
          <w:rFonts w:ascii="Times New Roman" w:hAnsi="Times New Roman" w:cs="Times New Roman"/>
          <w:sz w:val="24"/>
          <w:szCs w:val="24"/>
        </w:rPr>
        <w:t xml:space="preserve">; </w:t>
      </w:r>
      <w:r w:rsidR="0072791A" w:rsidRPr="00DC5278">
        <w:rPr>
          <w:rFonts w:ascii="Times New Roman" w:hAnsi="Times New Roman" w:cs="Times New Roman"/>
          <w:sz w:val="24"/>
          <w:szCs w:val="24"/>
        </w:rPr>
        <w:t>and</w:t>
      </w:r>
    </w:p>
    <w:p w14:paraId="740380C0" w14:textId="2D945706" w:rsidR="00624D60" w:rsidRPr="00DC5278" w:rsidRDefault="00624D60" w:rsidP="00BD58FB">
      <w:pPr>
        <w:pStyle w:val="ListParagraph"/>
        <w:numPr>
          <w:ilvl w:val="0"/>
          <w:numId w:val="85"/>
        </w:numPr>
        <w:tabs>
          <w:tab w:val="left" w:pos="709"/>
        </w:tabs>
        <w:suppressAutoHyphens/>
        <w:spacing w:after="120"/>
        <w:rPr>
          <w:rFonts w:ascii="Times New Roman" w:eastAsia="Times New Roman" w:hAnsi="Times New Roman" w:cs="Times New Roman"/>
          <w:sz w:val="24"/>
          <w:szCs w:val="24"/>
        </w:rPr>
      </w:pPr>
      <w:r w:rsidRPr="00DC5278">
        <w:rPr>
          <w:rFonts w:ascii="Times New Roman" w:hAnsi="Times New Roman" w:cs="Times New Roman"/>
          <w:sz w:val="24"/>
          <w:szCs w:val="24"/>
        </w:rPr>
        <w:t xml:space="preserve">Australia will eliminate tariffs on </w:t>
      </w:r>
      <w:r w:rsidR="009235FD">
        <w:rPr>
          <w:rFonts w:ascii="Times New Roman" w:hAnsi="Times New Roman" w:cs="Times New Roman"/>
          <w:sz w:val="24"/>
          <w:szCs w:val="24"/>
        </w:rPr>
        <w:t xml:space="preserve">virtually </w:t>
      </w:r>
      <w:r w:rsidRPr="00DC5278">
        <w:rPr>
          <w:rFonts w:ascii="Times New Roman" w:hAnsi="Times New Roman" w:cs="Times New Roman"/>
          <w:sz w:val="24"/>
          <w:szCs w:val="24"/>
        </w:rPr>
        <w:t xml:space="preserve">all products within four years following the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’s entry into force.  Australia </w:t>
      </w:r>
      <w:r w:rsidR="005B6B31" w:rsidRPr="00DC5278">
        <w:rPr>
          <w:rFonts w:ascii="Times New Roman" w:hAnsi="Times New Roman" w:cs="Times New Roman"/>
          <w:sz w:val="24"/>
          <w:szCs w:val="24"/>
        </w:rPr>
        <w:t xml:space="preserve">will </w:t>
      </w:r>
      <w:r w:rsidRPr="00DC5278">
        <w:rPr>
          <w:rFonts w:ascii="Times New Roman" w:hAnsi="Times New Roman" w:cs="Times New Roman"/>
          <w:sz w:val="24"/>
          <w:szCs w:val="24"/>
        </w:rPr>
        <w:t xml:space="preserve">gradually phase out tariffs on a small number of products, mostly </w:t>
      </w:r>
      <w:r w:rsidRPr="00DC5278">
        <w:rPr>
          <w:rFonts w:ascii="Times New Roman" w:hAnsi="Times New Roman" w:cs="Times New Roman"/>
          <w:bCs/>
          <w:sz w:val="24"/>
          <w:szCs w:val="24"/>
        </w:rPr>
        <w:t>plastics and rubber, and textiles, clothing and footwear, iron and steel, motor vehicle components and some machinery and furniture.  The only tariffs in Australia’s offer that are not eliminated are those on used car imports.  These tariffs represent only 0.1 per cent of Australia’s total tariff lines.</w:t>
      </w:r>
    </w:p>
    <w:p w14:paraId="740380C1" w14:textId="77777777" w:rsidR="00BC1E8B" w:rsidRPr="00DC5278" w:rsidRDefault="00DE462F" w:rsidP="00DE462F">
      <w:pPr>
        <w:pStyle w:val="Heading"/>
        <w:suppressAutoHyphens/>
        <w:rPr>
          <w:color w:val="auto"/>
        </w:rPr>
      </w:pPr>
      <w:bookmarkStart w:id="8" w:name="_Toc508810493"/>
      <w:r>
        <w:rPr>
          <w:rFonts w:eastAsia="Arial Unicode MS"/>
          <w:color w:val="auto"/>
        </w:rPr>
        <w:t xml:space="preserve">PART 9: </w:t>
      </w:r>
      <w:r w:rsidR="005B6B31" w:rsidRPr="00DC5278">
        <w:rPr>
          <w:rFonts w:eastAsia="Arial Unicode MS"/>
          <w:color w:val="auto"/>
        </w:rPr>
        <w:t>IMPLEMENTATION AND REVIEW</w:t>
      </w:r>
      <w:bookmarkEnd w:id="8"/>
      <w:r w:rsidR="005B6B31" w:rsidRPr="00DC5278">
        <w:rPr>
          <w:rFonts w:eastAsia="Arial Unicode MS"/>
          <w:color w:val="auto"/>
        </w:rPr>
        <w:t xml:space="preserve"> </w:t>
      </w:r>
    </w:p>
    <w:p w14:paraId="740380C2" w14:textId="5A509F9F" w:rsidR="00BC1E8B" w:rsidRPr="00DC5278" w:rsidRDefault="005B6B31" w:rsidP="00BD58FB">
      <w:pPr>
        <w:pStyle w:val="ListParagraph"/>
        <w:numPr>
          <w:ilvl w:val="0"/>
          <w:numId w:val="83"/>
        </w:numPr>
        <w:suppressAutoHyphens/>
        <w:spacing w:after="120"/>
        <w:rPr>
          <w:rFonts w:ascii="Times New Roman" w:hAnsi="Times New Roman" w:cs="Times New Roman"/>
          <w:sz w:val="24"/>
          <w:szCs w:val="24"/>
        </w:rPr>
      </w:pPr>
      <w:r w:rsidRPr="00DC5278">
        <w:rPr>
          <w:rFonts w:ascii="Times New Roman" w:hAnsi="Times New Roman" w:cs="Times New Roman"/>
          <w:sz w:val="24"/>
          <w:szCs w:val="24"/>
        </w:rPr>
        <w:t>Implementation of</w:t>
      </w:r>
      <w:r w:rsidR="00F22B81" w:rsidRPr="00DC5278">
        <w:rPr>
          <w:rFonts w:ascii="Times New Roman" w:hAnsi="Times New Roman" w:cs="Times New Roman"/>
          <w:sz w:val="24"/>
          <w:szCs w:val="24"/>
        </w:rPr>
        <w:t xml:space="preserve"> the</w:t>
      </w:r>
      <w:r w:rsidRPr="00DC5278">
        <w:rPr>
          <w:rFonts w:ascii="Times New Roman" w:hAnsi="Times New Roman" w:cs="Times New Roman"/>
          <w:sz w:val="24"/>
          <w:szCs w:val="24"/>
        </w:rPr>
        <w:t xml:space="preserv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will require changes </w:t>
      </w:r>
      <w:proofErr w:type="gramStart"/>
      <w:r w:rsidRPr="00DC5278">
        <w:rPr>
          <w:rFonts w:ascii="Times New Roman" w:hAnsi="Times New Roman" w:cs="Times New Roman"/>
          <w:sz w:val="24"/>
          <w:szCs w:val="24"/>
        </w:rPr>
        <w:t>to:</w:t>
      </w:r>
      <w:proofErr w:type="gramEnd"/>
      <w:r w:rsidRPr="00DC5278">
        <w:rPr>
          <w:rFonts w:ascii="Times New Roman" w:hAnsi="Times New Roman" w:cs="Times New Roman"/>
          <w:sz w:val="24"/>
          <w:szCs w:val="24"/>
        </w:rPr>
        <w:t xml:space="preserve"> the </w:t>
      </w:r>
      <w:r w:rsidRPr="00DC5278">
        <w:rPr>
          <w:rFonts w:ascii="Times New Roman" w:hAnsi="Times New Roman" w:cs="Times New Roman"/>
          <w:i/>
          <w:iCs/>
          <w:sz w:val="24"/>
          <w:szCs w:val="24"/>
        </w:rPr>
        <w:t>Customs Act 1901</w:t>
      </w:r>
      <w:r w:rsidRPr="00DC5278">
        <w:rPr>
          <w:rFonts w:ascii="Times New Roman" w:hAnsi="Times New Roman" w:cs="Times New Roman"/>
          <w:iCs/>
          <w:sz w:val="24"/>
          <w:szCs w:val="24"/>
        </w:rPr>
        <w:t xml:space="preserve">; </w:t>
      </w:r>
      <w:r w:rsidRPr="00DC5278">
        <w:rPr>
          <w:rFonts w:ascii="Times New Roman" w:hAnsi="Times New Roman" w:cs="Times New Roman"/>
          <w:sz w:val="24"/>
          <w:szCs w:val="24"/>
        </w:rPr>
        <w:t xml:space="preserve">the </w:t>
      </w:r>
      <w:r w:rsidRPr="00DC5278">
        <w:rPr>
          <w:rFonts w:ascii="Times New Roman" w:hAnsi="Times New Roman" w:cs="Times New Roman"/>
          <w:i/>
          <w:iCs/>
          <w:sz w:val="24"/>
          <w:szCs w:val="24"/>
        </w:rPr>
        <w:t>Customs Tariff Act 1995</w:t>
      </w:r>
      <w:r w:rsidRPr="00DC5278">
        <w:rPr>
          <w:rFonts w:ascii="Times New Roman" w:hAnsi="Times New Roman" w:cs="Times New Roman"/>
          <w:iCs/>
          <w:sz w:val="24"/>
          <w:szCs w:val="24"/>
        </w:rPr>
        <w:t xml:space="preserve"> </w:t>
      </w:r>
      <w:r w:rsidRPr="00DC5278">
        <w:rPr>
          <w:rFonts w:ascii="Times New Roman" w:hAnsi="Times New Roman" w:cs="Times New Roman"/>
          <w:sz w:val="24"/>
          <w:szCs w:val="24"/>
        </w:rPr>
        <w:t xml:space="preserve">and associated regulations; </w:t>
      </w:r>
      <w:r w:rsidR="008079C2" w:rsidRPr="00DC5278">
        <w:rPr>
          <w:rFonts w:ascii="Times New Roman" w:hAnsi="Times New Roman" w:cs="Times New Roman"/>
          <w:sz w:val="24"/>
          <w:szCs w:val="24"/>
        </w:rPr>
        <w:t xml:space="preserve">and </w:t>
      </w:r>
      <w:r w:rsidRPr="00DC5278">
        <w:rPr>
          <w:rFonts w:ascii="Times New Roman" w:hAnsi="Times New Roman" w:cs="Times New Roman"/>
          <w:sz w:val="24"/>
          <w:szCs w:val="24"/>
        </w:rPr>
        <w:t>the</w:t>
      </w:r>
      <w:r w:rsidRPr="00DC5278">
        <w:rPr>
          <w:rFonts w:ascii="Times New Roman" w:hAnsi="Times New Roman" w:cs="Times New Roman"/>
          <w:iCs/>
          <w:sz w:val="24"/>
          <w:szCs w:val="24"/>
        </w:rPr>
        <w:t xml:space="preserve"> </w:t>
      </w:r>
      <w:r w:rsidRPr="00DC5278">
        <w:rPr>
          <w:rFonts w:ascii="Times New Roman" w:hAnsi="Times New Roman" w:cs="Times New Roman"/>
          <w:i/>
          <w:iCs/>
          <w:sz w:val="24"/>
          <w:szCs w:val="24"/>
        </w:rPr>
        <w:t>Foreign Acquisitions and Takeovers Regulations 1989</w:t>
      </w:r>
      <w:r w:rsidRPr="00DC5278">
        <w:rPr>
          <w:rFonts w:ascii="Times New Roman" w:hAnsi="Times New Roman" w:cs="Times New Roman"/>
          <w:sz w:val="24"/>
          <w:szCs w:val="24"/>
        </w:rPr>
        <w:t>.</w:t>
      </w:r>
      <w:r w:rsidR="00F22B81" w:rsidRPr="00DC5278">
        <w:rPr>
          <w:rFonts w:ascii="Times New Roman" w:hAnsi="Times New Roman" w:cs="Times New Roman"/>
          <w:sz w:val="24"/>
          <w:szCs w:val="24"/>
        </w:rPr>
        <w:t xml:space="preserve"> </w:t>
      </w:r>
    </w:p>
    <w:p w14:paraId="740380C4" w14:textId="0A0059D9" w:rsidR="009A781A" w:rsidRPr="00DC5278" w:rsidRDefault="0044666C" w:rsidP="0044666C">
      <w:pPr>
        <w:pStyle w:val="ListParagraph"/>
        <w:numPr>
          <w:ilvl w:val="0"/>
          <w:numId w:val="83"/>
        </w:numPr>
        <w:suppressAutoHyphens/>
        <w:spacing w:after="120"/>
        <w:rPr>
          <w:rFonts w:ascii="Times New Roman" w:eastAsia="Times New Roman" w:hAnsi="Times New Roman" w:cs="Times New Roman"/>
          <w:sz w:val="24"/>
          <w:szCs w:val="24"/>
        </w:rPr>
      </w:pPr>
      <w:r w:rsidRPr="0044666C">
        <w:rPr>
          <w:rFonts w:ascii="Times New Roman" w:hAnsi="Times New Roman" w:cs="Times New Roman"/>
          <w:sz w:val="24"/>
          <w:szCs w:val="24"/>
        </w:rPr>
        <w:t>The Government Procurement (Judicial Review) Bill 2017 was introduced in May 2017 to enable implementation of the domestic review obligations in the TPP Government Procurement Chapter.  This legislation establishes a mechanism for suppliers to raise complaints about the conduct of procurements in which they have an interest.  The Government identified the Federal Circuit Court (FCC) as the preferred entity to implement the domestic review obligation, and the legislation vests the necessary jurisdiction in the FCC.</w:t>
      </w:r>
    </w:p>
    <w:p w14:paraId="740380C5" w14:textId="5B1F7B4C" w:rsidR="002173C5" w:rsidRPr="00A17DE2" w:rsidRDefault="002173C5" w:rsidP="00BD58FB">
      <w:pPr>
        <w:pStyle w:val="ListParagraph"/>
        <w:numPr>
          <w:ilvl w:val="0"/>
          <w:numId w:val="83"/>
        </w:numPr>
        <w:suppressAutoHyphens/>
        <w:spacing w:after="120"/>
        <w:rPr>
          <w:rFonts w:ascii="Times New Roman" w:eastAsia="Times New Roman" w:hAnsi="Times New Roman" w:cs="Times New Roman"/>
          <w:b/>
          <w:bCs/>
          <w:i/>
          <w:sz w:val="24"/>
          <w:szCs w:val="24"/>
        </w:rPr>
      </w:pPr>
      <w:r w:rsidRPr="00A17DE2">
        <w:rPr>
          <w:rFonts w:ascii="Times New Roman" w:hAnsi="Times New Roman" w:cs="Times New Roman"/>
          <w:sz w:val="24"/>
          <w:szCs w:val="24"/>
        </w:rPr>
        <w:t xml:space="preserve">The </w:t>
      </w:r>
      <w:r w:rsidR="00240F08" w:rsidRPr="00A17DE2">
        <w:rPr>
          <w:rFonts w:ascii="Times New Roman" w:hAnsi="Times New Roman" w:cs="Times New Roman"/>
          <w:sz w:val="24"/>
          <w:szCs w:val="24"/>
        </w:rPr>
        <w:t>TPP-11</w:t>
      </w:r>
      <w:r w:rsidRPr="00A17DE2">
        <w:rPr>
          <w:rFonts w:ascii="Times New Roman" w:hAnsi="Times New Roman" w:cs="Times New Roman"/>
          <w:sz w:val="24"/>
          <w:szCs w:val="24"/>
        </w:rPr>
        <w:t xml:space="preserve"> will enter into force 60 days after</w:t>
      </w:r>
      <w:r w:rsidR="00F1119E" w:rsidRPr="00A17DE2">
        <w:rPr>
          <w:rFonts w:ascii="Times New Roman" w:hAnsi="Times New Roman" w:cs="Times New Roman"/>
          <w:sz w:val="24"/>
          <w:szCs w:val="24"/>
        </w:rPr>
        <w:t xml:space="preserve"> the date on which at least six or at least 50 per cent of the number of signatories to the Agreement, whichever is smaller, have notified the Depository in writing of the completion of their applicable legal procedures</w:t>
      </w:r>
      <w:r w:rsidR="00731EEC">
        <w:rPr>
          <w:rFonts w:ascii="Times New Roman" w:hAnsi="Times New Roman" w:cs="Times New Roman"/>
          <w:sz w:val="24"/>
          <w:szCs w:val="24"/>
        </w:rPr>
        <w:t xml:space="preserve"> (i.e. ratified the Agreement</w:t>
      </w:r>
      <w:r w:rsidRPr="00A17DE2">
        <w:rPr>
          <w:rFonts w:ascii="Times New Roman" w:hAnsi="Times New Roman" w:cs="Times New Roman"/>
          <w:sz w:val="24"/>
          <w:szCs w:val="24"/>
        </w:rPr>
        <w:t>).</w:t>
      </w:r>
      <w:r w:rsidR="009A781A" w:rsidRPr="00A17DE2">
        <w:rPr>
          <w:rFonts w:ascii="Times New Roman" w:hAnsi="Times New Roman" w:cs="Times New Roman"/>
          <w:sz w:val="24"/>
          <w:szCs w:val="24"/>
        </w:rPr>
        <w:t xml:space="preserve">  </w:t>
      </w:r>
    </w:p>
    <w:p w14:paraId="740380C6" w14:textId="62656D44" w:rsidR="009A781A" w:rsidRPr="00A17DE2" w:rsidRDefault="00C61DDD" w:rsidP="00BD58FB">
      <w:pPr>
        <w:pStyle w:val="ListParagraph"/>
        <w:numPr>
          <w:ilvl w:val="0"/>
          <w:numId w:val="83"/>
        </w:numPr>
        <w:suppressAutoHyphens/>
        <w:spacing w:after="120"/>
        <w:rPr>
          <w:rFonts w:ascii="Times New Roman" w:eastAsia="Times New Roman" w:hAnsi="Times New Roman" w:cs="Times New Roman"/>
          <w:b/>
          <w:bCs/>
          <w:i/>
          <w:sz w:val="24"/>
          <w:szCs w:val="24"/>
        </w:rPr>
      </w:pPr>
      <w:r w:rsidRPr="00A17DE2">
        <w:rPr>
          <w:rFonts w:ascii="Times New Roman" w:hAnsi="Times New Roman" w:cs="Times New Roman"/>
          <w:sz w:val="24"/>
          <w:szCs w:val="24"/>
        </w:rPr>
        <w:t xml:space="preserve">A </w:t>
      </w:r>
      <w:r w:rsidR="00DA3442">
        <w:rPr>
          <w:rFonts w:ascii="Times New Roman" w:hAnsi="Times New Roman" w:cs="Times New Roman"/>
          <w:sz w:val="24"/>
          <w:szCs w:val="24"/>
        </w:rPr>
        <w:t xml:space="preserve">TPP-11 </w:t>
      </w:r>
      <w:r w:rsidRPr="00A17DE2">
        <w:rPr>
          <w:rFonts w:ascii="Times New Roman" w:hAnsi="Times New Roman" w:cs="Times New Roman"/>
          <w:sz w:val="24"/>
          <w:szCs w:val="24"/>
        </w:rPr>
        <w:t xml:space="preserve">Commission established under the Agreement will be responsible for the operation of the </w:t>
      </w:r>
      <w:r w:rsidR="00240F08" w:rsidRPr="00A17DE2">
        <w:rPr>
          <w:rFonts w:ascii="Times New Roman" w:hAnsi="Times New Roman" w:cs="Times New Roman"/>
          <w:sz w:val="24"/>
          <w:szCs w:val="24"/>
        </w:rPr>
        <w:t>TPP-11</w:t>
      </w:r>
      <w:r w:rsidRPr="00A17DE2">
        <w:rPr>
          <w:rFonts w:ascii="Times New Roman" w:hAnsi="Times New Roman" w:cs="Times New Roman"/>
          <w:sz w:val="24"/>
          <w:szCs w:val="24"/>
        </w:rPr>
        <w:t xml:space="preserve">.  The Commission will review the operation of the </w:t>
      </w:r>
      <w:r w:rsidR="00240F08" w:rsidRPr="00A17DE2">
        <w:rPr>
          <w:rFonts w:ascii="Times New Roman" w:hAnsi="Times New Roman" w:cs="Times New Roman"/>
          <w:sz w:val="24"/>
          <w:szCs w:val="24"/>
        </w:rPr>
        <w:t>TPP-11</w:t>
      </w:r>
      <w:r w:rsidRPr="00A17DE2">
        <w:rPr>
          <w:rFonts w:ascii="Times New Roman" w:hAnsi="Times New Roman" w:cs="Times New Roman"/>
          <w:sz w:val="24"/>
          <w:szCs w:val="24"/>
        </w:rPr>
        <w:t xml:space="preserve"> three years after entry into force of the Agreement and at least every five years thereafter.  </w:t>
      </w:r>
      <w:r w:rsidR="00DA3442">
        <w:rPr>
          <w:rFonts w:ascii="Times New Roman" w:hAnsi="Times New Roman" w:cs="Times New Roman"/>
          <w:sz w:val="24"/>
          <w:szCs w:val="24"/>
        </w:rPr>
        <w:t xml:space="preserve">If the entry into force of the original TPP is imminent or if the original TPP is unlikely to enter into force, the Parties have agreed to, on the request of a Party, review the operation of the TPP-11 </w:t>
      </w:r>
      <w:proofErr w:type="gramStart"/>
      <w:r w:rsidR="00DA3442">
        <w:rPr>
          <w:rFonts w:ascii="Times New Roman" w:hAnsi="Times New Roman" w:cs="Times New Roman"/>
          <w:sz w:val="24"/>
          <w:szCs w:val="24"/>
        </w:rPr>
        <w:t>so as to</w:t>
      </w:r>
      <w:proofErr w:type="gramEnd"/>
      <w:r w:rsidR="00DA3442">
        <w:rPr>
          <w:rFonts w:ascii="Times New Roman" w:hAnsi="Times New Roman" w:cs="Times New Roman"/>
          <w:sz w:val="24"/>
          <w:szCs w:val="24"/>
        </w:rPr>
        <w:t xml:space="preserve"> consider any amendment to the Agreement and any related matters. </w:t>
      </w:r>
    </w:p>
    <w:p w14:paraId="740380C7" w14:textId="7CD20771" w:rsidR="00C61DDD" w:rsidRPr="00DC5278" w:rsidRDefault="00564958" w:rsidP="00BD58FB">
      <w:pPr>
        <w:pStyle w:val="ListParagraph"/>
        <w:widowControl w:val="0"/>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tabs>
          <w:tab w:val="left" w:pos="714"/>
        </w:tabs>
        <w:suppressAutoHyphens/>
        <w:autoSpaceDE w:val="0"/>
        <w:autoSpaceDN w:val="0"/>
        <w:adjustRightInd w:val="0"/>
        <w:spacing w:after="200"/>
        <w:ind w:left="658" w:hanging="658"/>
        <w:rPr>
          <w:rFonts w:ascii="Times New Roman" w:hAnsi="Times New Roman" w:cs="Times New Roman"/>
          <w:sz w:val="24"/>
          <w:szCs w:val="24"/>
        </w:rPr>
      </w:pPr>
      <w:r>
        <w:rPr>
          <w:rFonts w:ascii="Times New Roman" w:hAnsi="Times New Roman" w:cs="Times New Roman"/>
          <w:sz w:val="24"/>
          <w:szCs w:val="24"/>
        </w:rPr>
        <w:t>After the entry into force of the TPP-11, a</w:t>
      </w:r>
      <w:r w:rsidR="00C61DDD" w:rsidRPr="00A17DE2">
        <w:rPr>
          <w:rFonts w:ascii="Times New Roman" w:hAnsi="Times New Roman" w:cs="Times New Roman"/>
          <w:sz w:val="24"/>
          <w:szCs w:val="24"/>
        </w:rPr>
        <w:t xml:space="preserve">ny state or </w:t>
      </w:r>
      <w:r w:rsidR="0085547B" w:rsidRPr="00A17DE2">
        <w:rPr>
          <w:rFonts w:ascii="Times New Roman" w:hAnsi="Times New Roman" w:cs="Times New Roman"/>
          <w:sz w:val="24"/>
          <w:szCs w:val="24"/>
        </w:rPr>
        <w:t xml:space="preserve">separate </w:t>
      </w:r>
      <w:r w:rsidR="00C61DDD" w:rsidRPr="00A17DE2">
        <w:rPr>
          <w:rFonts w:ascii="Times New Roman" w:hAnsi="Times New Roman" w:cs="Times New Roman"/>
          <w:sz w:val="24"/>
          <w:szCs w:val="24"/>
        </w:rPr>
        <w:t xml:space="preserve">customs territory may accede to the </w:t>
      </w:r>
      <w:r w:rsidR="00240F08" w:rsidRPr="00A17DE2">
        <w:rPr>
          <w:rFonts w:ascii="Times New Roman" w:hAnsi="Times New Roman" w:cs="Times New Roman"/>
          <w:sz w:val="24"/>
          <w:szCs w:val="24"/>
        </w:rPr>
        <w:t>TPP-11</w:t>
      </w:r>
      <w:r w:rsidR="00C61DDD" w:rsidRPr="00A17DE2">
        <w:rPr>
          <w:rFonts w:ascii="Times New Roman" w:hAnsi="Times New Roman" w:cs="Times New Roman"/>
          <w:sz w:val="24"/>
          <w:szCs w:val="24"/>
        </w:rPr>
        <w:t xml:space="preserve"> if it is prepared to comply with the provisions of the Agreement</w:t>
      </w:r>
      <w:r w:rsidR="00C61DDD" w:rsidRPr="00DC5278">
        <w:rPr>
          <w:rFonts w:ascii="Times New Roman" w:hAnsi="Times New Roman" w:cs="Times New Roman"/>
          <w:sz w:val="24"/>
          <w:szCs w:val="24"/>
        </w:rPr>
        <w:t xml:space="preserve">, other terms and conditions specified, and if all </w:t>
      </w:r>
      <w:r w:rsidR="00240F08">
        <w:rPr>
          <w:rFonts w:ascii="Times New Roman" w:hAnsi="Times New Roman" w:cs="Times New Roman"/>
          <w:sz w:val="24"/>
          <w:szCs w:val="24"/>
        </w:rPr>
        <w:t>TPP-11</w:t>
      </w:r>
      <w:r w:rsidR="00C61DDD" w:rsidRPr="00DC5278">
        <w:rPr>
          <w:rFonts w:ascii="Times New Roman" w:hAnsi="Times New Roman" w:cs="Times New Roman"/>
          <w:sz w:val="24"/>
          <w:szCs w:val="24"/>
        </w:rPr>
        <w:t xml:space="preserve"> Parties agree to the accession. </w:t>
      </w:r>
    </w:p>
    <w:p w14:paraId="740380C8" w14:textId="57D3F3CA" w:rsidR="00BC1E8B" w:rsidRPr="00DC5278" w:rsidRDefault="00C61DDD" w:rsidP="00BD58FB">
      <w:pPr>
        <w:pStyle w:val="ListParagraph"/>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tabs>
          <w:tab w:val="left" w:pos="714"/>
        </w:tabs>
        <w:suppressAutoHyphens/>
        <w:autoSpaceDE w:val="0"/>
        <w:autoSpaceDN w:val="0"/>
        <w:adjustRightInd w:val="0"/>
        <w:spacing w:after="200"/>
        <w:ind w:right="-58"/>
        <w:rPr>
          <w:rFonts w:ascii="Times New Roman" w:hAnsi="Times New Roman" w:cs="Times New Roman"/>
          <w:sz w:val="24"/>
          <w:szCs w:val="24"/>
        </w:rPr>
      </w:pPr>
      <w:r w:rsidRPr="00DC5278">
        <w:rPr>
          <w:rFonts w:ascii="Times New Roman" w:hAnsi="Times New Roman" w:cs="Times New Roman"/>
          <w:sz w:val="24"/>
          <w:szCs w:val="24"/>
        </w:rPr>
        <w:t xml:space="preserve">Any Party may withdraw from the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by providing written notice to the De</w:t>
      </w:r>
      <w:r w:rsidR="0085547B" w:rsidRPr="00DC5278">
        <w:rPr>
          <w:rFonts w:ascii="Times New Roman" w:hAnsi="Times New Roman" w:cs="Times New Roman"/>
          <w:sz w:val="24"/>
          <w:szCs w:val="24"/>
        </w:rPr>
        <w:t>p</w:t>
      </w:r>
      <w:r w:rsidRPr="00DC5278">
        <w:rPr>
          <w:rFonts w:ascii="Times New Roman" w:hAnsi="Times New Roman" w:cs="Times New Roman"/>
          <w:sz w:val="24"/>
          <w:szCs w:val="24"/>
        </w:rPr>
        <w:t>ositary and other Parties.  A withdrawal shall take effect six months after a Party provides written notification, unless the Parties agree on a different peri</w:t>
      </w:r>
      <w:r w:rsidR="0085547B" w:rsidRPr="00DC5278">
        <w:rPr>
          <w:rFonts w:ascii="Times New Roman" w:hAnsi="Times New Roman" w:cs="Times New Roman"/>
          <w:sz w:val="24"/>
          <w:szCs w:val="24"/>
        </w:rPr>
        <w:t xml:space="preserve">od. </w:t>
      </w:r>
      <w:r w:rsidR="005B6B31" w:rsidRPr="00DC5278">
        <w:rPr>
          <w:rFonts w:ascii="Times New Roman" w:eastAsia="Times New Roman" w:hAnsi="Times New Roman" w:cs="Times New Roman"/>
          <w:b/>
          <w:bCs/>
          <w:color w:val="auto"/>
          <w:sz w:val="24"/>
          <w:szCs w:val="24"/>
          <w:lang w:val="en-AU"/>
        </w:rPr>
        <w:br w:type="page"/>
      </w:r>
    </w:p>
    <w:p w14:paraId="740380C9" w14:textId="77777777" w:rsidR="00BC1E8B" w:rsidRPr="00DC5278" w:rsidRDefault="005B6B31" w:rsidP="0085547B">
      <w:pPr>
        <w:pStyle w:val="Heading"/>
        <w:suppressAutoHyphens/>
        <w:rPr>
          <w:rFonts w:eastAsia="Arial Unicode MS"/>
          <w:color w:val="auto"/>
        </w:rPr>
      </w:pPr>
      <w:bookmarkStart w:id="9" w:name="_Toc508810494"/>
      <w:r w:rsidRPr="00DC5278">
        <w:rPr>
          <w:rFonts w:eastAsia="Arial Unicode MS"/>
          <w:color w:val="auto"/>
        </w:rPr>
        <w:lastRenderedPageBreak/>
        <w:t>ATTACHMENT: REGULATORY BURDEN AND COST OFFSET ESTIMATE</w:t>
      </w:r>
      <w:bookmarkEnd w:id="9"/>
    </w:p>
    <w:p w14:paraId="740380CA" w14:textId="67335DE0" w:rsidR="003F71E2" w:rsidRPr="00DC5278" w:rsidRDefault="003F71E2" w:rsidP="0085547B">
      <w:pPr>
        <w:pStyle w:val="ListParagraph"/>
        <w:suppressAutoHyphens/>
        <w:spacing w:after="120"/>
        <w:ind w:left="0"/>
        <w:rPr>
          <w:rFonts w:ascii="Times New Roman" w:hAnsi="Times New Roman" w:cs="Times New Roman"/>
          <w:b/>
          <w:sz w:val="24"/>
          <w:szCs w:val="24"/>
        </w:rPr>
      </w:pPr>
      <w:r w:rsidRPr="00DC5278">
        <w:rPr>
          <w:rFonts w:ascii="Times New Roman" w:hAnsi="Times New Roman" w:cs="Times New Roman"/>
          <w:sz w:val="24"/>
          <w:szCs w:val="24"/>
        </w:rPr>
        <w:t>1.</w:t>
      </w:r>
      <w:r w:rsidRPr="00DC5278">
        <w:rPr>
          <w:rFonts w:ascii="Times New Roman" w:hAnsi="Times New Roman" w:cs="Times New Roman"/>
          <w:sz w:val="24"/>
          <w:szCs w:val="24"/>
        </w:rPr>
        <w:tab/>
        <w:t xml:space="preserve">The entry into force of the </w:t>
      </w:r>
      <w:r w:rsidR="003E28FF">
        <w:rPr>
          <w:rFonts w:ascii="Times New Roman" w:hAnsi="Times New Roman" w:cs="Times New Roman"/>
          <w:sz w:val="24"/>
          <w:szCs w:val="24"/>
        </w:rPr>
        <w:t>Comprehensive and Progressive Agreement for Trans-Pacific Partnership</w:t>
      </w:r>
      <w:r w:rsidRPr="00DC5278">
        <w:rPr>
          <w:rFonts w:ascii="Times New Roman" w:hAnsi="Times New Roman" w:cs="Times New Roman"/>
          <w:sz w:val="24"/>
          <w:szCs w:val="24"/>
        </w:rPr>
        <w:t xml:space="preserve">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is expected to result in a small reduction in ongoing business compliance costs for Australian exporters to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Parties.  The reduction arises from </w:t>
      </w:r>
      <w:r w:rsidR="00432FB8" w:rsidRPr="00DC5278">
        <w:rPr>
          <w:rFonts w:ascii="Times New Roman" w:hAnsi="Times New Roman" w:cs="Times New Roman"/>
          <w:sz w:val="24"/>
          <w:szCs w:val="24"/>
        </w:rPr>
        <w:t xml:space="preserve">two sources.  First, the ability of exporters to use one set of documentary procedures </w:t>
      </w:r>
      <w:r w:rsidR="003C3BED">
        <w:rPr>
          <w:rFonts w:ascii="Times New Roman" w:hAnsi="Times New Roman" w:cs="Times New Roman"/>
          <w:sz w:val="24"/>
          <w:szCs w:val="24"/>
        </w:rPr>
        <w:t>to export to 10</w:t>
      </w:r>
      <w:r w:rsidR="00432FB8" w:rsidRPr="00DC5278">
        <w:rPr>
          <w:rFonts w:ascii="Times New Roman" w:hAnsi="Times New Roman" w:cs="Times New Roman"/>
          <w:sz w:val="24"/>
          <w:szCs w:val="24"/>
        </w:rPr>
        <w:t xml:space="preserve"> other markets instead of under </w:t>
      </w:r>
      <w:r w:rsidR="003C3BED">
        <w:rPr>
          <w:rFonts w:ascii="Times New Roman" w:hAnsi="Times New Roman" w:cs="Times New Roman"/>
          <w:sz w:val="24"/>
          <w:szCs w:val="24"/>
        </w:rPr>
        <w:t>eight</w:t>
      </w:r>
      <w:r w:rsidR="00432FB8" w:rsidRPr="00DC5278">
        <w:rPr>
          <w:rFonts w:ascii="Times New Roman" w:hAnsi="Times New Roman" w:cs="Times New Roman"/>
          <w:sz w:val="24"/>
          <w:szCs w:val="24"/>
        </w:rPr>
        <w:t xml:space="preserve"> separate FTAs plus </w:t>
      </w:r>
      <w:r w:rsidR="003C3BED">
        <w:rPr>
          <w:rFonts w:ascii="Times New Roman" w:hAnsi="Times New Roman" w:cs="Times New Roman"/>
          <w:sz w:val="24"/>
          <w:szCs w:val="24"/>
        </w:rPr>
        <w:t>two</w:t>
      </w:r>
      <w:r w:rsidR="00432FB8" w:rsidRPr="00DC5278">
        <w:rPr>
          <w:rFonts w:ascii="Times New Roman" w:hAnsi="Times New Roman" w:cs="Times New Roman"/>
          <w:sz w:val="24"/>
          <w:szCs w:val="24"/>
        </w:rPr>
        <w:t xml:space="preserve"> non-FTA partners.  Second, </w:t>
      </w:r>
      <w:r w:rsidRPr="00DC5278">
        <w:rPr>
          <w:rFonts w:ascii="Times New Roman" w:hAnsi="Times New Roman" w:cs="Times New Roman"/>
          <w:sz w:val="24"/>
          <w:szCs w:val="24"/>
        </w:rPr>
        <w:t>the possibility that some businesses that previously sought and obtained non-preferential certificates of origin (COOs) may now be able to self-certify the origin of their goods for exports to Brunei Darussalam, Can</w:t>
      </w:r>
      <w:r w:rsidR="006D471C">
        <w:rPr>
          <w:rFonts w:ascii="Times New Roman" w:hAnsi="Times New Roman" w:cs="Times New Roman"/>
          <w:sz w:val="24"/>
          <w:szCs w:val="24"/>
        </w:rPr>
        <w:t>ada, New Zealand, Mexico, a</w:t>
      </w:r>
      <w:r w:rsidRPr="00DC5278">
        <w:rPr>
          <w:rFonts w:ascii="Times New Roman" w:hAnsi="Times New Roman" w:cs="Times New Roman"/>
          <w:sz w:val="24"/>
          <w:szCs w:val="24"/>
        </w:rPr>
        <w:t>nd Vietnam.  Existing agreements allow businesses to self-certify the origin of their go</w:t>
      </w:r>
      <w:r w:rsidR="00F94251">
        <w:rPr>
          <w:rFonts w:ascii="Times New Roman" w:hAnsi="Times New Roman" w:cs="Times New Roman"/>
          <w:sz w:val="24"/>
          <w:szCs w:val="24"/>
        </w:rPr>
        <w:t xml:space="preserve">ods for exports to Chile, Japan, </w:t>
      </w:r>
      <w:r w:rsidRPr="00DC5278">
        <w:rPr>
          <w:rFonts w:ascii="Times New Roman" w:hAnsi="Times New Roman" w:cs="Times New Roman"/>
          <w:sz w:val="24"/>
          <w:szCs w:val="24"/>
        </w:rPr>
        <w:t>Malaysia</w:t>
      </w:r>
      <w:r w:rsidR="00A777D4">
        <w:rPr>
          <w:rFonts w:ascii="Times New Roman" w:hAnsi="Times New Roman" w:cs="Times New Roman"/>
          <w:sz w:val="24"/>
          <w:szCs w:val="24"/>
        </w:rPr>
        <w:t>, Peru</w:t>
      </w:r>
      <w:r w:rsidR="00F94251">
        <w:rPr>
          <w:rFonts w:ascii="Times New Roman" w:hAnsi="Times New Roman" w:cs="Times New Roman"/>
          <w:sz w:val="24"/>
          <w:szCs w:val="24"/>
        </w:rPr>
        <w:t xml:space="preserve"> and Singapore</w:t>
      </w:r>
      <w:r w:rsidRPr="00DC5278">
        <w:rPr>
          <w:rFonts w:ascii="Times New Roman" w:hAnsi="Times New Roman" w:cs="Times New Roman"/>
          <w:sz w:val="24"/>
          <w:szCs w:val="24"/>
        </w:rPr>
        <w:t>.</w:t>
      </w:r>
    </w:p>
    <w:p w14:paraId="740380CB" w14:textId="072380EA" w:rsidR="003F71E2" w:rsidRPr="005B7FF0" w:rsidRDefault="003F71E2" w:rsidP="0085547B">
      <w:pPr>
        <w:pStyle w:val="ListParagraph"/>
        <w:suppressAutoHyphens/>
        <w:spacing w:after="120"/>
        <w:ind w:left="0"/>
        <w:rPr>
          <w:rFonts w:ascii="Times New Roman" w:hAnsi="Times New Roman" w:cs="Times New Roman"/>
          <w:b/>
          <w:sz w:val="24"/>
          <w:szCs w:val="24"/>
        </w:rPr>
      </w:pPr>
      <w:r w:rsidRPr="00DC5278">
        <w:rPr>
          <w:rFonts w:ascii="Times New Roman" w:hAnsi="Times New Roman" w:cs="Times New Roman"/>
          <w:sz w:val="24"/>
          <w:szCs w:val="24"/>
        </w:rPr>
        <w:t>2.</w:t>
      </w:r>
      <w:r w:rsidRPr="00DC5278">
        <w:rPr>
          <w:rFonts w:ascii="Times New Roman" w:hAnsi="Times New Roman" w:cs="Times New Roman"/>
          <w:sz w:val="24"/>
          <w:szCs w:val="24"/>
        </w:rPr>
        <w:tab/>
        <w:t xml:space="preserve">There is a significant level of uncertainty regarding the number and composition of COOs issued in respect of Australian exports into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Parties.  Accordingly, the estimates of the compliance costs under the status quo – as well as the likely incremental changes – are largely assumption driven and should be interpreted as such.  However, based on the available data, it is possible to gain an appreciation of the order of </w:t>
      </w:r>
      <w:r w:rsidRPr="005B7FF0">
        <w:rPr>
          <w:rFonts w:ascii="Times New Roman" w:hAnsi="Times New Roman" w:cs="Times New Roman"/>
          <w:sz w:val="24"/>
          <w:szCs w:val="24"/>
        </w:rPr>
        <w:t>magnitude of these changes.</w:t>
      </w:r>
    </w:p>
    <w:p w14:paraId="740380CC" w14:textId="77777777" w:rsidR="003F71E2" w:rsidRPr="005B7FF0" w:rsidRDefault="003F71E2" w:rsidP="0085547B">
      <w:pPr>
        <w:pStyle w:val="ListParagraph"/>
        <w:suppressAutoHyphens/>
        <w:spacing w:after="120"/>
        <w:ind w:left="0"/>
        <w:rPr>
          <w:rFonts w:ascii="Times New Roman" w:hAnsi="Times New Roman" w:cs="Times New Roman"/>
          <w:b/>
          <w:i/>
          <w:sz w:val="24"/>
          <w:szCs w:val="24"/>
        </w:rPr>
      </w:pPr>
      <w:r w:rsidRPr="005B7FF0">
        <w:rPr>
          <w:rFonts w:ascii="Times New Roman" w:hAnsi="Times New Roman" w:cs="Times New Roman"/>
          <w:b/>
          <w:i/>
          <w:sz w:val="24"/>
          <w:szCs w:val="24"/>
        </w:rPr>
        <w:t>Certificates of Origin</w:t>
      </w:r>
    </w:p>
    <w:p w14:paraId="740380CD" w14:textId="77777777" w:rsidR="003F71E2" w:rsidRPr="005B7FF0" w:rsidRDefault="003F71E2" w:rsidP="0085547B">
      <w:pPr>
        <w:pStyle w:val="ListParagraph"/>
        <w:suppressAutoHyphens/>
        <w:spacing w:after="120"/>
        <w:ind w:left="0"/>
        <w:rPr>
          <w:rFonts w:ascii="Times New Roman" w:hAnsi="Times New Roman" w:cs="Times New Roman"/>
          <w:sz w:val="24"/>
          <w:szCs w:val="24"/>
        </w:rPr>
      </w:pPr>
      <w:r w:rsidRPr="005B7FF0">
        <w:rPr>
          <w:rFonts w:ascii="Times New Roman" w:hAnsi="Times New Roman" w:cs="Times New Roman"/>
          <w:sz w:val="24"/>
          <w:szCs w:val="24"/>
        </w:rPr>
        <w:t>3.</w:t>
      </w:r>
      <w:r w:rsidRPr="005B7FF0">
        <w:rPr>
          <w:rFonts w:ascii="Times New Roman" w:hAnsi="Times New Roman" w:cs="Times New Roman"/>
          <w:sz w:val="24"/>
          <w:szCs w:val="24"/>
        </w:rPr>
        <w:tab/>
        <w:t>COOs are issued by industry groups such as the Australian Chamber of Commerce and Industry and the Australian Industry Group.  Preferential certificates account for around 10 per cent of all certificates issued.  Preferential certificates are generally issued in respect of countries with whom Austra</w:t>
      </w:r>
      <w:r w:rsidR="0085547B" w:rsidRPr="005B7FF0">
        <w:rPr>
          <w:rFonts w:ascii="Times New Roman" w:hAnsi="Times New Roman" w:cs="Times New Roman"/>
          <w:sz w:val="24"/>
          <w:szCs w:val="24"/>
        </w:rPr>
        <w:t>lia has a free trade agreement</w:t>
      </w:r>
      <w:r w:rsidRPr="005B7FF0">
        <w:rPr>
          <w:rFonts w:ascii="Times New Roman" w:hAnsi="Times New Roman" w:cs="Times New Roman"/>
          <w:sz w:val="24"/>
          <w:szCs w:val="24"/>
        </w:rPr>
        <w:t>, but which do not allow for self-declaration.</w:t>
      </w:r>
    </w:p>
    <w:p w14:paraId="740380CE" w14:textId="54FF0D6C" w:rsidR="003F71E2" w:rsidRPr="005B7FF0" w:rsidRDefault="003F71E2" w:rsidP="0085547B">
      <w:pPr>
        <w:pStyle w:val="ListParagraph"/>
        <w:suppressAutoHyphens/>
        <w:spacing w:after="120"/>
        <w:ind w:left="0"/>
        <w:rPr>
          <w:rFonts w:ascii="Times New Roman" w:hAnsi="Times New Roman" w:cs="Times New Roman"/>
          <w:sz w:val="24"/>
          <w:szCs w:val="24"/>
        </w:rPr>
      </w:pPr>
      <w:r w:rsidRPr="005B7FF0">
        <w:rPr>
          <w:rFonts w:ascii="Times New Roman" w:hAnsi="Times New Roman" w:cs="Times New Roman"/>
          <w:sz w:val="24"/>
          <w:szCs w:val="24"/>
        </w:rPr>
        <w:t>4.</w:t>
      </w:r>
      <w:r w:rsidRPr="005B7FF0">
        <w:rPr>
          <w:rFonts w:ascii="Times New Roman" w:hAnsi="Times New Roman" w:cs="Times New Roman"/>
          <w:sz w:val="24"/>
          <w:szCs w:val="24"/>
        </w:rPr>
        <w:tab/>
      </w:r>
      <w:r w:rsidR="00240F08" w:rsidRPr="005B7FF0">
        <w:rPr>
          <w:rFonts w:ascii="Times New Roman" w:hAnsi="Times New Roman" w:cs="Times New Roman"/>
          <w:sz w:val="24"/>
          <w:szCs w:val="24"/>
        </w:rPr>
        <w:t>TPP-11</w:t>
      </w:r>
      <w:r w:rsidR="00A07DA8" w:rsidRPr="005B7FF0">
        <w:rPr>
          <w:rFonts w:ascii="Times New Roman" w:hAnsi="Times New Roman" w:cs="Times New Roman"/>
          <w:sz w:val="24"/>
          <w:szCs w:val="24"/>
        </w:rPr>
        <w:t xml:space="preserve"> Parties represent 23.9</w:t>
      </w:r>
      <w:r w:rsidRPr="005B7FF0">
        <w:rPr>
          <w:rFonts w:ascii="Times New Roman" w:hAnsi="Times New Roman" w:cs="Times New Roman"/>
          <w:sz w:val="24"/>
          <w:szCs w:val="24"/>
        </w:rPr>
        <w:t xml:space="preserve"> per cent of Australia’s total goods exports</w:t>
      </w:r>
      <w:r w:rsidR="00A07DA8" w:rsidRPr="005B7FF0">
        <w:rPr>
          <w:rFonts w:ascii="Times New Roman" w:hAnsi="Times New Roman" w:cs="Times New Roman"/>
          <w:sz w:val="24"/>
          <w:szCs w:val="24"/>
        </w:rPr>
        <w:t>.</w:t>
      </w:r>
    </w:p>
    <w:p w14:paraId="740380CF" w14:textId="77777777" w:rsidR="003F71E2" w:rsidRPr="005B7FF0" w:rsidRDefault="003F71E2" w:rsidP="0085547B">
      <w:pPr>
        <w:pStyle w:val="ListParagraph"/>
        <w:suppressAutoHyphens/>
        <w:spacing w:after="120"/>
        <w:ind w:left="0"/>
        <w:rPr>
          <w:rFonts w:ascii="Times New Roman" w:hAnsi="Times New Roman" w:cs="Times New Roman"/>
          <w:b/>
          <w:i/>
          <w:sz w:val="24"/>
          <w:szCs w:val="24"/>
        </w:rPr>
      </w:pPr>
      <w:r w:rsidRPr="005B7FF0">
        <w:rPr>
          <w:rFonts w:ascii="Times New Roman" w:hAnsi="Times New Roman" w:cs="Times New Roman"/>
          <w:b/>
          <w:i/>
          <w:sz w:val="24"/>
          <w:szCs w:val="24"/>
        </w:rPr>
        <w:t>Direct Costs</w:t>
      </w:r>
    </w:p>
    <w:p w14:paraId="740380D0" w14:textId="77777777" w:rsidR="003F71E2" w:rsidRPr="005B7FF0" w:rsidRDefault="003F71E2" w:rsidP="0085547B">
      <w:pPr>
        <w:suppressAutoHyphens/>
        <w:spacing w:after="120"/>
      </w:pPr>
      <w:r w:rsidRPr="005B7FF0">
        <w:t>5.</w:t>
      </w:r>
      <w:r w:rsidRPr="005B7FF0">
        <w:tab/>
        <w:t xml:space="preserve">Where businesses seek third-party certification from industry groups, the cost of each certificate varies from between $20-70 at an average of $33.  The cost of a certificate depends on a range of factors, such as whether an applicant is a member of the issuing body and the level of complexity. </w:t>
      </w:r>
    </w:p>
    <w:p w14:paraId="740380D1" w14:textId="77777777" w:rsidR="003F71E2" w:rsidRPr="005B7FF0" w:rsidRDefault="003F71E2" w:rsidP="0085547B">
      <w:pPr>
        <w:pStyle w:val="ListParagraph"/>
        <w:suppressAutoHyphens/>
        <w:spacing w:after="120"/>
        <w:ind w:left="0"/>
        <w:rPr>
          <w:rFonts w:ascii="Times New Roman" w:hAnsi="Times New Roman" w:cs="Times New Roman"/>
          <w:b/>
          <w:i/>
          <w:sz w:val="24"/>
          <w:szCs w:val="24"/>
        </w:rPr>
      </w:pPr>
      <w:r w:rsidRPr="005B7FF0">
        <w:rPr>
          <w:rFonts w:ascii="Times New Roman" w:hAnsi="Times New Roman" w:cs="Times New Roman"/>
          <w:b/>
          <w:i/>
          <w:sz w:val="24"/>
          <w:szCs w:val="24"/>
        </w:rPr>
        <w:t>Administrative costs</w:t>
      </w:r>
    </w:p>
    <w:p w14:paraId="740380D2" w14:textId="7EE6F807" w:rsidR="003F71E2" w:rsidRPr="00DC5278" w:rsidRDefault="003F71E2" w:rsidP="0085547B">
      <w:pPr>
        <w:pStyle w:val="ListParagraph"/>
        <w:suppressAutoHyphens/>
        <w:spacing w:after="120"/>
        <w:ind w:left="0"/>
        <w:rPr>
          <w:rFonts w:ascii="Times New Roman" w:hAnsi="Times New Roman" w:cs="Times New Roman"/>
          <w:sz w:val="24"/>
          <w:szCs w:val="24"/>
        </w:rPr>
      </w:pPr>
      <w:r w:rsidRPr="005B7FF0">
        <w:rPr>
          <w:rFonts w:ascii="Times New Roman" w:hAnsi="Times New Roman" w:cs="Times New Roman"/>
          <w:sz w:val="24"/>
          <w:szCs w:val="24"/>
        </w:rPr>
        <w:t>6.</w:t>
      </w:r>
      <w:r w:rsidRPr="005B7FF0">
        <w:rPr>
          <w:rFonts w:ascii="Times New Roman" w:hAnsi="Times New Roman" w:cs="Times New Roman"/>
          <w:sz w:val="24"/>
          <w:szCs w:val="24"/>
        </w:rPr>
        <w:tab/>
        <w:t>The ongoing administrative costs incurred by a business in preparing the documentation to obtain a COO are likely to be relatively low.  The bulk of Australian</w:t>
      </w:r>
      <w:r w:rsidRPr="00DC5278">
        <w:rPr>
          <w:rFonts w:ascii="Times New Roman" w:hAnsi="Times New Roman" w:cs="Times New Roman"/>
          <w:sz w:val="24"/>
          <w:szCs w:val="24"/>
        </w:rPr>
        <w:t xml:space="preserve"> exports to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Parties are ‘wholly obtained’ goods.  Further, while new businesses may </w:t>
      </w:r>
      <w:proofErr w:type="gramStart"/>
      <w:r w:rsidRPr="00DC5278">
        <w:rPr>
          <w:rFonts w:ascii="Times New Roman" w:hAnsi="Times New Roman" w:cs="Times New Roman"/>
          <w:sz w:val="24"/>
          <w:szCs w:val="24"/>
        </w:rPr>
        <w:t>expend</w:t>
      </w:r>
      <w:proofErr w:type="gramEnd"/>
      <w:r w:rsidRPr="00DC5278">
        <w:rPr>
          <w:rFonts w:ascii="Times New Roman" w:hAnsi="Times New Roman" w:cs="Times New Roman"/>
          <w:sz w:val="24"/>
          <w:szCs w:val="24"/>
        </w:rPr>
        <w:t xml:space="preserve"> considerable time applying for certification for their initial consignment, as a matter of practice this information is re-submitted for subsequent certifications.  In addition, much of the information required would be collected for other purposes.  The administrative time burden for each application is therefore estimated to be modest.</w:t>
      </w:r>
    </w:p>
    <w:p w14:paraId="740380D3" w14:textId="6564BF77" w:rsidR="003F71E2"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7.</w:t>
      </w:r>
      <w:r w:rsidRPr="00DC5278">
        <w:rPr>
          <w:rFonts w:ascii="Times New Roman" w:hAnsi="Times New Roman" w:cs="Times New Roman"/>
          <w:sz w:val="24"/>
          <w:szCs w:val="24"/>
        </w:rPr>
        <w:tab/>
        <w:t>Similarly, the records related to a COO are required to be kept for five years by most foreign customs agencies.  However, businesses are required under Australian Tax Law to retain these records for seven years.  The incremental compliance burden associated with record keeping for COOs is therefore assessed as nil.</w:t>
      </w:r>
    </w:p>
    <w:p w14:paraId="651237FB" w14:textId="77777777" w:rsidR="00CC1D2B" w:rsidRPr="00DC5278" w:rsidRDefault="00CC1D2B" w:rsidP="0085547B">
      <w:pPr>
        <w:pStyle w:val="ListParagraph"/>
        <w:suppressAutoHyphens/>
        <w:spacing w:after="120"/>
        <w:ind w:left="0"/>
        <w:rPr>
          <w:rFonts w:ascii="Times New Roman" w:hAnsi="Times New Roman" w:cs="Times New Roman"/>
          <w:sz w:val="24"/>
          <w:szCs w:val="24"/>
        </w:rPr>
      </w:pPr>
    </w:p>
    <w:p w14:paraId="740380D4" w14:textId="3593841A" w:rsidR="003F71E2" w:rsidRPr="00DC5278" w:rsidRDefault="003F71E2" w:rsidP="0085547B">
      <w:pPr>
        <w:pStyle w:val="ListParagraph"/>
        <w:suppressAutoHyphens/>
        <w:spacing w:after="120"/>
        <w:ind w:left="0"/>
        <w:rPr>
          <w:rFonts w:ascii="Times New Roman" w:hAnsi="Times New Roman" w:cs="Times New Roman"/>
          <w:b/>
          <w:i/>
          <w:sz w:val="24"/>
          <w:szCs w:val="24"/>
        </w:rPr>
      </w:pPr>
      <w:r w:rsidRPr="00DC5278">
        <w:rPr>
          <w:rFonts w:ascii="Times New Roman" w:hAnsi="Times New Roman" w:cs="Times New Roman"/>
          <w:b/>
          <w:i/>
          <w:sz w:val="24"/>
          <w:szCs w:val="24"/>
        </w:rPr>
        <w:lastRenderedPageBreak/>
        <w:t xml:space="preserve">Incremental reduction in number of certificates under the </w:t>
      </w:r>
      <w:r w:rsidR="00240F08">
        <w:rPr>
          <w:rFonts w:ascii="Times New Roman" w:hAnsi="Times New Roman" w:cs="Times New Roman"/>
          <w:b/>
          <w:i/>
          <w:sz w:val="24"/>
          <w:szCs w:val="24"/>
        </w:rPr>
        <w:t>TPP-11</w:t>
      </w:r>
    </w:p>
    <w:p w14:paraId="740380D5" w14:textId="5DD9F6B6"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8.</w:t>
      </w:r>
      <w:r w:rsidRPr="00DC5278">
        <w:rPr>
          <w:rFonts w:ascii="Times New Roman" w:hAnsi="Times New Roman" w:cs="Times New Roman"/>
          <w:sz w:val="24"/>
          <w:szCs w:val="24"/>
        </w:rPr>
        <w:tab/>
        <w:t xml:space="preserve">COOs are required for Australian exports to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Parties for a range of purposes in addition to tariff compliance.  For example, overseas customs agencies may require COOs for the purpose of calculating import quotas.  Alternatively, foreign banks may require COOs </w:t>
      </w:r>
      <w:proofErr w:type="gramStart"/>
      <w:r w:rsidRPr="00DC5278">
        <w:rPr>
          <w:rFonts w:ascii="Times New Roman" w:hAnsi="Times New Roman" w:cs="Times New Roman"/>
          <w:sz w:val="24"/>
          <w:szCs w:val="24"/>
        </w:rPr>
        <w:t>in order to</w:t>
      </w:r>
      <w:proofErr w:type="gramEnd"/>
      <w:r w:rsidRPr="00DC5278">
        <w:rPr>
          <w:rFonts w:ascii="Times New Roman" w:hAnsi="Times New Roman" w:cs="Times New Roman"/>
          <w:sz w:val="24"/>
          <w:szCs w:val="24"/>
        </w:rPr>
        <w:t xml:space="preserve"> provide letters of credit.</w:t>
      </w:r>
    </w:p>
    <w:p w14:paraId="740380D6" w14:textId="69992CEC" w:rsidR="003F71E2" w:rsidRPr="00DC5278" w:rsidRDefault="003F71E2" w:rsidP="0085547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9.</w:t>
      </w:r>
      <w:r w:rsidRPr="00DC5278">
        <w:rPr>
          <w:rFonts w:ascii="Times New Roman" w:hAnsi="Times New Roman" w:cs="Times New Roman"/>
          <w:sz w:val="24"/>
          <w:szCs w:val="24"/>
        </w:rPr>
        <w:tab/>
        <w:t xml:space="preserve">Therefore, it is possible that of the total number of Australian COOs currently issued in respect of </w:t>
      </w:r>
      <w:r w:rsidR="00240F08">
        <w:rPr>
          <w:rFonts w:ascii="Times New Roman" w:hAnsi="Times New Roman" w:cs="Times New Roman"/>
          <w:sz w:val="24"/>
          <w:szCs w:val="24"/>
        </w:rPr>
        <w:t>TPP-11</w:t>
      </w:r>
      <w:r w:rsidRPr="00DC5278">
        <w:rPr>
          <w:rFonts w:ascii="Times New Roman" w:hAnsi="Times New Roman" w:cs="Times New Roman"/>
          <w:sz w:val="24"/>
          <w:szCs w:val="24"/>
        </w:rPr>
        <w:t xml:space="preserve"> Parties, some of these will no longer be required </w:t>
      </w:r>
      <w:proofErr w:type="gramStart"/>
      <w:r w:rsidRPr="00DC5278">
        <w:rPr>
          <w:rFonts w:ascii="Times New Roman" w:hAnsi="Times New Roman" w:cs="Times New Roman"/>
          <w:sz w:val="24"/>
          <w:szCs w:val="24"/>
        </w:rPr>
        <w:t>as a result of</w:t>
      </w:r>
      <w:proofErr w:type="gramEnd"/>
      <w:r w:rsidRPr="00DC5278">
        <w:rPr>
          <w:rFonts w:ascii="Times New Roman" w:hAnsi="Times New Roman" w:cs="Times New Roman"/>
          <w:sz w:val="24"/>
          <w:szCs w:val="24"/>
        </w:rPr>
        <w:t xml:space="preserve"> the </w:t>
      </w:r>
      <w:r w:rsidR="00240F08">
        <w:rPr>
          <w:rFonts w:ascii="Times New Roman" w:hAnsi="Times New Roman" w:cs="Times New Roman"/>
          <w:sz w:val="24"/>
          <w:szCs w:val="24"/>
        </w:rPr>
        <w:t>TPP-11</w:t>
      </w:r>
      <w:r w:rsidRPr="00DC5278">
        <w:rPr>
          <w:rFonts w:ascii="Times New Roman" w:hAnsi="Times New Roman" w:cs="Times New Roman"/>
          <w:sz w:val="24"/>
          <w:szCs w:val="24"/>
        </w:rPr>
        <w:t>.  However, each business will have to consider for themselves, as a commercial decision, whether the benefits of obtaining a COO are outweighed by the costs (administrative or otherwise).</w:t>
      </w:r>
    </w:p>
    <w:p w14:paraId="740380D7" w14:textId="7B3C2A45" w:rsidR="003F71E2" w:rsidRPr="00CC1D2B" w:rsidRDefault="003F71E2" w:rsidP="00CC1D2B">
      <w:pPr>
        <w:pStyle w:val="ListParagraph"/>
        <w:suppressAutoHyphens/>
        <w:spacing w:after="120"/>
        <w:ind w:left="0"/>
        <w:rPr>
          <w:rFonts w:ascii="Times New Roman" w:hAnsi="Times New Roman" w:cs="Times New Roman"/>
          <w:sz w:val="24"/>
          <w:szCs w:val="24"/>
        </w:rPr>
      </w:pPr>
      <w:r w:rsidRPr="00DC5278">
        <w:rPr>
          <w:rFonts w:ascii="Times New Roman" w:hAnsi="Times New Roman" w:cs="Times New Roman"/>
          <w:sz w:val="24"/>
          <w:szCs w:val="24"/>
        </w:rPr>
        <w:t>10.</w:t>
      </w:r>
      <w:r w:rsidRPr="00DC5278">
        <w:rPr>
          <w:rFonts w:ascii="Times New Roman" w:hAnsi="Times New Roman" w:cs="Times New Roman"/>
          <w:sz w:val="24"/>
          <w:szCs w:val="24"/>
        </w:rPr>
        <w:tab/>
        <w:t xml:space="preserve">It is </w:t>
      </w:r>
      <w:r w:rsidRPr="00CC1D2B">
        <w:rPr>
          <w:rFonts w:ascii="Times New Roman" w:hAnsi="Times New Roman" w:cs="Times New Roman"/>
          <w:sz w:val="24"/>
          <w:szCs w:val="24"/>
        </w:rPr>
        <w:t xml:space="preserve">therefore assumed that there will be a modest reduction in the number of COOs issued in respect of Australian exports to </w:t>
      </w:r>
      <w:r w:rsidR="00240F08" w:rsidRPr="00CC1D2B">
        <w:rPr>
          <w:rFonts w:ascii="Times New Roman" w:hAnsi="Times New Roman" w:cs="Times New Roman"/>
          <w:sz w:val="24"/>
          <w:szCs w:val="24"/>
        </w:rPr>
        <w:t>TPP-11</w:t>
      </w:r>
      <w:r w:rsidRPr="00CC1D2B">
        <w:rPr>
          <w:rFonts w:ascii="Times New Roman" w:hAnsi="Times New Roman" w:cs="Times New Roman"/>
          <w:sz w:val="24"/>
          <w:szCs w:val="24"/>
        </w:rPr>
        <w:t xml:space="preserve"> Parties </w:t>
      </w:r>
      <w:proofErr w:type="gramStart"/>
      <w:r w:rsidRPr="00CC1D2B">
        <w:rPr>
          <w:rFonts w:ascii="Times New Roman" w:hAnsi="Times New Roman" w:cs="Times New Roman"/>
          <w:sz w:val="24"/>
          <w:szCs w:val="24"/>
        </w:rPr>
        <w:t>as a result of</w:t>
      </w:r>
      <w:proofErr w:type="gramEnd"/>
      <w:r w:rsidRPr="00CC1D2B">
        <w:rPr>
          <w:rFonts w:ascii="Times New Roman" w:hAnsi="Times New Roman" w:cs="Times New Roman"/>
          <w:sz w:val="24"/>
          <w:szCs w:val="24"/>
        </w:rPr>
        <w:t xml:space="preserve"> the Agreement.  To the extent that this reduction occurs, those businesses will save the direct costs of certification by industry </w:t>
      </w:r>
      <w:proofErr w:type="gramStart"/>
      <w:r w:rsidRPr="00CC1D2B">
        <w:rPr>
          <w:rFonts w:ascii="Times New Roman" w:hAnsi="Times New Roman" w:cs="Times New Roman"/>
          <w:sz w:val="24"/>
          <w:szCs w:val="24"/>
        </w:rPr>
        <w:t>bodies;</w:t>
      </w:r>
      <w:proofErr w:type="gramEnd"/>
      <w:r w:rsidRPr="00CC1D2B">
        <w:rPr>
          <w:rFonts w:ascii="Times New Roman" w:hAnsi="Times New Roman" w:cs="Times New Roman"/>
          <w:sz w:val="24"/>
          <w:szCs w:val="24"/>
        </w:rPr>
        <w:t xml:space="preserve"> together with the administrative costs.</w:t>
      </w:r>
    </w:p>
    <w:p w14:paraId="740380D8" w14:textId="77777777" w:rsidR="003F71E2" w:rsidRPr="00CC1D2B" w:rsidRDefault="003F71E2" w:rsidP="00CC1D2B">
      <w:pPr>
        <w:suppressAutoHyphens/>
      </w:pPr>
    </w:p>
    <w:p w14:paraId="740380D9" w14:textId="77777777" w:rsidR="003F71E2" w:rsidRPr="00CC1D2B" w:rsidRDefault="003F71E2" w:rsidP="00CC1D2B">
      <w:pPr>
        <w:suppressAutoHyphens/>
        <w:rPr>
          <w:b/>
          <w:sz w:val="26"/>
          <w:szCs w:val="26"/>
        </w:rPr>
      </w:pPr>
      <w:r w:rsidRPr="00CC1D2B">
        <w:rPr>
          <w:b/>
          <w:sz w:val="26"/>
          <w:szCs w:val="26"/>
        </w:rPr>
        <w:t>Regulatory Burden and Cost Offset (RBCO) Estimate Table</w:t>
      </w:r>
    </w:p>
    <w:tbl>
      <w:tblPr>
        <w:tblStyle w:val="MediumShading1-Accent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Description w:val="This table shows the TPP is expected to reduce compliance costs for business by around $148,000 per annum."/>
      </w:tblPr>
      <w:tblGrid>
        <w:gridCol w:w="2093"/>
        <w:gridCol w:w="1701"/>
        <w:gridCol w:w="1984"/>
        <w:gridCol w:w="1560"/>
        <w:gridCol w:w="1842"/>
      </w:tblGrid>
      <w:tr w:rsidR="003F71E2" w:rsidRPr="00CC1D2B" w14:paraId="740380DB" w14:textId="77777777" w:rsidTr="008E21C4">
        <w:trPr>
          <w:cnfStyle w:val="000000010000" w:firstRow="0" w:lastRow="0" w:firstColumn="0" w:lastColumn="0" w:oddVBand="0" w:evenVBand="0" w:oddHBand="0" w:evenHBand="1"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noWrap/>
          </w:tcPr>
          <w:p w14:paraId="740380DA" w14:textId="77777777" w:rsidR="003F71E2" w:rsidRPr="00CC1D2B" w:rsidRDefault="003F71E2" w:rsidP="00CC1D2B">
            <w:pPr>
              <w:keepLines/>
              <w:suppressAutoHyphens/>
              <w:spacing w:before="200"/>
              <w:rPr>
                <w:rFonts w:ascii="Times New Roman" w:hAnsi="Times New Roman"/>
              </w:rPr>
            </w:pPr>
            <w:r w:rsidRPr="00CC1D2B">
              <w:rPr>
                <w:rFonts w:ascii="Times New Roman" w:hAnsi="Times New Roman"/>
              </w:rPr>
              <w:t>Average Annual Compliance Costs (from business as usual)</w:t>
            </w:r>
          </w:p>
        </w:tc>
      </w:tr>
      <w:tr w:rsidR="003F71E2" w:rsidRPr="00CC1D2B" w14:paraId="740380DD" w14:textId="77777777" w:rsidTr="008E21C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noWrap/>
          </w:tcPr>
          <w:p w14:paraId="740380DC" w14:textId="77777777" w:rsidR="003F71E2" w:rsidRPr="00CC1D2B" w:rsidRDefault="003F71E2" w:rsidP="00CC1D2B">
            <w:pPr>
              <w:keepLines/>
              <w:suppressAutoHyphens/>
              <w:spacing w:before="200"/>
              <w:rPr>
                <w:rFonts w:ascii="Times New Roman" w:hAnsi="Times New Roman"/>
              </w:rPr>
            </w:pPr>
          </w:p>
        </w:tc>
      </w:tr>
      <w:tr w:rsidR="0085547B" w:rsidRPr="00CC1D2B" w14:paraId="740380E3" w14:textId="77777777" w:rsidTr="008554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DE" w14:textId="77777777" w:rsidR="003F71E2" w:rsidRPr="00CC1D2B" w:rsidRDefault="003F71E2" w:rsidP="00CC1D2B">
            <w:pPr>
              <w:keepLines/>
              <w:suppressAutoHyphens/>
              <w:spacing w:before="200"/>
              <w:rPr>
                <w:rFonts w:ascii="Times New Roman" w:hAnsi="Times New Roman"/>
              </w:rPr>
            </w:pPr>
            <w:r w:rsidRPr="00CC1D2B">
              <w:rPr>
                <w:rFonts w:ascii="Times New Roman" w:hAnsi="Times New Roman"/>
              </w:rPr>
              <w:t>Costs</w:t>
            </w:r>
            <w:r w:rsidRPr="00CC1D2B">
              <w:rPr>
                <w:rFonts w:ascii="Times New Roman" w:eastAsiaTheme="majorEastAsia" w:hAnsi="Times New Roman"/>
                <w:iCs/>
              </w:rPr>
              <w:t xml:space="preserve"> ($m)</w:t>
            </w:r>
          </w:p>
        </w:tc>
        <w:tc>
          <w:tcPr>
            <w:tcW w:w="1701" w:type="dxa"/>
            <w:tcBorders>
              <w:left w:val="single" w:sz="4" w:space="0" w:color="auto"/>
              <w:right w:val="single" w:sz="4" w:space="0" w:color="auto"/>
            </w:tcBorders>
            <w:shd w:val="clear" w:color="auto" w:fill="FFFFFF" w:themeFill="background1"/>
            <w:noWrap/>
          </w:tcPr>
          <w:p w14:paraId="740380DF" w14:textId="77777777" w:rsidR="003F71E2" w:rsidRPr="00CC1D2B" w:rsidRDefault="003F71E2" w:rsidP="00CC1D2B">
            <w:pPr>
              <w:keepLines/>
              <w:suppressAutoHyphens/>
              <w:spacing w:before="20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CC1D2B">
              <w:rPr>
                <w:rFonts w:ascii="Times New Roman" w:hAnsi="Times New Roman"/>
                <w:b/>
              </w:rPr>
              <w:t>Business</w:t>
            </w:r>
          </w:p>
        </w:tc>
        <w:tc>
          <w:tcPr>
            <w:tcW w:w="1984" w:type="dxa"/>
            <w:tcBorders>
              <w:left w:val="single" w:sz="4" w:space="0" w:color="auto"/>
              <w:right w:val="single" w:sz="4" w:space="0" w:color="auto"/>
            </w:tcBorders>
            <w:shd w:val="clear" w:color="auto" w:fill="FFFFFF" w:themeFill="background1"/>
            <w:noWrap/>
          </w:tcPr>
          <w:p w14:paraId="740380E0" w14:textId="77777777" w:rsidR="003F71E2" w:rsidRPr="00CC1D2B" w:rsidRDefault="003F71E2" w:rsidP="00CC1D2B">
            <w:pPr>
              <w:keepLines/>
              <w:suppressAutoHyphens/>
              <w:spacing w:before="20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CC1D2B">
              <w:rPr>
                <w:rFonts w:ascii="Times New Roman" w:eastAsiaTheme="majorEastAsia" w:hAnsi="Times New Roman"/>
                <w:b/>
                <w:bCs/>
                <w:iCs/>
              </w:rPr>
              <w:t>Community Organisations</w:t>
            </w:r>
          </w:p>
        </w:tc>
        <w:tc>
          <w:tcPr>
            <w:tcW w:w="1560" w:type="dxa"/>
            <w:tcBorders>
              <w:left w:val="single" w:sz="4" w:space="0" w:color="auto"/>
              <w:right w:val="single" w:sz="4" w:space="0" w:color="auto"/>
            </w:tcBorders>
            <w:shd w:val="clear" w:color="auto" w:fill="FFFFFF" w:themeFill="background1"/>
            <w:noWrap/>
          </w:tcPr>
          <w:p w14:paraId="740380E1" w14:textId="77777777" w:rsidR="003F71E2" w:rsidRPr="00CC1D2B" w:rsidRDefault="003F71E2" w:rsidP="00CC1D2B">
            <w:pPr>
              <w:keepLines/>
              <w:suppressAutoHyphens/>
              <w:spacing w:before="20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CC1D2B">
              <w:rPr>
                <w:rFonts w:ascii="Times New Roman" w:hAnsi="Times New Roman"/>
                <w:b/>
              </w:rPr>
              <w:t>Individuals</w:t>
            </w:r>
          </w:p>
        </w:tc>
        <w:tc>
          <w:tcPr>
            <w:tcW w:w="1842" w:type="dxa"/>
            <w:tcBorders>
              <w:left w:val="single" w:sz="4" w:space="0" w:color="auto"/>
            </w:tcBorders>
            <w:shd w:val="clear" w:color="auto" w:fill="FFFFFF" w:themeFill="background1"/>
            <w:noWrap/>
          </w:tcPr>
          <w:p w14:paraId="740380E2" w14:textId="77777777" w:rsidR="003F71E2" w:rsidRPr="00CC1D2B" w:rsidRDefault="003F71E2" w:rsidP="00CC1D2B">
            <w:pPr>
              <w:keepLines/>
              <w:suppressAutoHyphens/>
              <w:spacing w:before="20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CC1D2B">
              <w:rPr>
                <w:rFonts w:ascii="Times New Roman" w:eastAsiaTheme="majorEastAsia" w:hAnsi="Times New Roman"/>
                <w:b/>
                <w:bCs/>
                <w:iCs/>
              </w:rPr>
              <w:t>Total Cost</w:t>
            </w:r>
          </w:p>
        </w:tc>
      </w:tr>
      <w:tr w:rsidR="0085547B" w:rsidRPr="00CC1D2B" w14:paraId="740380E9" w14:textId="77777777" w:rsidTr="008554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E4" w14:textId="77777777" w:rsidR="003F71E2" w:rsidRPr="00CC1D2B" w:rsidRDefault="003F71E2" w:rsidP="00CC1D2B">
            <w:pPr>
              <w:keepLines/>
              <w:suppressAutoHyphens/>
              <w:spacing w:before="200"/>
              <w:rPr>
                <w:rFonts w:ascii="Times New Roman" w:hAnsi="Times New Roman"/>
              </w:rPr>
            </w:pPr>
            <w:r w:rsidRPr="00CC1D2B">
              <w:rPr>
                <w:rFonts w:ascii="Times New Roman" w:hAnsi="Times New Roman"/>
              </w:rPr>
              <w:t>Total by Sector</w:t>
            </w:r>
          </w:p>
        </w:tc>
        <w:tc>
          <w:tcPr>
            <w:tcW w:w="1701" w:type="dxa"/>
            <w:tcBorders>
              <w:left w:val="single" w:sz="4" w:space="0" w:color="auto"/>
              <w:right w:val="single" w:sz="4" w:space="0" w:color="auto"/>
            </w:tcBorders>
            <w:shd w:val="clear" w:color="auto" w:fill="FFFFFF" w:themeFill="background1"/>
            <w:noWrap/>
          </w:tcPr>
          <w:p w14:paraId="740380E5" w14:textId="351698F9" w:rsidR="003F71E2" w:rsidRPr="00CC1D2B" w:rsidRDefault="003F71E2" w:rsidP="00807EE9">
            <w:pPr>
              <w:keepLines/>
              <w:suppressAutoHyphens/>
              <w:spacing w:before="200"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C1D2B">
              <w:rPr>
                <w:rFonts w:ascii="Times New Roman" w:hAnsi="Times New Roman"/>
              </w:rPr>
              <w:t>($</w:t>
            </w:r>
            <w:r w:rsidR="00807EE9">
              <w:rPr>
                <w:rFonts w:ascii="Times New Roman" w:hAnsi="Times New Roman"/>
              </w:rPr>
              <w:t>143 995.21</w:t>
            </w:r>
            <w:r w:rsidRPr="00CC1D2B">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0E6"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0E7"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842" w:type="dxa"/>
            <w:tcBorders>
              <w:left w:val="single" w:sz="4" w:space="0" w:color="auto"/>
            </w:tcBorders>
            <w:shd w:val="clear" w:color="auto" w:fill="FFFFFF" w:themeFill="background1"/>
            <w:noWrap/>
          </w:tcPr>
          <w:p w14:paraId="740380E8" w14:textId="269607BC" w:rsidR="003F71E2" w:rsidRPr="00CC1D2B" w:rsidRDefault="00807EE9"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r>
              <w:rPr>
                <w:rFonts w:ascii="Times New Roman" w:hAnsi="Times New Roman"/>
              </w:rPr>
              <w:t>143 995.21</w:t>
            </w:r>
            <w:r w:rsidRPr="00CC1D2B">
              <w:rPr>
                <w:rFonts w:ascii="Times New Roman" w:hAnsi="Times New Roman"/>
              </w:rPr>
              <w:t>)</w:t>
            </w:r>
          </w:p>
        </w:tc>
      </w:tr>
      <w:tr w:rsidR="003F71E2" w:rsidRPr="00CC1D2B" w14:paraId="740380EB" w14:textId="77777777" w:rsidTr="008E21C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noWrap/>
          </w:tcPr>
          <w:p w14:paraId="740380EA" w14:textId="77777777" w:rsidR="003F71E2" w:rsidRPr="00CC1D2B" w:rsidRDefault="003F71E2" w:rsidP="00CC1D2B">
            <w:pPr>
              <w:keepLines/>
              <w:suppressAutoHyphens/>
              <w:spacing w:before="200"/>
              <w:rPr>
                <w:rFonts w:ascii="Times New Roman" w:hAnsi="Times New Roman"/>
              </w:rPr>
            </w:pPr>
          </w:p>
        </w:tc>
      </w:tr>
      <w:tr w:rsidR="0085547B" w:rsidRPr="00CC1D2B" w14:paraId="740380F1" w14:textId="77777777" w:rsidTr="008554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EC" w14:textId="77777777" w:rsidR="003F71E2" w:rsidRPr="00CC1D2B" w:rsidRDefault="003F71E2" w:rsidP="00CC1D2B">
            <w:pPr>
              <w:keepLines/>
              <w:suppressAutoHyphens/>
              <w:spacing w:before="200"/>
              <w:rPr>
                <w:rFonts w:ascii="Times New Roman" w:hAnsi="Times New Roman"/>
              </w:rPr>
            </w:pPr>
            <w:r w:rsidRPr="00CC1D2B">
              <w:rPr>
                <w:rFonts w:ascii="Times New Roman" w:eastAsiaTheme="majorEastAsia" w:hAnsi="Times New Roman"/>
                <w:iCs/>
              </w:rPr>
              <w:t>Cost offset ($m)</w:t>
            </w:r>
          </w:p>
        </w:tc>
        <w:tc>
          <w:tcPr>
            <w:tcW w:w="1701" w:type="dxa"/>
            <w:tcBorders>
              <w:left w:val="single" w:sz="4" w:space="0" w:color="auto"/>
              <w:right w:val="single" w:sz="4" w:space="0" w:color="auto"/>
            </w:tcBorders>
            <w:shd w:val="clear" w:color="auto" w:fill="FFFFFF" w:themeFill="background1"/>
            <w:noWrap/>
          </w:tcPr>
          <w:p w14:paraId="740380ED" w14:textId="77777777" w:rsidR="003F71E2" w:rsidRPr="00CC1D2B" w:rsidRDefault="003F71E2" w:rsidP="00CC1D2B">
            <w:pPr>
              <w:keepLines/>
              <w:suppressAutoHyphens/>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CC1D2B">
              <w:rPr>
                <w:rFonts w:ascii="Times New Roman" w:hAnsi="Times New Roman"/>
                <w:b/>
              </w:rPr>
              <w:t>Business</w:t>
            </w:r>
          </w:p>
        </w:tc>
        <w:tc>
          <w:tcPr>
            <w:tcW w:w="1984" w:type="dxa"/>
            <w:tcBorders>
              <w:left w:val="single" w:sz="4" w:space="0" w:color="auto"/>
              <w:right w:val="single" w:sz="4" w:space="0" w:color="auto"/>
            </w:tcBorders>
            <w:shd w:val="clear" w:color="auto" w:fill="FFFFFF" w:themeFill="background1"/>
            <w:noWrap/>
          </w:tcPr>
          <w:p w14:paraId="740380EE" w14:textId="77777777" w:rsidR="003F71E2" w:rsidRPr="00CC1D2B" w:rsidRDefault="003F71E2" w:rsidP="00CC1D2B">
            <w:pPr>
              <w:keepLines/>
              <w:suppressAutoHyphens/>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CC1D2B">
              <w:rPr>
                <w:rFonts w:ascii="Times New Roman" w:hAnsi="Times New Roman"/>
                <w:b/>
              </w:rPr>
              <w:t>Community</w:t>
            </w:r>
            <w:r w:rsidR="0085547B" w:rsidRPr="00CC1D2B">
              <w:rPr>
                <w:rFonts w:ascii="Times New Roman" w:hAnsi="Times New Roman"/>
                <w:b/>
              </w:rPr>
              <w:t xml:space="preserve"> </w:t>
            </w:r>
            <w:r w:rsidRPr="00CC1D2B">
              <w:rPr>
                <w:rFonts w:ascii="Times New Roman" w:hAnsi="Times New Roman"/>
                <w:b/>
              </w:rPr>
              <w:t>Organisations</w:t>
            </w:r>
          </w:p>
        </w:tc>
        <w:tc>
          <w:tcPr>
            <w:tcW w:w="1560" w:type="dxa"/>
            <w:tcBorders>
              <w:left w:val="single" w:sz="4" w:space="0" w:color="auto"/>
              <w:right w:val="single" w:sz="4" w:space="0" w:color="auto"/>
            </w:tcBorders>
            <w:shd w:val="clear" w:color="auto" w:fill="FFFFFF" w:themeFill="background1"/>
            <w:noWrap/>
          </w:tcPr>
          <w:p w14:paraId="740380EF" w14:textId="77777777" w:rsidR="003F71E2" w:rsidRPr="00CC1D2B" w:rsidRDefault="003F71E2" w:rsidP="00CC1D2B">
            <w:pPr>
              <w:keepLines/>
              <w:suppressAutoHyphens/>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CC1D2B">
              <w:rPr>
                <w:rFonts w:ascii="Times New Roman" w:hAnsi="Times New Roman"/>
                <w:b/>
              </w:rPr>
              <w:t>Individuals</w:t>
            </w:r>
          </w:p>
        </w:tc>
        <w:tc>
          <w:tcPr>
            <w:tcW w:w="1842" w:type="dxa"/>
            <w:tcBorders>
              <w:left w:val="single" w:sz="4" w:space="0" w:color="auto"/>
            </w:tcBorders>
            <w:shd w:val="clear" w:color="auto" w:fill="FFFFFF" w:themeFill="background1"/>
            <w:noWrap/>
          </w:tcPr>
          <w:p w14:paraId="740380F0" w14:textId="77777777" w:rsidR="003F71E2" w:rsidRPr="00CC1D2B" w:rsidRDefault="003F71E2" w:rsidP="00CC1D2B">
            <w:pPr>
              <w:keepLines/>
              <w:suppressAutoHyphens/>
              <w:spacing w:before="20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CC1D2B">
              <w:rPr>
                <w:rFonts w:ascii="Times New Roman" w:hAnsi="Times New Roman"/>
                <w:b/>
              </w:rPr>
              <w:t xml:space="preserve">Total by </w:t>
            </w:r>
            <w:r w:rsidRPr="00CC1D2B">
              <w:rPr>
                <w:rFonts w:ascii="Times New Roman" w:eastAsiaTheme="majorEastAsia" w:hAnsi="Times New Roman"/>
                <w:b/>
                <w:iCs/>
              </w:rPr>
              <w:t>Source</w:t>
            </w:r>
            <w:r w:rsidRPr="00CC1D2B">
              <w:rPr>
                <w:rFonts w:ascii="Times New Roman" w:eastAsiaTheme="majorEastAsia" w:hAnsi="Times New Roman"/>
                <w:b/>
                <w:bCs/>
                <w:iCs/>
              </w:rPr>
              <w:t xml:space="preserve"> </w:t>
            </w:r>
          </w:p>
        </w:tc>
      </w:tr>
      <w:tr w:rsidR="0085547B" w:rsidRPr="00CC1D2B" w14:paraId="740380F7" w14:textId="77777777" w:rsidTr="0085547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F2" w14:textId="77777777" w:rsidR="003F71E2" w:rsidRPr="00CC1D2B" w:rsidRDefault="003F71E2" w:rsidP="00CC1D2B">
            <w:pPr>
              <w:keepLines/>
              <w:suppressAutoHyphens/>
              <w:spacing w:before="200"/>
              <w:rPr>
                <w:rFonts w:ascii="Times New Roman" w:hAnsi="Times New Roman"/>
              </w:rPr>
            </w:pPr>
            <w:r w:rsidRPr="00CC1D2B">
              <w:rPr>
                <w:rFonts w:ascii="Times New Roman" w:hAnsi="Times New Roman"/>
              </w:rPr>
              <w:t xml:space="preserve">Agency </w:t>
            </w:r>
          </w:p>
        </w:tc>
        <w:tc>
          <w:tcPr>
            <w:tcW w:w="1701" w:type="dxa"/>
            <w:tcBorders>
              <w:left w:val="single" w:sz="4" w:space="0" w:color="auto"/>
              <w:right w:val="single" w:sz="4" w:space="0" w:color="auto"/>
            </w:tcBorders>
            <w:shd w:val="clear" w:color="auto" w:fill="FFFFFF" w:themeFill="background1"/>
            <w:noWrap/>
          </w:tcPr>
          <w:p w14:paraId="740380F3" w14:textId="77777777" w:rsidR="003F71E2" w:rsidRPr="00CC1D2B" w:rsidRDefault="003F71E2" w:rsidP="00CC1D2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0F4" w14:textId="77777777" w:rsidR="003F71E2" w:rsidRPr="00CC1D2B" w:rsidRDefault="003F71E2" w:rsidP="00CC1D2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0F5" w14:textId="77777777" w:rsidR="003F71E2" w:rsidRPr="00CC1D2B" w:rsidRDefault="003F71E2" w:rsidP="00CC1D2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842" w:type="dxa"/>
            <w:tcBorders>
              <w:left w:val="single" w:sz="4" w:space="0" w:color="auto"/>
            </w:tcBorders>
            <w:shd w:val="clear" w:color="auto" w:fill="FFFFFF" w:themeFill="background1"/>
            <w:noWrap/>
          </w:tcPr>
          <w:p w14:paraId="740380F6" w14:textId="77777777" w:rsidR="003F71E2" w:rsidRPr="00CC1D2B" w:rsidRDefault="003F71E2" w:rsidP="00CC1D2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r>
      <w:tr w:rsidR="0085547B" w:rsidRPr="00CC1D2B" w14:paraId="740380FD" w14:textId="77777777" w:rsidTr="0085547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F8" w14:textId="77777777" w:rsidR="003F71E2" w:rsidRPr="00CC1D2B" w:rsidRDefault="003F71E2" w:rsidP="00CC1D2B">
            <w:pPr>
              <w:keepLines/>
              <w:suppressAutoHyphens/>
              <w:spacing w:before="200"/>
              <w:rPr>
                <w:rFonts w:ascii="Times New Roman" w:hAnsi="Times New Roman"/>
              </w:rPr>
            </w:pPr>
            <w:r w:rsidRPr="00CC1D2B">
              <w:rPr>
                <w:rFonts w:ascii="Times New Roman" w:hAnsi="Times New Roman"/>
              </w:rPr>
              <w:t>Within portfolio</w:t>
            </w:r>
          </w:p>
        </w:tc>
        <w:tc>
          <w:tcPr>
            <w:tcW w:w="1701" w:type="dxa"/>
            <w:tcBorders>
              <w:left w:val="single" w:sz="4" w:space="0" w:color="auto"/>
              <w:right w:val="single" w:sz="4" w:space="0" w:color="auto"/>
            </w:tcBorders>
            <w:shd w:val="clear" w:color="auto" w:fill="FFFFFF" w:themeFill="background1"/>
            <w:noWrap/>
          </w:tcPr>
          <w:p w14:paraId="740380F9"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0FA"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0FB"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842" w:type="dxa"/>
            <w:tcBorders>
              <w:left w:val="single" w:sz="4" w:space="0" w:color="auto"/>
            </w:tcBorders>
            <w:shd w:val="clear" w:color="auto" w:fill="FFFFFF" w:themeFill="background1"/>
            <w:noWrap/>
          </w:tcPr>
          <w:p w14:paraId="740380FC"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r>
      <w:tr w:rsidR="0085547B" w:rsidRPr="00CC1D2B" w14:paraId="74038103" w14:textId="77777777" w:rsidTr="0085547B">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0FE" w14:textId="77777777" w:rsidR="003F71E2" w:rsidRPr="00CC1D2B" w:rsidRDefault="003F71E2" w:rsidP="00CC1D2B">
            <w:pPr>
              <w:keepLines/>
              <w:suppressAutoHyphens/>
              <w:spacing w:before="200"/>
              <w:rPr>
                <w:rFonts w:ascii="Times New Roman" w:hAnsi="Times New Roman"/>
              </w:rPr>
            </w:pPr>
            <w:r w:rsidRPr="00CC1D2B">
              <w:rPr>
                <w:rFonts w:ascii="Times New Roman" w:hAnsi="Times New Roman"/>
              </w:rPr>
              <w:t>Outside portfolio</w:t>
            </w:r>
          </w:p>
        </w:tc>
        <w:tc>
          <w:tcPr>
            <w:tcW w:w="1701" w:type="dxa"/>
            <w:tcBorders>
              <w:left w:val="single" w:sz="4" w:space="0" w:color="auto"/>
              <w:right w:val="single" w:sz="4" w:space="0" w:color="auto"/>
            </w:tcBorders>
            <w:shd w:val="clear" w:color="auto" w:fill="FFFFFF" w:themeFill="background1"/>
            <w:noWrap/>
          </w:tcPr>
          <w:p w14:paraId="740380FF" w14:textId="77777777" w:rsidR="003F71E2" w:rsidRPr="00CC1D2B" w:rsidRDefault="003F71E2" w:rsidP="00CC1D2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100" w14:textId="77777777" w:rsidR="003F71E2" w:rsidRPr="00CC1D2B" w:rsidRDefault="003F71E2" w:rsidP="00CC1D2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101" w14:textId="77777777" w:rsidR="003F71E2" w:rsidRPr="00CC1D2B" w:rsidRDefault="003F71E2" w:rsidP="00CC1D2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842" w:type="dxa"/>
            <w:tcBorders>
              <w:left w:val="single" w:sz="4" w:space="0" w:color="auto"/>
            </w:tcBorders>
            <w:shd w:val="clear" w:color="auto" w:fill="FFFFFF" w:themeFill="background1"/>
            <w:noWrap/>
          </w:tcPr>
          <w:p w14:paraId="74038102" w14:textId="77777777" w:rsidR="003F71E2" w:rsidRPr="00CC1D2B" w:rsidRDefault="003F71E2" w:rsidP="00CC1D2B">
            <w:pPr>
              <w:keepLines/>
              <w:suppressAutoHyphens/>
              <w:spacing w:before="200"/>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r>
      <w:tr w:rsidR="0085547B" w:rsidRPr="00CC1D2B" w14:paraId="74038109" w14:textId="77777777" w:rsidTr="008554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auto"/>
            </w:tcBorders>
            <w:shd w:val="clear" w:color="auto" w:fill="FFFFFF" w:themeFill="background1"/>
            <w:noWrap/>
          </w:tcPr>
          <w:p w14:paraId="74038104" w14:textId="77777777" w:rsidR="003F71E2" w:rsidRPr="00CC1D2B" w:rsidRDefault="003F71E2" w:rsidP="00CC1D2B">
            <w:pPr>
              <w:keepLines/>
              <w:suppressAutoHyphens/>
              <w:spacing w:before="200"/>
              <w:rPr>
                <w:rFonts w:ascii="Times New Roman" w:hAnsi="Times New Roman"/>
              </w:rPr>
            </w:pPr>
            <w:r w:rsidRPr="00CC1D2B">
              <w:rPr>
                <w:rFonts w:ascii="Times New Roman" w:hAnsi="Times New Roman"/>
              </w:rPr>
              <w:t xml:space="preserve">Total by </w:t>
            </w:r>
            <w:r w:rsidRPr="00CC1D2B">
              <w:rPr>
                <w:rFonts w:ascii="Times New Roman" w:eastAsiaTheme="majorEastAsia" w:hAnsi="Times New Roman"/>
                <w:iCs/>
              </w:rPr>
              <w:t>Sector</w:t>
            </w:r>
          </w:p>
        </w:tc>
        <w:tc>
          <w:tcPr>
            <w:tcW w:w="1701" w:type="dxa"/>
            <w:tcBorders>
              <w:left w:val="single" w:sz="4" w:space="0" w:color="auto"/>
              <w:right w:val="single" w:sz="4" w:space="0" w:color="auto"/>
            </w:tcBorders>
            <w:shd w:val="clear" w:color="auto" w:fill="FFFFFF" w:themeFill="background1"/>
            <w:noWrap/>
          </w:tcPr>
          <w:p w14:paraId="74038105"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984" w:type="dxa"/>
            <w:tcBorders>
              <w:left w:val="single" w:sz="4" w:space="0" w:color="auto"/>
              <w:right w:val="single" w:sz="4" w:space="0" w:color="auto"/>
            </w:tcBorders>
            <w:shd w:val="clear" w:color="auto" w:fill="FFFFFF" w:themeFill="background1"/>
            <w:noWrap/>
          </w:tcPr>
          <w:p w14:paraId="74038106"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560" w:type="dxa"/>
            <w:tcBorders>
              <w:left w:val="single" w:sz="4" w:space="0" w:color="auto"/>
              <w:right w:val="single" w:sz="4" w:space="0" w:color="auto"/>
            </w:tcBorders>
            <w:shd w:val="clear" w:color="auto" w:fill="FFFFFF" w:themeFill="background1"/>
            <w:noWrap/>
          </w:tcPr>
          <w:p w14:paraId="74038107"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c>
          <w:tcPr>
            <w:tcW w:w="1842" w:type="dxa"/>
            <w:tcBorders>
              <w:left w:val="single" w:sz="4" w:space="0" w:color="auto"/>
            </w:tcBorders>
            <w:shd w:val="clear" w:color="auto" w:fill="FFFFFF" w:themeFill="background1"/>
            <w:noWrap/>
          </w:tcPr>
          <w:p w14:paraId="74038108" w14:textId="77777777" w:rsidR="003F71E2" w:rsidRPr="00CC1D2B" w:rsidRDefault="003F71E2" w:rsidP="00CC1D2B">
            <w:pPr>
              <w:keepLines/>
              <w:suppressAutoHyphens/>
              <w:spacing w:before="20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bCs/>
                <w:iCs/>
              </w:rPr>
            </w:pPr>
            <w:r w:rsidRPr="00CC1D2B">
              <w:rPr>
                <w:rFonts w:ascii="Times New Roman" w:hAnsi="Times New Roman"/>
              </w:rPr>
              <w:t>$</w:t>
            </w:r>
          </w:p>
        </w:tc>
      </w:tr>
      <w:tr w:rsidR="003F71E2" w:rsidRPr="00CC1D2B" w14:paraId="7403810B" w14:textId="77777777" w:rsidTr="008E21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tcPr>
          <w:p w14:paraId="7403810A" w14:textId="77777777" w:rsidR="003F71E2" w:rsidRPr="00CC1D2B" w:rsidRDefault="003F71E2" w:rsidP="00CC1D2B">
            <w:pPr>
              <w:keepLines/>
              <w:suppressAutoHyphens/>
              <w:spacing w:before="200"/>
              <w:rPr>
                <w:rFonts w:ascii="Times New Roman" w:eastAsiaTheme="majorEastAsia" w:hAnsi="Times New Roman"/>
                <w:iCs/>
              </w:rPr>
            </w:pPr>
          </w:p>
        </w:tc>
      </w:tr>
      <w:tr w:rsidR="003F71E2" w:rsidRPr="00CC1D2B" w14:paraId="7403810D" w14:textId="77777777" w:rsidTr="008E2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noWrap/>
          </w:tcPr>
          <w:p w14:paraId="7403810C" w14:textId="77777777" w:rsidR="003F71E2" w:rsidRPr="00CC1D2B" w:rsidRDefault="003F71E2" w:rsidP="00CC1D2B">
            <w:pPr>
              <w:keepLines/>
              <w:suppressAutoHyphens/>
              <w:spacing w:before="200"/>
              <w:rPr>
                <w:rFonts w:ascii="Times New Roman" w:hAnsi="Times New Roman"/>
                <w:b w:val="0"/>
              </w:rPr>
            </w:pPr>
            <w:r w:rsidRPr="00CC1D2B">
              <w:rPr>
                <w:rFonts w:ascii="Times New Roman" w:hAnsi="Times New Roman"/>
              </w:rPr>
              <w:t xml:space="preserve">Proposal is cost </w:t>
            </w:r>
            <w:proofErr w:type="gramStart"/>
            <w:r w:rsidRPr="00CC1D2B">
              <w:rPr>
                <w:rFonts w:ascii="Times New Roman" w:hAnsi="Times New Roman"/>
              </w:rPr>
              <w:t>neutral?</w:t>
            </w:r>
            <w:proofErr w:type="gramEnd"/>
            <w:r w:rsidRPr="00CC1D2B">
              <w:rPr>
                <w:rFonts w:ascii="Times New Roman" w:hAnsi="Times New Roman"/>
              </w:rPr>
              <w:tab/>
            </w:r>
            <w:r w:rsidRPr="00CC1D2B">
              <w:rPr>
                <w:rFonts w:ascii="Wingdings 2" w:eastAsia="Wingdings 2" w:hAnsi="Wingdings 2" w:cs="Wingdings 2"/>
              </w:rPr>
              <w:t>R</w:t>
            </w:r>
            <w:r w:rsidRPr="00CC1D2B">
              <w:rPr>
                <w:rFonts w:ascii="Times New Roman" w:hAnsi="Times New Roman"/>
              </w:rPr>
              <w:t xml:space="preserve"> yes</w:t>
            </w:r>
            <w:r w:rsidRPr="00CC1D2B">
              <w:rPr>
                <w:rFonts w:ascii="Times New Roman" w:hAnsi="Times New Roman"/>
              </w:rPr>
              <w:tab/>
            </w:r>
            <w:r w:rsidRPr="00CC1D2B">
              <w:rPr>
                <w:rFonts w:ascii="Wingdings 2" w:eastAsia="Wingdings 2" w:hAnsi="Wingdings 2" w:cs="Wingdings 2"/>
              </w:rPr>
              <w:t>*</w:t>
            </w:r>
            <w:r w:rsidRPr="00CC1D2B">
              <w:rPr>
                <w:rFonts w:ascii="Times New Roman" w:hAnsi="Times New Roman"/>
              </w:rPr>
              <w:t xml:space="preserve"> no</w:t>
            </w:r>
          </w:p>
        </w:tc>
      </w:tr>
      <w:tr w:rsidR="003F71E2" w:rsidRPr="00CC1D2B" w14:paraId="7403810F" w14:textId="77777777" w:rsidTr="008E21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tcPr>
          <w:p w14:paraId="7403810E" w14:textId="77777777" w:rsidR="003F71E2" w:rsidRPr="00CC1D2B" w:rsidRDefault="003F71E2" w:rsidP="00CC1D2B">
            <w:pPr>
              <w:keepLines/>
              <w:suppressAutoHyphens/>
              <w:spacing w:before="200"/>
              <w:rPr>
                <w:rFonts w:ascii="Times New Roman" w:eastAsiaTheme="majorEastAsia" w:hAnsi="Times New Roman"/>
                <w:b w:val="0"/>
                <w:bCs w:val="0"/>
                <w:iCs/>
              </w:rPr>
            </w:pPr>
            <w:r w:rsidRPr="00CC1D2B">
              <w:rPr>
                <w:rFonts w:ascii="Times New Roman" w:eastAsia="Times New Roman" w:hAnsi="Times New Roman"/>
              </w:rPr>
              <w:t>Proposal is deregulatory</w:t>
            </w:r>
            <w:r w:rsidRPr="00CC1D2B">
              <w:rPr>
                <w:rFonts w:ascii="Times New Roman" w:eastAsia="Times New Roman" w:hAnsi="Times New Roman"/>
              </w:rPr>
              <w:tab/>
            </w:r>
            <w:r w:rsidRPr="00CC1D2B">
              <w:rPr>
                <w:rFonts w:ascii="Wingdings 2" w:eastAsia="Wingdings 2" w:hAnsi="Wingdings 2" w:cs="Wingdings 2"/>
              </w:rPr>
              <w:t>R</w:t>
            </w:r>
            <w:r w:rsidRPr="00CC1D2B">
              <w:rPr>
                <w:rFonts w:ascii="Times New Roman" w:eastAsia="Times New Roman" w:hAnsi="Times New Roman"/>
              </w:rPr>
              <w:t xml:space="preserve"> yes</w:t>
            </w:r>
            <w:r w:rsidRPr="00CC1D2B">
              <w:rPr>
                <w:rFonts w:ascii="Times New Roman" w:eastAsia="Times New Roman" w:hAnsi="Times New Roman"/>
              </w:rPr>
              <w:tab/>
            </w:r>
            <w:r w:rsidRPr="00CC1D2B">
              <w:rPr>
                <w:rFonts w:ascii="Wingdings 2" w:eastAsia="Wingdings 2" w:hAnsi="Wingdings 2" w:cs="Wingdings 2"/>
              </w:rPr>
              <w:t>*</w:t>
            </w:r>
            <w:r w:rsidRPr="00CC1D2B">
              <w:rPr>
                <w:rFonts w:ascii="Times New Roman" w:eastAsia="Times New Roman" w:hAnsi="Times New Roman"/>
              </w:rPr>
              <w:t xml:space="preserve"> no</w:t>
            </w:r>
          </w:p>
        </w:tc>
      </w:tr>
      <w:tr w:rsidR="003F71E2" w:rsidRPr="00DC5278" w14:paraId="74038111" w14:textId="77777777" w:rsidTr="008E2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5"/>
            <w:shd w:val="clear" w:color="auto" w:fill="FFFFFF" w:themeFill="background1"/>
          </w:tcPr>
          <w:p w14:paraId="74038110" w14:textId="06228E1D" w:rsidR="003F71E2" w:rsidRPr="00DC5278" w:rsidRDefault="003F71E2" w:rsidP="00CC1D2B">
            <w:pPr>
              <w:keepLines/>
              <w:suppressAutoHyphens/>
              <w:spacing w:before="200"/>
              <w:rPr>
                <w:rFonts w:ascii="Times New Roman" w:eastAsiaTheme="majorEastAsia" w:hAnsi="Times New Roman"/>
                <w:b w:val="0"/>
                <w:bCs w:val="0"/>
                <w:iCs/>
              </w:rPr>
            </w:pPr>
            <w:r w:rsidRPr="00CC1D2B">
              <w:rPr>
                <w:rFonts w:ascii="Times New Roman" w:eastAsia="Times New Roman" w:hAnsi="Times New Roman"/>
              </w:rPr>
              <w:t>Balance of cost offsets</w:t>
            </w:r>
            <w:r w:rsidRPr="00CC1D2B">
              <w:rPr>
                <w:rFonts w:ascii="Times New Roman" w:eastAsia="Times New Roman" w:hAnsi="Times New Roman"/>
              </w:rPr>
              <w:tab/>
            </w:r>
            <w:r w:rsidR="00807EE9" w:rsidRPr="00CC1D2B">
              <w:rPr>
                <w:rFonts w:ascii="Times New Roman" w:hAnsi="Times New Roman"/>
              </w:rPr>
              <w:t>$</w:t>
            </w:r>
            <w:r w:rsidR="00807EE9">
              <w:rPr>
                <w:rFonts w:ascii="Times New Roman" w:hAnsi="Times New Roman"/>
              </w:rPr>
              <w:t>143 995.21</w:t>
            </w:r>
          </w:p>
        </w:tc>
      </w:tr>
    </w:tbl>
    <w:p w14:paraId="74038112" w14:textId="77777777" w:rsidR="003F71E2" w:rsidRPr="00DC5278" w:rsidRDefault="003F71E2" w:rsidP="00CC1D2B">
      <w:pPr>
        <w:pStyle w:val="BodyA"/>
        <w:suppressAutoHyphens/>
        <w:rPr>
          <w:rFonts w:ascii="Times New Roman" w:hAnsi="Times New Roman" w:cs="Times New Roman"/>
          <w:lang w:val="en-AU"/>
        </w:rPr>
      </w:pPr>
    </w:p>
    <w:sectPr w:rsidR="003F71E2" w:rsidRPr="00DC5278" w:rsidSect="002F7B77">
      <w:footerReference w:type="first" r:id="rId10"/>
      <w:pgSz w:w="11900" w:h="16840"/>
      <w:pgMar w:top="1245" w:right="1797" w:bottom="1440" w:left="1797" w:header="567"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814B" w14:textId="77777777" w:rsidR="005C3D8A" w:rsidRDefault="005C3D8A">
      <w:r>
        <w:separator/>
      </w:r>
    </w:p>
  </w:endnote>
  <w:endnote w:type="continuationSeparator" w:id="0">
    <w:p w14:paraId="409C03F0" w14:textId="77777777" w:rsidR="005C3D8A" w:rsidRDefault="005C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Calibri"/>
        <w:color w:val="000000"/>
        <w:sz w:val="22"/>
        <w:szCs w:val="22"/>
        <w:u w:color="000000"/>
        <w:lang w:val="en-US" w:eastAsia="ja-JP"/>
      </w:rPr>
      <w:id w:val="218793944"/>
      <w:docPartObj>
        <w:docPartGallery w:val="Page Numbers (Bottom of Page)"/>
        <w:docPartUnique/>
      </w:docPartObj>
    </w:sdtPr>
    <w:sdtEndPr>
      <w:rPr>
        <w:noProof/>
        <w:color w:val="000000" w:themeColor="text1"/>
      </w:rPr>
    </w:sdtEndPr>
    <w:sdtContent>
      <w:p w14:paraId="74038118" w14:textId="77777777" w:rsidR="008804C7" w:rsidRPr="00432FB8" w:rsidRDefault="008804C7" w:rsidP="00D26693">
        <w:pPr>
          <w:pStyle w:val="Header"/>
          <w:jc w:val="center"/>
          <w:rPr>
            <w:rFonts w:ascii="Arial" w:hAnsi="Arial" w:cs="Arial"/>
            <w:sz w:val="28"/>
            <w:szCs w:val="28"/>
          </w:rPr>
        </w:pPr>
      </w:p>
      <w:p w14:paraId="74038119" w14:textId="7284AC9F" w:rsidR="008804C7" w:rsidRPr="0085547B" w:rsidRDefault="008804C7" w:rsidP="00432FB8">
        <w:pPr>
          <w:pStyle w:val="Footer"/>
          <w:jc w:val="right"/>
          <w:rPr>
            <w:rFonts w:ascii="Times New Roman" w:hAnsi="Times New Roman" w:cs="Times New Roman"/>
            <w:sz w:val="24"/>
            <w:szCs w:val="24"/>
          </w:rPr>
        </w:pPr>
        <w:r w:rsidRPr="0085547B">
          <w:rPr>
            <w:rFonts w:ascii="Times New Roman" w:hAnsi="Times New Roman" w:cs="Times New Roman"/>
            <w:sz w:val="24"/>
            <w:szCs w:val="24"/>
          </w:rPr>
          <w:fldChar w:fldCharType="begin"/>
        </w:r>
        <w:r w:rsidRPr="0085547B">
          <w:rPr>
            <w:rFonts w:ascii="Times New Roman" w:hAnsi="Times New Roman" w:cs="Times New Roman"/>
            <w:sz w:val="24"/>
            <w:szCs w:val="24"/>
          </w:rPr>
          <w:instrText xml:space="preserve"> PAGE   \* MERGEFORMAT </w:instrText>
        </w:r>
        <w:r w:rsidRPr="0085547B">
          <w:rPr>
            <w:rFonts w:ascii="Times New Roman" w:hAnsi="Times New Roman" w:cs="Times New Roman"/>
            <w:sz w:val="24"/>
            <w:szCs w:val="24"/>
          </w:rPr>
          <w:fldChar w:fldCharType="separate"/>
        </w:r>
        <w:r w:rsidR="00F978C8">
          <w:rPr>
            <w:rFonts w:ascii="Times New Roman" w:hAnsi="Times New Roman" w:cs="Times New Roman"/>
            <w:noProof/>
            <w:sz w:val="24"/>
            <w:szCs w:val="24"/>
          </w:rPr>
          <w:t>13</w:t>
        </w:r>
        <w:r w:rsidRPr="0085547B">
          <w:rPr>
            <w:rFonts w:ascii="Times New Roman" w:hAnsi="Times New Roman" w:cs="Times New Roman"/>
            <w:noProof/>
            <w:sz w:val="24"/>
            <w:szCs w:val="24"/>
          </w:rPr>
          <w:fldChar w:fldCharType="end"/>
        </w:r>
      </w:p>
    </w:sdtContent>
  </w:sdt>
  <w:p w14:paraId="7403811A" w14:textId="77777777" w:rsidR="008804C7" w:rsidRPr="002F7B77" w:rsidRDefault="008804C7" w:rsidP="002F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811B" w14:textId="77777777" w:rsidR="008804C7" w:rsidRDefault="0088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D9D1" w14:textId="77777777" w:rsidR="005C3D8A" w:rsidRDefault="005C3D8A">
      <w:r>
        <w:separator/>
      </w:r>
    </w:p>
  </w:footnote>
  <w:footnote w:type="continuationSeparator" w:id="0">
    <w:p w14:paraId="2B384269" w14:textId="77777777" w:rsidR="005C3D8A" w:rsidRDefault="005C3D8A">
      <w:r>
        <w:continuationSeparator/>
      </w:r>
    </w:p>
  </w:footnote>
  <w:footnote w:type="continuationNotice" w:id="1">
    <w:p w14:paraId="639961C4" w14:textId="77777777" w:rsidR="005C3D8A" w:rsidRDefault="005C3D8A"/>
  </w:footnote>
  <w:footnote w:id="2">
    <w:p w14:paraId="7403811C" w14:textId="0F4BD5DD" w:rsidR="008804C7" w:rsidRPr="008809A6" w:rsidRDefault="008804C7" w:rsidP="008809A6">
      <w:pPr>
        <w:pStyle w:val="FootnoteText"/>
        <w:rPr>
          <w:rFonts w:ascii="Times New Roman" w:hAnsi="Times New Roman" w:cs="Times New Roman"/>
        </w:rPr>
      </w:pPr>
      <w:r w:rsidRPr="008809A6">
        <w:rPr>
          <w:rStyle w:val="FootnoteReference"/>
          <w:rFonts w:ascii="Times New Roman" w:hAnsi="Times New Roman" w:cs="Times New Roman"/>
        </w:rPr>
        <w:footnoteRef/>
      </w:r>
      <w:r w:rsidRPr="008809A6">
        <w:rPr>
          <w:rFonts w:ascii="Times New Roman" w:hAnsi="Times New Roman" w:cs="Times New Roman"/>
        </w:rPr>
        <w:t xml:space="preserve"> Austr</w:t>
      </w:r>
      <w:r>
        <w:rPr>
          <w:rFonts w:ascii="Times New Roman" w:hAnsi="Times New Roman" w:cs="Times New Roman"/>
        </w:rPr>
        <w:t xml:space="preserve">alia has concluded FTAs with: </w:t>
      </w:r>
      <w:r w:rsidRPr="008809A6">
        <w:rPr>
          <w:rFonts w:ascii="Times New Roman" w:hAnsi="Times New Roman" w:cs="Times New Roman"/>
        </w:rPr>
        <w:t xml:space="preserve">ASEAN and New Zealand (2009), Chile (2008), China (2015), Japan (2014), </w:t>
      </w:r>
      <w:r>
        <w:rPr>
          <w:rFonts w:ascii="Times New Roman" w:hAnsi="Times New Roman" w:cs="Times New Roman"/>
        </w:rPr>
        <w:t xml:space="preserve">Peru (2018), </w:t>
      </w:r>
      <w:r w:rsidRPr="008809A6">
        <w:rPr>
          <w:rFonts w:ascii="Times New Roman" w:hAnsi="Times New Roman" w:cs="Times New Roman"/>
        </w:rPr>
        <w:t xml:space="preserve">Republic of Korea (2014), Malaysia (2012), </w:t>
      </w:r>
      <w:r>
        <w:rPr>
          <w:rFonts w:ascii="Times New Roman" w:hAnsi="Times New Roman" w:cs="Times New Roman"/>
        </w:rPr>
        <w:t xml:space="preserve">New Zealand and eight Pacific island countries (2017), </w:t>
      </w:r>
      <w:r w:rsidRPr="008809A6">
        <w:rPr>
          <w:rFonts w:ascii="Times New Roman" w:hAnsi="Times New Roman" w:cs="Times New Roman"/>
        </w:rPr>
        <w:t xml:space="preserve">Singapore (2002), Thailand (2004), </w:t>
      </w:r>
      <w:r>
        <w:rPr>
          <w:rFonts w:ascii="Times New Roman" w:hAnsi="Times New Roman" w:cs="Times New Roman"/>
        </w:rPr>
        <w:t xml:space="preserve">and the </w:t>
      </w:r>
      <w:r w:rsidRPr="008809A6">
        <w:rPr>
          <w:rFonts w:ascii="Times New Roman" w:hAnsi="Times New Roman" w:cs="Times New Roman"/>
        </w:rPr>
        <w:t xml:space="preserve">United States (2004). </w:t>
      </w:r>
    </w:p>
  </w:footnote>
  <w:footnote w:id="3">
    <w:p w14:paraId="7403811D" w14:textId="1E84C1F7" w:rsidR="008804C7" w:rsidRPr="008809A6" w:rsidRDefault="008804C7" w:rsidP="00751E59">
      <w:pPr>
        <w:pStyle w:val="FootnoteText"/>
        <w:rPr>
          <w:rFonts w:ascii="Times New Roman" w:hAnsi="Times New Roman" w:cs="Times New Roman"/>
          <w:lang w:val="en-AU"/>
        </w:rPr>
      </w:pPr>
      <w:r w:rsidRPr="008809A6">
        <w:rPr>
          <w:rStyle w:val="FootnoteReference"/>
          <w:rFonts w:ascii="Times New Roman" w:hAnsi="Times New Roman" w:cs="Times New Roman"/>
        </w:rPr>
        <w:footnoteRef/>
      </w:r>
      <w:r>
        <w:rPr>
          <w:rFonts w:ascii="Times New Roman" w:hAnsi="Times New Roman" w:cs="Times New Roman"/>
        </w:rPr>
        <w:t xml:space="preserve"> In 2016-17</w:t>
      </w:r>
      <w:r w:rsidRPr="008809A6">
        <w:rPr>
          <w:rFonts w:ascii="Times New Roman" w:hAnsi="Times New Roman" w:cs="Times New Roman"/>
        </w:rPr>
        <w:t>, Australia’s two-way merchandise trade with Canada and Mexico was $3.</w:t>
      </w:r>
      <w:r>
        <w:rPr>
          <w:rFonts w:ascii="Times New Roman" w:hAnsi="Times New Roman" w:cs="Times New Roman"/>
        </w:rPr>
        <w:t>8 billion and $2.8</w:t>
      </w:r>
      <w:r w:rsidRPr="008809A6">
        <w:rPr>
          <w:rFonts w:ascii="Times New Roman" w:hAnsi="Times New Roman" w:cs="Times New Roman"/>
        </w:rPr>
        <w:t xml:space="preserve"> billion respectively.  Services trade was worth approximately $</w:t>
      </w:r>
      <w:r>
        <w:rPr>
          <w:rFonts w:ascii="Times New Roman" w:hAnsi="Times New Roman" w:cs="Times New Roman"/>
        </w:rPr>
        <w:t>3</w:t>
      </w:r>
      <w:r w:rsidRPr="008809A6">
        <w:rPr>
          <w:rFonts w:ascii="Times New Roman" w:hAnsi="Times New Roman" w:cs="Times New Roman"/>
        </w:rPr>
        <w:t xml:space="preserve"> b</w:t>
      </w:r>
      <w:r>
        <w:rPr>
          <w:rFonts w:ascii="Times New Roman" w:hAnsi="Times New Roman" w:cs="Times New Roman"/>
        </w:rPr>
        <w:t>illion with Canada and $287</w:t>
      </w:r>
      <w:r w:rsidRPr="008809A6">
        <w:rPr>
          <w:rFonts w:ascii="Times New Roman" w:hAnsi="Times New Roman" w:cs="Times New Roman"/>
        </w:rPr>
        <w:t xml:space="preserve"> million with Mexico.  Two-way investment with Canada in 2</w:t>
      </w:r>
      <w:r>
        <w:rPr>
          <w:rFonts w:ascii="Times New Roman" w:hAnsi="Times New Roman" w:cs="Times New Roman"/>
        </w:rPr>
        <w:t>016 totalled more than $85</w:t>
      </w:r>
      <w:r w:rsidRPr="008809A6">
        <w:rPr>
          <w:rFonts w:ascii="Times New Roman" w:hAnsi="Times New Roman" w:cs="Times New Roman"/>
        </w:rPr>
        <w:t xml:space="preserve"> billion.  Australian investment in Mexico was more than $5 billion over the same period.  (Source: DFAT country-specific trade and economic fact sheets.)</w:t>
      </w:r>
    </w:p>
  </w:footnote>
  <w:footnote w:id="4">
    <w:p w14:paraId="74038120" w14:textId="30675BC2" w:rsidR="008804C7" w:rsidRPr="008809A6" w:rsidRDefault="008804C7" w:rsidP="00A41993">
      <w:pPr>
        <w:pStyle w:val="FootnoteText"/>
        <w:rPr>
          <w:rFonts w:ascii="Times New Roman" w:hAnsi="Times New Roman" w:cs="Times New Roman"/>
          <w:b/>
          <w:i/>
          <w:lang w:val="en-AU"/>
        </w:rPr>
      </w:pPr>
      <w:r w:rsidRPr="008809A6">
        <w:rPr>
          <w:rStyle w:val="FootnoteReference"/>
          <w:rFonts w:ascii="Times New Roman" w:hAnsi="Times New Roman" w:cs="Times New Roman"/>
        </w:rPr>
        <w:footnoteRef/>
      </w:r>
      <w:r w:rsidRPr="008809A6">
        <w:rPr>
          <w:rFonts w:ascii="Times New Roman" w:hAnsi="Times New Roman" w:cs="Times New Roman"/>
        </w:rPr>
        <w:t xml:space="preserve"> </w:t>
      </w:r>
      <w:hyperlink r:id="rId1" w:history="1">
        <w:r w:rsidRPr="0036201B">
          <w:rPr>
            <w:rStyle w:val="Hyperlink"/>
            <w:rFonts w:ascii="Times New Roman" w:hAnsi="Times New Roman" w:cs="Times New Roman"/>
          </w:rPr>
          <w:t>World Trade Organization Doha Ministerial Declaration 2001</w:t>
        </w:r>
      </w:hyperlink>
      <w:r>
        <w:rPr>
          <w:rFonts w:ascii="Times New Roman" w:hAnsi="Times New Roman" w:cs="Times New Roman"/>
        </w:rPr>
        <w:t>.</w:t>
      </w:r>
    </w:p>
  </w:footnote>
  <w:footnote w:id="5">
    <w:p w14:paraId="74038121" w14:textId="0AC99020" w:rsidR="008804C7" w:rsidRPr="008809A6" w:rsidRDefault="008804C7">
      <w:pPr>
        <w:pStyle w:val="FootnoteText"/>
        <w:rPr>
          <w:rFonts w:ascii="Times New Roman" w:hAnsi="Times New Roman" w:cs="Times New Roman"/>
          <w:lang w:val="en-AU"/>
        </w:rPr>
      </w:pPr>
      <w:r w:rsidRPr="008809A6">
        <w:rPr>
          <w:rStyle w:val="FootnoteReference"/>
          <w:rFonts w:ascii="Times New Roman" w:hAnsi="Times New Roman" w:cs="Times New Roman"/>
        </w:rPr>
        <w:footnoteRef/>
      </w:r>
      <w:r w:rsidRPr="008809A6">
        <w:rPr>
          <w:rFonts w:ascii="Times New Roman" w:hAnsi="Times New Roman" w:cs="Times New Roman"/>
        </w:rPr>
        <w:t xml:space="preserve"> </w:t>
      </w:r>
      <w:r>
        <w:rPr>
          <w:rFonts w:ascii="Times New Roman" w:hAnsi="Times New Roman" w:cs="Times New Roman"/>
          <w:lang w:val="en-AU"/>
        </w:rPr>
        <w:t>Such countries are Canada and</w:t>
      </w:r>
      <w:r w:rsidRPr="008809A6">
        <w:rPr>
          <w:rFonts w:ascii="Times New Roman" w:hAnsi="Times New Roman" w:cs="Times New Roman"/>
          <w:lang w:val="en-AU"/>
        </w:rPr>
        <w:t xml:space="preserve"> Mexico.</w:t>
      </w:r>
    </w:p>
  </w:footnote>
  <w:footnote w:id="6">
    <w:p w14:paraId="45DC8B13" w14:textId="77777777" w:rsidR="008804C7" w:rsidRPr="005264E7" w:rsidRDefault="008804C7" w:rsidP="00B6114F">
      <w:pPr>
        <w:pStyle w:val="FootnoteText"/>
        <w:rPr>
          <w:rFonts w:ascii="Times New Roman" w:hAnsi="Times New Roman" w:cs="Times New Roman"/>
        </w:rPr>
      </w:pPr>
      <w:r w:rsidRPr="005264E7">
        <w:rPr>
          <w:rStyle w:val="FootnoteReference"/>
          <w:rFonts w:ascii="Times New Roman" w:hAnsi="Times New Roman" w:cs="Times New Roman"/>
        </w:rPr>
        <w:footnoteRef/>
      </w:r>
      <w:r w:rsidRPr="005264E7">
        <w:rPr>
          <w:rFonts w:ascii="Times New Roman" w:hAnsi="Times New Roman" w:cs="Times New Roman"/>
        </w:rPr>
        <w:t>The Parties agree that negotiations referred to in Article 15.24.2 shall commence no earlier than five years after entry into force of the TPP-11 Agreement, unless the Parties agree otherwise. Such negotiations shall commence at the request of a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B6"/>
    <w:multiLevelType w:val="multilevel"/>
    <w:tmpl w:val="B4DCEBAA"/>
    <w:styleLink w:val="List9"/>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1" w15:restartNumberingAfterBreak="0">
    <w:nsid w:val="013B66AA"/>
    <w:multiLevelType w:val="multilevel"/>
    <w:tmpl w:val="F23A2C7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15:restartNumberingAfterBreak="0">
    <w:nsid w:val="034A4EEA"/>
    <w:multiLevelType w:val="multilevel"/>
    <w:tmpl w:val="5484DC9A"/>
    <w:styleLink w:val="List51"/>
    <w:lvl w:ilvl="0">
      <w:start w:val="1"/>
      <w:numFmt w:val="bullet"/>
      <w:lvlText w:val="•"/>
      <w:lvlJc w:val="left"/>
      <w:pPr>
        <w:tabs>
          <w:tab w:val="num" w:pos="116"/>
        </w:tabs>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3" w15:restartNumberingAfterBreak="0">
    <w:nsid w:val="04D76CAE"/>
    <w:multiLevelType w:val="multilevel"/>
    <w:tmpl w:val="294475A6"/>
    <w:styleLink w:val="List37"/>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767"/>
        </w:tabs>
        <w:ind w:left="176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487"/>
        </w:tabs>
        <w:ind w:left="248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3207"/>
        </w:tabs>
        <w:ind w:left="320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927"/>
        </w:tabs>
        <w:ind w:left="392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647"/>
        </w:tabs>
        <w:ind w:left="464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367"/>
        </w:tabs>
        <w:ind w:left="536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6087"/>
        </w:tabs>
        <w:ind w:left="608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807"/>
        </w:tabs>
        <w:ind w:left="680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4" w15:restartNumberingAfterBreak="0">
    <w:nsid w:val="06093C26"/>
    <w:multiLevelType w:val="multilevel"/>
    <w:tmpl w:val="53E8788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 w15:restartNumberingAfterBreak="0">
    <w:nsid w:val="06825A8B"/>
    <w:multiLevelType w:val="multilevel"/>
    <w:tmpl w:val="C5922EBA"/>
    <w:styleLink w:val="List8"/>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6" w15:restartNumberingAfterBreak="0">
    <w:nsid w:val="09006EBB"/>
    <w:multiLevelType w:val="multilevel"/>
    <w:tmpl w:val="84CC2A5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 w15:restartNumberingAfterBreak="0">
    <w:nsid w:val="090D5646"/>
    <w:multiLevelType w:val="multilevel"/>
    <w:tmpl w:val="222C7D2E"/>
    <w:styleLink w:val="List52"/>
    <w:lvl w:ilvl="0">
      <w:numFmt w:val="bullet"/>
      <w:lvlText w:val="•"/>
      <w:lvlJc w:val="left"/>
      <w:pPr>
        <w:tabs>
          <w:tab w:val="num" w:pos="568"/>
        </w:tabs>
        <w:ind w:left="568" w:hanging="284"/>
      </w:pPr>
      <w:rPr>
        <w:position w:val="0"/>
        <w:u w:color="414042"/>
      </w:rPr>
    </w:lvl>
    <w:lvl w:ilvl="1">
      <w:start w:val="1"/>
      <w:numFmt w:val="bullet"/>
      <w:lvlText w:val="o"/>
      <w:lvlJc w:val="left"/>
      <w:pPr>
        <w:tabs>
          <w:tab w:val="num" w:pos="1440"/>
        </w:tabs>
        <w:ind w:left="1440" w:hanging="360"/>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8" w15:restartNumberingAfterBreak="0">
    <w:nsid w:val="0C193B7A"/>
    <w:multiLevelType w:val="multilevel"/>
    <w:tmpl w:val="E73A3DE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 w15:restartNumberingAfterBreak="0">
    <w:nsid w:val="0D327A6E"/>
    <w:multiLevelType w:val="multilevel"/>
    <w:tmpl w:val="98E4E5C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0" w15:restartNumberingAfterBreak="0">
    <w:nsid w:val="0E9D4809"/>
    <w:multiLevelType w:val="multilevel"/>
    <w:tmpl w:val="A704E542"/>
    <w:styleLink w:val="List310"/>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11" w15:restartNumberingAfterBreak="0">
    <w:nsid w:val="117E5569"/>
    <w:multiLevelType w:val="multilevel"/>
    <w:tmpl w:val="D7020920"/>
    <w:styleLink w:val="List38"/>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7170"/>
        </w:tabs>
        <w:ind w:left="71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12" w15:restartNumberingAfterBreak="0">
    <w:nsid w:val="11C90E02"/>
    <w:multiLevelType w:val="multilevel"/>
    <w:tmpl w:val="0A1C48BA"/>
    <w:styleLink w:val="List50"/>
    <w:lvl w:ilvl="0">
      <w:numFmt w:val="bullet"/>
      <w:lvlText w:val="•"/>
      <w:lvlJc w:val="left"/>
      <w:pPr>
        <w:tabs>
          <w:tab w:val="num" w:pos="542"/>
        </w:tabs>
        <w:ind w:left="542" w:hanging="258"/>
      </w:pPr>
      <w:rPr>
        <w:rFonts w:ascii="Times New Roman" w:eastAsia="Times New Roman" w:hAnsi="Times New Roman" w:cs="Times New Roman"/>
        <w:position w:val="0"/>
        <w:sz w:val="24"/>
        <w:szCs w:val="24"/>
        <w:u w:color="414042"/>
      </w:rPr>
    </w:lvl>
    <w:lvl w:ilvl="1">
      <w:start w:val="1"/>
      <w:numFmt w:val="bullet"/>
      <w:lvlText w:val="o"/>
      <w:lvlJc w:val="left"/>
      <w:pPr>
        <w:tabs>
          <w:tab w:val="num" w:pos="1080"/>
        </w:tabs>
        <w:ind w:left="108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1800"/>
        </w:tabs>
        <w:ind w:left="180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520"/>
        </w:tabs>
        <w:ind w:left="252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240"/>
        </w:tabs>
        <w:ind w:left="324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3960"/>
        </w:tabs>
        <w:ind w:left="396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4680"/>
        </w:tabs>
        <w:ind w:left="468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400"/>
        </w:tabs>
        <w:ind w:left="540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120"/>
        </w:tabs>
        <w:ind w:left="6120" w:hanging="360"/>
      </w:pPr>
      <w:rPr>
        <w:rFonts w:ascii="Times New Roman" w:eastAsia="Times New Roman" w:hAnsi="Times New Roman" w:cs="Times New Roman"/>
        <w:position w:val="0"/>
        <w:sz w:val="24"/>
        <w:szCs w:val="24"/>
        <w:u w:color="414042"/>
      </w:rPr>
    </w:lvl>
  </w:abstractNum>
  <w:abstractNum w:abstractNumId="13" w15:restartNumberingAfterBreak="0">
    <w:nsid w:val="128E743D"/>
    <w:multiLevelType w:val="multilevel"/>
    <w:tmpl w:val="991C72F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4" w15:restartNumberingAfterBreak="0">
    <w:nsid w:val="12B863B8"/>
    <w:multiLevelType w:val="multilevel"/>
    <w:tmpl w:val="9760E15E"/>
    <w:styleLink w:val="List18"/>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15" w15:restartNumberingAfterBreak="0">
    <w:nsid w:val="130B4AD6"/>
    <w:multiLevelType w:val="multilevel"/>
    <w:tmpl w:val="8C9A9188"/>
    <w:styleLink w:val="List13"/>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16" w15:restartNumberingAfterBreak="0">
    <w:nsid w:val="13B54B39"/>
    <w:multiLevelType w:val="multilevel"/>
    <w:tmpl w:val="0BCA8580"/>
    <w:styleLink w:val="List1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14AD6F61"/>
    <w:multiLevelType w:val="multilevel"/>
    <w:tmpl w:val="69009FA2"/>
    <w:styleLink w:val="List48"/>
    <w:lvl w:ilvl="0">
      <w:numFmt w:val="bullet"/>
      <w:lvlText w:val="•"/>
      <w:lvlJc w:val="left"/>
      <w:pPr>
        <w:tabs>
          <w:tab w:val="num" w:pos="677"/>
        </w:tabs>
        <w:ind w:left="677" w:hanging="325"/>
      </w:pPr>
      <w:rPr>
        <w:rFonts w:ascii="Times New Roman" w:eastAsia="Times New Roman" w:hAnsi="Times New Roman" w:cs="Times New Roman"/>
        <w:position w:val="0"/>
        <w:sz w:val="24"/>
        <w:szCs w:val="24"/>
        <w:u w:color="414042"/>
      </w:rPr>
    </w:lvl>
    <w:lvl w:ilvl="1">
      <w:start w:val="1"/>
      <w:numFmt w:val="bullet"/>
      <w:lvlText w:val="o"/>
      <w:lvlJc w:val="left"/>
      <w:pPr>
        <w:tabs>
          <w:tab w:val="num" w:pos="1080"/>
        </w:tabs>
        <w:ind w:left="108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1800"/>
        </w:tabs>
        <w:ind w:left="180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520"/>
        </w:tabs>
        <w:ind w:left="252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240"/>
        </w:tabs>
        <w:ind w:left="324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3960"/>
        </w:tabs>
        <w:ind w:left="396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4680"/>
        </w:tabs>
        <w:ind w:left="468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400"/>
        </w:tabs>
        <w:ind w:left="540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120"/>
        </w:tabs>
        <w:ind w:left="6120" w:hanging="360"/>
      </w:pPr>
      <w:rPr>
        <w:rFonts w:ascii="Times New Roman" w:eastAsia="Times New Roman" w:hAnsi="Times New Roman" w:cs="Times New Roman"/>
        <w:position w:val="0"/>
        <w:sz w:val="24"/>
        <w:szCs w:val="24"/>
        <w:u w:color="414042"/>
      </w:rPr>
    </w:lvl>
  </w:abstractNum>
  <w:abstractNum w:abstractNumId="18" w15:restartNumberingAfterBreak="0">
    <w:nsid w:val="15062FEC"/>
    <w:multiLevelType w:val="multilevel"/>
    <w:tmpl w:val="6A70D7DC"/>
    <w:styleLink w:val="List34"/>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19" w15:restartNumberingAfterBreak="0">
    <w:nsid w:val="164E606E"/>
    <w:multiLevelType w:val="multilevel"/>
    <w:tmpl w:val="4F04AB90"/>
    <w:styleLink w:val="List49"/>
    <w:lvl w:ilvl="0">
      <w:numFmt w:val="bullet"/>
      <w:lvlText w:val="•"/>
      <w:lvlJc w:val="left"/>
      <w:rPr>
        <w:b/>
        <w:bCs/>
        <w:position w:val="0"/>
        <w:lang w:val="en-US"/>
      </w:rPr>
    </w:lvl>
    <w:lvl w:ilvl="1">
      <w:start w:val="1"/>
      <w:numFmt w:val="bullet"/>
      <w:lvlText w:val="o"/>
      <w:lvlJc w:val="left"/>
      <w:rPr>
        <w:b/>
        <w:bCs/>
        <w:position w:val="0"/>
        <w:lang w:val="en-US"/>
      </w:rPr>
    </w:lvl>
    <w:lvl w:ilvl="2">
      <w:start w:val="1"/>
      <w:numFmt w:val="bullet"/>
      <w:lvlText w:val="▪"/>
      <w:lvlJc w:val="left"/>
      <w:rPr>
        <w:b/>
        <w:bCs/>
        <w:position w:val="0"/>
        <w:lang w:val="en-US"/>
      </w:rPr>
    </w:lvl>
    <w:lvl w:ilvl="3">
      <w:start w:val="1"/>
      <w:numFmt w:val="bullet"/>
      <w:lvlText w:val="•"/>
      <w:lvlJc w:val="left"/>
      <w:rPr>
        <w:b/>
        <w:bCs/>
        <w:position w:val="0"/>
        <w:lang w:val="en-US"/>
      </w:rPr>
    </w:lvl>
    <w:lvl w:ilvl="4">
      <w:start w:val="1"/>
      <w:numFmt w:val="bullet"/>
      <w:lvlText w:val="o"/>
      <w:lvlJc w:val="left"/>
      <w:rPr>
        <w:b/>
        <w:bCs/>
        <w:position w:val="0"/>
        <w:lang w:val="en-US"/>
      </w:rPr>
    </w:lvl>
    <w:lvl w:ilvl="5">
      <w:start w:val="1"/>
      <w:numFmt w:val="bullet"/>
      <w:lvlText w:val="▪"/>
      <w:lvlJc w:val="left"/>
      <w:rPr>
        <w:b/>
        <w:bCs/>
        <w:position w:val="0"/>
        <w:lang w:val="en-US"/>
      </w:rPr>
    </w:lvl>
    <w:lvl w:ilvl="6">
      <w:start w:val="1"/>
      <w:numFmt w:val="bullet"/>
      <w:lvlText w:val="•"/>
      <w:lvlJc w:val="left"/>
      <w:rPr>
        <w:b/>
        <w:bCs/>
        <w:position w:val="0"/>
        <w:lang w:val="en-US"/>
      </w:rPr>
    </w:lvl>
    <w:lvl w:ilvl="7">
      <w:start w:val="1"/>
      <w:numFmt w:val="bullet"/>
      <w:lvlText w:val="o"/>
      <w:lvlJc w:val="left"/>
      <w:rPr>
        <w:b/>
        <w:bCs/>
        <w:position w:val="0"/>
        <w:lang w:val="en-US"/>
      </w:rPr>
    </w:lvl>
    <w:lvl w:ilvl="8">
      <w:start w:val="1"/>
      <w:numFmt w:val="bullet"/>
      <w:lvlText w:val="▪"/>
      <w:lvlJc w:val="left"/>
      <w:rPr>
        <w:b/>
        <w:bCs/>
        <w:position w:val="0"/>
        <w:lang w:val="en-US"/>
      </w:rPr>
    </w:lvl>
  </w:abstractNum>
  <w:abstractNum w:abstractNumId="20" w15:restartNumberingAfterBreak="0">
    <w:nsid w:val="17F67F63"/>
    <w:multiLevelType w:val="multilevel"/>
    <w:tmpl w:val="922E7EB2"/>
    <w:styleLink w:val="List63"/>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21" w15:restartNumberingAfterBreak="0">
    <w:nsid w:val="1A0A2AEE"/>
    <w:multiLevelType w:val="multilevel"/>
    <w:tmpl w:val="5BF8C56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2" w15:restartNumberingAfterBreak="0">
    <w:nsid w:val="1AA4470D"/>
    <w:multiLevelType w:val="multilevel"/>
    <w:tmpl w:val="12525A20"/>
    <w:styleLink w:val="List27"/>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23" w15:restartNumberingAfterBreak="0">
    <w:nsid w:val="1B500E34"/>
    <w:multiLevelType w:val="multilevel"/>
    <w:tmpl w:val="301053F0"/>
    <w:styleLink w:val="List64"/>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24" w15:restartNumberingAfterBreak="0">
    <w:nsid w:val="1B7D3D28"/>
    <w:multiLevelType w:val="multilevel"/>
    <w:tmpl w:val="CEFE779E"/>
    <w:styleLink w:val="List23"/>
    <w:lvl w:ilvl="0">
      <w:start w:val="13"/>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25" w15:restartNumberingAfterBreak="0">
    <w:nsid w:val="1C5D45C6"/>
    <w:multiLevelType w:val="multilevel"/>
    <w:tmpl w:val="F85446B8"/>
    <w:styleLink w:val="List43"/>
    <w:lvl w:ilvl="0">
      <w:numFmt w:val="bullet"/>
      <w:lvlText w:val="•"/>
      <w:lvlJc w:val="left"/>
      <w:pPr>
        <w:tabs>
          <w:tab w:val="num" w:pos="542"/>
        </w:tabs>
        <w:ind w:left="542" w:hanging="258"/>
      </w:pPr>
      <w:rPr>
        <w:rFonts w:ascii="Times New Roman" w:eastAsia="Times New Roman" w:hAnsi="Times New Roman" w:cs="Times New Roman"/>
        <w:position w:val="0"/>
        <w:sz w:val="24"/>
        <w:szCs w:val="24"/>
        <w:u w:color="414042"/>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u w:color="414042"/>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u w:color="414042"/>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u w:color="414042"/>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u w:color="414042"/>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u w:color="414042"/>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u w:color="414042"/>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u w:color="414042"/>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u w:color="414042"/>
      </w:rPr>
    </w:lvl>
  </w:abstractNum>
  <w:abstractNum w:abstractNumId="26" w15:restartNumberingAfterBreak="0">
    <w:nsid w:val="1E0D00EA"/>
    <w:multiLevelType w:val="multilevel"/>
    <w:tmpl w:val="96001B7A"/>
    <w:styleLink w:val="List39"/>
    <w:lvl w:ilvl="0">
      <w:start w:val="1"/>
      <w:numFmt w:val="bullet"/>
      <w:lvlText w:val="•"/>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7170"/>
        </w:tabs>
        <w:ind w:left="71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27" w15:restartNumberingAfterBreak="0">
    <w:nsid w:val="1E2A798E"/>
    <w:multiLevelType w:val="multilevel"/>
    <w:tmpl w:val="2E36548A"/>
    <w:styleLink w:val="List42"/>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767"/>
        </w:tabs>
        <w:ind w:left="176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487"/>
        </w:tabs>
        <w:ind w:left="248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3207"/>
        </w:tabs>
        <w:ind w:left="320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927"/>
        </w:tabs>
        <w:ind w:left="392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647"/>
        </w:tabs>
        <w:ind w:left="464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367"/>
        </w:tabs>
        <w:ind w:left="536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6087"/>
        </w:tabs>
        <w:ind w:left="608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807"/>
        </w:tabs>
        <w:ind w:left="6807"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28" w15:restartNumberingAfterBreak="0">
    <w:nsid w:val="20603F75"/>
    <w:multiLevelType w:val="multilevel"/>
    <w:tmpl w:val="5A12CF66"/>
    <w:styleLink w:val="List36"/>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414042"/>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abstractNum>
  <w:abstractNum w:abstractNumId="29" w15:restartNumberingAfterBreak="0">
    <w:nsid w:val="210148BA"/>
    <w:multiLevelType w:val="multilevel"/>
    <w:tmpl w:val="8346BAE4"/>
    <w:styleLink w:val="List46"/>
    <w:lvl w:ilvl="0">
      <w:start w:val="1"/>
      <w:numFmt w:val="bullet"/>
      <w:lvlText w:val="•"/>
      <w:lvlJc w:val="left"/>
      <w:pPr>
        <w:tabs>
          <w:tab w:val="num" w:pos="720"/>
        </w:tabs>
        <w:ind w:left="720" w:hanging="360"/>
      </w:pPr>
      <w:rPr>
        <w:position w:val="0"/>
        <w:u w:color="414042"/>
      </w:rPr>
    </w:lvl>
    <w:lvl w:ilvl="1">
      <w:numFmt w:val="bullet"/>
      <w:lvlText w:val="−"/>
      <w:lvlJc w:val="left"/>
      <w:pPr>
        <w:tabs>
          <w:tab w:val="num" w:pos="1407"/>
        </w:tabs>
        <w:ind w:left="1407" w:hanging="327"/>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o"/>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o"/>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30" w15:restartNumberingAfterBreak="0">
    <w:nsid w:val="2238678D"/>
    <w:multiLevelType w:val="multilevel"/>
    <w:tmpl w:val="978C55E2"/>
    <w:styleLink w:val="List410"/>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31" w15:restartNumberingAfterBreak="0">
    <w:nsid w:val="23065C8A"/>
    <w:multiLevelType w:val="hybridMultilevel"/>
    <w:tmpl w:val="B9CC62D2"/>
    <w:lvl w:ilvl="0" w:tplc="8C1A5144">
      <w:start w:val="1"/>
      <w:numFmt w:val="bullet"/>
      <w:lvlText w:val="•"/>
      <w:lvlJc w:val="left"/>
      <w:pPr>
        <w:ind w:left="330" w:hanging="170"/>
      </w:pPr>
      <w:rPr>
        <w:rFonts w:ascii="Microsoft Sans Serif" w:eastAsia="Microsoft Sans Serif" w:hAnsi="Microsoft Sans Serif" w:hint="default"/>
        <w:w w:val="102"/>
        <w:sz w:val="20"/>
        <w:szCs w:val="20"/>
      </w:rPr>
    </w:lvl>
    <w:lvl w:ilvl="1" w:tplc="18527A58">
      <w:start w:val="1"/>
      <w:numFmt w:val="bullet"/>
      <w:lvlText w:val="•"/>
      <w:lvlJc w:val="left"/>
      <w:pPr>
        <w:ind w:left="734" w:hanging="170"/>
      </w:pPr>
      <w:rPr>
        <w:rFonts w:hint="default"/>
      </w:rPr>
    </w:lvl>
    <w:lvl w:ilvl="2" w:tplc="22A0C5A6">
      <w:start w:val="1"/>
      <w:numFmt w:val="bullet"/>
      <w:lvlText w:val="•"/>
      <w:lvlJc w:val="left"/>
      <w:pPr>
        <w:ind w:left="1129" w:hanging="170"/>
      </w:pPr>
      <w:rPr>
        <w:rFonts w:hint="default"/>
      </w:rPr>
    </w:lvl>
    <w:lvl w:ilvl="3" w:tplc="14CC4DEE">
      <w:start w:val="1"/>
      <w:numFmt w:val="bullet"/>
      <w:lvlText w:val="•"/>
      <w:lvlJc w:val="left"/>
      <w:pPr>
        <w:ind w:left="1524" w:hanging="170"/>
      </w:pPr>
      <w:rPr>
        <w:rFonts w:hint="default"/>
      </w:rPr>
    </w:lvl>
    <w:lvl w:ilvl="4" w:tplc="FFC4894C">
      <w:start w:val="1"/>
      <w:numFmt w:val="bullet"/>
      <w:lvlText w:val="•"/>
      <w:lvlJc w:val="left"/>
      <w:pPr>
        <w:ind w:left="1919" w:hanging="170"/>
      </w:pPr>
      <w:rPr>
        <w:rFonts w:hint="default"/>
      </w:rPr>
    </w:lvl>
    <w:lvl w:ilvl="5" w:tplc="B8C03914">
      <w:start w:val="1"/>
      <w:numFmt w:val="bullet"/>
      <w:lvlText w:val="•"/>
      <w:lvlJc w:val="left"/>
      <w:pPr>
        <w:ind w:left="2314" w:hanging="170"/>
      </w:pPr>
      <w:rPr>
        <w:rFonts w:hint="default"/>
      </w:rPr>
    </w:lvl>
    <w:lvl w:ilvl="6" w:tplc="FCC0DC76">
      <w:start w:val="1"/>
      <w:numFmt w:val="bullet"/>
      <w:lvlText w:val="•"/>
      <w:lvlJc w:val="left"/>
      <w:pPr>
        <w:ind w:left="2709" w:hanging="170"/>
      </w:pPr>
      <w:rPr>
        <w:rFonts w:hint="default"/>
      </w:rPr>
    </w:lvl>
    <w:lvl w:ilvl="7" w:tplc="2C74B2F8">
      <w:start w:val="1"/>
      <w:numFmt w:val="bullet"/>
      <w:lvlText w:val="•"/>
      <w:lvlJc w:val="left"/>
      <w:pPr>
        <w:ind w:left="3104" w:hanging="170"/>
      </w:pPr>
      <w:rPr>
        <w:rFonts w:hint="default"/>
      </w:rPr>
    </w:lvl>
    <w:lvl w:ilvl="8" w:tplc="5832D40C">
      <w:start w:val="1"/>
      <w:numFmt w:val="bullet"/>
      <w:lvlText w:val="•"/>
      <w:lvlJc w:val="left"/>
      <w:pPr>
        <w:ind w:left="3498" w:hanging="170"/>
      </w:pPr>
      <w:rPr>
        <w:rFonts w:hint="default"/>
      </w:rPr>
    </w:lvl>
  </w:abstractNum>
  <w:abstractNum w:abstractNumId="32" w15:restartNumberingAfterBreak="0">
    <w:nsid w:val="249813EE"/>
    <w:multiLevelType w:val="multilevel"/>
    <w:tmpl w:val="80524C54"/>
    <w:styleLink w:val="List56"/>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86"/>
        </w:tabs>
        <w:ind w:left="1186" w:hanging="619"/>
      </w:pPr>
      <w:rPr>
        <w:rFonts w:ascii="Times New Roman" w:eastAsia="Times New Roman" w:hAnsi="Times New Roman" w:cs="Times New Roman"/>
        <w:position w:val="0"/>
        <w:sz w:val="24"/>
        <w:szCs w:val="24"/>
      </w:rPr>
    </w:lvl>
    <w:lvl w:ilvl="2">
      <w:start w:val="1"/>
      <w:numFmt w:val="bullet"/>
      <w:lvlText w:val=":"/>
      <w:lvlJc w:val="left"/>
      <w:pPr>
        <w:tabs>
          <w:tab w:val="num" w:pos="1753"/>
        </w:tabs>
        <w:ind w:left="1753" w:hanging="619"/>
      </w:pPr>
      <w:rPr>
        <w:rFonts w:ascii="Times New Roman" w:eastAsia="Times New Roman" w:hAnsi="Times New Roman" w:cs="Times New Roman"/>
        <w:position w:val="0"/>
        <w:sz w:val="24"/>
        <w:szCs w:val="24"/>
      </w:rPr>
    </w:lvl>
    <w:lvl w:ilvl="3">
      <w:start w:val="1"/>
      <w:numFmt w:val="bullet"/>
      <w:lvlText w:val=":"/>
      <w:lvlJc w:val="left"/>
      <w:pPr>
        <w:tabs>
          <w:tab w:val="num" w:pos="2320"/>
        </w:tabs>
        <w:ind w:left="2320" w:hanging="619"/>
      </w:pPr>
      <w:rPr>
        <w:rFonts w:ascii="Times New Roman" w:eastAsia="Times New Roman" w:hAnsi="Times New Roman" w:cs="Times New Roman"/>
        <w:position w:val="0"/>
        <w:sz w:val="24"/>
        <w:szCs w:val="24"/>
      </w:rPr>
    </w:lvl>
    <w:lvl w:ilvl="4">
      <w:start w:val="1"/>
      <w:numFmt w:val="bullet"/>
      <w:lvlText w:val=":"/>
      <w:lvlJc w:val="left"/>
      <w:pPr>
        <w:tabs>
          <w:tab w:val="num" w:pos="2887"/>
        </w:tabs>
        <w:ind w:left="2887" w:hanging="619"/>
      </w:pPr>
      <w:rPr>
        <w:rFonts w:ascii="Times New Roman" w:eastAsia="Times New Roman" w:hAnsi="Times New Roman" w:cs="Times New Roman"/>
        <w:position w:val="0"/>
        <w:sz w:val="24"/>
        <w:szCs w:val="24"/>
      </w:rPr>
    </w:lvl>
    <w:lvl w:ilvl="5">
      <w:start w:val="1"/>
      <w:numFmt w:val="bullet"/>
      <w:lvlText w:val=":"/>
      <w:lvlJc w:val="left"/>
      <w:pPr>
        <w:tabs>
          <w:tab w:val="num" w:pos="3454"/>
        </w:tabs>
        <w:ind w:left="3454" w:hanging="619"/>
      </w:pPr>
      <w:rPr>
        <w:rFonts w:ascii="Times New Roman" w:eastAsia="Times New Roman" w:hAnsi="Times New Roman" w:cs="Times New Roman"/>
        <w:position w:val="0"/>
        <w:sz w:val="24"/>
        <w:szCs w:val="24"/>
      </w:rPr>
    </w:lvl>
    <w:lvl w:ilvl="6">
      <w:start w:val="1"/>
      <w:numFmt w:val="bullet"/>
      <w:lvlText w:val=":"/>
      <w:lvlJc w:val="left"/>
      <w:pPr>
        <w:tabs>
          <w:tab w:val="num" w:pos="2549"/>
        </w:tabs>
        <w:ind w:left="2549" w:hanging="389"/>
      </w:pPr>
      <w:rPr>
        <w:rFonts w:ascii="Times New Roman" w:eastAsia="Times New Roman" w:hAnsi="Times New Roman" w:cs="Times New Roman"/>
        <w:position w:val="0"/>
        <w:sz w:val="24"/>
        <w:szCs w:val="24"/>
      </w:rPr>
    </w:lvl>
    <w:lvl w:ilvl="7">
      <w:start w:val="1"/>
      <w:numFmt w:val="bullet"/>
      <w:lvlText w:val=":"/>
      <w:lvlJc w:val="left"/>
      <w:pPr>
        <w:tabs>
          <w:tab w:val="num" w:pos="2913"/>
        </w:tabs>
        <w:ind w:left="2913" w:hanging="396"/>
      </w:pPr>
      <w:rPr>
        <w:rFonts w:ascii="Times New Roman" w:eastAsia="Times New Roman" w:hAnsi="Times New Roman" w:cs="Times New Roman"/>
        <w:position w:val="0"/>
        <w:sz w:val="24"/>
        <w:szCs w:val="24"/>
      </w:rPr>
    </w:lvl>
    <w:lvl w:ilvl="8">
      <w:start w:val="1"/>
      <w:numFmt w:val="bullet"/>
      <w:lvlText w:val=":"/>
      <w:lvlJc w:val="left"/>
      <w:pPr>
        <w:tabs>
          <w:tab w:val="num" w:pos="3269"/>
        </w:tabs>
        <w:ind w:left="3269" w:hanging="389"/>
      </w:pPr>
      <w:rPr>
        <w:rFonts w:ascii="Times New Roman" w:eastAsia="Times New Roman" w:hAnsi="Times New Roman" w:cs="Times New Roman"/>
        <w:position w:val="0"/>
        <w:sz w:val="24"/>
        <w:szCs w:val="24"/>
      </w:rPr>
    </w:lvl>
  </w:abstractNum>
  <w:abstractNum w:abstractNumId="33" w15:restartNumberingAfterBreak="0">
    <w:nsid w:val="25197A2E"/>
    <w:multiLevelType w:val="multilevel"/>
    <w:tmpl w:val="1B9A247A"/>
    <w:styleLink w:val="List41"/>
    <w:lvl w:ilvl="0">
      <w:start w:val="1"/>
      <w:numFmt w:val="bullet"/>
      <w:lvlText w:val="•"/>
      <w:lvlJc w:val="left"/>
      <w:pPr>
        <w:tabs>
          <w:tab w:val="num" w:pos="720"/>
        </w:tabs>
        <w:ind w:left="720" w:hanging="360"/>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34" w15:restartNumberingAfterBreak="0">
    <w:nsid w:val="274419D0"/>
    <w:multiLevelType w:val="multilevel"/>
    <w:tmpl w:val="E5BC10B8"/>
    <w:styleLink w:val="List55"/>
    <w:lvl w:ilvl="0">
      <w:start w:val="111"/>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35" w15:restartNumberingAfterBreak="0">
    <w:nsid w:val="29682EA4"/>
    <w:multiLevelType w:val="multilevel"/>
    <w:tmpl w:val="210E8CBE"/>
    <w:styleLink w:val="List16"/>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36" w15:restartNumberingAfterBreak="0">
    <w:nsid w:val="29C0658F"/>
    <w:multiLevelType w:val="multilevel"/>
    <w:tmpl w:val="C5421030"/>
    <w:styleLink w:val="List47"/>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37" w15:restartNumberingAfterBreak="0">
    <w:nsid w:val="2A5400F4"/>
    <w:multiLevelType w:val="multilevel"/>
    <w:tmpl w:val="833614C4"/>
    <w:lvl w:ilvl="0">
      <w:start w:val="63"/>
      <w:numFmt w:val="decimal"/>
      <w:lvlText w:val="%1."/>
      <w:lvlJc w:val="left"/>
      <w:pPr>
        <w:tabs>
          <w:tab w:val="num" w:pos="660"/>
        </w:tabs>
        <w:ind w:left="660" w:hanging="660"/>
      </w:pPr>
      <w:rPr>
        <w:rFonts w:ascii="Times New Roman" w:eastAsia="Times New Roman" w:hAnsi="Times New Roman" w:cs="Times New Roman" w:hint="default"/>
        <w:b w:val="0"/>
        <w:i w:val="0"/>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hint="default"/>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hint="default"/>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hint="default"/>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hint="default"/>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hint="default"/>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hint="default"/>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hint="default"/>
        <w:position w:val="0"/>
        <w:sz w:val="24"/>
        <w:szCs w:val="24"/>
      </w:rPr>
    </w:lvl>
  </w:abstractNum>
  <w:abstractNum w:abstractNumId="38" w15:restartNumberingAfterBreak="0">
    <w:nsid w:val="2A867FB6"/>
    <w:multiLevelType w:val="multilevel"/>
    <w:tmpl w:val="B2FE50A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9" w15:restartNumberingAfterBreak="0">
    <w:nsid w:val="2C2F4B0D"/>
    <w:multiLevelType w:val="multilevel"/>
    <w:tmpl w:val="DA2A1C8C"/>
    <w:styleLink w:val="List61"/>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40" w15:restartNumberingAfterBreak="0">
    <w:nsid w:val="2D35779A"/>
    <w:multiLevelType w:val="multilevel"/>
    <w:tmpl w:val="3EB86DA0"/>
    <w:styleLink w:val="List45"/>
    <w:lvl w:ilvl="0">
      <w:start w:val="1"/>
      <w:numFmt w:val="bullet"/>
      <w:lvlText w:val="•"/>
      <w:lvlJc w:val="left"/>
      <w:pPr>
        <w:tabs>
          <w:tab w:val="num" w:pos="720"/>
        </w:tabs>
        <w:ind w:left="720" w:hanging="360"/>
      </w:pPr>
      <w:rPr>
        <w:position w:val="0"/>
        <w:u w:color="414042"/>
      </w:rPr>
    </w:lvl>
    <w:lvl w:ilvl="1">
      <w:numFmt w:val="bullet"/>
      <w:lvlText w:val="−"/>
      <w:lvlJc w:val="left"/>
      <w:pPr>
        <w:tabs>
          <w:tab w:val="num" w:pos="1082"/>
        </w:tabs>
        <w:ind w:left="1082" w:hanging="515"/>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o"/>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o"/>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41" w15:restartNumberingAfterBreak="0">
    <w:nsid w:val="2D804927"/>
    <w:multiLevelType w:val="multilevel"/>
    <w:tmpl w:val="3F8C5ABA"/>
    <w:styleLink w:val="List6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2" w15:restartNumberingAfterBreak="0">
    <w:nsid w:val="2EBF1941"/>
    <w:multiLevelType w:val="multilevel"/>
    <w:tmpl w:val="F7D42CC4"/>
    <w:styleLink w:val="List32"/>
    <w:lvl w:ilvl="0">
      <w:numFmt w:val="bullet"/>
      <w:lvlText w:val="−"/>
      <w:lvlJc w:val="left"/>
      <w:pPr>
        <w:tabs>
          <w:tab w:val="num" w:pos="1280"/>
        </w:tabs>
        <w:ind w:left="1280" w:hanging="56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43" w15:restartNumberingAfterBreak="0">
    <w:nsid w:val="2FE6554B"/>
    <w:multiLevelType w:val="multilevel"/>
    <w:tmpl w:val="B2D4E5B4"/>
    <w:styleLink w:val="List40"/>
    <w:lvl w:ilvl="0">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1">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44" w15:restartNumberingAfterBreak="0">
    <w:nsid w:val="3150798F"/>
    <w:multiLevelType w:val="multilevel"/>
    <w:tmpl w:val="5F0497AA"/>
    <w:styleLink w:val="List26"/>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45" w15:restartNumberingAfterBreak="0">
    <w:nsid w:val="329257EE"/>
    <w:multiLevelType w:val="multilevel"/>
    <w:tmpl w:val="1B8AE170"/>
    <w:styleLink w:val="List54"/>
    <w:lvl w:ilvl="0">
      <w:start w:val="94"/>
      <w:numFmt w:val="decimal"/>
      <w:lvlText w:val="%1."/>
      <w:lvlJc w:val="left"/>
      <w:pPr>
        <w:tabs>
          <w:tab w:val="num" w:pos="605"/>
        </w:tabs>
        <w:ind w:left="605" w:hanging="605"/>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b/>
        <w:bCs/>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b/>
        <w:bCs/>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b/>
        <w:bCs/>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b/>
        <w:bCs/>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b/>
        <w:bCs/>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b/>
        <w:bCs/>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b/>
        <w:bCs/>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b/>
        <w:bCs/>
        <w:position w:val="0"/>
        <w:sz w:val="24"/>
        <w:szCs w:val="24"/>
      </w:rPr>
    </w:lvl>
  </w:abstractNum>
  <w:abstractNum w:abstractNumId="46" w15:restartNumberingAfterBreak="0">
    <w:nsid w:val="345323E6"/>
    <w:multiLevelType w:val="multilevel"/>
    <w:tmpl w:val="AA725D2C"/>
    <w:styleLink w:val="List30"/>
    <w:lvl w:ilvl="0">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7170"/>
        </w:tabs>
        <w:ind w:left="71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47" w15:restartNumberingAfterBreak="0">
    <w:nsid w:val="34BE224D"/>
    <w:multiLevelType w:val="multilevel"/>
    <w:tmpl w:val="485AFBEE"/>
    <w:styleLink w:val="List210"/>
    <w:lvl w:ilvl="0">
      <w:start w:val="10"/>
      <w:numFmt w:val="decimal"/>
      <w:lvlText w:val="%1."/>
      <w:lvlJc w:val="left"/>
      <w:rPr>
        <w:position w:val="0"/>
        <w:rtl w:val="0"/>
      </w:rPr>
    </w:lvl>
    <w:lvl w:ilvl="1">
      <w:start w:val="1"/>
      <w:numFmt w:val="lowerLetter"/>
      <w:lvlText w:val="%2."/>
      <w:lvlJc w:val="left"/>
      <w:rPr>
        <w:position w:val="0"/>
        <w:rtl w:val="0"/>
      </w:rPr>
    </w:lvl>
    <w:lvl w:ilvl="2">
      <w:start w:val="1"/>
      <w:numFmt w:val="bullet"/>
      <w:lvlText w:val="-"/>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8" w15:restartNumberingAfterBreak="0">
    <w:nsid w:val="34F265EF"/>
    <w:multiLevelType w:val="multilevel"/>
    <w:tmpl w:val="80C8FDC2"/>
    <w:styleLink w:val="List25"/>
    <w:lvl w:ilvl="0">
      <w:start w:val="25"/>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49" w15:restartNumberingAfterBreak="0">
    <w:nsid w:val="36F51DCB"/>
    <w:multiLevelType w:val="hybridMultilevel"/>
    <w:tmpl w:val="0C48A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37AE40E9"/>
    <w:multiLevelType w:val="multilevel"/>
    <w:tmpl w:val="D840D1FA"/>
    <w:styleLink w:val="List35"/>
    <w:lvl w:ilvl="0">
      <w:start w:val="1"/>
      <w:numFmt w:val="bullet"/>
      <w:lvlText w:val="•"/>
      <w:lvlJc w:val="left"/>
      <w:pPr>
        <w:tabs>
          <w:tab w:val="num" w:pos="690"/>
        </w:tabs>
        <w:ind w:left="6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1">
      <w:numFmt w:val="bullet"/>
      <w:lvlText w:val="•"/>
      <w:lvlJc w:val="left"/>
      <w:pPr>
        <w:tabs>
          <w:tab w:val="num" w:pos="714"/>
        </w:tabs>
        <w:ind w:left="714" w:hanging="357"/>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51" w15:restartNumberingAfterBreak="0">
    <w:nsid w:val="3AA87709"/>
    <w:multiLevelType w:val="multilevel"/>
    <w:tmpl w:val="A936F48A"/>
    <w:styleLink w:val="List7"/>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52" w15:restartNumberingAfterBreak="0">
    <w:nsid w:val="3F707386"/>
    <w:multiLevelType w:val="multilevel"/>
    <w:tmpl w:val="12A82C0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3" w15:restartNumberingAfterBreak="0">
    <w:nsid w:val="3F9B6E31"/>
    <w:multiLevelType w:val="multilevel"/>
    <w:tmpl w:val="54CEED1A"/>
    <w:styleLink w:val="List21"/>
    <w:lvl w:ilvl="0">
      <w:start w:val="8"/>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16"/>
        </w:tabs>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decimal"/>
      <w:lvlText w:val="%4."/>
      <w:lvlJc w:val="left"/>
      <w:pPr>
        <w:tabs>
          <w:tab w:val="num" w:pos="116"/>
        </w:tabs>
      </w:pPr>
      <w:rPr>
        <w:rFonts w:ascii="Times New Roman" w:eastAsia="Times New Roman" w:hAnsi="Times New Roman" w:cs="Times New Roman"/>
        <w:position w:val="0"/>
        <w:sz w:val="24"/>
        <w:szCs w:val="24"/>
      </w:rPr>
    </w:lvl>
    <w:lvl w:ilvl="4">
      <w:start w:val="1"/>
      <w:numFmt w:val="lowerLetter"/>
      <w:lvlText w:val="%5."/>
      <w:lvlJc w:val="left"/>
      <w:pPr>
        <w:tabs>
          <w:tab w:val="num" w:pos="116"/>
        </w:tabs>
      </w:pPr>
      <w:rPr>
        <w:rFonts w:ascii="Times New Roman" w:eastAsia="Times New Roman" w:hAnsi="Times New Roman" w:cs="Times New Roman"/>
        <w:position w:val="0"/>
        <w:sz w:val="24"/>
        <w:szCs w:val="24"/>
      </w:rPr>
    </w:lvl>
    <w:lvl w:ilvl="5">
      <w:start w:val="1"/>
      <w:numFmt w:val="lowerRoman"/>
      <w:lvlText w:val="%6."/>
      <w:lvlJc w:val="left"/>
      <w:pPr>
        <w:tabs>
          <w:tab w:val="num" w:pos="116"/>
        </w:tabs>
      </w:pPr>
      <w:rPr>
        <w:rFonts w:ascii="Times New Roman" w:eastAsia="Times New Roman" w:hAnsi="Times New Roman" w:cs="Times New Roman"/>
        <w:position w:val="0"/>
        <w:sz w:val="24"/>
        <w:szCs w:val="24"/>
      </w:rPr>
    </w:lvl>
    <w:lvl w:ilvl="6">
      <w:start w:val="1"/>
      <w:numFmt w:val="decimal"/>
      <w:lvlText w:val="%7."/>
      <w:lvlJc w:val="left"/>
      <w:pPr>
        <w:tabs>
          <w:tab w:val="num" w:pos="116"/>
        </w:tabs>
      </w:pPr>
      <w:rPr>
        <w:rFonts w:ascii="Times New Roman" w:eastAsia="Times New Roman" w:hAnsi="Times New Roman" w:cs="Times New Roman"/>
        <w:position w:val="0"/>
        <w:sz w:val="24"/>
        <w:szCs w:val="24"/>
      </w:rPr>
    </w:lvl>
    <w:lvl w:ilvl="7">
      <w:start w:val="1"/>
      <w:numFmt w:val="lowerLetter"/>
      <w:lvlText w:val="%8."/>
      <w:lvlJc w:val="left"/>
      <w:pPr>
        <w:tabs>
          <w:tab w:val="num" w:pos="116"/>
        </w:tabs>
      </w:pPr>
      <w:rPr>
        <w:rFonts w:ascii="Times New Roman" w:eastAsia="Times New Roman" w:hAnsi="Times New Roman" w:cs="Times New Roman"/>
        <w:position w:val="0"/>
        <w:sz w:val="24"/>
        <w:szCs w:val="24"/>
      </w:rPr>
    </w:lvl>
    <w:lvl w:ilvl="8">
      <w:start w:val="1"/>
      <w:numFmt w:val="lowerRoman"/>
      <w:lvlText w:val="%9."/>
      <w:lvlJc w:val="left"/>
      <w:pPr>
        <w:tabs>
          <w:tab w:val="num" w:pos="116"/>
        </w:tabs>
      </w:pPr>
      <w:rPr>
        <w:rFonts w:ascii="Times New Roman" w:eastAsia="Times New Roman" w:hAnsi="Times New Roman" w:cs="Times New Roman"/>
        <w:position w:val="0"/>
        <w:sz w:val="24"/>
        <w:szCs w:val="24"/>
      </w:rPr>
    </w:lvl>
  </w:abstractNum>
  <w:abstractNum w:abstractNumId="54" w15:restartNumberingAfterBreak="0">
    <w:nsid w:val="3FAC768C"/>
    <w:multiLevelType w:val="multilevel"/>
    <w:tmpl w:val="59C6544A"/>
    <w:styleLink w:val="List12"/>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55" w15:restartNumberingAfterBreak="0">
    <w:nsid w:val="41F64096"/>
    <w:multiLevelType w:val="multilevel"/>
    <w:tmpl w:val="095C7F6E"/>
    <w:styleLink w:val="List11"/>
    <w:lvl w:ilvl="0">
      <w:numFmt w:val="bullet"/>
      <w:lvlText w:val="•"/>
      <w:lvlJc w:val="left"/>
      <w:rPr>
        <w:b/>
        <w:bCs/>
        <w:position w:val="0"/>
        <w:u w:color="3D3935"/>
      </w:rPr>
    </w:lvl>
    <w:lvl w:ilvl="1">
      <w:start w:val="1"/>
      <w:numFmt w:val="bullet"/>
      <w:lvlText w:val="–"/>
      <w:lvlJc w:val="left"/>
      <w:rPr>
        <w:b/>
        <w:bCs/>
        <w:position w:val="0"/>
        <w:u w:color="3D3935"/>
      </w:rPr>
    </w:lvl>
    <w:lvl w:ilvl="2">
      <w:start w:val="1"/>
      <w:numFmt w:val="bullet"/>
      <w:lvlText w:val="•"/>
      <w:lvlJc w:val="left"/>
      <w:rPr>
        <w:b/>
        <w:bCs/>
        <w:position w:val="0"/>
        <w:u w:color="3D3935"/>
      </w:rPr>
    </w:lvl>
    <w:lvl w:ilvl="3">
      <w:start w:val="1"/>
      <w:numFmt w:val="bullet"/>
      <w:lvlText w:val="•"/>
      <w:lvlJc w:val="left"/>
      <w:rPr>
        <w:b/>
        <w:bCs/>
        <w:position w:val="0"/>
        <w:u w:color="3D3935"/>
      </w:rPr>
    </w:lvl>
    <w:lvl w:ilvl="4">
      <w:start w:val="1"/>
      <w:numFmt w:val="bullet"/>
      <w:lvlText w:val="•"/>
      <w:lvlJc w:val="left"/>
      <w:rPr>
        <w:b/>
        <w:bCs/>
        <w:position w:val="0"/>
        <w:u w:color="3D3935"/>
      </w:rPr>
    </w:lvl>
    <w:lvl w:ilvl="5">
      <w:start w:val="1"/>
      <w:numFmt w:val="bullet"/>
      <w:lvlText w:val="•"/>
      <w:lvlJc w:val="left"/>
      <w:rPr>
        <w:b/>
        <w:bCs/>
        <w:position w:val="0"/>
        <w:u w:color="3D3935"/>
      </w:rPr>
    </w:lvl>
    <w:lvl w:ilvl="6">
      <w:start w:val="1"/>
      <w:numFmt w:val="bullet"/>
      <w:lvlText w:val="•"/>
      <w:lvlJc w:val="left"/>
      <w:rPr>
        <w:b/>
        <w:bCs/>
        <w:position w:val="0"/>
        <w:u w:color="3D3935"/>
      </w:rPr>
    </w:lvl>
    <w:lvl w:ilvl="7">
      <w:start w:val="1"/>
      <w:numFmt w:val="bullet"/>
      <w:lvlText w:val="•"/>
      <w:lvlJc w:val="left"/>
      <w:rPr>
        <w:b/>
        <w:bCs/>
        <w:position w:val="0"/>
        <w:u w:color="3D3935"/>
      </w:rPr>
    </w:lvl>
    <w:lvl w:ilvl="8">
      <w:start w:val="1"/>
      <w:numFmt w:val="bullet"/>
      <w:lvlText w:val="•"/>
      <w:lvlJc w:val="left"/>
      <w:rPr>
        <w:b/>
        <w:bCs/>
        <w:position w:val="0"/>
        <w:u w:color="3D3935"/>
      </w:rPr>
    </w:lvl>
  </w:abstractNum>
  <w:abstractNum w:abstractNumId="56" w15:restartNumberingAfterBreak="0">
    <w:nsid w:val="446E7C0B"/>
    <w:multiLevelType w:val="multilevel"/>
    <w:tmpl w:val="29D0981A"/>
    <w:styleLink w:val="List65"/>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57" w15:restartNumberingAfterBreak="0">
    <w:nsid w:val="463232C3"/>
    <w:multiLevelType w:val="hybridMultilevel"/>
    <w:tmpl w:val="57B0534E"/>
    <w:lvl w:ilvl="0" w:tplc="6D8E7F08">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464D438E"/>
    <w:multiLevelType w:val="multilevel"/>
    <w:tmpl w:val="ADFC5152"/>
    <w:styleLink w:val="List22"/>
    <w:lvl w:ilvl="0">
      <w:start w:val="12"/>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59" w15:restartNumberingAfterBreak="0">
    <w:nsid w:val="49FF73C6"/>
    <w:multiLevelType w:val="multilevel"/>
    <w:tmpl w:val="6F8CE1A8"/>
    <w:styleLink w:val="List31"/>
    <w:lvl w:ilvl="0">
      <w:numFmt w:val="bullet"/>
      <w:lvlText w:val="•"/>
      <w:lvlJc w:val="left"/>
      <w:pPr>
        <w:tabs>
          <w:tab w:val="num" w:pos="690"/>
        </w:tabs>
        <w:ind w:left="690" w:hanging="330"/>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60" w15:restartNumberingAfterBreak="0">
    <w:nsid w:val="4BAA7292"/>
    <w:multiLevelType w:val="multilevel"/>
    <w:tmpl w:val="41163D62"/>
    <w:styleLink w:val="List17"/>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61" w15:restartNumberingAfterBreak="0">
    <w:nsid w:val="4BD867E4"/>
    <w:multiLevelType w:val="multilevel"/>
    <w:tmpl w:val="BFDA8592"/>
    <w:styleLink w:val="List0"/>
    <w:lvl w:ilvl="0">
      <w:start w:val="8"/>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62" w15:restartNumberingAfterBreak="0">
    <w:nsid w:val="4D5C000B"/>
    <w:multiLevelType w:val="multilevel"/>
    <w:tmpl w:val="DC8ED49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3" w15:restartNumberingAfterBreak="0">
    <w:nsid w:val="4EB07269"/>
    <w:multiLevelType w:val="multilevel"/>
    <w:tmpl w:val="EC6C9CF8"/>
    <w:styleLink w:val="List1"/>
    <w:lvl w:ilvl="0">
      <w:start w:val="3"/>
      <w:numFmt w:val="decimal"/>
      <w:lvlText w:val="%1."/>
      <w:lvlJc w:val="left"/>
      <w:pPr>
        <w:tabs>
          <w:tab w:val="num" w:pos="660"/>
        </w:tabs>
        <w:ind w:left="660" w:hanging="660"/>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64" w15:restartNumberingAfterBreak="0">
    <w:nsid w:val="4F301F43"/>
    <w:multiLevelType w:val="multilevel"/>
    <w:tmpl w:val="F9168D78"/>
    <w:styleLink w:val="List44"/>
    <w:lvl w:ilvl="0">
      <w:numFmt w:val="bullet"/>
      <w:lvlText w:val="•"/>
      <w:lvlJc w:val="left"/>
      <w:rPr>
        <w:b/>
        <w:bCs/>
        <w:position w:val="0"/>
      </w:rPr>
    </w:lvl>
    <w:lvl w:ilvl="1">
      <w:start w:val="1"/>
      <w:numFmt w:val="bullet"/>
      <w:lvlText w:val="o"/>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o"/>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o"/>
      <w:lvlJc w:val="left"/>
      <w:rPr>
        <w:b/>
        <w:bCs/>
        <w:position w:val="0"/>
      </w:rPr>
    </w:lvl>
    <w:lvl w:ilvl="8">
      <w:start w:val="1"/>
      <w:numFmt w:val="bullet"/>
      <w:lvlText w:val="▪"/>
      <w:lvlJc w:val="left"/>
      <w:rPr>
        <w:b/>
        <w:bCs/>
        <w:position w:val="0"/>
      </w:rPr>
    </w:lvl>
  </w:abstractNum>
  <w:abstractNum w:abstractNumId="65" w15:restartNumberingAfterBreak="0">
    <w:nsid w:val="53176936"/>
    <w:multiLevelType w:val="multilevel"/>
    <w:tmpl w:val="8140D49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6" w15:restartNumberingAfterBreak="0">
    <w:nsid w:val="55EF787C"/>
    <w:multiLevelType w:val="multilevel"/>
    <w:tmpl w:val="05E697D8"/>
    <w:styleLink w:val="List6"/>
    <w:lvl w:ilvl="0">
      <w:start w:val="1"/>
      <w:numFmt w:val="bullet"/>
      <w:lvlText w:val="•"/>
      <w:lvlJc w:val="left"/>
      <w:pPr>
        <w:tabs>
          <w:tab w:val="num" w:pos="116"/>
        </w:tabs>
      </w:pPr>
      <w:rPr>
        <w:rFonts w:ascii="Times New Roman" w:eastAsia="Times New Roman" w:hAnsi="Times New Roman" w:cs="Times New Roman"/>
        <w:position w:val="0"/>
        <w:sz w:val="24"/>
        <w:szCs w:val="24"/>
      </w:rPr>
    </w:lvl>
    <w:lvl w:ilvl="1">
      <w:numFmt w:val="bullet"/>
      <w:lvlText w:val="•"/>
      <w:lvlJc w:val="left"/>
      <w:pPr>
        <w:tabs>
          <w:tab w:val="num" w:pos="1410"/>
        </w:tabs>
        <w:ind w:left="1410" w:hanging="330"/>
      </w:pPr>
      <w:rPr>
        <w:rFonts w:ascii="Times New Roman" w:eastAsia="Times New Roman" w:hAnsi="Times New Roman" w:cs="Times New Roman"/>
        <w:position w:val="0"/>
        <w:sz w:val="24"/>
        <w:szCs w:val="24"/>
      </w:rPr>
    </w:lvl>
    <w:lvl w:ilvl="2">
      <w:start w:val="1"/>
      <w:numFmt w:val="bullet"/>
      <w:lvlText w:val="▪"/>
      <w:lvlJc w:val="left"/>
      <w:pPr>
        <w:tabs>
          <w:tab w:val="num" w:pos="116"/>
        </w:tabs>
      </w:pPr>
      <w:rPr>
        <w:rFonts w:ascii="Times New Roman" w:eastAsia="Times New Roman" w:hAnsi="Times New Roman" w:cs="Times New Roman"/>
        <w:position w:val="0"/>
        <w:sz w:val="24"/>
        <w:szCs w:val="24"/>
      </w:rPr>
    </w:lvl>
    <w:lvl w:ilvl="3">
      <w:start w:val="1"/>
      <w:numFmt w:val="bullet"/>
      <w:lvlText w:val="•"/>
      <w:lvlJc w:val="left"/>
      <w:pPr>
        <w:tabs>
          <w:tab w:val="num" w:pos="116"/>
        </w:tabs>
      </w:pPr>
      <w:rPr>
        <w:rFonts w:ascii="Times New Roman" w:eastAsia="Times New Roman" w:hAnsi="Times New Roman" w:cs="Times New Roman"/>
        <w:position w:val="0"/>
        <w:sz w:val="24"/>
        <w:szCs w:val="24"/>
      </w:rPr>
    </w:lvl>
    <w:lvl w:ilvl="4">
      <w:start w:val="1"/>
      <w:numFmt w:val="bullet"/>
      <w:lvlText w:val="o"/>
      <w:lvlJc w:val="left"/>
      <w:pPr>
        <w:tabs>
          <w:tab w:val="num" w:pos="116"/>
        </w:tabs>
      </w:pPr>
      <w:rPr>
        <w:rFonts w:ascii="Times New Roman" w:eastAsia="Times New Roman" w:hAnsi="Times New Roman" w:cs="Times New Roman"/>
        <w:position w:val="0"/>
        <w:sz w:val="24"/>
        <w:szCs w:val="24"/>
      </w:rPr>
    </w:lvl>
    <w:lvl w:ilvl="5">
      <w:start w:val="1"/>
      <w:numFmt w:val="bullet"/>
      <w:lvlText w:val="▪"/>
      <w:lvlJc w:val="left"/>
      <w:pPr>
        <w:tabs>
          <w:tab w:val="num" w:pos="116"/>
        </w:tabs>
      </w:pPr>
      <w:rPr>
        <w:rFonts w:ascii="Times New Roman" w:eastAsia="Times New Roman" w:hAnsi="Times New Roman" w:cs="Times New Roman"/>
        <w:position w:val="0"/>
        <w:sz w:val="24"/>
        <w:szCs w:val="24"/>
      </w:rPr>
    </w:lvl>
    <w:lvl w:ilvl="6">
      <w:start w:val="1"/>
      <w:numFmt w:val="bullet"/>
      <w:lvlText w:val="•"/>
      <w:lvlJc w:val="left"/>
      <w:pPr>
        <w:tabs>
          <w:tab w:val="num" w:pos="116"/>
        </w:tabs>
      </w:pPr>
      <w:rPr>
        <w:rFonts w:ascii="Times New Roman" w:eastAsia="Times New Roman" w:hAnsi="Times New Roman" w:cs="Times New Roman"/>
        <w:position w:val="0"/>
        <w:sz w:val="24"/>
        <w:szCs w:val="24"/>
      </w:rPr>
    </w:lvl>
    <w:lvl w:ilvl="7">
      <w:start w:val="1"/>
      <w:numFmt w:val="bullet"/>
      <w:lvlText w:val="o"/>
      <w:lvlJc w:val="left"/>
      <w:pPr>
        <w:tabs>
          <w:tab w:val="num" w:pos="116"/>
        </w:tabs>
      </w:pPr>
      <w:rPr>
        <w:rFonts w:ascii="Times New Roman" w:eastAsia="Times New Roman" w:hAnsi="Times New Roman" w:cs="Times New Roman"/>
        <w:position w:val="0"/>
        <w:sz w:val="24"/>
        <w:szCs w:val="24"/>
      </w:rPr>
    </w:lvl>
    <w:lvl w:ilvl="8">
      <w:start w:val="1"/>
      <w:numFmt w:val="bullet"/>
      <w:lvlText w:val="▪"/>
      <w:lvlJc w:val="left"/>
      <w:pPr>
        <w:tabs>
          <w:tab w:val="num" w:pos="116"/>
        </w:tabs>
      </w:pPr>
      <w:rPr>
        <w:rFonts w:ascii="Times New Roman" w:eastAsia="Times New Roman" w:hAnsi="Times New Roman" w:cs="Times New Roman"/>
        <w:position w:val="0"/>
        <w:sz w:val="24"/>
        <w:szCs w:val="24"/>
      </w:rPr>
    </w:lvl>
  </w:abstractNum>
  <w:abstractNum w:abstractNumId="67" w15:restartNumberingAfterBreak="0">
    <w:nsid w:val="59DF7B00"/>
    <w:multiLevelType w:val="multilevel"/>
    <w:tmpl w:val="FD54294E"/>
    <w:styleLink w:val="List20"/>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8" w15:restartNumberingAfterBreak="0">
    <w:nsid w:val="5D1A06FC"/>
    <w:multiLevelType w:val="multilevel"/>
    <w:tmpl w:val="26A27E38"/>
    <w:styleLink w:val="List15"/>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69" w15:restartNumberingAfterBreak="0">
    <w:nsid w:val="5E437B43"/>
    <w:multiLevelType w:val="multilevel"/>
    <w:tmpl w:val="14E4F05A"/>
    <w:styleLink w:val="List14"/>
    <w:lvl w:ilvl="0">
      <w:numFmt w:val="bullet"/>
      <w:lvlText w:val="•"/>
      <w:lvlJc w:val="left"/>
      <w:rPr>
        <w:position w:val="0"/>
        <w:u w:color="3D3935"/>
      </w:rPr>
    </w:lvl>
    <w:lvl w:ilvl="1">
      <w:start w:val="1"/>
      <w:numFmt w:val="bullet"/>
      <w:lvlText w:val="•"/>
      <w:lvlJc w:val="left"/>
      <w:rPr>
        <w:position w:val="0"/>
        <w:u w:color="3D3935"/>
      </w:rPr>
    </w:lvl>
    <w:lvl w:ilvl="2">
      <w:start w:val="1"/>
      <w:numFmt w:val="bullet"/>
      <w:lvlText w:val="•"/>
      <w:lvlJc w:val="left"/>
      <w:rPr>
        <w:position w:val="0"/>
        <w:u w:color="3D3935"/>
      </w:rPr>
    </w:lvl>
    <w:lvl w:ilvl="3">
      <w:start w:val="1"/>
      <w:numFmt w:val="bullet"/>
      <w:lvlText w:val="•"/>
      <w:lvlJc w:val="left"/>
      <w:rPr>
        <w:position w:val="0"/>
        <w:u w:color="3D3935"/>
      </w:rPr>
    </w:lvl>
    <w:lvl w:ilvl="4">
      <w:start w:val="1"/>
      <w:numFmt w:val="bullet"/>
      <w:lvlText w:val="•"/>
      <w:lvlJc w:val="left"/>
      <w:rPr>
        <w:position w:val="0"/>
        <w:u w:color="3D3935"/>
      </w:rPr>
    </w:lvl>
    <w:lvl w:ilvl="5">
      <w:start w:val="1"/>
      <w:numFmt w:val="bullet"/>
      <w:lvlText w:val="•"/>
      <w:lvlJc w:val="left"/>
      <w:rPr>
        <w:position w:val="0"/>
        <w:u w:color="3D3935"/>
      </w:rPr>
    </w:lvl>
    <w:lvl w:ilvl="6">
      <w:start w:val="1"/>
      <w:numFmt w:val="bullet"/>
      <w:lvlText w:val="•"/>
      <w:lvlJc w:val="left"/>
      <w:rPr>
        <w:position w:val="0"/>
        <w:u w:color="3D3935"/>
      </w:rPr>
    </w:lvl>
    <w:lvl w:ilvl="7">
      <w:start w:val="1"/>
      <w:numFmt w:val="bullet"/>
      <w:lvlText w:val="•"/>
      <w:lvlJc w:val="left"/>
      <w:rPr>
        <w:position w:val="0"/>
        <w:u w:color="3D3935"/>
      </w:rPr>
    </w:lvl>
    <w:lvl w:ilvl="8">
      <w:start w:val="1"/>
      <w:numFmt w:val="bullet"/>
      <w:lvlText w:val="•"/>
      <w:lvlJc w:val="left"/>
      <w:rPr>
        <w:position w:val="0"/>
        <w:u w:color="3D3935"/>
      </w:rPr>
    </w:lvl>
  </w:abstractNum>
  <w:abstractNum w:abstractNumId="70" w15:restartNumberingAfterBreak="0">
    <w:nsid w:val="5F4642E7"/>
    <w:multiLevelType w:val="multilevel"/>
    <w:tmpl w:val="C4AC9910"/>
    <w:styleLink w:val="List58"/>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71" w15:restartNumberingAfterBreak="0">
    <w:nsid w:val="60D52226"/>
    <w:multiLevelType w:val="multilevel"/>
    <w:tmpl w:val="5D645F2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2" w15:restartNumberingAfterBreak="0">
    <w:nsid w:val="60DA4711"/>
    <w:multiLevelType w:val="multilevel"/>
    <w:tmpl w:val="24D6845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3" w15:restartNumberingAfterBreak="0">
    <w:nsid w:val="61344962"/>
    <w:multiLevelType w:val="multilevel"/>
    <w:tmpl w:val="FBBE3F0E"/>
    <w:styleLink w:val="List60"/>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74" w15:restartNumberingAfterBreak="0">
    <w:nsid w:val="62FE03BA"/>
    <w:multiLevelType w:val="multilevel"/>
    <w:tmpl w:val="57BE8FAC"/>
    <w:styleLink w:val="List24"/>
    <w:lvl w:ilvl="0">
      <w:start w:val="17"/>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75" w15:restartNumberingAfterBreak="0">
    <w:nsid w:val="65570CF8"/>
    <w:multiLevelType w:val="multilevel"/>
    <w:tmpl w:val="76FC0E04"/>
    <w:styleLink w:val="List62"/>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76" w15:restartNumberingAfterBreak="0">
    <w:nsid w:val="66A87DDA"/>
    <w:multiLevelType w:val="hybridMultilevel"/>
    <w:tmpl w:val="EDEC3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A63932"/>
    <w:multiLevelType w:val="multilevel"/>
    <w:tmpl w:val="F7AE69DE"/>
    <w:styleLink w:val="List59"/>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78" w15:restartNumberingAfterBreak="0">
    <w:nsid w:val="6DCA3D10"/>
    <w:multiLevelType w:val="multilevel"/>
    <w:tmpl w:val="D9A63BE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9" w15:restartNumberingAfterBreak="0">
    <w:nsid w:val="6F7C44F9"/>
    <w:multiLevelType w:val="multilevel"/>
    <w:tmpl w:val="B8D2E45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0" w15:restartNumberingAfterBreak="0">
    <w:nsid w:val="71A506D6"/>
    <w:multiLevelType w:val="multilevel"/>
    <w:tmpl w:val="FF88995E"/>
    <w:styleLink w:val="List33"/>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81" w15:restartNumberingAfterBreak="0">
    <w:nsid w:val="74604A5B"/>
    <w:multiLevelType w:val="multilevel"/>
    <w:tmpl w:val="7BBAF284"/>
    <w:styleLink w:val="List28"/>
    <w:lvl w:ilvl="0">
      <w:numFmt w:val="bullet"/>
      <w:lvlText w:val="•"/>
      <w:lvlJc w:val="left"/>
      <w:pPr>
        <w:tabs>
          <w:tab w:val="num" w:pos="750"/>
        </w:tabs>
        <w:ind w:left="750" w:hanging="393"/>
      </w:pPr>
      <w:rPr>
        <w:rFonts w:ascii="Times New Roman" w:eastAsia="Times New Roman" w:hAnsi="Times New Roman" w:cs="Times New Roman"/>
        <w:caps w:val="0"/>
        <w:smallCaps w:val="0"/>
        <w:strike w:val="0"/>
        <w:dstrike w:val="0"/>
        <w:color w:val="000000"/>
        <w:spacing w:val="0"/>
        <w:kern w:val="0"/>
        <w:position w:val="0"/>
        <w:sz w:val="20"/>
        <w:szCs w:val="20"/>
        <w:u w:val="none" w:color="414042"/>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lang w:val="en-US"/>
        <w14:textOutline w14:w="0" w14:cap="rnd" w14:cmpd="sng" w14:algn="ctr">
          <w14:noFill/>
          <w14:prstDash w14:val="solid"/>
          <w14:bevel/>
        </w14:textOutline>
      </w:rPr>
    </w:lvl>
  </w:abstractNum>
  <w:abstractNum w:abstractNumId="82" w15:restartNumberingAfterBreak="0">
    <w:nsid w:val="7460501A"/>
    <w:multiLevelType w:val="multilevel"/>
    <w:tmpl w:val="7B423006"/>
    <w:styleLink w:val="List510"/>
    <w:lvl w:ilvl="0">
      <w:numFmt w:val="bullet"/>
      <w:lvlText w:val="•"/>
      <w:lvlJc w:val="left"/>
      <w:pPr>
        <w:tabs>
          <w:tab w:val="num" w:pos="542"/>
        </w:tabs>
        <w:ind w:left="542" w:hanging="258"/>
      </w:pPr>
      <w:rPr>
        <w:position w:val="0"/>
        <w:u w:color="414042"/>
      </w:rPr>
    </w:lvl>
    <w:lvl w:ilvl="1">
      <w:start w:val="1"/>
      <w:numFmt w:val="bullet"/>
      <w:lvlText w:val="o"/>
      <w:lvlJc w:val="left"/>
      <w:pPr>
        <w:tabs>
          <w:tab w:val="num" w:pos="1440"/>
        </w:tabs>
        <w:ind w:left="1440" w:hanging="360"/>
      </w:pPr>
      <w:rPr>
        <w:position w:val="0"/>
        <w:u w:color="414042"/>
      </w:rPr>
    </w:lvl>
    <w:lvl w:ilvl="2">
      <w:start w:val="1"/>
      <w:numFmt w:val="bullet"/>
      <w:lvlText w:val="▪"/>
      <w:lvlJc w:val="left"/>
      <w:pPr>
        <w:tabs>
          <w:tab w:val="num" w:pos="2160"/>
        </w:tabs>
        <w:ind w:left="2160" w:hanging="360"/>
      </w:pPr>
      <w:rPr>
        <w:position w:val="0"/>
        <w:u w:color="414042"/>
      </w:rPr>
    </w:lvl>
    <w:lvl w:ilvl="3">
      <w:start w:val="1"/>
      <w:numFmt w:val="bullet"/>
      <w:lvlText w:val="▪"/>
      <w:lvlJc w:val="left"/>
      <w:pPr>
        <w:tabs>
          <w:tab w:val="num" w:pos="2880"/>
        </w:tabs>
        <w:ind w:left="2880" w:hanging="360"/>
      </w:pPr>
      <w:rPr>
        <w:position w:val="0"/>
        <w:u w:color="414042"/>
      </w:rPr>
    </w:lvl>
    <w:lvl w:ilvl="4">
      <w:start w:val="1"/>
      <w:numFmt w:val="bullet"/>
      <w:lvlText w:val="▪"/>
      <w:lvlJc w:val="left"/>
      <w:pPr>
        <w:tabs>
          <w:tab w:val="num" w:pos="3600"/>
        </w:tabs>
        <w:ind w:left="3600" w:hanging="360"/>
      </w:pPr>
      <w:rPr>
        <w:position w:val="0"/>
        <w:u w:color="414042"/>
      </w:rPr>
    </w:lvl>
    <w:lvl w:ilvl="5">
      <w:start w:val="1"/>
      <w:numFmt w:val="bullet"/>
      <w:lvlText w:val="▪"/>
      <w:lvlJc w:val="left"/>
      <w:pPr>
        <w:tabs>
          <w:tab w:val="num" w:pos="4320"/>
        </w:tabs>
        <w:ind w:left="4320" w:hanging="360"/>
      </w:pPr>
      <w:rPr>
        <w:position w:val="0"/>
        <w:u w:color="414042"/>
      </w:rPr>
    </w:lvl>
    <w:lvl w:ilvl="6">
      <w:start w:val="1"/>
      <w:numFmt w:val="bullet"/>
      <w:lvlText w:val="▪"/>
      <w:lvlJc w:val="left"/>
      <w:pPr>
        <w:tabs>
          <w:tab w:val="num" w:pos="5040"/>
        </w:tabs>
        <w:ind w:left="5040" w:hanging="360"/>
      </w:pPr>
      <w:rPr>
        <w:position w:val="0"/>
        <w:u w:color="414042"/>
      </w:rPr>
    </w:lvl>
    <w:lvl w:ilvl="7">
      <w:start w:val="1"/>
      <w:numFmt w:val="bullet"/>
      <w:lvlText w:val="▪"/>
      <w:lvlJc w:val="left"/>
      <w:pPr>
        <w:tabs>
          <w:tab w:val="num" w:pos="5760"/>
        </w:tabs>
        <w:ind w:left="5760" w:hanging="360"/>
      </w:pPr>
      <w:rPr>
        <w:position w:val="0"/>
        <w:u w:color="414042"/>
      </w:rPr>
    </w:lvl>
    <w:lvl w:ilvl="8">
      <w:start w:val="1"/>
      <w:numFmt w:val="bullet"/>
      <w:lvlText w:val="▪"/>
      <w:lvlJc w:val="left"/>
      <w:pPr>
        <w:tabs>
          <w:tab w:val="num" w:pos="6480"/>
        </w:tabs>
        <w:ind w:left="6480" w:hanging="360"/>
      </w:pPr>
      <w:rPr>
        <w:position w:val="0"/>
        <w:u w:color="414042"/>
      </w:rPr>
    </w:lvl>
  </w:abstractNum>
  <w:abstractNum w:abstractNumId="83" w15:restartNumberingAfterBreak="0">
    <w:nsid w:val="757F4996"/>
    <w:multiLevelType w:val="multilevel"/>
    <w:tmpl w:val="8C24D532"/>
    <w:styleLink w:val="List57"/>
    <w:lvl w:ilvl="0">
      <w:numFmt w:val="bullet"/>
      <w:lvlText w:val="."/>
      <w:lvlJc w:val="left"/>
      <w:pPr>
        <w:tabs>
          <w:tab w:val="num" w:pos="520"/>
        </w:tabs>
        <w:ind w:left="520" w:hanging="520"/>
      </w:pPr>
      <w:rPr>
        <w:rFonts w:ascii="Times New Roman" w:eastAsia="Times New Roman" w:hAnsi="Times New Roman" w:cs="Times New Roman"/>
        <w:position w:val="0"/>
        <w:sz w:val="24"/>
        <w:szCs w:val="24"/>
      </w:rPr>
    </w:lvl>
    <w:lvl w:ilvl="1">
      <w:start w:val="1"/>
      <w:numFmt w:val="bullet"/>
      <w:lvlText w:val="−"/>
      <w:lvlJc w:val="left"/>
      <w:pPr>
        <w:tabs>
          <w:tab w:val="num" w:pos="1134"/>
        </w:tabs>
        <w:ind w:left="1134" w:hanging="567"/>
      </w:pPr>
      <w:rPr>
        <w:rFonts w:ascii="Times New Roman" w:eastAsia="Times New Roman" w:hAnsi="Times New Roman" w:cs="Times New Roman"/>
        <w:position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position w:val="0"/>
        <w:sz w:val="24"/>
        <w:szCs w:val="24"/>
      </w:rPr>
    </w:lvl>
    <w:lvl w:ilvl="3">
      <w:start w:val="1"/>
      <w:numFmt w:val="bullet"/>
      <w:lvlText w:val=":"/>
      <w:lvlJc w:val="left"/>
      <w:pPr>
        <w:tabs>
          <w:tab w:val="num" w:pos="2268"/>
        </w:tabs>
        <w:ind w:left="2268" w:hanging="567"/>
      </w:pPr>
      <w:rPr>
        <w:rFonts w:ascii="Times New Roman" w:eastAsia="Times New Roman" w:hAnsi="Times New Roman" w:cs="Times New Roman"/>
        <w:position w:val="0"/>
        <w:sz w:val="24"/>
        <w:szCs w:val="24"/>
      </w:rPr>
    </w:lvl>
    <w:lvl w:ilvl="4">
      <w:start w:val="1"/>
      <w:numFmt w:val="bullet"/>
      <w:lvlText w:val=":"/>
      <w:lvlJc w:val="left"/>
      <w:pPr>
        <w:tabs>
          <w:tab w:val="num" w:pos="2835"/>
        </w:tabs>
        <w:ind w:left="2835" w:hanging="567"/>
      </w:pPr>
      <w:rPr>
        <w:rFonts w:ascii="Times New Roman" w:eastAsia="Times New Roman" w:hAnsi="Times New Roman" w:cs="Times New Roman"/>
        <w:position w:val="0"/>
        <w:sz w:val="24"/>
        <w:szCs w:val="24"/>
      </w:rPr>
    </w:lvl>
    <w:lvl w:ilvl="5">
      <w:start w:val="1"/>
      <w:numFmt w:val="bullet"/>
      <w:lvlText w:val=":"/>
      <w:lvlJc w:val="left"/>
      <w:pPr>
        <w:tabs>
          <w:tab w:val="num" w:pos="3402"/>
        </w:tabs>
        <w:ind w:left="3402" w:hanging="567"/>
      </w:pPr>
      <w:rPr>
        <w:rFonts w:ascii="Times New Roman" w:eastAsia="Times New Roman" w:hAnsi="Times New Roman" w:cs="Times New Roman"/>
        <w:position w:val="0"/>
        <w:sz w:val="24"/>
        <w:szCs w:val="24"/>
      </w:rPr>
    </w:lvl>
    <w:lvl w:ilvl="6">
      <w:start w:val="1"/>
      <w:numFmt w:val="bullet"/>
      <w:lvlText w:val=":"/>
      <w:lvlJc w:val="left"/>
      <w:pPr>
        <w:tabs>
          <w:tab w:val="num" w:pos="2517"/>
        </w:tabs>
        <w:ind w:left="2517" w:hanging="357"/>
      </w:pPr>
      <w:rPr>
        <w:rFonts w:ascii="Times New Roman" w:eastAsia="Times New Roman" w:hAnsi="Times New Roman" w:cs="Times New Roman"/>
        <w:position w:val="0"/>
        <w:sz w:val="24"/>
        <w:szCs w:val="24"/>
      </w:rPr>
    </w:lvl>
    <w:lvl w:ilvl="7">
      <w:start w:val="1"/>
      <w:numFmt w:val="bullet"/>
      <w:lvlText w:val=":"/>
      <w:lvlJc w:val="left"/>
      <w:pPr>
        <w:tabs>
          <w:tab w:val="num" w:pos="2880"/>
        </w:tabs>
        <w:ind w:left="2880" w:hanging="363"/>
      </w:pPr>
      <w:rPr>
        <w:rFonts w:ascii="Times New Roman" w:eastAsia="Times New Roman" w:hAnsi="Times New Roman" w:cs="Times New Roman"/>
        <w:position w:val="0"/>
        <w:sz w:val="24"/>
        <w:szCs w:val="24"/>
      </w:rPr>
    </w:lvl>
    <w:lvl w:ilvl="8">
      <w:start w:val="1"/>
      <w:numFmt w:val="bullet"/>
      <w:lvlText w:val=":"/>
      <w:lvlJc w:val="left"/>
      <w:pPr>
        <w:tabs>
          <w:tab w:val="num" w:pos="3237"/>
        </w:tabs>
        <w:ind w:left="3237" w:hanging="357"/>
      </w:pPr>
      <w:rPr>
        <w:rFonts w:ascii="Times New Roman" w:eastAsia="Times New Roman" w:hAnsi="Times New Roman" w:cs="Times New Roman"/>
        <w:position w:val="0"/>
        <w:sz w:val="24"/>
        <w:szCs w:val="24"/>
      </w:rPr>
    </w:lvl>
  </w:abstractNum>
  <w:abstractNum w:abstractNumId="84" w15:restartNumberingAfterBreak="0">
    <w:nsid w:val="78291BD0"/>
    <w:multiLevelType w:val="multilevel"/>
    <w:tmpl w:val="436A960C"/>
    <w:styleLink w:val="List29"/>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414042"/>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414042"/>
        <w:vertAlign w:val="baseline"/>
        <w:rtl w:val="0"/>
        <w:lang w:val="en-US"/>
        <w14:textOutline w14:w="0" w14:cap="rnd" w14:cmpd="sng" w14:algn="ctr">
          <w14:noFill/>
          <w14:prstDash w14:val="solid"/>
          <w14:bevel/>
        </w14:textOutline>
      </w:rPr>
    </w:lvl>
  </w:abstractNum>
  <w:abstractNum w:abstractNumId="85" w15:restartNumberingAfterBreak="0">
    <w:nsid w:val="789A7F8E"/>
    <w:multiLevelType w:val="multilevel"/>
    <w:tmpl w:val="0186E32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6" w15:restartNumberingAfterBreak="0">
    <w:nsid w:val="78BE58A0"/>
    <w:multiLevelType w:val="multilevel"/>
    <w:tmpl w:val="99A00090"/>
    <w:styleLink w:val="List53"/>
    <w:lvl w:ilvl="0">
      <w:start w:val="100"/>
      <w:numFmt w:val="decimal"/>
      <w:lvlText w:val="%1."/>
      <w:lvlJc w:val="left"/>
      <w:pPr>
        <w:tabs>
          <w:tab w:val="num" w:pos="605"/>
        </w:tabs>
        <w:ind w:left="605" w:hanging="605"/>
      </w:pPr>
      <w:rPr>
        <w:rFonts w:ascii="Times New Roman" w:eastAsia="Times New Roman" w:hAnsi="Times New Roman" w:cs="Times New Roman"/>
        <w:position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340"/>
        </w:tabs>
        <w:ind w:left="2340" w:hanging="360"/>
      </w:pPr>
      <w:rPr>
        <w:rFonts w:ascii="Times New Roman" w:eastAsia="Times New Roman" w:hAnsi="Times New Roman" w:cs="Times New Roman"/>
        <w:position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rPr>
    </w:lvl>
  </w:abstractNum>
  <w:abstractNum w:abstractNumId="87" w15:restartNumberingAfterBreak="0">
    <w:nsid w:val="7A032192"/>
    <w:multiLevelType w:val="multilevel"/>
    <w:tmpl w:val="1D1C1F58"/>
    <w:styleLink w:val="List19"/>
    <w:lvl w:ilvl="0">
      <w:numFmt w:val="bullet"/>
      <w:lvlText w:val="•"/>
      <w:lvlJc w:val="left"/>
      <w:rPr>
        <w:color w:val="3D3935"/>
        <w:position w:val="0"/>
        <w:u w:color="3D3935"/>
      </w:rPr>
    </w:lvl>
    <w:lvl w:ilvl="1">
      <w:start w:val="1"/>
      <w:numFmt w:val="bullet"/>
      <w:lvlText w:val="–"/>
      <w:lvlJc w:val="left"/>
      <w:rPr>
        <w:color w:val="3D3935"/>
        <w:position w:val="0"/>
        <w:u w:color="3D3935"/>
      </w:rPr>
    </w:lvl>
    <w:lvl w:ilvl="2">
      <w:start w:val="1"/>
      <w:numFmt w:val="bullet"/>
      <w:lvlText w:val="•"/>
      <w:lvlJc w:val="left"/>
      <w:rPr>
        <w:color w:val="3D3935"/>
        <w:position w:val="0"/>
        <w:u w:color="3D3935"/>
      </w:rPr>
    </w:lvl>
    <w:lvl w:ilvl="3">
      <w:start w:val="1"/>
      <w:numFmt w:val="bullet"/>
      <w:lvlText w:val="•"/>
      <w:lvlJc w:val="left"/>
      <w:rPr>
        <w:color w:val="3D3935"/>
        <w:position w:val="0"/>
        <w:u w:color="3D3935"/>
      </w:rPr>
    </w:lvl>
    <w:lvl w:ilvl="4">
      <w:start w:val="1"/>
      <w:numFmt w:val="bullet"/>
      <w:lvlText w:val="•"/>
      <w:lvlJc w:val="left"/>
      <w:rPr>
        <w:color w:val="3D3935"/>
        <w:position w:val="0"/>
        <w:u w:color="3D3935"/>
      </w:rPr>
    </w:lvl>
    <w:lvl w:ilvl="5">
      <w:start w:val="1"/>
      <w:numFmt w:val="bullet"/>
      <w:lvlText w:val="•"/>
      <w:lvlJc w:val="left"/>
      <w:rPr>
        <w:color w:val="3D3935"/>
        <w:position w:val="0"/>
        <w:u w:color="3D3935"/>
      </w:rPr>
    </w:lvl>
    <w:lvl w:ilvl="6">
      <w:start w:val="1"/>
      <w:numFmt w:val="bullet"/>
      <w:lvlText w:val="•"/>
      <w:lvlJc w:val="left"/>
      <w:rPr>
        <w:color w:val="3D3935"/>
        <w:position w:val="0"/>
        <w:u w:color="3D3935"/>
      </w:rPr>
    </w:lvl>
    <w:lvl w:ilvl="7">
      <w:start w:val="1"/>
      <w:numFmt w:val="bullet"/>
      <w:lvlText w:val="•"/>
      <w:lvlJc w:val="left"/>
      <w:rPr>
        <w:color w:val="3D3935"/>
        <w:position w:val="0"/>
        <w:u w:color="3D3935"/>
      </w:rPr>
    </w:lvl>
    <w:lvl w:ilvl="8">
      <w:start w:val="1"/>
      <w:numFmt w:val="bullet"/>
      <w:lvlText w:val="•"/>
      <w:lvlJc w:val="left"/>
      <w:rPr>
        <w:color w:val="3D3935"/>
        <w:position w:val="0"/>
        <w:u w:color="3D3935"/>
      </w:rPr>
    </w:lvl>
  </w:abstractNum>
  <w:num w:numId="1" w16cid:durableId="1857231677">
    <w:abstractNumId w:val="63"/>
  </w:num>
  <w:num w:numId="2" w16cid:durableId="158690836">
    <w:abstractNumId w:val="53"/>
  </w:num>
  <w:num w:numId="3" w16cid:durableId="120654126">
    <w:abstractNumId w:val="61"/>
  </w:num>
  <w:num w:numId="4" w16cid:durableId="872576977">
    <w:abstractNumId w:val="33"/>
  </w:num>
  <w:num w:numId="5" w16cid:durableId="83770804">
    <w:abstractNumId w:val="2"/>
  </w:num>
  <w:num w:numId="6" w16cid:durableId="1677267744">
    <w:abstractNumId w:val="66"/>
  </w:num>
  <w:num w:numId="7" w16cid:durableId="2146270886">
    <w:abstractNumId w:val="51"/>
  </w:num>
  <w:num w:numId="8" w16cid:durableId="1251697785">
    <w:abstractNumId w:val="5"/>
  </w:num>
  <w:num w:numId="9" w16cid:durableId="2125617413">
    <w:abstractNumId w:val="0"/>
  </w:num>
  <w:num w:numId="10" w16cid:durableId="69472186">
    <w:abstractNumId w:val="16"/>
  </w:num>
  <w:num w:numId="11" w16cid:durableId="1194343500">
    <w:abstractNumId w:val="55"/>
  </w:num>
  <w:num w:numId="12" w16cid:durableId="666981624">
    <w:abstractNumId w:val="54"/>
  </w:num>
  <w:num w:numId="13" w16cid:durableId="1435595269">
    <w:abstractNumId w:val="15"/>
  </w:num>
  <w:num w:numId="14" w16cid:durableId="352387940">
    <w:abstractNumId w:val="69"/>
  </w:num>
  <w:num w:numId="15" w16cid:durableId="1442533371">
    <w:abstractNumId w:val="68"/>
  </w:num>
  <w:num w:numId="16" w16cid:durableId="200945202">
    <w:abstractNumId w:val="60"/>
  </w:num>
  <w:num w:numId="17" w16cid:durableId="1637561499">
    <w:abstractNumId w:val="35"/>
  </w:num>
  <w:num w:numId="18" w16cid:durableId="666327150">
    <w:abstractNumId w:val="14"/>
  </w:num>
  <w:num w:numId="19" w16cid:durableId="617224500">
    <w:abstractNumId w:val="87"/>
  </w:num>
  <w:num w:numId="20" w16cid:durableId="1344472429">
    <w:abstractNumId w:val="67"/>
  </w:num>
  <w:num w:numId="21" w16cid:durableId="1977567734">
    <w:abstractNumId w:val="59"/>
  </w:num>
  <w:num w:numId="22" w16cid:durableId="1431899956">
    <w:abstractNumId w:val="47"/>
  </w:num>
  <w:num w:numId="23" w16cid:durableId="329526031">
    <w:abstractNumId w:val="58"/>
  </w:num>
  <w:num w:numId="24" w16cid:durableId="1967006809">
    <w:abstractNumId w:val="24"/>
  </w:num>
  <w:num w:numId="25" w16cid:durableId="1548294218">
    <w:abstractNumId w:val="74"/>
  </w:num>
  <w:num w:numId="26" w16cid:durableId="1349258649">
    <w:abstractNumId w:val="48"/>
  </w:num>
  <w:num w:numId="27" w16cid:durableId="239028186">
    <w:abstractNumId w:val="44"/>
  </w:num>
  <w:num w:numId="28" w16cid:durableId="2101173809">
    <w:abstractNumId w:val="22"/>
  </w:num>
  <w:num w:numId="29" w16cid:durableId="340936249">
    <w:abstractNumId w:val="81"/>
  </w:num>
  <w:num w:numId="30" w16cid:durableId="1727677398">
    <w:abstractNumId w:val="84"/>
  </w:num>
  <w:num w:numId="31" w16cid:durableId="1974676188">
    <w:abstractNumId w:val="46"/>
  </w:num>
  <w:num w:numId="32" w16cid:durableId="696735599">
    <w:abstractNumId w:val="10"/>
  </w:num>
  <w:num w:numId="33" w16cid:durableId="486173402">
    <w:abstractNumId w:val="80"/>
  </w:num>
  <w:num w:numId="34" w16cid:durableId="1408304630">
    <w:abstractNumId w:val="18"/>
  </w:num>
  <w:num w:numId="35" w16cid:durableId="1134367899">
    <w:abstractNumId w:val="42"/>
  </w:num>
  <w:num w:numId="36" w16cid:durableId="558784158">
    <w:abstractNumId w:val="50"/>
  </w:num>
  <w:num w:numId="37" w16cid:durableId="1613706163">
    <w:abstractNumId w:val="28"/>
  </w:num>
  <w:num w:numId="38" w16cid:durableId="1041127990">
    <w:abstractNumId w:val="3"/>
  </w:num>
  <w:num w:numId="39" w16cid:durableId="1093285148">
    <w:abstractNumId w:val="26"/>
  </w:num>
  <w:num w:numId="40" w16cid:durableId="1751586138">
    <w:abstractNumId w:val="11"/>
  </w:num>
  <w:num w:numId="41" w16cid:durableId="971905090">
    <w:abstractNumId w:val="43"/>
  </w:num>
  <w:num w:numId="42" w16cid:durableId="662273756">
    <w:abstractNumId w:val="30"/>
  </w:num>
  <w:num w:numId="43" w16cid:durableId="1957979451">
    <w:abstractNumId w:val="27"/>
  </w:num>
  <w:num w:numId="44" w16cid:durableId="1207135017">
    <w:abstractNumId w:val="25"/>
  </w:num>
  <w:num w:numId="45" w16cid:durableId="928464130">
    <w:abstractNumId w:val="40"/>
  </w:num>
  <w:num w:numId="46" w16cid:durableId="1768117651">
    <w:abstractNumId w:val="64"/>
  </w:num>
  <w:num w:numId="47" w16cid:durableId="1210799208">
    <w:abstractNumId w:val="29"/>
  </w:num>
  <w:num w:numId="48" w16cid:durableId="1111246950">
    <w:abstractNumId w:val="36"/>
  </w:num>
  <w:num w:numId="49" w16cid:durableId="81689219">
    <w:abstractNumId w:val="19"/>
  </w:num>
  <w:num w:numId="50" w16cid:durableId="1478524249">
    <w:abstractNumId w:val="17"/>
  </w:num>
  <w:num w:numId="51" w16cid:durableId="1835367539">
    <w:abstractNumId w:val="12"/>
  </w:num>
  <w:num w:numId="52" w16cid:durableId="899637981">
    <w:abstractNumId w:val="7"/>
  </w:num>
  <w:num w:numId="53" w16cid:durableId="851186947">
    <w:abstractNumId w:val="82"/>
  </w:num>
  <w:num w:numId="54" w16cid:durableId="298727308">
    <w:abstractNumId w:val="45"/>
  </w:num>
  <w:num w:numId="55" w16cid:durableId="56516346">
    <w:abstractNumId w:val="86"/>
  </w:num>
  <w:num w:numId="56" w16cid:durableId="659576436">
    <w:abstractNumId w:val="34"/>
  </w:num>
  <w:num w:numId="57" w16cid:durableId="1656832259">
    <w:abstractNumId w:val="32"/>
  </w:num>
  <w:num w:numId="58" w16cid:durableId="843126309">
    <w:abstractNumId w:val="83"/>
  </w:num>
  <w:num w:numId="59" w16cid:durableId="1317299447">
    <w:abstractNumId w:val="70"/>
  </w:num>
  <w:num w:numId="60" w16cid:durableId="1841583162">
    <w:abstractNumId w:val="77"/>
  </w:num>
  <w:num w:numId="61" w16cid:durableId="176425225">
    <w:abstractNumId w:val="73"/>
  </w:num>
  <w:num w:numId="62" w16cid:durableId="398406766">
    <w:abstractNumId w:val="39"/>
  </w:num>
  <w:num w:numId="63" w16cid:durableId="2055612499">
    <w:abstractNumId w:val="75"/>
  </w:num>
  <w:num w:numId="64" w16cid:durableId="2079664800">
    <w:abstractNumId w:val="20"/>
  </w:num>
  <w:num w:numId="65" w16cid:durableId="1717311248">
    <w:abstractNumId w:val="23"/>
  </w:num>
  <w:num w:numId="66" w16cid:durableId="1986007121">
    <w:abstractNumId w:val="56"/>
  </w:num>
  <w:num w:numId="67" w16cid:durableId="1758015527">
    <w:abstractNumId w:val="41"/>
  </w:num>
  <w:num w:numId="68" w16cid:durableId="1850288868">
    <w:abstractNumId w:val="57"/>
  </w:num>
  <w:num w:numId="69" w16cid:durableId="2124029173">
    <w:abstractNumId w:val="6"/>
  </w:num>
  <w:num w:numId="70" w16cid:durableId="416440402">
    <w:abstractNumId w:val="9"/>
  </w:num>
  <w:num w:numId="71" w16cid:durableId="733238093">
    <w:abstractNumId w:val="52"/>
  </w:num>
  <w:num w:numId="72" w16cid:durableId="1501433122">
    <w:abstractNumId w:val="71"/>
  </w:num>
  <w:num w:numId="73" w16cid:durableId="32122234">
    <w:abstractNumId w:val="1"/>
  </w:num>
  <w:num w:numId="74" w16cid:durableId="1936555687">
    <w:abstractNumId w:val="85"/>
  </w:num>
  <w:num w:numId="75" w16cid:durableId="1015426555">
    <w:abstractNumId w:val="4"/>
  </w:num>
  <w:num w:numId="76" w16cid:durableId="1084452948">
    <w:abstractNumId w:val="62"/>
  </w:num>
  <w:num w:numId="77" w16cid:durableId="1432385869">
    <w:abstractNumId w:val="21"/>
  </w:num>
  <w:num w:numId="78" w16cid:durableId="185562171">
    <w:abstractNumId w:val="38"/>
  </w:num>
  <w:num w:numId="79" w16cid:durableId="193466301">
    <w:abstractNumId w:val="65"/>
  </w:num>
  <w:num w:numId="80" w16cid:durableId="2105882689">
    <w:abstractNumId w:val="8"/>
  </w:num>
  <w:num w:numId="81" w16cid:durableId="1963413181">
    <w:abstractNumId w:val="13"/>
  </w:num>
  <w:num w:numId="82" w16cid:durableId="204610248">
    <w:abstractNumId w:val="78"/>
  </w:num>
  <w:num w:numId="83" w16cid:durableId="592200270">
    <w:abstractNumId w:val="37"/>
  </w:num>
  <w:num w:numId="84" w16cid:durableId="1705862249">
    <w:abstractNumId w:val="79"/>
  </w:num>
  <w:num w:numId="85" w16cid:durableId="1982884546">
    <w:abstractNumId w:val="72"/>
  </w:num>
  <w:num w:numId="86" w16cid:durableId="655495847">
    <w:abstractNumId w:val="76"/>
  </w:num>
  <w:num w:numId="87" w16cid:durableId="612634121">
    <w:abstractNumId w:val="49"/>
  </w:num>
  <w:num w:numId="88" w16cid:durableId="1284262737">
    <w:abstractNumId w:val="3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8B"/>
    <w:rsid w:val="00000916"/>
    <w:rsid w:val="0000135F"/>
    <w:rsid w:val="000037C5"/>
    <w:rsid w:val="00011D34"/>
    <w:rsid w:val="00012826"/>
    <w:rsid w:val="00015DBD"/>
    <w:rsid w:val="00027251"/>
    <w:rsid w:val="00030C49"/>
    <w:rsid w:val="00035030"/>
    <w:rsid w:val="00036501"/>
    <w:rsid w:val="00040D1B"/>
    <w:rsid w:val="00046ADD"/>
    <w:rsid w:val="00056DCA"/>
    <w:rsid w:val="00061764"/>
    <w:rsid w:val="0006246F"/>
    <w:rsid w:val="00063BC9"/>
    <w:rsid w:val="00065973"/>
    <w:rsid w:val="000672BC"/>
    <w:rsid w:val="00071577"/>
    <w:rsid w:val="000740C4"/>
    <w:rsid w:val="000747D3"/>
    <w:rsid w:val="00075D88"/>
    <w:rsid w:val="00076589"/>
    <w:rsid w:val="00083B9E"/>
    <w:rsid w:val="00084594"/>
    <w:rsid w:val="000902B0"/>
    <w:rsid w:val="00090664"/>
    <w:rsid w:val="00090E84"/>
    <w:rsid w:val="0009176D"/>
    <w:rsid w:val="00096D60"/>
    <w:rsid w:val="000A2F61"/>
    <w:rsid w:val="000A5E26"/>
    <w:rsid w:val="000A7548"/>
    <w:rsid w:val="000B09A7"/>
    <w:rsid w:val="000B1FDA"/>
    <w:rsid w:val="000B25F9"/>
    <w:rsid w:val="000B3A52"/>
    <w:rsid w:val="000B4918"/>
    <w:rsid w:val="000B781D"/>
    <w:rsid w:val="000C7D4E"/>
    <w:rsid w:val="000D01CF"/>
    <w:rsid w:val="000D4439"/>
    <w:rsid w:val="000E25DA"/>
    <w:rsid w:val="000E59D2"/>
    <w:rsid w:val="000F0553"/>
    <w:rsid w:val="000F4C25"/>
    <w:rsid w:val="00107DE3"/>
    <w:rsid w:val="00112839"/>
    <w:rsid w:val="00121C3D"/>
    <w:rsid w:val="00122C99"/>
    <w:rsid w:val="00122E73"/>
    <w:rsid w:val="00134D84"/>
    <w:rsid w:val="001429BF"/>
    <w:rsid w:val="00144248"/>
    <w:rsid w:val="00145369"/>
    <w:rsid w:val="00146552"/>
    <w:rsid w:val="00147036"/>
    <w:rsid w:val="001478F1"/>
    <w:rsid w:val="00153791"/>
    <w:rsid w:val="00154F79"/>
    <w:rsid w:val="00156EC7"/>
    <w:rsid w:val="00165F08"/>
    <w:rsid w:val="00171062"/>
    <w:rsid w:val="00174301"/>
    <w:rsid w:val="0017499F"/>
    <w:rsid w:val="00182359"/>
    <w:rsid w:val="001831C1"/>
    <w:rsid w:val="00183BA6"/>
    <w:rsid w:val="00184600"/>
    <w:rsid w:val="001857B5"/>
    <w:rsid w:val="0018671D"/>
    <w:rsid w:val="001900A3"/>
    <w:rsid w:val="00192623"/>
    <w:rsid w:val="001955DF"/>
    <w:rsid w:val="001A1A9E"/>
    <w:rsid w:val="001A2B43"/>
    <w:rsid w:val="001B10E8"/>
    <w:rsid w:val="001B23F4"/>
    <w:rsid w:val="001B2C7A"/>
    <w:rsid w:val="001C13B2"/>
    <w:rsid w:val="001D06BD"/>
    <w:rsid w:val="001D19F0"/>
    <w:rsid w:val="001D20D7"/>
    <w:rsid w:val="001D6307"/>
    <w:rsid w:val="001D69EA"/>
    <w:rsid w:val="001D7829"/>
    <w:rsid w:val="001E47C7"/>
    <w:rsid w:val="001F034E"/>
    <w:rsid w:val="001F701B"/>
    <w:rsid w:val="00200ED8"/>
    <w:rsid w:val="002070E1"/>
    <w:rsid w:val="00210F35"/>
    <w:rsid w:val="00214009"/>
    <w:rsid w:val="002141D9"/>
    <w:rsid w:val="002173C5"/>
    <w:rsid w:val="00221748"/>
    <w:rsid w:val="00224FC9"/>
    <w:rsid w:val="00233B6E"/>
    <w:rsid w:val="00240F08"/>
    <w:rsid w:val="0024487D"/>
    <w:rsid w:val="00244EA2"/>
    <w:rsid w:val="00245450"/>
    <w:rsid w:val="00246032"/>
    <w:rsid w:val="00253CC1"/>
    <w:rsid w:val="002545FD"/>
    <w:rsid w:val="0025652C"/>
    <w:rsid w:val="00264DE9"/>
    <w:rsid w:val="002754E3"/>
    <w:rsid w:val="00276D5A"/>
    <w:rsid w:val="00280702"/>
    <w:rsid w:val="00281245"/>
    <w:rsid w:val="00286C49"/>
    <w:rsid w:val="00292465"/>
    <w:rsid w:val="002A2897"/>
    <w:rsid w:val="002A4A1D"/>
    <w:rsid w:val="002B62DC"/>
    <w:rsid w:val="002B78B2"/>
    <w:rsid w:val="002C6085"/>
    <w:rsid w:val="002C7894"/>
    <w:rsid w:val="002D5A6F"/>
    <w:rsid w:val="002D7B3F"/>
    <w:rsid w:val="002E1139"/>
    <w:rsid w:val="002E6361"/>
    <w:rsid w:val="002E6AC9"/>
    <w:rsid w:val="002F19A3"/>
    <w:rsid w:val="002F7B77"/>
    <w:rsid w:val="0030471B"/>
    <w:rsid w:val="00304E92"/>
    <w:rsid w:val="00307077"/>
    <w:rsid w:val="003104A2"/>
    <w:rsid w:val="00320322"/>
    <w:rsid w:val="00320C8C"/>
    <w:rsid w:val="00322C3C"/>
    <w:rsid w:val="003242EC"/>
    <w:rsid w:val="0033053D"/>
    <w:rsid w:val="003326DD"/>
    <w:rsid w:val="003355BE"/>
    <w:rsid w:val="00340C28"/>
    <w:rsid w:val="0034278F"/>
    <w:rsid w:val="0034391F"/>
    <w:rsid w:val="00344E16"/>
    <w:rsid w:val="00360013"/>
    <w:rsid w:val="0036201B"/>
    <w:rsid w:val="0036258B"/>
    <w:rsid w:val="00362886"/>
    <w:rsid w:val="003632AF"/>
    <w:rsid w:val="00366D95"/>
    <w:rsid w:val="0036724E"/>
    <w:rsid w:val="003727A0"/>
    <w:rsid w:val="00376154"/>
    <w:rsid w:val="00376204"/>
    <w:rsid w:val="00377AB9"/>
    <w:rsid w:val="0038146A"/>
    <w:rsid w:val="00382DD2"/>
    <w:rsid w:val="0038519C"/>
    <w:rsid w:val="00385A35"/>
    <w:rsid w:val="003927E6"/>
    <w:rsid w:val="0039341D"/>
    <w:rsid w:val="003952CE"/>
    <w:rsid w:val="0039578A"/>
    <w:rsid w:val="0039654F"/>
    <w:rsid w:val="0039681D"/>
    <w:rsid w:val="003B7784"/>
    <w:rsid w:val="003B7E68"/>
    <w:rsid w:val="003C1213"/>
    <w:rsid w:val="003C17F9"/>
    <w:rsid w:val="003C1E26"/>
    <w:rsid w:val="003C3BED"/>
    <w:rsid w:val="003C6C8F"/>
    <w:rsid w:val="003C7151"/>
    <w:rsid w:val="003D1993"/>
    <w:rsid w:val="003D27A0"/>
    <w:rsid w:val="003D32A6"/>
    <w:rsid w:val="003D5E43"/>
    <w:rsid w:val="003D6587"/>
    <w:rsid w:val="003D6FBA"/>
    <w:rsid w:val="003D7695"/>
    <w:rsid w:val="003E28FF"/>
    <w:rsid w:val="003E47B0"/>
    <w:rsid w:val="003E6FED"/>
    <w:rsid w:val="003F1807"/>
    <w:rsid w:val="003F4666"/>
    <w:rsid w:val="003F71E2"/>
    <w:rsid w:val="00402F53"/>
    <w:rsid w:val="0040331E"/>
    <w:rsid w:val="0040378E"/>
    <w:rsid w:val="00414D2D"/>
    <w:rsid w:val="00417B36"/>
    <w:rsid w:val="00421DFB"/>
    <w:rsid w:val="004240B6"/>
    <w:rsid w:val="00426123"/>
    <w:rsid w:val="00432FB8"/>
    <w:rsid w:val="00433BCC"/>
    <w:rsid w:val="00434484"/>
    <w:rsid w:val="00436D85"/>
    <w:rsid w:val="00437D62"/>
    <w:rsid w:val="00440585"/>
    <w:rsid w:val="00446660"/>
    <w:rsid w:val="0044666C"/>
    <w:rsid w:val="004539F7"/>
    <w:rsid w:val="00455DE8"/>
    <w:rsid w:val="00460DE7"/>
    <w:rsid w:val="00463F20"/>
    <w:rsid w:val="00471135"/>
    <w:rsid w:val="00475813"/>
    <w:rsid w:val="004909C3"/>
    <w:rsid w:val="00491D56"/>
    <w:rsid w:val="00497A21"/>
    <w:rsid w:val="004A1EA6"/>
    <w:rsid w:val="004A55A9"/>
    <w:rsid w:val="004A6B8C"/>
    <w:rsid w:val="004A6C3B"/>
    <w:rsid w:val="004B2772"/>
    <w:rsid w:val="004B4033"/>
    <w:rsid w:val="004B73DD"/>
    <w:rsid w:val="004C3654"/>
    <w:rsid w:val="004C5087"/>
    <w:rsid w:val="004C5760"/>
    <w:rsid w:val="004D36A4"/>
    <w:rsid w:val="004D45F1"/>
    <w:rsid w:val="004D5B38"/>
    <w:rsid w:val="004D6F40"/>
    <w:rsid w:val="004E04FF"/>
    <w:rsid w:val="004E1DF4"/>
    <w:rsid w:val="004E2B13"/>
    <w:rsid w:val="004E4CD7"/>
    <w:rsid w:val="004E6844"/>
    <w:rsid w:val="004E7EC2"/>
    <w:rsid w:val="004F34B4"/>
    <w:rsid w:val="00501995"/>
    <w:rsid w:val="00501F58"/>
    <w:rsid w:val="005022FB"/>
    <w:rsid w:val="005029DC"/>
    <w:rsid w:val="00505806"/>
    <w:rsid w:val="00510AA4"/>
    <w:rsid w:val="005116D8"/>
    <w:rsid w:val="005119B5"/>
    <w:rsid w:val="005140E8"/>
    <w:rsid w:val="00520FCA"/>
    <w:rsid w:val="00523D6E"/>
    <w:rsid w:val="00525EEA"/>
    <w:rsid w:val="005264E7"/>
    <w:rsid w:val="00531EB3"/>
    <w:rsid w:val="00532A11"/>
    <w:rsid w:val="00535E3E"/>
    <w:rsid w:val="00536328"/>
    <w:rsid w:val="00537C89"/>
    <w:rsid w:val="00544FC6"/>
    <w:rsid w:val="00546F74"/>
    <w:rsid w:val="00555A2B"/>
    <w:rsid w:val="005560B9"/>
    <w:rsid w:val="00561F5B"/>
    <w:rsid w:val="0056275E"/>
    <w:rsid w:val="00564958"/>
    <w:rsid w:val="00567D27"/>
    <w:rsid w:val="0057007D"/>
    <w:rsid w:val="00575181"/>
    <w:rsid w:val="00583012"/>
    <w:rsid w:val="005850BA"/>
    <w:rsid w:val="00587258"/>
    <w:rsid w:val="00587263"/>
    <w:rsid w:val="00587C82"/>
    <w:rsid w:val="00597BE1"/>
    <w:rsid w:val="005A012D"/>
    <w:rsid w:val="005A03DF"/>
    <w:rsid w:val="005A0475"/>
    <w:rsid w:val="005A17F0"/>
    <w:rsid w:val="005B0B8E"/>
    <w:rsid w:val="005B6637"/>
    <w:rsid w:val="005B6B31"/>
    <w:rsid w:val="005B7FF0"/>
    <w:rsid w:val="005C2DE5"/>
    <w:rsid w:val="005C3D8A"/>
    <w:rsid w:val="005C4885"/>
    <w:rsid w:val="005D2EAF"/>
    <w:rsid w:val="005D2F5A"/>
    <w:rsid w:val="005D41AC"/>
    <w:rsid w:val="005D5A04"/>
    <w:rsid w:val="005D5DDB"/>
    <w:rsid w:val="005E37E4"/>
    <w:rsid w:val="005E7A96"/>
    <w:rsid w:val="005F2E68"/>
    <w:rsid w:val="00605908"/>
    <w:rsid w:val="00606003"/>
    <w:rsid w:val="00611892"/>
    <w:rsid w:val="00613E35"/>
    <w:rsid w:val="00624D60"/>
    <w:rsid w:val="006310E0"/>
    <w:rsid w:val="00637B3D"/>
    <w:rsid w:val="00640BFD"/>
    <w:rsid w:val="00642A44"/>
    <w:rsid w:val="00643043"/>
    <w:rsid w:val="00645344"/>
    <w:rsid w:val="006462CB"/>
    <w:rsid w:val="0065088C"/>
    <w:rsid w:val="00653FBD"/>
    <w:rsid w:val="006550BB"/>
    <w:rsid w:val="006560BC"/>
    <w:rsid w:val="00656337"/>
    <w:rsid w:val="00657ED1"/>
    <w:rsid w:val="0066529F"/>
    <w:rsid w:val="006662CD"/>
    <w:rsid w:val="00667C30"/>
    <w:rsid w:val="0067614A"/>
    <w:rsid w:val="00676CDF"/>
    <w:rsid w:val="006811A0"/>
    <w:rsid w:val="0068389D"/>
    <w:rsid w:val="00684946"/>
    <w:rsid w:val="0068694A"/>
    <w:rsid w:val="006A3D4D"/>
    <w:rsid w:val="006A55AF"/>
    <w:rsid w:val="006B363B"/>
    <w:rsid w:val="006B64E8"/>
    <w:rsid w:val="006C7447"/>
    <w:rsid w:val="006D42B8"/>
    <w:rsid w:val="006D471C"/>
    <w:rsid w:val="006D70F4"/>
    <w:rsid w:val="006F3A16"/>
    <w:rsid w:val="007031BD"/>
    <w:rsid w:val="00703330"/>
    <w:rsid w:val="007100E2"/>
    <w:rsid w:val="007115C6"/>
    <w:rsid w:val="00714C73"/>
    <w:rsid w:val="0072050A"/>
    <w:rsid w:val="00721037"/>
    <w:rsid w:val="00722512"/>
    <w:rsid w:val="007242F3"/>
    <w:rsid w:val="00725B8E"/>
    <w:rsid w:val="0072791A"/>
    <w:rsid w:val="00731EEC"/>
    <w:rsid w:val="00735363"/>
    <w:rsid w:val="00742EE7"/>
    <w:rsid w:val="00751E59"/>
    <w:rsid w:val="0075238C"/>
    <w:rsid w:val="00757274"/>
    <w:rsid w:val="0076201E"/>
    <w:rsid w:val="007641B9"/>
    <w:rsid w:val="00770085"/>
    <w:rsid w:val="0077021A"/>
    <w:rsid w:val="00770CB1"/>
    <w:rsid w:val="00773641"/>
    <w:rsid w:val="00774597"/>
    <w:rsid w:val="00776F9F"/>
    <w:rsid w:val="00793C0A"/>
    <w:rsid w:val="007A2408"/>
    <w:rsid w:val="007A71CC"/>
    <w:rsid w:val="007A727D"/>
    <w:rsid w:val="007B09A8"/>
    <w:rsid w:val="007B1F8E"/>
    <w:rsid w:val="007C0FDB"/>
    <w:rsid w:val="007C123C"/>
    <w:rsid w:val="007C3DC8"/>
    <w:rsid w:val="007C6D5D"/>
    <w:rsid w:val="007D273B"/>
    <w:rsid w:val="007D2DA5"/>
    <w:rsid w:val="007D6738"/>
    <w:rsid w:val="007E664D"/>
    <w:rsid w:val="007F0B45"/>
    <w:rsid w:val="00803747"/>
    <w:rsid w:val="008079C2"/>
    <w:rsid w:val="00807EE9"/>
    <w:rsid w:val="00810236"/>
    <w:rsid w:val="008213F0"/>
    <w:rsid w:val="008249D5"/>
    <w:rsid w:val="008253F6"/>
    <w:rsid w:val="0083203C"/>
    <w:rsid w:val="0083262E"/>
    <w:rsid w:val="00833143"/>
    <w:rsid w:val="00835D34"/>
    <w:rsid w:val="0083669B"/>
    <w:rsid w:val="0085547B"/>
    <w:rsid w:val="00855796"/>
    <w:rsid w:val="00865DC9"/>
    <w:rsid w:val="008660FA"/>
    <w:rsid w:val="00866B7A"/>
    <w:rsid w:val="00872AA5"/>
    <w:rsid w:val="008804C7"/>
    <w:rsid w:val="008809A6"/>
    <w:rsid w:val="00881728"/>
    <w:rsid w:val="008831C2"/>
    <w:rsid w:val="00885CC9"/>
    <w:rsid w:val="00886BD0"/>
    <w:rsid w:val="00894A69"/>
    <w:rsid w:val="008A1627"/>
    <w:rsid w:val="008A574F"/>
    <w:rsid w:val="008A67F9"/>
    <w:rsid w:val="008A7073"/>
    <w:rsid w:val="008B427D"/>
    <w:rsid w:val="008B4F98"/>
    <w:rsid w:val="008B5F6F"/>
    <w:rsid w:val="008B6485"/>
    <w:rsid w:val="008B7977"/>
    <w:rsid w:val="008B7996"/>
    <w:rsid w:val="008B7BA1"/>
    <w:rsid w:val="008C1CCA"/>
    <w:rsid w:val="008C4B92"/>
    <w:rsid w:val="008D2439"/>
    <w:rsid w:val="008D3D06"/>
    <w:rsid w:val="008D4C03"/>
    <w:rsid w:val="008D66DC"/>
    <w:rsid w:val="008D7D75"/>
    <w:rsid w:val="008E21C4"/>
    <w:rsid w:val="008E4B0F"/>
    <w:rsid w:val="008E4C24"/>
    <w:rsid w:val="008E5049"/>
    <w:rsid w:val="008F2939"/>
    <w:rsid w:val="008F5FD8"/>
    <w:rsid w:val="008F6867"/>
    <w:rsid w:val="00903FF8"/>
    <w:rsid w:val="00906299"/>
    <w:rsid w:val="009178FA"/>
    <w:rsid w:val="00922BB0"/>
    <w:rsid w:val="009235FD"/>
    <w:rsid w:val="009300DE"/>
    <w:rsid w:val="0093340B"/>
    <w:rsid w:val="00933F05"/>
    <w:rsid w:val="009345CA"/>
    <w:rsid w:val="0094419B"/>
    <w:rsid w:val="00957153"/>
    <w:rsid w:val="009638CB"/>
    <w:rsid w:val="00972756"/>
    <w:rsid w:val="00980CD5"/>
    <w:rsid w:val="00980E75"/>
    <w:rsid w:val="009817C0"/>
    <w:rsid w:val="00983816"/>
    <w:rsid w:val="00987DB8"/>
    <w:rsid w:val="00990A50"/>
    <w:rsid w:val="00991D35"/>
    <w:rsid w:val="009A0D1F"/>
    <w:rsid w:val="009A3433"/>
    <w:rsid w:val="009A34D5"/>
    <w:rsid w:val="009A591B"/>
    <w:rsid w:val="009A5F49"/>
    <w:rsid w:val="009A6343"/>
    <w:rsid w:val="009A781A"/>
    <w:rsid w:val="009B3A70"/>
    <w:rsid w:val="009B4326"/>
    <w:rsid w:val="009B5083"/>
    <w:rsid w:val="009B6E1A"/>
    <w:rsid w:val="009C5322"/>
    <w:rsid w:val="009C6C55"/>
    <w:rsid w:val="009D1D1F"/>
    <w:rsid w:val="009D2F3A"/>
    <w:rsid w:val="009E0411"/>
    <w:rsid w:val="009E4DAD"/>
    <w:rsid w:val="009E5AB0"/>
    <w:rsid w:val="009E7CA7"/>
    <w:rsid w:val="009F37FF"/>
    <w:rsid w:val="009F7005"/>
    <w:rsid w:val="00A01929"/>
    <w:rsid w:val="00A031D0"/>
    <w:rsid w:val="00A04B95"/>
    <w:rsid w:val="00A07DA8"/>
    <w:rsid w:val="00A10DE3"/>
    <w:rsid w:val="00A133F2"/>
    <w:rsid w:val="00A17DE2"/>
    <w:rsid w:val="00A20E3F"/>
    <w:rsid w:val="00A262EB"/>
    <w:rsid w:val="00A307ED"/>
    <w:rsid w:val="00A33103"/>
    <w:rsid w:val="00A34378"/>
    <w:rsid w:val="00A34446"/>
    <w:rsid w:val="00A35904"/>
    <w:rsid w:val="00A41993"/>
    <w:rsid w:val="00A43AA7"/>
    <w:rsid w:val="00A51553"/>
    <w:rsid w:val="00A610F3"/>
    <w:rsid w:val="00A62256"/>
    <w:rsid w:val="00A65500"/>
    <w:rsid w:val="00A65E0F"/>
    <w:rsid w:val="00A7000B"/>
    <w:rsid w:val="00A721CD"/>
    <w:rsid w:val="00A777D4"/>
    <w:rsid w:val="00A90A93"/>
    <w:rsid w:val="00A94536"/>
    <w:rsid w:val="00AA273B"/>
    <w:rsid w:val="00AA2F71"/>
    <w:rsid w:val="00AA5FCE"/>
    <w:rsid w:val="00AB3D0F"/>
    <w:rsid w:val="00AB6FF7"/>
    <w:rsid w:val="00AC3AB5"/>
    <w:rsid w:val="00AC6E99"/>
    <w:rsid w:val="00AD3AA7"/>
    <w:rsid w:val="00AD60B9"/>
    <w:rsid w:val="00AD7D47"/>
    <w:rsid w:val="00AE59A5"/>
    <w:rsid w:val="00AE66C7"/>
    <w:rsid w:val="00AF216D"/>
    <w:rsid w:val="00AF611E"/>
    <w:rsid w:val="00AF6514"/>
    <w:rsid w:val="00AF6814"/>
    <w:rsid w:val="00B0464F"/>
    <w:rsid w:val="00B04978"/>
    <w:rsid w:val="00B051FC"/>
    <w:rsid w:val="00B07593"/>
    <w:rsid w:val="00B12207"/>
    <w:rsid w:val="00B168D0"/>
    <w:rsid w:val="00B2068A"/>
    <w:rsid w:val="00B21615"/>
    <w:rsid w:val="00B367DB"/>
    <w:rsid w:val="00B44E49"/>
    <w:rsid w:val="00B44E8A"/>
    <w:rsid w:val="00B450AB"/>
    <w:rsid w:val="00B46AAB"/>
    <w:rsid w:val="00B50196"/>
    <w:rsid w:val="00B52123"/>
    <w:rsid w:val="00B52720"/>
    <w:rsid w:val="00B6114F"/>
    <w:rsid w:val="00B61BE8"/>
    <w:rsid w:val="00B65E49"/>
    <w:rsid w:val="00B668A7"/>
    <w:rsid w:val="00B724D0"/>
    <w:rsid w:val="00B72B9F"/>
    <w:rsid w:val="00B74663"/>
    <w:rsid w:val="00B75AB2"/>
    <w:rsid w:val="00B809BB"/>
    <w:rsid w:val="00B9446D"/>
    <w:rsid w:val="00BA5B3B"/>
    <w:rsid w:val="00BA69B2"/>
    <w:rsid w:val="00BB3775"/>
    <w:rsid w:val="00BB550A"/>
    <w:rsid w:val="00BB7827"/>
    <w:rsid w:val="00BC0C1C"/>
    <w:rsid w:val="00BC0F89"/>
    <w:rsid w:val="00BC1E8B"/>
    <w:rsid w:val="00BC3C42"/>
    <w:rsid w:val="00BC41A7"/>
    <w:rsid w:val="00BD3386"/>
    <w:rsid w:val="00BD58FB"/>
    <w:rsid w:val="00BD5B41"/>
    <w:rsid w:val="00BE6FFD"/>
    <w:rsid w:val="00BE72D0"/>
    <w:rsid w:val="00C00A68"/>
    <w:rsid w:val="00C033C7"/>
    <w:rsid w:val="00C04B08"/>
    <w:rsid w:val="00C061C1"/>
    <w:rsid w:val="00C101C6"/>
    <w:rsid w:val="00C15170"/>
    <w:rsid w:val="00C21358"/>
    <w:rsid w:val="00C217A4"/>
    <w:rsid w:val="00C2238D"/>
    <w:rsid w:val="00C2742F"/>
    <w:rsid w:val="00C3161D"/>
    <w:rsid w:val="00C33879"/>
    <w:rsid w:val="00C375B9"/>
    <w:rsid w:val="00C41981"/>
    <w:rsid w:val="00C42023"/>
    <w:rsid w:val="00C4255A"/>
    <w:rsid w:val="00C5240C"/>
    <w:rsid w:val="00C554AF"/>
    <w:rsid w:val="00C572C3"/>
    <w:rsid w:val="00C61644"/>
    <w:rsid w:val="00C61DDD"/>
    <w:rsid w:val="00C644A9"/>
    <w:rsid w:val="00C64F05"/>
    <w:rsid w:val="00C75482"/>
    <w:rsid w:val="00C83E4B"/>
    <w:rsid w:val="00C85B2E"/>
    <w:rsid w:val="00C86186"/>
    <w:rsid w:val="00C969DC"/>
    <w:rsid w:val="00C96A16"/>
    <w:rsid w:val="00CA1829"/>
    <w:rsid w:val="00CA2CAC"/>
    <w:rsid w:val="00CA6FB8"/>
    <w:rsid w:val="00CB04C1"/>
    <w:rsid w:val="00CB1170"/>
    <w:rsid w:val="00CB1B69"/>
    <w:rsid w:val="00CB523E"/>
    <w:rsid w:val="00CB7106"/>
    <w:rsid w:val="00CC1D2B"/>
    <w:rsid w:val="00CC6458"/>
    <w:rsid w:val="00CD0548"/>
    <w:rsid w:val="00CD3ADA"/>
    <w:rsid w:val="00CD54B6"/>
    <w:rsid w:val="00CD5C8C"/>
    <w:rsid w:val="00CD6DFE"/>
    <w:rsid w:val="00CE0BA9"/>
    <w:rsid w:val="00CE2876"/>
    <w:rsid w:val="00CE293C"/>
    <w:rsid w:val="00CF2069"/>
    <w:rsid w:val="00D05118"/>
    <w:rsid w:val="00D11024"/>
    <w:rsid w:val="00D12771"/>
    <w:rsid w:val="00D1296E"/>
    <w:rsid w:val="00D13C2B"/>
    <w:rsid w:val="00D20BF5"/>
    <w:rsid w:val="00D26693"/>
    <w:rsid w:val="00D3157A"/>
    <w:rsid w:val="00D3345D"/>
    <w:rsid w:val="00D35B44"/>
    <w:rsid w:val="00D51400"/>
    <w:rsid w:val="00D519C3"/>
    <w:rsid w:val="00D567A5"/>
    <w:rsid w:val="00D60C92"/>
    <w:rsid w:val="00D665F2"/>
    <w:rsid w:val="00D72214"/>
    <w:rsid w:val="00D72B2A"/>
    <w:rsid w:val="00D74929"/>
    <w:rsid w:val="00D76C8F"/>
    <w:rsid w:val="00D83C3A"/>
    <w:rsid w:val="00D849E3"/>
    <w:rsid w:val="00D948CA"/>
    <w:rsid w:val="00D975E4"/>
    <w:rsid w:val="00DA0AA8"/>
    <w:rsid w:val="00DA3184"/>
    <w:rsid w:val="00DA3442"/>
    <w:rsid w:val="00DA52E4"/>
    <w:rsid w:val="00DA6465"/>
    <w:rsid w:val="00DB1396"/>
    <w:rsid w:val="00DB3B3E"/>
    <w:rsid w:val="00DB3C8E"/>
    <w:rsid w:val="00DB3CE8"/>
    <w:rsid w:val="00DB73EE"/>
    <w:rsid w:val="00DC121C"/>
    <w:rsid w:val="00DC4A9D"/>
    <w:rsid w:val="00DC4D86"/>
    <w:rsid w:val="00DC5278"/>
    <w:rsid w:val="00DC668B"/>
    <w:rsid w:val="00DD3FAA"/>
    <w:rsid w:val="00DD7188"/>
    <w:rsid w:val="00DD7511"/>
    <w:rsid w:val="00DD7B4C"/>
    <w:rsid w:val="00DE0D76"/>
    <w:rsid w:val="00DE462F"/>
    <w:rsid w:val="00DE4B3A"/>
    <w:rsid w:val="00DE6134"/>
    <w:rsid w:val="00DE6EC7"/>
    <w:rsid w:val="00DF049D"/>
    <w:rsid w:val="00DF318A"/>
    <w:rsid w:val="00E009F5"/>
    <w:rsid w:val="00E02220"/>
    <w:rsid w:val="00E05A49"/>
    <w:rsid w:val="00E14783"/>
    <w:rsid w:val="00E22235"/>
    <w:rsid w:val="00E31B64"/>
    <w:rsid w:val="00E32541"/>
    <w:rsid w:val="00E33A00"/>
    <w:rsid w:val="00E34EB1"/>
    <w:rsid w:val="00E40217"/>
    <w:rsid w:val="00E43ECC"/>
    <w:rsid w:val="00E4633B"/>
    <w:rsid w:val="00E46EE2"/>
    <w:rsid w:val="00E51099"/>
    <w:rsid w:val="00E524F8"/>
    <w:rsid w:val="00E57183"/>
    <w:rsid w:val="00E611AC"/>
    <w:rsid w:val="00E62D2A"/>
    <w:rsid w:val="00E649A8"/>
    <w:rsid w:val="00E65DD1"/>
    <w:rsid w:val="00E66BE0"/>
    <w:rsid w:val="00E67B8E"/>
    <w:rsid w:val="00E7088F"/>
    <w:rsid w:val="00E71323"/>
    <w:rsid w:val="00E72DB1"/>
    <w:rsid w:val="00E75E90"/>
    <w:rsid w:val="00E75F58"/>
    <w:rsid w:val="00E76D09"/>
    <w:rsid w:val="00E90768"/>
    <w:rsid w:val="00E93926"/>
    <w:rsid w:val="00EA4788"/>
    <w:rsid w:val="00EA4D7A"/>
    <w:rsid w:val="00EB0D13"/>
    <w:rsid w:val="00EB1CFE"/>
    <w:rsid w:val="00EC0CFE"/>
    <w:rsid w:val="00EC43BF"/>
    <w:rsid w:val="00ED0468"/>
    <w:rsid w:val="00ED196F"/>
    <w:rsid w:val="00ED38F6"/>
    <w:rsid w:val="00EE0FCA"/>
    <w:rsid w:val="00EE27CE"/>
    <w:rsid w:val="00EF2434"/>
    <w:rsid w:val="00F008F0"/>
    <w:rsid w:val="00F011CB"/>
    <w:rsid w:val="00F06209"/>
    <w:rsid w:val="00F1119E"/>
    <w:rsid w:val="00F135F9"/>
    <w:rsid w:val="00F145CC"/>
    <w:rsid w:val="00F14CEF"/>
    <w:rsid w:val="00F22B81"/>
    <w:rsid w:val="00F2592C"/>
    <w:rsid w:val="00F26D2C"/>
    <w:rsid w:val="00F2725D"/>
    <w:rsid w:val="00F30737"/>
    <w:rsid w:val="00F35EE8"/>
    <w:rsid w:val="00F3635C"/>
    <w:rsid w:val="00F418D1"/>
    <w:rsid w:val="00F43E26"/>
    <w:rsid w:val="00F44167"/>
    <w:rsid w:val="00F46380"/>
    <w:rsid w:val="00F476B4"/>
    <w:rsid w:val="00F52524"/>
    <w:rsid w:val="00F57517"/>
    <w:rsid w:val="00F70994"/>
    <w:rsid w:val="00F71967"/>
    <w:rsid w:val="00F72A10"/>
    <w:rsid w:val="00F77BC8"/>
    <w:rsid w:val="00F805B1"/>
    <w:rsid w:val="00F876CE"/>
    <w:rsid w:val="00F904CD"/>
    <w:rsid w:val="00F91311"/>
    <w:rsid w:val="00F94251"/>
    <w:rsid w:val="00F968CF"/>
    <w:rsid w:val="00F978C8"/>
    <w:rsid w:val="00FA297B"/>
    <w:rsid w:val="00FA308C"/>
    <w:rsid w:val="00FA506C"/>
    <w:rsid w:val="00FA5211"/>
    <w:rsid w:val="00FA7D21"/>
    <w:rsid w:val="00FB2071"/>
    <w:rsid w:val="00FB53E3"/>
    <w:rsid w:val="00FB7291"/>
    <w:rsid w:val="00FC12B8"/>
    <w:rsid w:val="00FC364C"/>
    <w:rsid w:val="00FD13B5"/>
    <w:rsid w:val="00FD165D"/>
    <w:rsid w:val="00FD30D4"/>
    <w:rsid w:val="00FE0EE4"/>
    <w:rsid w:val="00FE36E1"/>
    <w:rsid w:val="00FE3EAF"/>
    <w:rsid w:val="00FE6B72"/>
    <w:rsid w:val="00FE7942"/>
    <w:rsid w:val="00FF010C"/>
    <w:rsid w:val="00FF0A60"/>
    <w:rsid w:val="00FF1931"/>
    <w:rsid w:val="00FF2EC3"/>
    <w:rsid w:val="00FF5948"/>
    <w:rsid w:val="00FF7D14"/>
    <w:rsid w:val="00FF7DBD"/>
    <w:rsid w:val="7BB11D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3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rPr>
      <w:rFonts w:ascii="Calibri" w:eastAsia="Calibri" w:hAnsi="Calibri" w:cs="Calibri"/>
      <w:color w:val="000000"/>
      <w:sz w:val="22"/>
      <w:szCs w:val="22"/>
      <w:u w:color="000000"/>
      <w:lang w:val="en-US"/>
    </w:rPr>
  </w:style>
  <w:style w:type="paragraph" w:styleId="TOC1">
    <w:name w:val="toc 1"/>
    <w:uiPriority w:val="39"/>
    <w:pPr>
      <w:tabs>
        <w:tab w:val="right" w:leader="dot" w:pos="8286"/>
      </w:tabs>
      <w:spacing w:before="240" w:after="120"/>
    </w:pPr>
    <w:rPr>
      <w:rFonts w:eastAsia="Times New Roman"/>
      <w:color w:val="000000"/>
      <w:sz w:val="24"/>
      <w:szCs w:val="24"/>
      <w:u w:color="000000"/>
      <w:lang w:val="en-US"/>
    </w:rPr>
  </w:style>
  <w:style w:type="paragraph" w:customStyle="1" w:styleId="Heading">
    <w:name w:val="Heading"/>
    <w:next w:val="BodyA"/>
    <w:pPr>
      <w:keepNext/>
      <w:keepLines/>
      <w:spacing w:before="240" w:after="240"/>
      <w:outlineLvl w:val="0"/>
    </w:pPr>
    <w:rPr>
      <w:rFonts w:eastAsia="Times New Roman"/>
      <w:b/>
      <w:bCs/>
      <w:color w:val="000000"/>
      <w:sz w:val="24"/>
      <w:szCs w:val="24"/>
      <w:u w:color="000000"/>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link w:val="ListParagraphChar"/>
    <w:uiPriority w:val="34"/>
    <w:qFormat/>
    <w:pPr>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
      </w:numPr>
    </w:pPr>
  </w:style>
  <w:style w:type="numbering" w:customStyle="1" w:styleId="List21">
    <w:name w:val="List 21"/>
    <w:basedOn w:val="ImportedStyle2"/>
    <w:pPr>
      <w:numPr>
        <w:numId w:val="2"/>
      </w:numPr>
    </w:pPr>
  </w:style>
  <w:style w:type="numbering" w:customStyle="1" w:styleId="ImportedStyle2">
    <w:name w:val="Imported Style 2"/>
  </w:style>
  <w:style w:type="paragraph" w:styleId="FootnoteText">
    <w:name w:val="footnote text"/>
    <w:link w:val="FootnoteTextChar"/>
    <w:uiPriority w:val="99"/>
    <w:rPr>
      <w:rFonts w:ascii="Calibri" w:eastAsia="Calibri" w:hAnsi="Calibri" w:cs="Calibri"/>
      <w:color w:val="000000"/>
      <w:u w:color="000000"/>
      <w:lang w:val="en-US"/>
    </w:rPr>
  </w:style>
  <w:style w:type="numbering" w:customStyle="1" w:styleId="List31">
    <w:name w:val="List 31"/>
    <w:basedOn w:val="ImportedStyle3"/>
    <w:pPr>
      <w:numPr>
        <w:numId w:val="21"/>
      </w:numPr>
    </w:pPr>
  </w:style>
  <w:style w:type="numbering" w:customStyle="1" w:styleId="ImportedStyle3">
    <w:name w:val="Imported Style 3"/>
  </w:style>
  <w:style w:type="numbering" w:customStyle="1" w:styleId="List41">
    <w:name w:val="List 41"/>
    <w:basedOn w:val="ImportedStyle4"/>
    <w:pPr>
      <w:numPr>
        <w:numId w:val="4"/>
      </w:numPr>
    </w:pPr>
  </w:style>
  <w:style w:type="numbering" w:customStyle="1" w:styleId="ImportedStyle4">
    <w:name w:val="Imported Style 4"/>
  </w:style>
  <w:style w:type="numbering" w:customStyle="1" w:styleId="List51">
    <w:name w:val="List 51"/>
    <w:basedOn w:val="ImportedStyle5"/>
    <w:pPr>
      <w:numPr>
        <w:numId w:val="5"/>
      </w:numPr>
    </w:pPr>
  </w:style>
  <w:style w:type="numbering" w:customStyle="1" w:styleId="ImportedStyle5">
    <w:name w:val="Imported Style 5"/>
  </w:style>
  <w:style w:type="numbering" w:customStyle="1" w:styleId="List6">
    <w:name w:val="List 6"/>
    <w:basedOn w:val="ImportedStyle6"/>
    <w:pPr>
      <w:numPr>
        <w:numId w:val="6"/>
      </w:numPr>
    </w:pPr>
  </w:style>
  <w:style w:type="numbering" w:customStyle="1" w:styleId="ImportedStyle6">
    <w:name w:val="Imported Style 6"/>
  </w:style>
  <w:style w:type="numbering" w:customStyle="1" w:styleId="List7">
    <w:name w:val="List 7"/>
    <w:basedOn w:val="ImportedStyle8"/>
    <w:pPr>
      <w:numPr>
        <w:numId w:val="7"/>
      </w:numPr>
    </w:pPr>
  </w:style>
  <w:style w:type="numbering" w:customStyle="1" w:styleId="ImportedStyle8">
    <w:name w:val="Imported Style 8"/>
  </w:style>
  <w:style w:type="numbering" w:customStyle="1" w:styleId="List8">
    <w:name w:val="List 8"/>
    <w:basedOn w:val="ImportedStyle9"/>
    <w:pPr>
      <w:numPr>
        <w:numId w:val="8"/>
      </w:numPr>
    </w:pPr>
  </w:style>
  <w:style w:type="numbering" w:customStyle="1" w:styleId="ImportedStyle9">
    <w:name w:val="Imported Style 9"/>
  </w:style>
  <w:style w:type="numbering" w:customStyle="1" w:styleId="List9">
    <w:name w:val="List 9"/>
    <w:basedOn w:val="ImportedStyle10"/>
    <w:pPr>
      <w:numPr>
        <w:numId w:val="9"/>
      </w:numPr>
    </w:pPr>
  </w:style>
  <w:style w:type="numbering" w:customStyle="1" w:styleId="ImportedStyle10">
    <w:name w:val="Imported Style 10"/>
  </w:style>
  <w:style w:type="numbering" w:customStyle="1" w:styleId="List10">
    <w:name w:val="List 10"/>
    <w:basedOn w:val="ImportedStyle11"/>
    <w:pPr>
      <w:numPr>
        <w:numId w:val="10"/>
      </w:numPr>
    </w:pPr>
  </w:style>
  <w:style w:type="numbering" w:customStyle="1" w:styleId="ImportedStyle11">
    <w:name w:val="Imported Style 11"/>
  </w:style>
  <w:style w:type="numbering" w:customStyle="1" w:styleId="List11">
    <w:name w:val="List 11"/>
    <w:basedOn w:val="ImportedStyle12"/>
    <w:pPr>
      <w:numPr>
        <w:numId w:val="11"/>
      </w:numPr>
    </w:pPr>
  </w:style>
  <w:style w:type="numbering" w:customStyle="1" w:styleId="ImportedStyle12">
    <w:name w:val="Imported Style 12"/>
  </w:style>
  <w:style w:type="numbering" w:customStyle="1" w:styleId="List12">
    <w:name w:val="List 12"/>
    <w:basedOn w:val="ImportedStyle13"/>
    <w:pPr>
      <w:numPr>
        <w:numId w:val="12"/>
      </w:numPr>
    </w:pPr>
  </w:style>
  <w:style w:type="numbering" w:customStyle="1" w:styleId="ImportedStyle13">
    <w:name w:val="Imported Style 13"/>
  </w:style>
  <w:style w:type="numbering" w:customStyle="1" w:styleId="List13">
    <w:name w:val="List 13"/>
    <w:basedOn w:val="ImportedStyle14"/>
    <w:pPr>
      <w:numPr>
        <w:numId w:val="13"/>
      </w:numPr>
    </w:pPr>
  </w:style>
  <w:style w:type="numbering" w:customStyle="1" w:styleId="ImportedStyle14">
    <w:name w:val="Imported Style 14"/>
  </w:style>
  <w:style w:type="numbering" w:customStyle="1" w:styleId="List14">
    <w:name w:val="List 14"/>
    <w:basedOn w:val="ImportedStyle15"/>
    <w:pPr>
      <w:numPr>
        <w:numId w:val="14"/>
      </w:numPr>
    </w:pPr>
  </w:style>
  <w:style w:type="numbering" w:customStyle="1" w:styleId="ImportedStyle15">
    <w:name w:val="Imported Style 15"/>
  </w:style>
  <w:style w:type="numbering" w:customStyle="1" w:styleId="List15">
    <w:name w:val="List 15"/>
    <w:basedOn w:val="ImportedStyle17"/>
    <w:pPr>
      <w:numPr>
        <w:numId w:val="15"/>
      </w:numPr>
    </w:pPr>
  </w:style>
  <w:style w:type="numbering" w:customStyle="1" w:styleId="ImportedStyle17">
    <w:name w:val="Imported Style 17"/>
  </w:style>
  <w:style w:type="numbering" w:customStyle="1" w:styleId="List16">
    <w:name w:val="List 16"/>
    <w:basedOn w:val="ImportedStyle18"/>
    <w:pPr>
      <w:numPr>
        <w:numId w:val="17"/>
      </w:numPr>
    </w:pPr>
  </w:style>
  <w:style w:type="numbering" w:customStyle="1" w:styleId="ImportedStyle18">
    <w:name w:val="Imported Style 18"/>
  </w:style>
  <w:style w:type="numbering" w:customStyle="1" w:styleId="List17">
    <w:name w:val="List 17"/>
    <w:basedOn w:val="ImportedStyle16"/>
    <w:pPr>
      <w:numPr>
        <w:numId w:val="16"/>
      </w:numPr>
    </w:pPr>
  </w:style>
  <w:style w:type="numbering" w:customStyle="1" w:styleId="ImportedStyle16">
    <w:name w:val="Imported Style 16"/>
  </w:style>
  <w:style w:type="numbering" w:customStyle="1" w:styleId="List18">
    <w:name w:val="List 18"/>
    <w:basedOn w:val="ImportedStyle19"/>
    <w:pPr>
      <w:numPr>
        <w:numId w:val="18"/>
      </w:numPr>
    </w:pPr>
  </w:style>
  <w:style w:type="numbering" w:customStyle="1" w:styleId="ImportedStyle19">
    <w:name w:val="Imported Style 19"/>
  </w:style>
  <w:style w:type="numbering" w:customStyle="1" w:styleId="List19">
    <w:name w:val="List 19"/>
    <w:basedOn w:val="ImportedStyle20"/>
    <w:pPr>
      <w:numPr>
        <w:numId w:val="19"/>
      </w:numPr>
    </w:pPr>
  </w:style>
  <w:style w:type="numbering" w:customStyle="1" w:styleId="ImportedStyle20">
    <w:name w:val="Imported Style 20"/>
  </w:style>
  <w:style w:type="numbering" w:customStyle="1" w:styleId="List20">
    <w:name w:val="List 20"/>
    <w:basedOn w:val="ImportedStyle21"/>
    <w:pPr>
      <w:numPr>
        <w:numId w:val="20"/>
      </w:numPr>
    </w:pPr>
  </w:style>
  <w:style w:type="numbering" w:customStyle="1" w:styleId="ImportedStyle21">
    <w:name w:val="Imported Style 21"/>
  </w:style>
  <w:style w:type="numbering" w:customStyle="1" w:styleId="List210">
    <w:name w:val="List 210"/>
    <w:basedOn w:val="ImportedStyle23"/>
    <w:pPr>
      <w:numPr>
        <w:numId w:val="22"/>
      </w:numPr>
    </w:pPr>
  </w:style>
  <w:style w:type="numbering" w:customStyle="1" w:styleId="ImportedStyle23">
    <w:name w:val="Imported Style 23"/>
  </w:style>
  <w:style w:type="numbering" w:customStyle="1" w:styleId="List22">
    <w:name w:val="List 22"/>
    <w:basedOn w:val="ImportedStyle25"/>
    <w:pPr>
      <w:numPr>
        <w:numId w:val="23"/>
      </w:numPr>
    </w:pPr>
  </w:style>
  <w:style w:type="numbering" w:customStyle="1" w:styleId="ImportedStyle25">
    <w:name w:val="Imported Style 25"/>
  </w:style>
  <w:style w:type="numbering" w:customStyle="1" w:styleId="List23">
    <w:name w:val="List 23"/>
    <w:basedOn w:val="ImportedStyle25"/>
    <w:pPr>
      <w:numPr>
        <w:numId w:val="24"/>
      </w:numPr>
    </w:pPr>
  </w:style>
  <w:style w:type="numbering" w:customStyle="1" w:styleId="List24">
    <w:name w:val="List 24"/>
    <w:basedOn w:val="ImportedStyle26"/>
    <w:pPr>
      <w:numPr>
        <w:numId w:val="25"/>
      </w:numPr>
    </w:pPr>
  </w:style>
  <w:style w:type="numbering" w:customStyle="1" w:styleId="ImportedStyle26">
    <w:name w:val="Imported Style 26"/>
  </w:style>
  <w:style w:type="numbering" w:customStyle="1" w:styleId="List25">
    <w:name w:val="List 25"/>
    <w:basedOn w:val="ImportedStyle27"/>
    <w:pPr>
      <w:numPr>
        <w:numId w:val="26"/>
      </w:numPr>
    </w:pPr>
  </w:style>
  <w:style w:type="numbering" w:customStyle="1" w:styleId="ImportedStyle27">
    <w:name w:val="Imported Style 27"/>
  </w:style>
  <w:style w:type="paragraph" w:customStyle="1" w:styleId="Body">
    <w:name w:val="Body"/>
    <w:rPr>
      <w:rFonts w:hAnsi="Arial Unicode MS" w:cs="Arial Unicode MS"/>
      <w:color w:val="000000"/>
      <w:sz w:val="24"/>
      <w:szCs w:val="24"/>
      <w:u w:color="000000"/>
      <w:lang w:val="en-US"/>
    </w:rPr>
  </w:style>
  <w:style w:type="numbering" w:customStyle="1" w:styleId="List26">
    <w:name w:val="List 26"/>
    <w:basedOn w:val="ImportedStyle1"/>
    <w:pPr>
      <w:numPr>
        <w:numId w:val="27"/>
      </w:numPr>
    </w:pPr>
  </w:style>
  <w:style w:type="numbering" w:customStyle="1" w:styleId="List27">
    <w:name w:val="List 27"/>
    <w:basedOn w:val="ImportedStyle2"/>
    <w:pPr>
      <w:numPr>
        <w:numId w:val="28"/>
      </w:numPr>
    </w:pPr>
  </w:style>
  <w:style w:type="numbering" w:customStyle="1" w:styleId="List28">
    <w:name w:val="List 28"/>
    <w:basedOn w:val="ImportedStyle2"/>
    <w:pPr>
      <w:numPr>
        <w:numId w:val="29"/>
      </w:numPr>
    </w:pPr>
  </w:style>
  <w:style w:type="numbering" w:customStyle="1" w:styleId="List29">
    <w:name w:val="List 29"/>
    <w:basedOn w:val="ImportedStyle2"/>
    <w:pPr>
      <w:numPr>
        <w:numId w:val="30"/>
      </w:numPr>
    </w:pPr>
  </w:style>
  <w:style w:type="numbering" w:customStyle="1" w:styleId="List30">
    <w:name w:val="List 30"/>
    <w:basedOn w:val="ImportedStyle3"/>
    <w:pPr>
      <w:numPr>
        <w:numId w:val="31"/>
      </w:numPr>
    </w:pPr>
  </w:style>
  <w:style w:type="numbering" w:customStyle="1" w:styleId="List310">
    <w:name w:val="List 310"/>
    <w:basedOn w:val="ImportedStyle4"/>
    <w:pPr>
      <w:numPr>
        <w:numId w:val="32"/>
      </w:numPr>
    </w:pPr>
  </w:style>
  <w:style w:type="numbering" w:customStyle="1" w:styleId="List32">
    <w:name w:val="List 32"/>
    <w:basedOn w:val="ImportedStyle5"/>
    <w:pPr>
      <w:numPr>
        <w:numId w:val="35"/>
      </w:numPr>
    </w:pPr>
  </w:style>
  <w:style w:type="numbering" w:customStyle="1" w:styleId="List33">
    <w:name w:val="List 33"/>
    <w:basedOn w:val="ImportedStyle6"/>
    <w:pPr>
      <w:numPr>
        <w:numId w:val="33"/>
      </w:numPr>
    </w:pPr>
  </w:style>
  <w:style w:type="numbering" w:customStyle="1" w:styleId="List34">
    <w:name w:val="List 34"/>
    <w:basedOn w:val="ImportedStyle7"/>
    <w:pPr>
      <w:numPr>
        <w:numId w:val="34"/>
      </w:numPr>
    </w:pPr>
  </w:style>
  <w:style w:type="numbering" w:customStyle="1" w:styleId="ImportedStyle7">
    <w:name w:val="Imported Style 7"/>
  </w:style>
  <w:style w:type="numbering" w:customStyle="1" w:styleId="List35">
    <w:name w:val="List 35"/>
    <w:basedOn w:val="ImportedStyle8"/>
    <w:pPr>
      <w:numPr>
        <w:numId w:val="36"/>
      </w:numPr>
    </w:pPr>
  </w:style>
  <w:style w:type="numbering" w:customStyle="1" w:styleId="List36">
    <w:name w:val="List 36"/>
    <w:basedOn w:val="ImportedStyle9"/>
    <w:pPr>
      <w:numPr>
        <w:numId w:val="37"/>
      </w:numPr>
    </w:pPr>
  </w:style>
  <w:style w:type="numbering" w:customStyle="1" w:styleId="List37">
    <w:name w:val="List 37"/>
    <w:basedOn w:val="ImportedStyle10"/>
    <w:pPr>
      <w:numPr>
        <w:numId w:val="38"/>
      </w:numPr>
    </w:pPr>
  </w:style>
  <w:style w:type="numbering" w:customStyle="1" w:styleId="List38">
    <w:name w:val="List 38"/>
    <w:basedOn w:val="ImportedStyle11"/>
    <w:pPr>
      <w:numPr>
        <w:numId w:val="40"/>
      </w:numPr>
    </w:pPr>
  </w:style>
  <w:style w:type="numbering" w:customStyle="1" w:styleId="List39">
    <w:name w:val="List 39"/>
    <w:basedOn w:val="ImportedStyle11"/>
    <w:pPr>
      <w:numPr>
        <w:numId w:val="39"/>
      </w:numPr>
    </w:pPr>
  </w:style>
  <w:style w:type="numbering" w:customStyle="1" w:styleId="List40">
    <w:name w:val="List 40"/>
    <w:basedOn w:val="ImportedStyle12"/>
    <w:pPr>
      <w:numPr>
        <w:numId w:val="41"/>
      </w:numPr>
    </w:pPr>
  </w:style>
  <w:style w:type="numbering" w:customStyle="1" w:styleId="List410">
    <w:name w:val="List 410"/>
    <w:basedOn w:val="ImportedStyle1"/>
    <w:pPr>
      <w:numPr>
        <w:numId w:val="42"/>
      </w:numPr>
    </w:pPr>
  </w:style>
  <w:style w:type="numbering" w:customStyle="1" w:styleId="List42">
    <w:name w:val="List 42"/>
    <w:basedOn w:val="ImportedStyle13"/>
    <w:pPr>
      <w:numPr>
        <w:numId w:val="43"/>
      </w:numPr>
    </w:pPr>
  </w:style>
  <w:style w:type="numbering" w:customStyle="1" w:styleId="List43">
    <w:name w:val="List 43"/>
    <w:basedOn w:val="ImportedStyle1"/>
    <w:pPr>
      <w:numPr>
        <w:numId w:val="44"/>
      </w:numPr>
    </w:pPr>
  </w:style>
  <w:style w:type="numbering" w:customStyle="1" w:styleId="List44">
    <w:name w:val="List 44"/>
    <w:basedOn w:val="ImportedStyle5"/>
    <w:pPr>
      <w:numPr>
        <w:numId w:val="46"/>
      </w:numPr>
    </w:pPr>
  </w:style>
  <w:style w:type="numbering" w:customStyle="1" w:styleId="List45">
    <w:name w:val="List 45"/>
    <w:basedOn w:val="ImportedStyle6"/>
    <w:pPr>
      <w:numPr>
        <w:numId w:val="45"/>
      </w:numPr>
    </w:pPr>
  </w:style>
  <w:style w:type="numbering" w:customStyle="1" w:styleId="List46">
    <w:name w:val="List 46"/>
    <w:basedOn w:val="ImportedStyle7"/>
    <w:pPr>
      <w:numPr>
        <w:numId w:val="47"/>
      </w:numPr>
    </w:pPr>
  </w:style>
  <w:style w:type="paragraph" w:styleId="BodyText">
    <w:name w:val="Body Text"/>
    <w:pPr>
      <w:spacing w:after="200" w:line="276" w:lineRule="auto"/>
    </w:pPr>
    <w:rPr>
      <w:rFonts w:ascii="Arial" w:hAnsi="Arial Unicode MS" w:cs="Arial Unicode MS"/>
      <w:color w:val="000000"/>
      <w:sz w:val="22"/>
      <w:szCs w:val="22"/>
      <w:u w:color="414042"/>
      <w:lang w:val="en-US"/>
    </w:rPr>
  </w:style>
  <w:style w:type="numbering" w:customStyle="1" w:styleId="List47">
    <w:name w:val="List 47"/>
    <w:basedOn w:val="ImportedStyle8"/>
    <w:pPr>
      <w:numPr>
        <w:numId w:val="48"/>
      </w:numPr>
    </w:pPr>
  </w:style>
  <w:style w:type="numbering" w:customStyle="1" w:styleId="List48">
    <w:name w:val="List 48"/>
    <w:basedOn w:val="ImportedStyle8"/>
    <w:pPr>
      <w:numPr>
        <w:numId w:val="50"/>
      </w:numPr>
    </w:pPr>
  </w:style>
  <w:style w:type="numbering" w:customStyle="1" w:styleId="List49">
    <w:name w:val="List 49"/>
    <w:basedOn w:val="ImportedStyle9"/>
    <w:pPr>
      <w:numPr>
        <w:numId w:val="49"/>
      </w:numPr>
    </w:pPr>
  </w:style>
  <w:style w:type="numbering" w:customStyle="1" w:styleId="List50">
    <w:name w:val="List 50"/>
    <w:basedOn w:val="ImportedStyle8"/>
    <w:pPr>
      <w:numPr>
        <w:numId w:val="51"/>
      </w:numPr>
    </w:pPr>
  </w:style>
  <w:style w:type="numbering" w:customStyle="1" w:styleId="List510">
    <w:name w:val="List 510"/>
    <w:basedOn w:val="ImportedStyle10"/>
    <w:pPr>
      <w:numPr>
        <w:numId w:val="53"/>
      </w:numPr>
    </w:pPr>
  </w:style>
  <w:style w:type="numbering" w:customStyle="1" w:styleId="List52">
    <w:name w:val="List 52"/>
    <w:basedOn w:val="ImportedStyle10"/>
    <w:pPr>
      <w:numPr>
        <w:numId w:val="52"/>
      </w:numPr>
    </w:pPr>
  </w:style>
  <w:style w:type="paragraph" w:customStyle="1" w:styleId="Default">
    <w:name w:val="Default"/>
    <w:rPr>
      <w:rFonts w:ascii="Helvetica" w:hAnsi="Arial Unicode MS" w:cs="Arial Unicode MS"/>
      <w:color w:val="000000"/>
      <w:sz w:val="22"/>
      <w:szCs w:val="22"/>
      <w:lang w:val="en-US"/>
    </w:rPr>
  </w:style>
  <w:style w:type="numbering" w:customStyle="1" w:styleId="List53">
    <w:name w:val="List 53"/>
    <w:basedOn w:val="ImportedStyle33"/>
    <w:pPr>
      <w:numPr>
        <w:numId w:val="55"/>
      </w:numPr>
    </w:pPr>
  </w:style>
  <w:style w:type="numbering" w:customStyle="1" w:styleId="ImportedStyle33">
    <w:name w:val="Imported Style 33"/>
  </w:style>
  <w:style w:type="numbering" w:customStyle="1" w:styleId="List54">
    <w:name w:val="List 54"/>
    <w:basedOn w:val="ImportedStyle33"/>
    <w:pPr>
      <w:numPr>
        <w:numId w:val="54"/>
      </w:numPr>
    </w:pPr>
  </w:style>
  <w:style w:type="numbering" w:customStyle="1" w:styleId="List55">
    <w:name w:val="List 55"/>
    <w:basedOn w:val="ImportedStyle34"/>
    <w:pPr>
      <w:numPr>
        <w:numId w:val="56"/>
      </w:numPr>
    </w:pPr>
  </w:style>
  <w:style w:type="numbering" w:customStyle="1" w:styleId="ImportedStyle34">
    <w:name w:val="Imported Style 34"/>
  </w:style>
  <w:style w:type="numbering" w:customStyle="1" w:styleId="List56">
    <w:name w:val="List 56"/>
    <w:basedOn w:val="ImportedStyle35"/>
    <w:pPr>
      <w:numPr>
        <w:numId w:val="57"/>
      </w:numPr>
    </w:pPr>
  </w:style>
  <w:style w:type="numbering" w:customStyle="1" w:styleId="ImportedStyle35">
    <w:name w:val="Imported Style 35"/>
  </w:style>
  <w:style w:type="numbering" w:customStyle="1" w:styleId="List57">
    <w:name w:val="List 57"/>
    <w:basedOn w:val="ImportedStyle36"/>
    <w:pPr>
      <w:numPr>
        <w:numId w:val="58"/>
      </w:numPr>
    </w:pPr>
  </w:style>
  <w:style w:type="numbering" w:customStyle="1" w:styleId="ImportedStyle36">
    <w:name w:val="Imported Style 36"/>
  </w:style>
  <w:style w:type="numbering" w:customStyle="1" w:styleId="List58">
    <w:name w:val="List 58"/>
    <w:basedOn w:val="ImportedStyle37"/>
    <w:pPr>
      <w:numPr>
        <w:numId w:val="59"/>
      </w:numPr>
    </w:pPr>
  </w:style>
  <w:style w:type="numbering" w:customStyle="1" w:styleId="ImportedStyle37">
    <w:name w:val="Imported Style 37"/>
  </w:style>
  <w:style w:type="numbering" w:customStyle="1" w:styleId="List59">
    <w:name w:val="List 59"/>
    <w:basedOn w:val="ImportedStyle38"/>
    <w:pPr>
      <w:numPr>
        <w:numId w:val="60"/>
      </w:numPr>
    </w:pPr>
  </w:style>
  <w:style w:type="numbering" w:customStyle="1" w:styleId="ImportedStyle38">
    <w:name w:val="Imported Style 38"/>
  </w:style>
  <w:style w:type="numbering" w:customStyle="1" w:styleId="List60">
    <w:name w:val="List 60"/>
    <w:basedOn w:val="ImportedStyle39"/>
    <w:pPr>
      <w:numPr>
        <w:numId w:val="61"/>
      </w:numPr>
    </w:pPr>
  </w:style>
  <w:style w:type="numbering" w:customStyle="1" w:styleId="ImportedStyle39">
    <w:name w:val="Imported Style 39"/>
  </w:style>
  <w:style w:type="numbering" w:customStyle="1" w:styleId="List61">
    <w:name w:val="List 61"/>
    <w:basedOn w:val="ImportedStyle40"/>
    <w:pPr>
      <w:numPr>
        <w:numId w:val="62"/>
      </w:numPr>
    </w:pPr>
  </w:style>
  <w:style w:type="numbering" w:customStyle="1" w:styleId="ImportedStyle40">
    <w:name w:val="Imported Style 40"/>
  </w:style>
  <w:style w:type="numbering" w:customStyle="1" w:styleId="List62">
    <w:name w:val="List 62"/>
    <w:basedOn w:val="ImportedStyle41"/>
    <w:pPr>
      <w:numPr>
        <w:numId w:val="63"/>
      </w:numPr>
    </w:pPr>
  </w:style>
  <w:style w:type="numbering" w:customStyle="1" w:styleId="ImportedStyle41">
    <w:name w:val="Imported Style 41"/>
  </w:style>
  <w:style w:type="numbering" w:customStyle="1" w:styleId="List63">
    <w:name w:val="List 63"/>
    <w:basedOn w:val="ImportedStyle42"/>
    <w:pPr>
      <w:numPr>
        <w:numId w:val="64"/>
      </w:numPr>
    </w:pPr>
  </w:style>
  <w:style w:type="numbering" w:customStyle="1" w:styleId="ImportedStyle42">
    <w:name w:val="Imported Style 42"/>
  </w:style>
  <w:style w:type="numbering" w:customStyle="1" w:styleId="List64">
    <w:name w:val="List 64"/>
    <w:basedOn w:val="ImportedStyle43"/>
    <w:pPr>
      <w:numPr>
        <w:numId w:val="65"/>
      </w:numPr>
    </w:pPr>
  </w:style>
  <w:style w:type="numbering" w:customStyle="1" w:styleId="ImportedStyle43">
    <w:name w:val="Imported Style 43"/>
  </w:style>
  <w:style w:type="numbering" w:customStyle="1" w:styleId="List65">
    <w:name w:val="List 65"/>
    <w:basedOn w:val="ImportedStyle44"/>
    <w:pPr>
      <w:numPr>
        <w:numId w:val="66"/>
      </w:numPr>
    </w:pPr>
  </w:style>
  <w:style w:type="numbering" w:customStyle="1" w:styleId="ImportedStyle44">
    <w:name w:val="Imported Style 44"/>
  </w:style>
  <w:style w:type="numbering" w:customStyle="1" w:styleId="List66">
    <w:name w:val="List 66"/>
    <w:basedOn w:val="ImportedStyle45"/>
    <w:pPr>
      <w:numPr>
        <w:numId w:val="67"/>
      </w:numPr>
    </w:pPr>
  </w:style>
  <w:style w:type="numbering" w:customStyle="1" w:styleId="ImportedStyle45">
    <w:name w:val="Imported Style 45"/>
  </w:style>
  <w:style w:type="paragraph" w:styleId="NoSpacing">
    <w:name w:val="No Spacing"/>
    <w:uiPriority w:val="1"/>
    <w:qFormat/>
    <w:rsid w:val="00076589"/>
    <w:rPr>
      <w:sz w:val="24"/>
      <w:szCs w:val="24"/>
      <w:lang w:eastAsia="en-US"/>
    </w:rPr>
  </w:style>
  <w:style w:type="table" w:styleId="TableGrid">
    <w:name w:val="Table Grid"/>
    <w:basedOn w:val="TableNormal"/>
    <w:uiPriority w:val="39"/>
    <w:rsid w:val="00D8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B77"/>
    <w:pPr>
      <w:tabs>
        <w:tab w:val="center" w:pos="4513"/>
        <w:tab w:val="right" w:pos="9026"/>
      </w:tabs>
    </w:pPr>
  </w:style>
  <w:style w:type="character" w:customStyle="1" w:styleId="HeaderChar">
    <w:name w:val="Header Char"/>
    <w:basedOn w:val="DefaultParagraphFont"/>
    <w:link w:val="Header"/>
    <w:uiPriority w:val="99"/>
    <w:rsid w:val="002F7B77"/>
    <w:rPr>
      <w:sz w:val="24"/>
      <w:szCs w:val="24"/>
      <w:lang w:eastAsia="en-US"/>
    </w:rPr>
  </w:style>
  <w:style w:type="character" w:customStyle="1" w:styleId="FooterChar">
    <w:name w:val="Footer Char"/>
    <w:basedOn w:val="DefaultParagraphFont"/>
    <w:link w:val="Footer"/>
    <w:uiPriority w:val="99"/>
    <w:rsid w:val="002F7B77"/>
    <w:rPr>
      <w:rFonts w:ascii="Calibri" w:eastAsia="Calibri" w:hAnsi="Calibri" w:cs="Calibri"/>
      <w:color w:val="000000"/>
      <w:sz w:val="22"/>
      <w:szCs w:val="22"/>
      <w:u w:color="000000"/>
      <w:lang w:val="en-US"/>
    </w:rPr>
  </w:style>
  <w:style w:type="character" w:styleId="CommentReference">
    <w:name w:val="annotation reference"/>
    <w:basedOn w:val="DefaultParagraphFont"/>
    <w:uiPriority w:val="99"/>
    <w:unhideWhenUsed/>
    <w:rsid w:val="00722512"/>
    <w:rPr>
      <w:sz w:val="16"/>
      <w:szCs w:val="16"/>
    </w:rPr>
  </w:style>
  <w:style w:type="paragraph" w:styleId="CommentText">
    <w:name w:val="annotation text"/>
    <w:basedOn w:val="Normal"/>
    <w:link w:val="CommentTextChar"/>
    <w:unhideWhenUsed/>
    <w:rsid w:val="00722512"/>
    <w:rPr>
      <w:sz w:val="20"/>
      <w:szCs w:val="20"/>
    </w:rPr>
  </w:style>
  <w:style w:type="character" w:customStyle="1" w:styleId="CommentTextChar">
    <w:name w:val="Comment Text Char"/>
    <w:basedOn w:val="DefaultParagraphFont"/>
    <w:link w:val="CommentText"/>
    <w:rsid w:val="00722512"/>
    <w:rPr>
      <w:lang w:eastAsia="en-US"/>
    </w:rPr>
  </w:style>
  <w:style w:type="paragraph" w:styleId="CommentSubject">
    <w:name w:val="annotation subject"/>
    <w:basedOn w:val="CommentText"/>
    <w:next w:val="CommentText"/>
    <w:link w:val="CommentSubjectChar"/>
    <w:uiPriority w:val="99"/>
    <w:semiHidden/>
    <w:unhideWhenUsed/>
    <w:rsid w:val="00722512"/>
    <w:rPr>
      <w:b/>
      <w:bCs/>
    </w:rPr>
  </w:style>
  <w:style w:type="character" w:customStyle="1" w:styleId="CommentSubjectChar">
    <w:name w:val="Comment Subject Char"/>
    <w:basedOn w:val="CommentTextChar"/>
    <w:link w:val="CommentSubject"/>
    <w:uiPriority w:val="99"/>
    <w:semiHidden/>
    <w:rsid w:val="00722512"/>
    <w:rPr>
      <w:b/>
      <w:bCs/>
      <w:lang w:eastAsia="en-US"/>
    </w:rPr>
  </w:style>
  <w:style w:type="paragraph" w:styleId="BalloonText">
    <w:name w:val="Balloon Text"/>
    <w:basedOn w:val="Normal"/>
    <w:link w:val="BalloonTextChar"/>
    <w:unhideWhenUsed/>
    <w:rsid w:val="00722512"/>
    <w:rPr>
      <w:rFonts w:ascii="Segoe UI" w:hAnsi="Segoe UI" w:cs="Segoe UI"/>
      <w:sz w:val="18"/>
      <w:szCs w:val="18"/>
    </w:rPr>
  </w:style>
  <w:style w:type="character" w:customStyle="1" w:styleId="BalloonTextChar">
    <w:name w:val="Balloon Text Char"/>
    <w:basedOn w:val="DefaultParagraphFont"/>
    <w:link w:val="BalloonText"/>
    <w:rsid w:val="00722512"/>
    <w:rPr>
      <w:rFonts w:ascii="Segoe UI" w:hAnsi="Segoe UI" w:cs="Segoe UI"/>
      <w:sz w:val="18"/>
      <w:szCs w:val="18"/>
      <w:lang w:eastAsia="en-US"/>
    </w:rPr>
  </w:style>
  <w:style w:type="character" w:styleId="FootnoteReference">
    <w:name w:val="footnote reference"/>
    <w:basedOn w:val="DefaultParagraphFont"/>
    <w:uiPriority w:val="99"/>
    <w:unhideWhenUsed/>
    <w:rsid w:val="004E2B13"/>
    <w:rPr>
      <w:vertAlign w:val="superscript"/>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501F58"/>
    <w:rPr>
      <w:rFonts w:ascii="Calibri" w:eastAsia="Calibri" w:hAnsi="Calibri" w:cs="Calibri"/>
      <w:color w:val="000000"/>
      <w:sz w:val="22"/>
      <w:szCs w:val="22"/>
      <w:u w:color="000000"/>
      <w:lang w:val="en-US"/>
    </w:rPr>
  </w:style>
  <w:style w:type="character" w:styleId="Strong">
    <w:name w:val="Strong"/>
    <w:basedOn w:val="DefaultParagraphFont"/>
    <w:uiPriority w:val="22"/>
    <w:qFormat/>
    <w:rsid w:val="00B668A7"/>
    <w:rPr>
      <w:b/>
      <w:bCs/>
    </w:rPr>
  </w:style>
  <w:style w:type="character" w:customStyle="1" w:styleId="FootnoteTextChar">
    <w:name w:val="Footnote Text Char"/>
    <w:basedOn w:val="DefaultParagraphFont"/>
    <w:link w:val="FootnoteText"/>
    <w:uiPriority w:val="99"/>
    <w:rsid w:val="00751E59"/>
    <w:rPr>
      <w:rFonts w:ascii="Calibri" w:eastAsia="Calibri" w:hAnsi="Calibri" w:cs="Calibri"/>
      <w:color w:val="000000"/>
      <w:u w:color="000000"/>
      <w:lang w:val="en-US"/>
    </w:rPr>
  </w:style>
  <w:style w:type="table" w:customStyle="1" w:styleId="MediumShading1-Accent11">
    <w:name w:val="Medium Shading 1 - Accent 11"/>
    <w:basedOn w:val="TableNormal"/>
    <w:uiPriority w:val="63"/>
    <w:rsid w:val="003F71E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sz w:val="22"/>
      <w:szCs w:val="22"/>
      <w:bdr w:val="none" w:sz="0" w:space="0" w:color="auto"/>
      <w:lang w:eastAsia="en-US"/>
    </w:rPr>
    <w:tblPr>
      <w:tblStyleRowBandSize w:val="1"/>
      <w:tblStyleColBandSize w:val="1"/>
      <w:tbl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single" w:sz="8" w:space="0" w:color="76B3D6" w:themeColor="accent1" w:themeTint="BF"/>
      </w:tblBorders>
    </w:tblPr>
    <w:tblStylePr w:type="firstRow">
      <w:pPr>
        <w:spacing w:beforeLines="0" w:before="0" w:beforeAutospacing="0" w:afterLines="0" w:after="0" w:afterAutospacing="0"/>
      </w:pPr>
      <w:rPr>
        <w:rFonts w:ascii="Calibri" w:hAnsi="Calibri" w:cs="Times New Roman" w:hint="default"/>
        <w:b/>
        <w:bCs/>
        <w:color w:val="FFFFFF" w:themeColor="background1"/>
      </w:rPr>
      <w:tblPr/>
      <w:tcPr>
        <w:tcBorders>
          <w:top w:val="single" w:sz="8"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nil"/>
          <w:insideV w:val="nil"/>
        </w:tcBorders>
        <w:shd w:val="clear" w:color="auto" w:fill="499BC9" w:themeFill="accent1"/>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76B3D6" w:themeColor="accent1" w:themeTint="BF"/>
          <w:left w:val="single" w:sz="8" w:space="0" w:color="76B3D6" w:themeColor="accent1" w:themeTint="BF"/>
          <w:bottom w:val="single" w:sz="8" w:space="0" w:color="76B3D6" w:themeColor="accent1" w:themeTint="BF"/>
          <w:right w:val="single" w:sz="8" w:space="0" w:color="76B3D6" w:themeColor="accent1" w:themeTint="BF"/>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2E6F1" w:themeFill="accent1" w:themeFillTint="3F"/>
      </w:tcPr>
    </w:tblStylePr>
    <w:tblStylePr w:type="band1Horz">
      <w:rPr>
        <w:rFonts w:ascii="Calibri" w:hAnsi="Calibri" w:cs="Times New Roman" w:hint="default"/>
      </w:rPr>
      <w:tblPr/>
      <w:tcPr>
        <w:tcBorders>
          <w:insideH w:val="nil"/>
          <w:insideV w:val="nil"/>
        </w:tcBorders>
        <w:shd w:val="clear" w:color="auto" w:fill="D2E6F1" w:themeFill="accent1" w:themeFillTint="3F"/>
      </w:tcPr>
    </w:tblStylePr>
    <w:tblStylePr w:type="band2Horz">
      <w:rPr>
        <w:rFonts w:ascii="Calibri" w:hAnsi="Calibri" w:cs="Times New Roman" w:hint="default"/>
      </w:rPr>
      <w:tblPr/>
      <w:tcPr>
        <w:tcBorders>
          <w:insideH w:val="nil"/>
          <w:insideV w:val="nil"/>
        </w:tcBorders>
      </w:tcPr>
    </w:tblStylePr>
  </w:style>
  <w:style w:type="paragraph" w:customStyle="1" w:styleId="TableParagraph">
    <w:name w:val="Table Paragraph"/>
    <w:basedOn w:val="Normal"/>
    <w:uiPriority w:val="1"/>
    <w:qFormat/>
    <w:rsid w:val="009300D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5743">
      <w:bodyDiv w:val="1"/>
      <w:marLeft w:val="0"/>
      <w:marRight w:val="0"/>
      <w:marTop w:val="0"/>
      <w:marBottom w:val="0"/>
      <w:divBdr>
        <w:top w:val="none" w:sz="0" w:space="0" w:color="auto"/>
        <w:left w:val="none" w:sz="0" w:space="0" w:color="auto"/>
        <w:bottom w:val="none" w:sz="0" w:space="0" w:color="auto"/>
        <w:right w:val="none" w:sz="0" w:space="0" w:color="auto"/>
      </w:divBdr>
    </w:div>
    <w:div w:id="1401900445">
      <w:bodyDiv w:val="1"/>
      <w:marLeft w:val="0"/>
      <w:marRight w:val="0"/>
      <w:marTop w:val="0"/>
      <w:marBottom w:val="0"/>
      <w:divBdr>
        <w:top w:val="none" w:sz="0" w:space="0" w:color="auto"/>
        <w:left w:val="none" w:sz="0" w:space="0" w:color="auto"/>
        <w:bottom w:val="none" w:sz="0" w:space="0" w:color="auto"/>
        <w:right w:val="none" w:sz="0" w:space="0" w:color="auto"/>
      </w:divBdr>
    </w:div>
    <w:div w:id="1857425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P@dfat.gov.a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fat.gov.au/trade/agreements/tp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to.org/english/thewto_e/minist_e/min01_e/mindecl_e.h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14860</Words>
  <Characters>84706</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2025-11-30T22:54:00Z</dcterms:created>
  <dcterms:modified xsi:type="dcterms:W3CDTF">2025-11-30T22:55:00Z</dcterms:modified>
  <cp:category/>
</cp:coreProperties>
</file>