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73487023"/>
        <w:docPartObj>
          <w:docPartGallery w:val="Cover Pages"/>
          <w:docPartUnique/>
        </w:docPartObj>
      </w:sdtPr>
      <w:sdtEndPr>
        <w:rPr>
          <w:rStyle w:val="SubtitleChar"/>
          <w:rFonts w:eastAsiaTheme="minorEastAsia"/>
          <w:color w:val="85C446" w:themeColor="accent2"/>
          <w:kern w:val="21"/>
          <w:sz w:val="42"/>
          <w:szCs w:val="42"/>
          <w14:numSpacing w14:val="proportional"/>
        </w:rPr>
      </w:sdtEndPr>
      <w:sdtContent>
        <w:bookmarkStart w:id="1" w:name="_Ref172627598" w:displacedByCustomXml="prev"/>
        <w:bookmarkEnd w:id="1" w:displacedByCustomXml="prev"/>
        <w:p w14:paraId="60DEC3E9" w14:textId="24BFC4D2" w:rsidR="005F3118" w:rsidRDefault="005F3118"/>
        <w:tbl>
          <w:tblPr>
            <w:tblpPr w:leftFromText="187" w:rightFromText="187" w:horzAnchor="margin" w:tblpXSpec="center" w:tblpY="2881"/>
            <w:tblW w:w="4000" w:type="pct"/>
            <w:tblBorders>
              <w:left w:val="single" w:sz="12" w:space="0" w:color="0F5CA2" w:themeColor="accent1"/>
            </w:tblBorders>
            <w:tblCellMar>
              <w:left w:w="144" w:type="dxa"/>
              <w:right w:w="115" w:type="dxa"/>
            </w:tblCellMar>
            <w:tblLook w:val="04A0" w:firstRow="1" w:lastRow="0" w:firstColumn="1" w:lastColumn="0" w:noHBand="0" w:noVBand="1"/>
          </w:tblPr>
          <w:tblGrid>
            <w:gridCol w:w="7698"/>
          </w:tblGrid>
          <w:tr w:rsidR="005F3118" w14:paraId="198AB487" w14:textId="77777777" w:rsidTr="0067425D">
            <w:tc>
              <w:tcPr>
                <w:tcW w:w="7698" w:type="dxa"/>
              </w:tcPr>
              <w:p w14:paraId="0027FFBD" w14:textId="583BE852" w:rsidR="005F3118" w:rsidRDefault="00C11B6F">
                <w:pPr>
                  <w:pStyle w:val="NoSpacing"/>
                  <w:spacing w:line="216" w:lineRule="auto"/>
                  <w:rPr>
                    <w:rFonts w:asciiTheme="majorHAnsi" w:eastAsiaTheme="majorEastAsia" w:hAnsiTheme="majorHAnsi" w:cstheme="majorBidi"/>
                    <w:color w:val="0F5CA2" w:themeColor="accent1"/>
                    <w:sz w:val="88"/>
                    <w:szCs w:val="88"/>
                  </w:rPr>
                </w:pPr>
                <w:r>
                  <w:rPr>
                    <w:rFonts w:asciiTheme="majorHAnsi" w:eastAsiaTheme="majorEastAsia" w:hAnsiTheme="majorHAnsi" w:cstheme="majorBidi"/>
                    <w:color w:val="0F5CA2" w:themeColor="accent1"/>
                    <w:sz w:val="88"/>
                    <w:szCs w:val="88"/>
                  </w:rPr>
                  <w:t>Audiology</w:t>
                </w:r>
                <w:r w:rsidR="000A1252">
                  <w:rPr>
                    <w:rFonts w:asciiTheme="majorHAnsi" w:eastAsiaTheme="majorEastAsia" w:hAnsiTheme="majorHAnsi" w:cstheme="majorBidi"/>
                    <w:color w:val="0F5CA2" w:themeColor="accent1"/>
                    <w:sz w:val="88"/>
                    <w:szCs w:val="88"/>
                  </w:rPr>
                  <w:t xml:space="preserve"> profession</w:t>
                </w:r>
              </w:p>
            </w:tc>
          </w:tr>
          <w:tr w:rsidR="005F3118" w14:paraId="1C7E1E1B" w14:textId="77777777" w:rsidTr="0067425D">
            <w:tc>
              <w:tcPr>
                <w:tcW w:w="7698" w:type="dxa"/>
                <w:tcMar>
                  <w:top w:w="216" w:type="dxa"/>
                  <w:left w:w="115" w:type="dxa"/>
                  <w:bottom w:w="216" w:type="dxa"/>
                  <w:right w:w="115" w:type="dxa"/>
                </w:tcMar>
              </w:tcPr>
              <w:p w14:paraId="793C61BA" w14:textId="02E9DAF5" w:rsidR="005F3118" w:rsidRDefault="005F3118">
                <w:pPr>
                  <w:pStyle w:val="NoSpacing"/>
                  <w:rPr>
                    <w:color w:val="0B4479" w:themeColor="accent1" w:themeShade="BF"/>
                    <w:sz w:val="24"/>
                  </w:rPr>
                </w:pPr>
                <w:r>
                  <w:rPr>
                    <w:color w:val="0B4479" w:themeColor="accent1" w:themeShade="BF"/>
                    <w:sz w:val="24"/>
                    <w:szCs w:val="24"/>
                  </w:rPr>
                  <w:t>Decision Regulatory Impact Statement</w:t>
                </w:r>
              </w:p>
            </w:tc>
          </w:tr>
        </w:tbl>
        <w:tbl>
          <w:tblPr>
            <w:tblpPr w:leftFromText="187" w:rightFromText="187" w:horzAnchor="margin" w:tblpXSpec="center" w:tblpYSpec="bottom"/>
            <w:tblW w:w="3857" w:type="pct"/>
            <w:tblLook w:val="04A0" w:firstRow="1" w:lastRow="0" w:firstColumn="1" w:lastColumn="0" w:noHBand="0" w:noVBand="1"/>
          </w:tblPr>
          <w:tblGrid>
            <w:gridCol w:w="7435"/>
          </w:tblGrid>
          <w:tr w:rsidR="005F3118" w14:paraId="03177933" w14:textId="77777777" w:rsidTr="005F3118">
            <w:tc>
              <w:tcPr>
                <w:tcW w:w="6822" w:type="dxa"/>
                <w:tcMar>
                  <w:top w:w="216" w:type="dxa"/>
                  <w:left w:w="115" w:type="dxa"/>
                  <w:bottom w:w="216" w:type="dxa"/>
                  <w:right w:w="115" w:type="dxa"/>
                </w:tcMar>
              </w:tcPr>
              <w:p w14:paraId="206CA58B" w14:textId="093A8550" w:rsidR="005F3118" w:rsidRDefault="005F3118" w:rsidP="005F3118">
                <w:pPr>
                  <w:pStyle w:val="NoSpacing"/>
                  <w:rPr>
                    <w:color w:val="0F5CA2" w:themeColor="accent1"/>
                  </w:rPr>
                </w:pPr>
              </w:p>
            </w:tc>
          </w:tr>
        </w:tbl>
        <w:p w14:paraId="43CE6AAA" w14:textId="251910E7" w:rsidR="005F3118" w:rsidRDefault="005F3118">
          <w:pPr>
            <w:rPr>
              <w:rStyle w:val="SubtitleChar"/>
              <w:color w:val="85C446" w:themeColor="accent2"/>
              <w:sz w:val="42"/>
              <w:szCs w:val="42"/>
            </w:rPr>
          </w:pPr>
          <w:r>
            <w:rPr>
              <w:noProof/>
              <w:lang w:val="en-AU" w:eastAsia="en-AU"/>
            </w:rPr>
            <w:drawing>
              <wp:anchor distT="0" distB="0" distL="114300" distR="114300" simplePos="0" relativeHeight="251658241" behindDoc="0" locked="0" layoutInCell="1" allowOverlap="1" wp14:anchorId="7FF1EF9D" wp14:editId="4317408E">
                <wp:simplePos x="0" y="0"/>
                <wp:positionH relativeFrom="margin">
                  <wp:posOffset>239299</wp:posOffset>
                </wp:positionH>
                <wp:positionV relativeFrom="paragraph">
                  <wp:posOffset>8103882</wp:posOffset>
                </wp:positionV>
                <wp:extent cx="4744482" cy="508958"/>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744482" cy="50895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ubtitleChar"/>
              <w:color w:val="85C446" w:themeColor="accent2"/>
              <w:sz w:val="42"/>
              <w:szCs w:val="42"/>
            </w:rPr>
            <w:br w:type="page"/>
          </w:r>
        </w:p>
      </w:sdtContent>
    </w:sdt>
    <w:p w14:paraId="0F937E11" w14:textId="10AF59DC" w:rsidR="00757ADC" w:rsidRDefault="00757ADC"/>
    <w:p w14:paraId="71BD4D98" w14:textId="77777777" w:rsidR="005F3118" w:rsidRDefault="005F3118"/>
    <w:p w14:paraId="48156D15" w14:textId="77777777" w:rsidR="005F3118" w:rsidRDefault="005F3118"/>
    <w:p w14:paraId="3787856D" w14:textId="77777777" w:rsidR="005F3118" w:rsidRDefault="005F3118"/>
    <w:p w14:paraId="0EADFFD3" w14:textId="77777777" w:rsidR="005F3118" w:rsidRDefault="005F3118"/>
    <w:p w14:paraId="4C0F5AF6" w14:textId="77777777" w:rsidR="005F3118" w:rsidRDefault="005F3118"/>
    <w:p w14:paraId="10694C75" w14:textId="77777777" w:rsidR="005F3118" w:rsidRDefault="005F3118"/>
    <w:p w14:paraId="4445BA8A" w14:textId="77777777" w:rsidR="005F3118" w:rsidRDefault="005F3118"/>
    <w:p w14:paraId="4A982158" w14:textId="77777777" w:rsidR="005F3118" w:rsidRDefault="005F3118"/>
    <w:p w14:paraId="54808572" w14:textId="77777777" w:rsidR="005F3118" w:rsidRDefault="005F3118"/>
    <w:p w14:paraId="5BE036EA" w14:textId="77777777" w:rsidR="005F3118" w:rsidRDefault="005F3118"/>
    <w:p w14:paraId="0F19C8E9" w14:textId="77777777" w:rsidR="005F3118" w:rsidRDefault="005F3118"/>
    <w:p w14:paraId="28FFC1B4" w14:textId="77777777" w:rsidR="005F3118" w:rsidRDefault="005F3118"/>
    <w:p w14:paraId="5F2B8725" w14:textId="77777777" w:rsidR="005F3118" w:rsidRDefault="005F3118"/>
    <w:p w14:paraId="41F53C4F" w14:textId="77777777" w:rsidR="005F3118" w:rsidRDefault="005F3118"/>
    <w:p w14:paraId="38A14557" w14:textId="77777777" w:rsidR="005F3118" w:rsidRDefault="005F3118"/>
    <w:p w14:paraId="4A94246F" w14:textId="77777777" w:rsidR="005F3118" w:rsidRDefault="005F3118"/>
    <w:p w14:paraId="1E54AA16" w14:textId="77777777" w:rsidR="005F3118" w:rsidRDefault="005F3118"/>
    <w:p w14:paraId="7B5BC0E1" w14:textId="77777777" w:rsidR="005F3118" w:rsidRDefault="005F3118"/>
    <w:p w14:paraId="3FE403E8" w14:textId="77777777" w:rsidR="005F3118" w:rsidRDefault="005F3118"/>
    <w:p w14:paraId="46D63D0D" w14:textId="77777777" w:rsidR="005F3118" w:rsidRDefault="005F3118"/>
    <w:p w14:paraId="6CFE1302" w14:textId="77777777" w:rsidR="005F3118" w:rsidRDefault="005F3118"/>
    <w:p w14:paraId="3CB1648E" w14:textId="77777777" w:rsidR="005F3118" w:rsidRDefault="005F3118"/>
    <w:p w14:paraId="427EBD05" w14:textId="77777777" w:rsidR="005F3118" w:rsidRDefault="005F3118"/>
    <w:p w14:paraId="3BCCD03E" w14:textId="77777777" w:rsidR="005F3118" w:rsidRDefault="005F3118"/>
    <w:p w14:paraId="1236C3FB" w14:textId="77777777" w:rsidR="005F3118" w:rsidRDefault="005F3118"/>
    <w:p w14:paraId="2E377991" w14:textId="77777777" w:rsidR="005F3118" w:rsidRDefault="005F3118"/>
    <w:p w14:paraId="19808D2F" w14:textId="77777777" w:rsidR="005F3118" w:rsidRDefault="005F3118"/>
    <w:p w14:paraId="04554230" w14:textId="77777777" w:rsidR="005F3118" w:rsidRDefault="005F3118"/>
    <w:p w14:paraId="7A151DE3" w14:textId="77777777" w:rsidR="005F3118" w:rsidRDefault="005F3118"/>
    <w:p w14:paraId="078B04FF" w14:textId="77777777" w:rsidR="005F3118" w:rsidRDefault="005F3118"/>
    <w:p w14:paraId="14A5B8E0" w14:textId="77777777" w:rsidR="005F3118" w:rsidRDefault="005F3118"/>
    <w:p w14:paraId="311D9C74" w14:textId="77777777" w:rsidR="005F3118" w:rsidRDefault="005F3118"/>
    <w:p w14:paraId="407E2F53" w14:textId="77777777" w:rsidR="005F3118" w:rsidRDefault="005F3118"/>
    <w:p w14:paraId="12F26FD0" w14:textId="77777777" w:rsidR="005F3118" w:rsidRDefault="005F3118"/>
    <w:p w14:paraId="2E698D02" w14:textId="77777777" w:rsidR="005F3118" w:rsidRDefault="005F3118"/>
    <w:p w14:paraId="70D42E62" w14:textId="77777777" w:rsidR="005F3118" w:rsidRDefault="005F3118"/>
    <w:p w14:paraId="1D6F30D8" w14:textId="77777777" w:rsidR="005F3118" w:rsidRDefault="005F3118"/>
    <w:p w14:paraId="32AF9A97" w14:textId="77777777" w:rsidR="005F3118" w:rsidRDefault="005F3118"/>
    <w:p w14:paraId="0FF5D9D9" w14:textId="77777777" w:rsidR="005F3118" w:rsidRDefault="005F3118"/>
    <w:p w14:paraId="2054A9E9" w14:textId="77777777" w:rsidR="005F3118" w:rsidRDefault="005F3118"/>
    <w:p w14:paraId="078288C4" w14:textId="77777777" w:rsidR="005F3118" w:rsidRDefault="005F3118"/>
    <w:p w14:paraId="723FCB0E" w14:textId="77777777" w:rsidR="005F3118" w:rsidRDefault="005F3118"/>
    <w:p w14:paraId="6DA91B0F" w14:textId="5F0D7F36" w:rsidR="005F3118" w:rsidRPr="001E70DF" w:rsidRDefault="005F3118" w:rsidP="005F3118">
      <w:pPr>
        <w:spacing w:after="160" w:line="270" w:lineRule="atLeast"/>
        <w:rPr>
          <w:rFonts w:ascii="Arial" w:hAnsi="Arial" w:cs="Arial"/>
          <w:color w:val="000000"/>
        </w:rPr>
      </w:pPr>
      <w:r w:rsidRPr="001E70DF">
        <w:rPr>
          <w:rFonts w:ascii="Arial" w:hAnsi="Arial" w:cs="Arial"/>
          <w:color w:val="000000"/>
        </w:rPr>
        <w:t xml:space="preserve">This paper was prepared by the Department of Health, </w:t>
      </w:r>
      <w:r>
        <w:rPr>
          <w:rFonts w:ascii="Arial" w:hAnsi="Arial" w:cs="Arial"/>
          <w:color w:val="000000"/>
        </w:rPr>
        <w:t>Queensland</w:t>
      </w:r>
      <w:r w:rsidRPr="001E70DF">
        <w:rPr>
          <w:rFonts w:ascii="Arial" w:hAnsi="Arial" w:cs="Arial"/>
          <w:color w:val="000000"/>
        </w:rPr>
        <w:t xml:space="preserve">, on behalf of the Health </w:t>
      </w:r>
      <w:r>
        <w:rPr>
          <w:rFonts w:ascii="Arial" w:hAnsi="Arial" w:cs="Arial"/>
          <w:color w:val="000000"/>
        </w:rPr>
        <w:t>Chief Executives Forum for the Health Ministers’ Meeting</w:t>
      </w:r>
      <w:r w:rsidRPr="001E70DF">
        <w:rPr>
          <w:rFonts w:ascii="Arial" w:hAnsi="Arial" w:cs="Arial"/>
          <w:color w:val="000000"/>
        </w:rPr>
        <w:t>.</w:t>
      </w:r>
    </w:p>
    <w:p w14:paraId="0B7FF494" w14:textId="531C4286" w:rsidR="005F3118" w:rsidRPr="001E70DF" w:rsidRDefault="005F3118" w:rsidP="005F3118">
      <w:pPr>
        <w:spacing w:after="160" w:line="270" w:lineRule="atLeast"/>
        <w:rPr>
          <w:rFonts w:ascii="Arial" w:hAnsi="Arial" w:cs="Arial"/>
          <w:color w:val="000000"/>
        </w:rPr>
      </w:pPr>
      <w:r w:rsidRPr="001E70DF">
        <w:rPr>
          <w:rFonts w:ascii="Arial" w:hAnsi="Arial" w:cs="Arial"/>
          <w:color w:val="000000"/>
        </w:rPr>
        <w:t xml:space="preserve">© Australian Health Ministers’ </w:t>
      </w:r>
      <w:r>
        <w:rPr>
          <w:rFonts w:ascii="Arial" w:hAnsi="Arial" w:cs="Arial"/>
          <w:color w:val="000000"/>
        </w:rPr>
        <w:t>Meeting 202</w:t>
      </w:r>
      <w:r w:rsidR="0022127C">
        <w:rPr>
          <w:rFonts w:ascii="Arial" w:hAnsi="Arial" w:cs="Arial"/>
          <w:color w:val="000000"/>
        </w:rPr>
        <w:t>5</w:t>
      </w:r>
      <w:r>
        <w:rPr>
          <w:rFonts w:ascii="Arial" w:hAnsi="Arial" w:cs="Arial"/>
          <w:color w:val="000000"/>
        </w:rPr>
        <w:t>.</w:t>
      </w:r>
    </w:p>
    <w:p w14:paraId="46D69B6C" w14:textId="77777777" w:rsidR="005F3118" w:rsidRPr="001E70DF" w:rsidRDefault="005F3118" w:rsidP="005F3118">
      <w:pPr>
        <w:spacing w:after="160" w:line="270" w:lineRule="atLeast"/>
        <w:rPr>
          <w:rFonts w:ascii="Arial" w:hAnsi="Arial" w:cs="Arial"/>
          <w:color w:val="000000"/>
        </w:rPr>
        <w:sectPr w:rsidR="005F3118" w:rsidRPr="001E70D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134" w:bottom="1134" w:left="1134" w:header="510" w:footer="709" w:gutter="0"/>
          <w:cols w:space="708"/>
          <w:titlePg/>
          <w:docGrid w:linePitch="360"/>
        </w:sectPr>
      </w:pPr>
      <w:r w:rsidRPr="001E70DF">
        <w:rPr>
          <w:rFonts w:ascii="Arial" w:hAnsi="Arial" w:cs="Arial"/>
          <w:color w:val="000000"/>
        </w:rPr>
        <w:t xml:space="preserve">This publication is copyright, no part may be reproduced by any process except in accordance with the provisions of the </w:t>
      </w:r>
      <w:r w:rsidRPr="001E70DF">
        <w:rPr>
          <w:rFonts w:ascii="Arial" w:hAnsi="Arial" w:cs="Arial"/>
          <w:i/>
          <w:iCs/>
          <w:color w:val="000000"/>
        </w:rPr>
        <w:t>Copyright Act 1968</w:t>
      </w:r>
      <w:r w:rsidRPr="001E70DF">
        <w:rPr>
          <w:rFonts w:ascii="Arial" w:hAnsi="Arial" w:cs="Arial"/>
          <w:color w:val="000000"/>
        </w:rPr>
        <w:t>.</w:t>
      </w:r>
    </w:p>
    <w:p w14:paraId="6DC9B171" w14:textId="77777777" w:rsidR="005F3118" w:rsidRDefault="005F3118"/>
    <w:sdt>
      <w:sdtPr>
        <w:rPr>
          <w:rFonts w:ascii="Fira Sans" w:eastAsiaTheme="minorHAnsi" w:hAnsi="Fira Sans" w:cstheme="minorBidi"/>
          <w:color w:val="3A3E3E" w:themeColor="background2" w:themeShade="40"/>
          <w:spacing w:val="0"/>
          <w:kern w:val="0"/>
          <w:sz w:val="21"/>
          <w:szCs w:val="21"/>
          <w14:numSpacing w14:val="default"/>
        </w:rPr>
        <w:id w:val="1652867052"/>
        <w:docPartObj>
          <w:docPartGallery w:val="Table of Contents"/>
          <w:docPartUnique/>
        </w:docPartObj>
      </w:sdtPr>
      <w:sdtEndPr>
        <w:rPr>
          <w:b/>
          <w:bCs/>
          <w:noProof/>
        </w:rPr>
      </w:sdtEndPr>
      <w:sdtContent>
        <w:p w14:paraId="50509F16" w14:textId="2FC19A20" w:rsidR="005F3118" w:rsidRDefault="005F3118" w:rsidP="00901DF0">
          <w:pPr>
            <w:pStyle w:val="HeaderTitle"/>
          </w:pPr>
          <w:r>
            <w:t>Table of Contents</w:t>
          </w:r>
        </w:p>
        <w:p w14:paraId="68A6102D" w14:textId="595F8D21" w:rsidR="00A60D4B" w:rsidRDefault="005F3118">
          <w:pPr>
            <w:pStyle w:val="TOC1"/>
            <w:rPr>
              <w:rFonts w:asciiTheme="minorHAnsi" w:hAnsiTheme="minorHAnsi"/>
              <w:bCs w:val="0"/>
              <w:color w:val="auto"/>
              <w:kern w:val="2"/>
              <w:sz w:val="24"/>
              <w:szCs w:val="24"/>
              <w:u w:val="none"/>
              <w14:ligatures w14:val="standardContextual"/>
            </w:rPr>
          </w:pPr>
          <w:r>
            <w:fldChar w:fldCharType="begin"/>
          </w:r>
          <w:r>
            <w:instrText xml:space="preserve"> TOC \o "1-3" \h \z \u </w:instrText>
          </w:r>
          <w:r>
            <w:fldChar w:fldCharType="separate"/>
          </w:r>
          <w:hyperlink w:anchor="_Toc198138555" w:history="1">
            <w:r w:rsidR="00A60D4B" w:rsidRPr="007E7E46">
              <w:rPr>
                <w:rStyle w:val="Hyperlink"/>
              </w:rPr>
              <w:t>1</w:t>
            </w:r>
            <w:r w:rsidR="00A60D4B">
              <w:rPr>
                <w:rFonts w:asciiTheme="minorHAnsi" w:hAnsiTheme="minorHAnsi"/>
                <w:bCs w:val="0"/>
                <w:color w:val="auto"/>
                <w:kern w:val="2"/>
                <w:sz w:val="24"/>
                <w:szCs w:val="24"/>
                <w:u w:val="none"/>
                <w14:ligatures w14:val="standardContextual"/>
              </w:rPr>
              <w:tab/>
            </w:r>
            <w:r w:rsidR="00A60D4B" w:rsidRPr="007E7E46">
              <w:rPr>
                <w:rStyle w:val="Hyperlink"/>
              </w:rPr>
              <w:t>Introduction</w:t>
            </w:r>
            <w:r w:rsidR="00A60D4B">
              <w:rPr>
                <w:webHidden/>
              </w:rPr>
              <w:tab/>
            </w:r>
            <w:r w:rsidR="00A60D4B">
              <w:rPr>
                <w:webHidden/>
              </w:rPr>
              <w:fldChar w:fldCharType="begin"/>
            </w:r>
            <w:r w:rsidR="00A60D4B">
              <w:rPr>
                <w:webHidden/>
              </w:rPr>
              <w:instrText xml:space="preserve"> PAGEREF _Toc198138555 \h </w:instrText>
            </w:r>
            <w:r w:rsidR="00A60D4B">
              <w:rPr>
                <w:webHidden/>
              </w:rPr>
            </w:r>
            <w:r w:rsidR="00A60D4B">
              <w:rPr>
                <w:webHidden/>
              </w:rPr>
              <w:fldChar w:fldCharType="separate"/>
            </w:r>
            <w:r w:rsidR="00F32107">
              <w:rPr>
                <w:webHidden/>
              </w:rPr>
              <w:t>14</w:t>
            </w:r>
            <w:r w:rsidR="00A60D4B">
              <w:rPr>
                <w:webHidden/>
              </w:rPr>
              <w:fldChar w:fldCharType="end"/>
            </w:r>
          </w:hyperlink>
        </w:p>
        <w:p w14:paraId="45C76FE7" w14:textId="74F05A53" w:rsidR="00A60D4B" w:rsidRDefault="00AB1438">
          <w:pPr>
            <w:pStyle w:val="TOC2"/>
            <w:rPr>
              <w:rFonts w:asciiTheme="minorHAnsi" w:hAnsiTheme="minorHAnsi"/>
              <w:iCs w:val="0"/>
              <w:color w:val="auto"/>
              <w:kern w:val="2"/>
              <w:sz w:val="24"/>
              <w:szCs w:val="24"/>
              <w:lang w:val="en-AU"/>
              <w14:ligatures w14:val="standardContextual"/>
            </w:rPr>
          </w:pPr>
          <w:hyperlink w:anchor="_Toc198138556" w:history="1">
            <w:r w:rsidR="00A60D4B" w:rsidRPr="007E7E46">
              <w:rPr>
                <w:rStyle w:val="Hyperlink"/>
                <w:b/>
              </w:rPr>
              <w:t>1.1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Overview</w:t>
            </w:r>
            <w:r w:rsidR="00A60D4B">
              <w:rPr>
                <w:webHidden/>
              </w:rPr>
              <w:tab/>
            </w:r>
            <w:r w:rsidR="00A60D4B">
              <w:rPr>
                <w:webHidden/>
              </w:rPr>
              <w:fldChar w:fldCharType="begin"/>
            </w:r>
            <w:r w:rsidR="00A60D4B">
              <w:rPr>
                <w:webHidden/>
              </w:rPr>
              <w:instrText xml:space="preserve"> PAGEREF _Toc198138556 \h </w:instrText>
            </w:r>
            <w:r w:rsidR="00A60D4B">
              <w:rPr>
                <w:webHidden/>
              </w:rPr>
            </w:r>
            <w:r w:rsidR="00A60D4B">
              <w:rPr>
                <w:webHidden/>
              </w:rPr>
              <w:fldChar w:fldCharType="separate"/>
            </w:r>
            <w:r w:rsidR="00F32107">
              <w:rPr>
                <w:webHidden/>
              </w:rPr>
              <w:t>14</w:t>
            </w:r>
            <w:r w:rsidR="00A60D4B">
              <w:rPr>
                <w:webHidden/>
              </w:rPr>
              <w:fldChar w:fldCharType="end"/>
            </w:r>
          </w:hyperlink>
        </w:p>
        <w:p w14:paraId="0F1CDDCB" w14:textId="20692E1B" w:rsidR="00A60D4B" w:rsidRDefault="00AB1438">
          <w:pPr>
            <w:pStyle w:val="TOC2"/>
            <w:rPr>
              <w:rFonts w:asciiTheme="minorHAnsi" w:hAnsiTheme="minorHAnsi"/>
              <w:iCs w:val="0"/>
              <w:color w:val="auto"/>
              <w:kern w:val="2"/>
              <w:sz w:val="24"/>
              <w:szCs w:val="24"/>
              <w:lang w:val="en-AU"/>
              <w14:ligatures w14:val="standardContextual"/>
            </w:rPr>
          </w:pPr>
          <w:hyperlink w:anchor="_Toc198138557" w:history="1">
            <w:r w:rsidR="00A60D4B" w:rsidRPr="007E7E46">
              <w:rPr>
                <w:rStyle w:val="Hyperlink"/>
              </w:rPr>
              <w:t>1.2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Scope of this Decision RIS</w:t>
            </w:r>
            <w:r w:rsidR="00A60D4B">
              <w:rPr>
                <w:webHidden/>
              </w:rPr>
              <w:tab/>
            </w:r>
            <w:r w:rsidR="00A60D4B">
              <w:rPr>
                <w:webHidden/>
              </w:rPr>
              <w:fldChar w:fldCharType="begin"/>
            </w:r>
            <w:r w:rsidR="00A60D4B">
              <w:rPr>
                <w:webHidden/>
              </w:rPr>
              <w:instrText xml:space="preserve"> PAGEREF _Toc198138557 \h </w:instrText>
            </w:r>
            <w:r w:rsidR="00A60D4B">
              <w:rPr>
                <w:webHidden/>
              </w:rPr>
            </w:r>
            <w:r w:rsidR="00A60D4B">
              <w:rPr>
                <w:webHidden/>
              </w:rPr>
              <w:fldChar w:fldCharType="separate"/>
            </w:r>
            <w:r w:rsidR="00F32107">
              <w:rPr>
                <w:webHidden/>
              </w:rPr>
              <w:t>14</w:t>
            </w:r>
            <w:r w:rsidR="00A60D4B">
              <w:rPr>
                <w:webHidden/>
              </w:rPr>
              <w:fldChar w:fldCharType="end"/>
            </w:r>
          </w:hyperlink>
        </w:p>
        <w:p w14:paraId="6175654C" w14:textId="59069833" w:rsidR="00A60D4B" w:rsidRDefault="00AB1438">
          <w:pPr>
            <w:pStyle w:val="TOC3"/>
            <w:rPr>
              <w:rFonts w:asciiTheme="minorHAnsi" w:hAnsiTheme="minorHAnsi"/>
              <w:color w:val="auto"/>
              <w:kern w:val="2"/>
              <w:sz w:val="24"/>
              <w:szCs w:val="24"/>
              <w:lang w:val="en-AU"/>
              <w14:ligatures w14:val="standardContextual"/>
            </w:rPr>
          </w:pPr>
          <w:hyperlink w:anchor="_Toc198138558" w:history="1">
            <w:r w:rsidR="00A60D4B" w:rsidRPr="007E7E46">
              <w:rPr>
                <w:rStyle w:val="Hyperlink"/>
                <w:b/>
              </w:rPr>
              <w:t>1.2.1</w:t>
            </w:r>
            <w:r w:rsidR="00A60D4B">
              <w:rPr>
                <w:rFonts w:asciiTheme="minorHAnsi" w:hAnsiTheme="minorHAnsi"/>
                <w:color w:val="auto"/>
                <w:kern w:val="2"/>
                <w:sz w:val="24"/>
                <w:szCs w:val="24"/>
                <w:lang w:val="en-AU"/>
                <w14:ligatures w14:val="standardContextual"/>
              </w:rPr>
              <w:tab/>
            </w:r>
            <w:r w:rsidR="00A60D4B" w:rsidRPr="007E7E46">
              <w:rPr>
                <w:rStyle w:val="Hyperlink"/>
              </w:rPr>
              <w:t>Definition of audiology profession</w:t>
            </w:r>
            <w:r w:rsidR="00A60D4B">
              <w:rPr>
                <w:webHidden/>
              </w:rPr>
              <w:tab/>
            </w:r>
            <w:r w:rsidR="00A60D4B">
              <w:rPr>
                <w:webHidden/>
              </w:rPr>
              <w:fldChar w:fldCharType="begin"/>
            </w:r>
            <w:r w:rsidR="00A60D4B">
              <w:rPr>
                <w:webHidden/>
              </w:rPr>
              <w:instrText xml:space="preserve"> PAGEREF _Toc198138558 \h </w:instrText>
            </w:r>
            <w:r w:rsidR="00A60D4B">
              <w:rPr>
                <w:webHidden/>
              </w:rPr>
            </w:r>
            <w:r w:rsidR="00A60D4B">
              <w:rPr>
                <w:webHidden/>
              </w:rPr>
              <w:fldChar w:fldCharType="separate"/>
            </w:r>
            <w:r w:rsidR="00F32107">
              <w:rPr>
                <w:webHidden/>
              </w:rPr>
              <w:t>14</w:t>
            </w:r>
            <w:r w:rsidR="00A60D4B">
              <w:rPr>
                <w:webHidden/>
              </w:rPr>
              <w:fldChar w:fldCharType="end"/>
            </w:r>
          </w:hyperlink>
        </w:p>
        <w:p w14:paraId="6FBC096C" w14:textId="27D70F22" w:rsidR="00A60D4B" w:rsidRDefault="00AB1438">
          <w:pPr>
            <w:pStyle w:val="TOC3"/>
            <w:rPr>
              <w:rFonts w:asciiTheme="minorHAnsi" w:hAnsiTheme="minorHAnsi"/>
              <w:color w:val="auto"/>
              <w:kern w:val="2"/>
              <w:sz w:val="24"/>
              <w:szCs w:val="24"/>
              <w:lang w:val="en-AU"/>
              <w14:ligatures w14:val="standardContextual"/>
            </w:rPr>
          </w:pPr>
          <w:hyperlink w:anchor="_Toc198138559" w:history="1">
            <w:r w:rsidR="00A60D4B" w:rsidRPr="007E7E46">
              <w:rPr>
                <w:rStyle w:val="Hyperlink"/>
                <w:b/>
              </w:rPr>
              <w:t>1.2.2</w:t>
            </w:r>
            <w:r w:rsidR="00A60D4B">
              <w:rPr>
                <w:rFonts w:asciiTheme="minorHAnsi" w:hAnsiTheme="minorHAnsi"/>
                <w:color w:val="auto"/>
                <w:kern w:val="2"/>
                <w:sz w:val="24"/>
                <w:szCs w:val="24"/>
                <w:lang w:val="en-AU"/>
                <w14:ligatures w14:val="standardContextual"/>
              </w:rPr>
              <w:tab/>
            </w:r>
            <w:r w:rsidR="00A60D4B" w:rsidRPr="007E7E46">
              <w:rPr>
                <w:rStyle w:val="Hyperlink"/>
              </w:rPr>
              <w:t>Concurrent policy workstreams</w:t>
            </w:r>
            <w:r w:rsidR="00A60D4B">
              <w:rPr>
                <w:webHidden/>
              </w:rPr>
              <w:tab/>
            </w:r>
            <w:r w:rsidR="00A60D4B">
              <w:rPr>
                <w:webHidden/>
              </w:rPr>
              <w:fldChar w:fldCharType="begin"/>
            </w:r>
            <w:r w:rsidR="00A60D4B">
              <w:rPr>
                <w:webHidden/>
              </w:rPr>
              <w:instrText xml:space="preserve"> PAGEREF _Toc198138559 \h </w:instrText>
            </w:r>
            <w:r w:rsidR="00A60D4B">
              <w:rPr>
                <w:webHidden/>
              </w:rPr>
            </w:r>
            <w:r w:rsidR="00A60D4B">
              <w:rPr>
                <w:webHidden/>
              </w:rPr>
              <w:fldChar w:fldCharType="separate"/>
            </w:r>
            <w:r w:rsidR="00F32107">
              <w:rPr>
                <w:webHidden/>
              </w:rPr>
              <w:t>15</w:t>
            </w:r>
            <w:r w:rsidR="00A60D4B">
              <w:rPr>
                <w:webHidden/>
              </w:rPr>
              <w:fldChar w:fldCharType="end"/>
            </w:r>
          </w:hyperlink>
        </w:p>
        <w:p w14:paraId="1BC254E5" w14:textId="57E06C94" w:rsidR="00A60D4B" w:rsidRDefault="00AB1438">
          <w:pPr>
            <w:pStyle w:val="TOC2"/>
            <w:rPr>
              <w:rFonts w:asciiTheme="minorHAnsi" w:hAnsiTheme="minorHAnsi"/>
              <w:iCs w:val="0"/>
              <w:color w:val="auto"/>
              <w:kern w:val="2"/>
              <w:sz w:val="24"/>
              <w:szCs w:val="24"/>
              <w:lang w:val="en-AU"/>
              <w14:ligatures w14:val="standardContextual"/>
            </w:rPr>
          </w:pPr>
          <w:hyperlink w:anchor="_Toc198138560" w:history="1">
            <w:r w:rsidR="00A60D4B" w:rsidRPr="007E7E46">
              <w:rPr>
                <w:rStyle w:val="Hyperlink"/>
              </w:rPr>
              <w:t>1.3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Structure of this document</w:t>
            </w:r>
            <w:r w:rsidR="00A60D4B">
              <w:rPr>
                <w:webHidden/>
              </w:rPr>
              <w:tab/>
            </w:r>
            <w:r w:rsidR="00A60D4B">
              <w:rPr>
                <w:webHidden/>
              </w:rPr>
              <w:fldChar w:fldCharType="begin"/>
            </w:r>
            <w:r w:rsidR="00A60D4B">
              <w:rPr>
                <w:webHidden/>
              </w:rPr>
              <w:instrText xml:space="preserve"> PAGEREF _Toc198138560 \h </w:instrText>
            </w:r>
            <w:r w:rsidR="00A60D4B">
              <w:rPr>
                <w:webHidden/>
              </w:rPr>
            </w:r>
            <w:r w:rsidR="00A60D4B">
              <w:rPr>
                <w:webHidden/>
              </w:rPr>
              <w:fldChar w:fldCharType="separate"/>
            </w:r>
            <w:r w:rsidR="00F32107">
              <w:rPr>
                <w:webHidden/>
              </w:rPr>
              <w:t>17</w:t>
            </w:r>
            <w:r w:rsidR="00A60D4B">
              <w:rPr>
                <w:webHidden/>
              </w:rPr>
              <w:fldChar w:fldCharType="end"/>
            </w:r>
          </w:hyperlink>
        </w:p>
        <w:p w14:paraId="093F94F6" w14:textId="6D00ACA2" w:rsidR="00A60D4B" w:rsidRDefault="00AB1438">
          <w:pPr>
            <w:pStyle w:val="TOC1"/>
            <w:rPr>
              <w:rFonts w:asciiTheme="minorHAnsi" w:hAnsiTheme="minorHAnsi"/>
              <w:bCs w:val="0"/>
              <w:color w:val="auto"/>
              <w:kern w:val="2"/>
              <w:sz w:val="24"/>
              <w:szCs w:val="24"/>
              <w:u w:val="none"/>
              <w14:ligatures w14:val="standardContextual"/>
            </w:rPr>
          </w:pPr>
          <w:hyperlink w:anchor="_Toc198138561" w:history="1">
            <w:r w:rsidR="00A60D4B" w:rsidRPr="007E7E46">
              <w:rPr>
                <w:rStyle w:val="Hyperlink"/>
              </w:rPr>
              <w:t>2</w:t>
            </w:r>
            <w:r w:rsidR="00A60D4B">
              <w:rPr>
                <w:rFonts w:asciiTheme="minorHAnsi" w:hAnsiTheme="minorHAnsi"/>
                <w:bCs w:val="0"/>
                <w:color w:val="auto"/>
                <w:kern w:val="2"/>
                <w:sz w:val="24"/>
                <w:szCs w:val="24"/>
                <w:u w:val="none"/>
                <w14:ligatures w14:val="standardContextual"/>
              </w:rPr>
              <w:tab/>
            </w:r>
            <w:r w:rsidR="00A60D4B" w:rsidRPr="007E7E46">
              <w:rPr>
                <w:rStyle w:val="Hyperlink"/>
              </w:rPr>
              <w:t>The current state</w:t>
            </w:r>
            <w:r w:rsidR="00A60D4B">
              <w:rPr>
                <w:webHidden/>
              </w:rPr>
              <w:tab/>
            </w:r>
            <w:r w:rsidR="00A60D4B">
              <w:rPr>
                <w:webHidden/>
              </w:rPr>
              <w:fldChar w:fldCharType="begin"/>
            </w:r>
            <w:r w:rsidR="00A60D4B">
              <w:rPr>
                <w:webHidden/>
              </w:rPr>
              <w:instrText xml:space="preserve"> PAGEREF _Toc198138561 \h </w:instrText>
            </w:r>
            <w:r w:rsidR="00A60D4B">
              <w:rPr>
                <w:webHidden/>
              </w:rPr>
            </w:r>
            <w:r w:rsidR="00A60D4B">
              <w:rPr>
                <w:webHidden/>
              </w:rPr>
              <w:fldChar w:fldCharType="separate"/>
            </w:r>
            <w:r w:rsidR="00F32107">
              <w:rPr>
                <w:webHidden/>
              </w:rPr>
              <w:t>19</w:t>
            </w:r>
            <w:r w:rsidR="00A60D4B">
              <w:rPr>
                <w:webHidden/>
              </w:rPr>
              <w:fldChar w:fldCharType="end"/>
            </w:r>
          </w:hyperlink>
        </w:p>
        <w:p w14:paraId="67424495" w14:textId="647C51BC" w:rsidR="00A60D4B" w:rsidRDefault="00AB1438">
          <w:pPr>
            <w:pStyle w:val="TOC2"/>
            <w:rPr>
              <w:rFonts w:asciiTheme="minorHAnsi" w:hAnsiTheme="minorHAnsi"/>
              <w:iCs w:val="0"/>
              <w:color w:val="auto"/>
              <w:kern w:val="2"/>
              <w:sz w:val="24"/>
              <w:szCs w:val="24"/>
              <w:lang w:val="en-AU"/>
              <w14:ligatures w14:val="standardContextual"/>
            </w:rPr>
          </w:pPr>
          <w:hyperlink w:anchor="_Toc198138562" w:history="1">
            <w:r w:rsidR="00A60D4B" w:rsidRPr="007E7E46">
              <w:rPr>
                <w:rStyle w:val="Hyperlink"/>
              </w:rPr>
              <w:t>2.1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Overview of hearing loss, vestibular disorders and tinnitus</w:t>
            </w:r>
            <w:r w:rsidR="00A60D4B">
              <w:rPr>
                <w:webHidden/>
              </w:rPr>
              <w:tab/>
            </w:r>
            <w:r w:rsidR="00A60D4B">
              <w:rPr>
                <w:webHidden/>
              </w:rPr>
              <w:fldChar w:fldCharType="begin"/>
            </w:r>
            <w:r w:rsidR="00A60D4B">
              <w:rPr>
                <w:webHidden/>
              </w:rPr>
              <w:instrText xml:space="preserve"> PAGEREF _Toc198138562 \h </w:instrText>
            </w:r>
            <w:r w:rsidR="00A60D4B">
              <w:rPr>
                <w:webHidden/>
              </w:rPr>
            </w:r>
            <w:r w:rsidR="00A60D4B">
              <w:rPr>
                <w:webHidden/>
              </w:rPr>
              <w:fldChar w:fldCharType="separate"/>
            </w:r>
            <w:r w:rsidR="00F32107">
              <w:rPr>
                <w:webHidden/>
              </w:rPr>
              <w:t>20</w:t>
            </w:r>
            <w:r w:rsidR="00A60D4B">
              <w:rPr>
                <w:webHidden/>
              </w:rPr>
              <w:fldChar w:fldCharType="end"/>
            </w:r>
          </w:hyperlink>
        </w:p>
        <w:p w14:paraId="744DF034" w14:textId="311CBFA6" w:rsidR="00A60D4B" w:rsidRDefault="00AB1438">
          <w:pPr>
            <w:pStyle w:val="TOC3"/>
            <w:rPr>
              <w:rFonts w:asciiTheme="minorHAnsi" w:hAnsiTheme="minorHAnsi"/>
              <w:color w:val="auto"/>
              <w:kern w:val="2"/>
              <w:sz w:val="24"/>
              <w:szCs w:val="24"/>
              <w:lang w:val="en-AU"/>
              <w14:ligatures w14:val="standardContextual"/>
            </w:rPr>
          </w:pPr>
          <w:hyperlink w:anchor="_Toc198138563" w:history="1">
            <w:r w:rsidR="00A60D4B" w:rsidRPr="007E7E46">
              <w:rPr>
                <w:rStyle w:val="Hyperlink"/>
                <w:b/>
              </w:rPr>
              <w:t>2.1.1</w:t>
            </w:r>
            <w:r w:rsidR="00A60D4B">
              <w:rPr>
                <w:rFonts w:asciiTheme="minorHAnsi" w:hAnsiTheme="minorHAnsi"/>
                <w:color w:val="auto"/>
                <w:kern w:val="2"/>
                <w:sz w:val="24"/>
                <w:szCs w:val="24"/>
                <w:lang w:val="en-AU"/>
                <w14:ligatures w14:val="standardContextual"/>
              </w:rPr>
              <w:tab/>
            </w:r>
            <w:r w:rsidR="00A60D4B" w:rsidRPr="007E7E46">
              <w:rPr>
                <w:rStyle w:val="Hyperlink"/>
              </w:rPr>
              <w:t>Overview of hearing loss</w:t>
            </w:r>
            <w:r w:rsidR="00A60D4B">
              <w:rPr>
                <w:webHidden/>
              </w:rPr>
              <w:tab/>
            </w:r>
            <w:r w:rsidR="00A60D4B">
              <w:rPr>
                <w:webHidden/>
              </w:rPr>
              <w:fldChar w:fldCharType="begin"/>
            </w:r>
            <w:r w:rsidR="00A60D4B">
              <w:rPr>
                <w:webHidden/>
              </w:rPr>
              <w:instrText xml:space="preserve"> PAGEREF _Toc198138563 \h </w:instrText>
            </w:r>
            <w:r w:rsidR="00A60D4B">
              <w:rPr>
                <w:webHidden/>
              </w:rPr>
            </w:r>
            <w:r w:rsidR="00A60D4B">
              <w:rPr>
                <w:webHidden/>
              </w:rPr>
              <w:fldChar w:fldCharType="separate"/>
            </w:r>
            <w:r w:rsidR="00F32107">
              <w:rPr>
                <w:webHidden/>
              </w:rPr>
              <w:t>20</w:t>
            </w:r>
            <w:r w:rsidR="00A60D4B">
              <w:rPr>
                <w:webHidden/>
              </w:rPr>
              <w:fldChar w:fldCharType="end"/>
            </w:r>
          </w:hyperlink>
        </w:p>
        <w:p w14:paraId="6D04E031" w14:textId="592EDAAD" w:rsidR="00A60D4B" w:rsidRDefault="00AB1438">
          <w:pPr>
            <w:pStyle w:val="TOC3"/>
            <w:rPr>
              <w:rFonts w:asciiTheme="minorHAnsi" w:hAnsiTheme="minorHAnsi"/>
              <w:color w:val="auto"/>
              <w:kern w:val="2"/>
              <w:sz w:val="24"/>
              <w:szCs w:val="24"/>
              <w:lang w:val="en-AU"/>
              <w14:ligatures w14:val="standardContextual"/>
            </w:rPr>
          </w:pPr>
          <w:hyperlink w:anchor="_Toc198138564" w:history="1">
            <w:r w:rsidR="00A60D4B" w:rsidRPr="007E7E46">
              <w:rPr>
                <w:rStyle w:val="Hyperlink"/>
                <w:b/>
              </w:rPr>
              <w:t>2.1.2</w:t>
            </w:r>
            <w:r w:rsidR="00A60D4B">
              <w:rPr>
                <w:rFonts w:asciiTheme="minorHAnsi" w:hAnsiTheme="minorHAnsi"/>
                <w:color w:val="auto"/>
                <w:kern w:val="2"/>
                <w:sz w:val="24"/>
                <w:szCs w:val="24"/>
                <w:lang w:val="en-AU"/>
                <w14:ligatures w14:val="standardContextual"/>
              </w:rPr>
              <w:tab/>
            </w:r>
            <w:r w:rsidR="00A60D4B" w:rsidRPr="007E7E46">
              <w:rPr>
                <w:rStyle w:val="Hyperlink"/>
              </w:rPr>
              <w:t>Other ear health problems</w:t>
            </w:r>
            <w:r w:rsidR="00A60D4B">
              <w:rPr>
                <w:webHidden/>
              </w:rPr>
              <w:tab/>
            </w:r>
            <w:r w:rsidR="00A60D4B">
              <w:rPr>
                <w:webHidden/>
              </w:rPr>
              <w:fldChar w:fldCharType="begin"/>
            </w:r>
            <w:r w:rsidR="00A60D4B">
              <w:rPr>
                <w:webHidden/>
              </w:rPr>
              <w:instrText xml:space="preserve"> PAGEREF _Toc198138564 \h </w:instrText>
            </w:r>
            <w:r w:rsidR="00A60D4B">
              <w:rPr>
                <w:webHidden/>
              </w:rPr>
            </w:r>
            <w:r w:rsidR="00A60D4B">
              <w:rPr>
                <w:webHidden/>
              </w:rPr>
              <w:fldChar w:fldCharType="separate"/>
            </w:r>
            <w:r w:rsidR="00F32107">
              <w:rPr>
                <w:webHidden/>
              </w:rPr>
              <w:t>24</w:t>
            </w:r>
            <w:r w:rsidR="00A60D4B">
              <w:rPr>
                <w:webHidden/>
              </w:rPr>
              <w:fldChar w:fldCharType="end"/>
            </w:r>
          </w:hyperlink>
        </w:p>
        <w:p w14:paraId="6F19A7D1" w14:textId="7CC0E514" w:rsidR="00A60D4B" w:rsidRDefault="00AB1438">
          <w:pPr>
            <w:pStyle w:val="TOC2"/>
            <w:rPr>
              <w:rFonts w:asciiTheme="minorHAnsi" w:hAnsiTheme="minorHAnsi"/>
              <w:iCs w:val="0"/>
              <w:color w:val="auto"/>
              <w:kern w:val="2"/>
              <w:sz w:val="24"/>
              <w:szCs w:val="24"/>
              <w:lang w:val="en-AU"/>
              <w14:ligatures w14:val="standardContextual"/>
            </w:rPr>
          </w:pPr>
          <w:hyperlink w:anchor="_Toc198138565" w:history="1">
            <w:r w:rsidR="00A60D4B" w:rsidRPr="007E7E46">
              <w:rPr>
                <w:rStyle w:val="Hyperlink"/>
              </w:rPr>
              <w:t>2.2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Description of the audiology profession</w:t>
            </w:r>
            <w:r w:rsidR="00A60D4B">
              <w:rPr>
                <w:webHidden/>
              </w:rPr>
              <w:tab/>
            </w:r>
            <w:r w:rsidR="00A60D4B">
              <w:rPr>
                <w:webHidden/>
              </w:rPr>
              <w:fldChar w:fldCharType="begin"/>
            </w:r>
            <w:r w:rsidR="00A60D4B">
              <w:rPr>
                <w:webHidden/>
              </w:rPr>
              <w:instrText xml:space="preserve"> PAGEREF _Toc198138565 \h </w:instrText>
            </w:r>
            <w:r w:rsidR="00A60D4B">
              <w:rPr>
                <w:webHidden/>
              </w:rPr>
            </w:r>
            <w:r w:rsidR="00A60D4B">
              <w:rPr>
                <w:webHidden/>
              </w:rPr>
              <w:fldChar w:fldCharType="separate"/>
            </w:r>
            <w:r w:rsidR="00F32107">
              <w:rPr>
                <w:webHidden/>
              </w:rPr>
              <w:t>25</w:t>
            </w:r>
            <w:r w:rsidR="00A60D4B">
              <w:rPr>
                <w:webHidden/>
              </w:rPr>
              <w:fldChar w:fldCharType="end"/>
            </w:r>
          </w:hyperlink>
        </w:p>
        <w:p w14:paraId="4647EC0B" w14:textId="08A06E15" w:rsidR="00A60D4B" w:rsidRDefault="00AB1438">
          <w:pPr>
            <w:pStyle w:val="TOC3"/>
            <w:rPr>
              <w:rFonts w:asciiTheme="minorHAnsi" w:hAnsiTheme="minorHAnsi"/>
              <w:color w:val="auto"/>
              <w:kern w:val="2"/>
              <w:sz w:val="24"/>
              <w:szCs w:val="24"/>
              <w:lang w:val="en-AU"/>
              <w14:ligatures w14:val="standardContextual"/>
            </w:rPr>
          </w:pPr>
          <w:hyperlink w:anchor="_Toc198138566" w:history="1">
            <w:r w:rsidR="00A60D4B" w:rsidRPr="007E7E46">
              <w:rPr>
                <w:rStyle w:val="Hyperlink"/>
                <w:b/>
              </w:rPr>
              <w:t>2.2.1</w:t>
            </w:r>
            <w:r w:rsidR="00A60D4B">
              <w:rPr>
                <w:rFonts w:asciiTheme="minorHAnsi" w:hAnsiTheme="minorHAnsi"/>
                <w:color w:val="auto"/>
                <w:kern w:val="2"/>
                <w:sz w:val="24"/>
                <w:szCs w:val="24"/>
                <w:lang w:val="en-AU"/>
                <w14:ligatures w14:val="standardContextual"/>
              </w:rPr>
              <w:tab/>
            </w:r>
            <w:r w:rsidR="00A60D4B" w:rsidRPr="007E7E46">
              <w:rPr>
                <w:rStyle w:val="Hyperlink"/>
              </w:rPr>
              <w:t>Role of an Audiologist</w:t>
            </w:r>
            <w:r w:rsidR="00A60D4B">
              <w:rPr>
                <w:webHidden/>
              </w:rPr>
              <w:tab/>
            </w:r>
            <w:r w:rsidR="00A60D4B">
              <w:rPr>
                <w:webHidden/>
              </w:rPr>
              <w:fldChar w:fldCharType="begin"/>
            </w:r>
            <w:r w:rsidR="00A60D4B">
              <w:rPr>
                <w:webHidden/>
              </w:rPr>
              <w:instrText xml:space="preserve"> PAGEREF _Toc198138566 \h </w:instrText>
            </w:r>
            <w:r w:rsidR="00A60D4B">
              <w:rPr>
                <w:webHidden/>
              </w:rPr>
            </w:r>
            <w:r w:rsidR="00A60D4B">
              <w:rPr>
                <w:webHidden/>
              </w:rPr>
              <w:fldChar w:fldCharType="separate"/>
            </w:r>
            <w:r w:rsidR="00F32107">
              <w:rPr>
                <w:webHidden/>
              </w:rPr>
              <w:t>25</w:t>
            </w:r>
            <w:r w:rsidR="00A60D4B">
              <w:rPr>
                <w:webHidden/>
              </w:rPr>
              <w:fldChar w:fldCharType="end"/>
            </w:r>
          </w:hyperlink>
        </w:p>
        <w:p w14:paraId="50374A38" w14:textId="160C4FC4" w:rsidR="00A60D4B" w:rsidRDefault="00AB1438">
          <w:pPr>
            <w:pStyle w:val="TOC3"/>
            <w:rPr>
              <w:rFonts w:asciiTheme="minorHAnsi" w:hAnsiTheme="minorHAnsi"/>
              <w:color w:val="auto"/>
              <w:kern w:val="2"/>
              <w:sz w:val="24"/>
              <w:szCs w:val="24"/>
              <w:lang w:val="en-AU"/>
              <w14:ligatures w14:val="standardContextual"/>
            </w:rPr>
          </w:pPr>
          <w:hyperlink w:anchor="_Toc198138567" w:history="1">
            <w:r w:rsidR="00A60D4B" w:rsidRPr="007E7E46">
              <w:rPr>
                <w:rStyle w:val="Hyperlink"/>
                <w:b/>
              </w:rPr>
              <w:t>2.2.2</w:t>
            </w:r>
            <w:r w:rsidR="00A60D4B">
              <w:rPr>
                <w:rFonts w:asciiTheme="minorHAnsi" w:hAnsiTheme="minorHAnsi"/>
                <w:color w:val="auto"/>
                <w:kern w:val="2"/>
                <w:sz w:val="24"/>
                <w:szCs w:val="24"/>
                <w:lang w:val="en-AU"/>
                <w14:ligatures w14:val="standardContextual"/>
              </w:rPr>
              <w:tab/>
            </w:r>
            <w:r w:rsidR="00A60D4B" w:rsidRPr="007E7E46">
              <w:rPr>
                <w:rStyle w:val="Hyperlink"/>
              </w:rPr>
              <w:t>Practitioner Professional Bodies (PPBs)</w:t>
            </w:r>
            <w:r w:rsidR="00A60D4B">
              <w:rPr>
                <w:webHidden/>
              </w:rPr>
              <w:tab/>
            </w:r>
            <w:r w:rsidR="00A60D4B">
              <w:rPr>
                <w:webHidden/>
              </w:rPr>
              <w:fldChar w:fldCharType="begin"/>
            </w:r>
            <w:r w:rsidR="00A60D4B">
              <w:rPr>
                <w:webHidden/>
              </w:rPr>
              <w:instrText xml:space="preserve"> PAGEREF _Toc198138567 \h </w:instrText>
            </w:r>
            <w:r w:rsidR="00A60D4B">
              <w:rPr>
                <w:webHidden/>
              </w:rPr>
            </w:r>
            <w:r w:rsidR="00A60D4B">
              <w:rPr>
                <w:webHidden/>
              </w:rPr>
              <w:fldChar w:fldCharType="separate"/>
            </w:r>
            <w:r w:rsidR="00F32107">
              <w:rPr>
                <w:webHidden/>
              </w:rPr>
              <w:t>26</w:t>
            </w:r>
            <w:r w:rsidR="00A60D4B">
              <w:rPr>
                <w:webHidden/>
              </w:rPr>
              <w:fldChar w:fldCharType="end"/>
            </w:r>
          </w:hyperlink>
        </w:p>
        <w:p w14:paraId="74273995" w14:textId="0E01A26E" w:rsidR="00A60D4B" w:rsidRDefault="00AB1438">
          <w:pPr>
            <w:pStyle w:val="TOC3"/>
            <w:rPr>
              <w:rFonts w:asciiTheme="minorHAnsi" w:hAnsiTheme="minorHAnsi"/>
              <w:color w:val="auto"/>
              <w:kern w:val="2"/>
              <w:sz w:val="24"/>
              <w:szCs w:val="24"/>
              <w:lang w:val="en-AU"/>
              <w14:ligatures w14:val="standardContextual"/>
            </w:rPr>
          </w:pPr>
          <w:hyperlink w:anchor="_Toc198138568" w:history="1">
            <w:r w:rsidR="00A60D4B" w:rsidRPr="007E7E46">
              <w:rPr>
                <w:rStyle w:val="Hyperlink"/>
                <w:b/>
              </w:rPr>
              <w:t>2.2.3</w:t>
            </w:r>
            <w:r w:rsidR="00A60D4B">
              <w:rPr>
                <w:rFonts w:asciiTheme="minorHAnsi" w:hAnsiTheme="minorHAnsi"/>
                <w:color w:val="auto"/>
                <w:kern w:val="2"/>
                <w:sz w:val="24"/>
                <w:szCs w:val="24"/>
                <w:lang w:val="en-AU"/>
                <w14:ligatures w14:val="standardContextual"/>
              </w:rPr>
              <w:tab/>
            </w:r>
            <w:r w:rsidR="00A60D4B" w:rsidRPr="007E7E46">
              <w:rPr>
                <w:rStyle w:val="Hyperlink"/>
              </w:rPr>
              <w:t>Audiology workforce size</w:t>
            </w:r>
            <w:r w:rsidR="00A60D4B">
              <w:rPr>
                <w:webHidden/>
              </w:rPr>
              <w:tab/>
            </w:r>
            <w:r w:rsidR="00A60D4B">
              <w:rPr>
                <w:webHidden/>
              </w:rPr>
              <w:fldChar w:fldCharType="begin"/>
            </w:r>
            <w:r w:rsidR="00A60D4B">
              <w:rPr>
                <w:webHidden/>
              </w:rPr>
              <w:instrText xml:space="preserve"> PAGEREF _Toc198138568 \h </w:instrText>
            </w:r>
            <w:r w:rsidR="00A60D4B">
              <w:rPr>
                <w:webHidden/>
              </w:rPr>
            </w:r>
            <w:r w:rsidR="00A60D4B">
              <w:rPr>
                <w:webHidden/>
              </w:rPr>
              <w:fldChar w:fldCharType="separate"/>
            </w:r>
            <w:r w:rsidR="00F32107">
              <w:rPr>
                <w:webHidden/>
              </w:rPr>
              <w:t>27</w:t>
            </w:r>
            <w:r w:rsidR="00A60D4B">
              <w:rPr>
                <w:webHidden/>
              </w:rPr>
              <w:fldChar w:fldCharType="end"/>
            </w:r>
          </w:hyperlink>
        </w:p>
        <w:p w14:paraId="1FD8F0E8" w14:textId="5DEF8433" w:rsidR="00A60D4B" w:rsidRDefault="00AB1438">
          <w:pPr>
            <w:pStyle w:val="TOC3"/>
            <w:rPr>
              <w:rFonts w:asciiTheme="minorHAnsi" w:hAnsiTheme="minorHAnsi"/>
              <w:color w:val="auto"/>
              <w:kern w:val="2"/>
              <w:sz w:val="24"/>
              <w:szCs w:val="24"/>
              <w:lang w:val="en-AU"/>
              <w14:ligatures w14:val="standardContextual"/>
            </w:rPr>
          </w:pPr>
          <w:hyperlink w:anchor="_Toc198138569" w:history="1">
            <w:r w:rsidR="00A60D4B" w:rsidRPr="007E7E46">
              <w:rPr>
                <w:rStyle w:val="Hyperlink"/>
                <w:b/>
              </w:rPr>
              <w:t>2.2.4</w:t>
            </w:r>
            <w:r w:rsidR="00A60D4B">
              <w:rPr>
                <w:rFonts w:asciiTheme="minorHAnsi" w:hAnsiTheme="minorHAnsi"/>
                <w:color w:val="auto"/>
                <w:kern w:val="2"/>
                <w:sz w:val="24"/>
                <w:szCs w:val="24"/>
                <w:lang w:val="en-AU"/>
                <w14:ligatures w14:val="standardContextual"/>
              </w:rPr>
              <w:tab/>
            </w:r>
            <w:r w:rsidR="00A60D4B" w:rsidRPr="007E7E46">
              <w:rPr>
                <w:rStyle w:val="Hyperlink"/>
              </w:rPr>
              <w:t>Audiology workforce demographics and location</w:t>
            </w:r>
            <w:r w:rsidR="00A60D4B">
              <w:rPr>
                <w:webHidden/>
              </w:rPr>
              <w:tab/>
            </w:r>
            <w:r w:rsidR="00A60D4B">
              <w:rPr>
                <w:webHidden/>
              </w:rPr>
              <w:fldChar w:fldCharType="begin"/>
            </w:r>
            <w:r w:rsidR="00A60D4B">
              <w:rPr>
                <w:webHidden/>
              </w:rPr>
              <w:instrText xml:space="preserve"> PAGEREF _Toc198138569 \h </w:instrText>
            </w:r>
            <w:r w:rsidR="00A60D4B">
              <w:rPr>
                <w:webHidden/>
              </w:rPr>
            </w:r>
            <w:r w:rsidR="00A60D4B">
              <w:rPr>
                <w:webHidden/>
              </w:rPr>
              <w:fldChar w:fldCharType="separate"/>
            </w:r>
            <w:r w:rsidR="00F32107">
              <w:rPr>
                <w:webHidden/>
              </w:rPr>
              <w:t>29</w:t>
            </w:r>
            <w:r w:rsidR="00A60D4B">
              <w:rPr>
                <w:webHidden/>
              </w:rPr>
              <w:fldChar w:fldCharType="end"/>
            </w:r>
          </w:hyperlink>
        </w:p>
        <w:p w14:paraId="609EBDC9" w14:textId="103BB55F" w:rsidR="00A60D4B" w:rsidRDefault="00AB1438">
          <w:pPr>
            <w:pStyle w:val="TOC2"/>
            <w:rPr>
              <w:rFonts w:asciiTheme="minorHAnsi" w:hAnsiTheme="minorHAnsi"/>
              <w:iCs w:val="0"/>
              <w:color w:val="auto"/>
              <w:kern w:val="2"/>
              <w:sz w:val="24"/>
              <w:szCs w:val="24"/>
              <w:lang w:val="en-AU"/>
              <w14:ligatures w14:val="standardContextual"/>
            </w:rPr>
          </w:pPr>
          <w:hyperlink w:anchor="_Toc198138570" w:history="1">
            <w:r w:rsidR="00A60D4B" w:rsidRPr="007E7E46">
              <w:rPr>
                <w:rStyle w:val="Hyperlink"/>
              </w:rPr>
              <w:t>2.3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Education and training</w:t>
            </w:r>
            <w:r w:rsidR="00A60D4B">
              <w:rPr>
                <w:webHidden/>
              </w:rPr>
              <w:tab/>
            </w:r>
            <w:r w:rsidR="00A60D4B">
              <w:rPr>
                <w:webHidden/>
              </w:rPr>
              <w:fldChar w:fldCharType="begin"/>
            </w:r>
            <w:r w:rsidR="00A60D4B">
              <w:rPr>
                <w:webHidden/>
              </w:rPr>
              <w:instrText xml:space="preserve"> PAGEREF _Toc198138570 \h </w:instrText>
            </w:r>
            <w:r w:rsidR="00A60D4B">
              <w:rPr>
                <w:webHidden/>
              </w:rPr>
            </w:r>
            <w:r w:rsidR="00A60D4B">
              <w:rPr>
                <w:webHidden/>
              </w:rPr>
              <w:fldChar w:fldCharType="separate"/>
            </w:r>
            <w:r w:rsidR="00F32107">
              <w:rPr>
                <w:webHidden/>
              </w:rPr>
              <w:t>29</w:t>
            </w:r>
            <w:r w:rsidR="00A60D4B">
              <w:rPr>
                <w:webHidden/>
              </w:rPr>
              <w:fldChar w:fldCharType="end"/>
            </w:r>
          </w:hyperlink>
        </w:p>
        <w:p w14:paraId="44E3A920" w14:textId="5402D40B" w:rsidR="00A60D4B" w:rsidRDefault="00AB1438">
          <w:pPr>
            <w:pStyle w:val="TOC3"/>
            <w:rPr>
              <w:rFonts w:asciiTheme="minorHAnsi" w:hAnsiTheme="minorHAnsi"/>
              <w:color w:val="auto"/>
              <w:kern w:val="2"/>
              <w:sz w:val="24"/>
              <w:szCs w:val="24"/>
              <w:lang w:val="en-AU"/>
              <w14:ligatures w14:val="standardContextual"/>
            </w:rPr>
          </w:pPr>
          <w:hyperlink w:anchor="_Toc198138571" w:history="1">
            <w:r w:rsidR="00A60D4B" w:rsidRPr="007E7E46">
              <w:rPr>
                <w:rStyle w:val="Hyperlink"/>
                <w:b/>
              </w:rPr>
              <w:t>2.3.1</w:t>
            </w:r>
            <w:r w:rsidR="00A60D4B">
              <w:rPr>
                <w:rFonts w:asciiTheme="minorHAnsi" w:hAnsiTheme="minorHAnsi"/>
                <w:color w:val="auto"/>
                <w:kern w:val="2"/>
                <w:sz w:val="24"/>
                <w:szCs w:val="24"/>
                <w:lang w:val="en-AU"/>
                <w14:ligatures w14:val="standardContextual"/>
              </w:rPr>
              <w:tab/>
            </w:r>
            <w:r w:rsidR="00A60D4B" w:rsidRPr="007E7E46">
              <w:rPr>
                <w:rStyle w:val="Hyperlink"/>
              </w:rPr>
              <w:t>University education</w:t>
            </w:r>
            <w:r w:rsidR="00A60D4B">
              <w:rPr>
                <w:webHidden/>
              </w:rPr>
              <w:tab/>
            </w:r>
            <w:r w:rsidR="00A60D4B">
              <w:rPr>
                <w:webHidden/>
              </w:rPr>
              <w:fldChar w:fldCharType="begin"/>
            </w:r>
            <w:r w:rsidR="00A60D4B">
              <w:rPr>
                <w:webHidden/>
              </w:rPr>
              <w:instrText xml:space="preserve"> PAGEREF _Toc198138571 \h </w:instrText>
            </w:r>
            <w:r w:rsidR="00A60D4B">
              <w:rPr>
                <w:webHidden/>
              </w:rPr>
            </w:r>
            <w:r w:rsidR="00A60D4B">
              <w:rPr>
                <w:webHidden/>
              </w:rPr>
              <w:fldChar w:fldCharType="separate"/>
            </w:r>
            <w:r w:rsidR="00F32107">
              <w:rPr>
                <w:webHidden/>
              </w:rPr>
              <w:t>30</w:t>
            </w:r>
            <w:r w:rsidR="00A60D4B">
              <w:rPr>
                <w:webHidden/>
              </w:rPr>
              <w:fldChar w:fldCharType="end"/>
            </w:r>
          </w:hyperlink>
        </w:p>
        <w:p w14:paraId="6CDC1A0C" w14:textId="518B5D72" w:rsidR="00A60D4B" w:rsidRDefault="00AB1438">
          <w:pPr>
            <w:pStyle w:val="TOC3"/>
            <w:rPr>
              <w:rFonts w:asciiTheme="minorHAnsi" w:hAnsiTheme="minorHAnsi"/>
              <w:color w:val="auto"/>
              <w:kern w:val="2"/>
              <w:sz w:val="24"/>
              <w:szCs w:val="24"/>
              <w:lang w:val="en-AU"/>
              <w14:ligatures w14:val="standardContextual"/>
            </w:rPr>
          </w:pPr>
          <w:hyperlink w:anchor="_Toc198138572" w:history="1">
            <w:r w:rsidR="00A60D4B" w:rsidRPr="007E7E46">
              <w:rPr>
                <w:rStyle w:val="Hyperlink"/>
                <w:b/>
              </w:rPr>
              <w:t>2.3.2</w:t>
            </w:r>
            <w:r w:rsidR="00A60D4B">
              <w:rPr>
                <w:rFonts w:asciiTheme="minorHAnsi" w:hAnsiTheme="minorHAnsi"/>
                <w:color w:val="auto"/>
                <w:kern w:val="2"/>
                <w:sz w:val="24"/>
                <w:szCs w:val="24"/>
                <w:lang w:val="en-AU"/>
                <w14:ligatures w14:val="standardContextual"/>
              </w:rPr>
              <w:tab/>
            </w:r>
            <w:r w:rsidR="00A60D4B" w:rsidRPr="007E7E46">
              <w:rPr>
                <w:rStyle w:val="Hyperlink"/>
              </w:rPr>
              <w:t>Clinical internship</w:t>
            </w:r>
            <w:r w:rsidR="00A60D4B">
              <w:rPr>
                <w:webHidden/>
              </w:rPr>
              <w:tab/>
            </w:r>
            <w:r w:rsidR="00A60D4B">
              <w:rPr>
                <w:webHidden/>
              </w:rPr>
              <w:fldChar w:fldCharType="begin"/>
            </w:r>
            <w:r w:rsidR="00A60D4B">
              <w:rPr>
                <w:webHidden/>
              </w:rPr>
              <w:instrText xml:space="preserve"> PAGEREF _Toc198138572 \h </w:instrText>
            </w:r>
            <w:r w:rsidR="00A60D4B">
              <w:rPr>
                <w:webHidden/>
              </w:rPr>
            </w:r>
            <w:r w:rsidR="00A60D4B">
              <w:rPr>
                <w:webHidden/>
              </w:rPr>
              <w:fldChar w:fldCharType="separate"/>
            </w:r>
            <w:r w:rsidR="00F32107">
              <w:rPr>
                <w:webHidden/>
              </w:rPr>
              <w:t>31</w:t>
            </w:r>
            <w:r w:rsidR="00A60D4B">
              <w:rPr>
                <w:webHidden/>
              </w:rPr>
              <w:fldChar w:fldCharType="end"/>
            </w:r>
          </w:hyperlink>
        </w:p>
        <w:p w14:paraId="52E02E00" w14:textId="33182C33" w:rsidR="00A60D4B" w:rsidRDefault="00AB1438">
          <w:pPr>
            <w:pStyle w:val="TOC3"/>
            <w:rPr>
              <w:rFonts w:asciiTheme="minorHAnsi" w:hAnsiTheme="minorHAnsi"/>
              <w:color w:val="auto"/>
              <w:kern w:val="2"/>
              <w:sz w:val="24"/>
              <w:szCs w:val="24"/>
              <w:lang w:val="en-AU"/>
              <w14:ligatures w14:val="standardContextual"/>
            </w:rPr>
          </w:pPr>
          <w:hyperlink w:anchor="_Toc198138573" w:history="1">
            <w:r w:rsidR="00A60D4B" w:rsidRPr="007E7E46">
              <w:rPr>
                <w:rStyle w:val="Hyperlink"/>
                <w:b/>
              </w:rPr>
              <w:t>2.3.3</w:t>
            </w:r>
            <w:r w:rsidR="00A60D4B">
              <w:rPr>
                <w:rFonts w:asciiTheme="minorHAnsi" w:hAnsiTheme="minorHAnsi"/>
                <w:color w:val="auto"/>
                <w:kern w:val="2"/>
                <w:sz w:val="24"/>
                <w:szCs w:val="24"/>
                <w:lang w:val="en-AU"/>
                <w14:ligatures w14:val="standardContextual"/>
              </w:rPr>
              <w:tab/>
            </w:r>
            <w:r w:rsidR="00A60D4B" w:rsidRPr="007E7E46">
              <w:rPr>
                <w:rStyle w:val="Hyperlink"/>
              </w:rPr>
              <w:t>Ongoing continual professional development and recency of practice</w:t>
            </w:r>
            <w:r w:rsidR="00A60D4B">
              <w:rPr>
                <w:webHidden/>
              </w:rPr>
              <w:tab/>
            </w:r>
            <w:r w:rsidR="00A60D4B">
              <w:rPr>
                <w:webHidden/>
              </w:rPr>
              <w:fldChar w:fldCharType="begin"/>
            </w:r>
            <w:r w:rsidR="00A60D4B">
              <w:rPr>
                <w:webHidden/>
              </w:rPr>
              <w:instrText xml:space="preserve"> PAGEREF _Toc198138573 \h </w:instrText>
            </w:r>
            <w:r w:rsidR="00A60D4B">
              <w:rPr>
                <w:webHidden/>
              </w:rPr>
            </w:r>
            <w:r w:rsidR="00A60D4B">
              <w:rPr>
                <w:webHidden/>
              </w:rPr>
              <w:fldChar w:fldCharType="separate"/>
            </w:r>
            <w:r w:rsidR="00F32107">
              <w:rPr>
                <w:webHidden/>
              </w:rPr>
              <w:t>34</w:t>
            </w:r>
            <w:r w:rsidR="00A60D4B">
              <w:rPr>
                <w:webHidden/>
              </w:rPr>
              <w:fldChar w:fldCharType="end"/>
            </w:r>
          </w:hyperlink>
        </w:p>
        <w:p w14:paraId="7D51A8B6" w14:textId="471EB52A" w:rsidR="00A60D4B" w:rsidRDefault="00AB1438">
          <w:pPr>
            <w:pStyle w:val="TOC2"/>
            <w:rPr>
              <w:rFonts w:asciiTheme="minorHAnsi" w:hAnsiTheme="minorHAnsi"/>
              <w:iCs w:val="0"/>
              <w:color w:val="auto"/>
              <w:kern w:val="2"/>
              <w:sz w:val="24"/>
              <w:szCs w:val="24"/>
              <w:lang w:val="en-AU"/>
              <w14:ligatures w14:val="standardContextual"/>
            </w:rPr>
          </w:pPr>
          <w:hyperlink w:anchor="_Toc198138574" w:history="1">
            <w:r w:rsidR="00A60D4B" w:rsidRPr="007E7E46">
              <w:rPr>
                <w:rStyle w:val="Hyperlink"/>
              </w:rPr>
              <w:t>2.4</w:t>
            </w:r>
            <w:r w:rsidR="00A60D4B">
              <w:rPr>
                <w:rFonts w:asciiTheme="minorHAnsi" w:hAnsiTheme="minorHAnsi"/>
                <w:iCs w:val="0"/>
                <w:color w:val="auto"/>
                <w:kern w:val="2"/>
                <w:sz w:val="24"/>
                <w:szCs w:val="24"/>
                <w:lang w:val="en-AU"/>
                <w14:ligatures w14:val="standardContextual"/>
              </w:rPr>
              <w:tab/>
            </w:r>
            <w:r w:rsidR="00A60D4B" w:rsidRPr="007E7E46">
              <w:rPr>
                <w:rStyle w:val="Hyperlink"/>
              </w:rPr>
              <w:t>Regulatory arrangements for audiologists in Australia</w:t>
            </w:r>
            <w:r w:rsidR="00A60D4B">
              <w:rPr>
                <w:webHidden/>
              </w:rPr>
              <w:tab/>
            </w:r>
            <w:r w:rsidR="00A60D4B">
              <w:rPr>
                <w:webHidden/>
              </w:rPr>
              <w:fldChar w:fldCharType="begin"/>
            </w:r>
            <w:r w:rsidR="00A60D4B">
              <w:rPr>
                <w:webHidden/>
              </w:rPr>
              <w:instrText xml:space="preserve"> PAGEREF _Toc198138574 \h </w:instrText>
            </w:r>
            <w:r w:rsidR="00A60D4B">
              <w:rPr>
                <w:webHidden/>
              </w:rPr>
            </w:r>
            <w:r w:rsidR="00A60D4B">
              <w:rPr>
                <w:webHidden/>
              </w:rPr>
              <w:fldChar w:fldCharType="separate"/>
            </w:r>
            <w:r w:rsidR="00F32107">
              <w:rPr>
                <w:webHidden/>
              </w:rPr>
              <w:t>35</w:t>
            </w:r>
            <w:r w:rsidR="00A60D4B">
              <w:rPr>
                <w:webHidden/>
              </w:rPr>
              <w:fldChar w:fldCharType="end"/>
            </w:r>
          </w:hyperlink>
        </w:p>
        <w:p w14:paraId="40C251D7" w14:textId="56F256BC" w:rsidR="00A60D4B" w:rsidRDefault="00AB1438">
          <w:pPr>
            <w:pStyle w:val="TOC3"/>
            <w:rPr>
              <w:rFonts w:asciiTheme="minorHAnsi" w:hAnsiTheme="minorHAnsi"/>
              <w:color w:val="auto"/>
              <w:kern w:val="2"/>
              <w:sz w:val="24"/>
              <w:szCs w:val="24"/>
              <w:lang w:val="en-AU"/>
              <w14:ligatures w14:val="standardContextual"/>
            </w:rPr>
          </w:pPr>
          <w:hyperlink w:anchor="_Toc198138575" w:history="1">
            <w:r w:rsidR="00A60D4B" w:rsidRPr="007E7E46">
              <w:rPr>
                <w:rStyle w:val="Hyperlink"/>
                <w:b/>
              </w:rPr>
              <w:t>2.4.1</w:t>
            </w:r>
            <w:r w:rsidR="00A60D4B">
              <w:rPr>
                <w:rFonts w:asciiTheme="minorHAnsi" w:hAnsiTheme="minorHAnsi"/>
                <w:color w:val="auto"/>
                <w:kern w:val="2"/>
                <w:sz w:val="24"/>
                <w:szCs w:val="24"/>
                <w:lang w:val="en-AU"/>
                <w14:ligatures w14:val="standardContextual"/>
              </w:rPr>
              <w:tab/>
            </w:r>
            <w:r w:rsidR="00A60D4B" w:rsidRPr="007E7E46">
              <w:rPr>
                <w:rStyle w:val="Hyperlink"/>
              </w:rPr>
              <w:t>Self-regulation of audiology</w:t>
            </w:r>
            <w:r w:rsidR="00A60D4B">
              <w:rPr>
                <w:webHidden/>
              </w:rPr>
              <w:tab/>
            </w:r>
            <w:r w:rsidR="00A60D4B">
              <w:rPr>
                <w:webHidden/>
              </w:rPr>
              <w:fldChar w:fldCharType="begin"/>
            </w:r>
            <w:r w:rsidR="00A60D4B">
              <w:rPr>
                <w:webHidden/>
              </w:rPr>
              <w:instrText xml:space="preserve"> PAGEREF _Toc198138575 \h </w:instrText>
            </w:r>
            <w:r w:rsidR="00A60D4B">
              <w:rPr>
                <w:webHidden/>
              </w:rPr>
            </w:r>
            <w:r w:rsidR="00A60D4B">
              <w:rPr>
                <w:webHidden/>
              </w:rPr>
              <w:fldChar w:fldCharType="separate"/>
            </w:r>
            <w:r w:rsidR="00F32107">
              <w:rPr>
                <w:webHidden/>
              </w:rPr>
              <w:t>35</w:t>
            </w:r>
            <w:r w:rsidR="00A60D4B">
              <w:rPr>
                <w:webHidden/>
              </w:rPr>
              <w:fldChar w:fldCharType="end"/>
            </w:r>
          </w:hyperlink>
        </w:p>
        <w:p w14:paraId="79CA8B87" w14:textId="6983BC4B" w:rsidR="00A60D4B" w:rsidRDefault="00AB1438">
          <w:pPr>
            <w:pStyle w:val="TOC3"/>
            <w:rPr>
              <w:rFonts w:asciiTheme="minorHAnsi" w:hAnsiTheme="minorHAnsi"/>
              <w:color w:val="auto"/>
              <w:kern w:val="2"/>
              <w:sz w:val="24"/>
              <w:szCs w:val="24"/>
              <w:lang w:val="en-AU"/>
              <w14:ligatures w14:val="standardContextual"/>
            </w:rPr>
          </w:pPr>
          <w:hyperlink w:anchor="_Toc198138576" w:history="1">
            <w:r w:rsidR="00A60D4B" w:rsidRPr="007E7E46">
              <w:rPr>
                <w:rStyle w:val="Hyperlink"/>
                <w:b/>
              </w:rPr>
              <w:t>2.4.2</w:t>
            </w:r>
            <w:r w:rsidR="00A60D4B">
              <w:rPr>
                <w:rFonts w:asciiTheme="minorHAnsi" w:hAnsiTheme="minorHAnsi"/>
                <w:color w:val="auto"/>
                <w:kern w:val="2"/>
                <w:sz w:val="24"/>
                <w:szCs w:val="24"/>
                <w:lang w:val="en-AU"/>
                <w14:ligatures w14:val="standardContextual"/>
              </w:rPr>
              <w:tab/>
            </w:r>
            <w:r w:rsidR="00A60D4B" w:rsidRPr="007E7E46">
              <w:rPr>
                <w:rStyle w:val="Hyperlink"/>
              </w:rPr>
              <w:t>The National Code of Conduct for Health Care Workers</w:t>
            </w:r>
            <w:r w:rsidR="00A60D4B">
              <w:rPr>
                <w:webHidden/>
              </w:rPr>
              <w:tab/>
            </w:r>
            <w:r w:rsidR="00A60D4B">
              <w:rPr>
                <w:webHidden/>
              </w:rPr>
              <w:fldChar w:fldCharType="begin"/>
            </w:r>
            <w:r w:rsidR="00A60D4B">
              <w:rPr>
                <w:webHidden/>
              </w:rPr>
              <w:instrText xml:space="preserve"> PAGEREF _Toc198138576 \h </w:instrText>
            </w:r>
            <w:r w:rsidR="00A60D4B">
              <w:rPr>
                <w:webHidden/>
              </w:rPr>
            </w:r>
            <w:r w:rsidR="00A60D4B">
              <w:rPr>
                <w:webHidden/>
              </w:rPr>
              <w:fldChar w:fldCharType="separate"/>
            </w:r>
            <w:r w:rsidR="00F32107">
              <w:rPr>
                <w:webHidden/>
              </w:rPr>
              <w:t>39</w:t>
            </w:r>
            <w:r w:rsidR="00A60D4B">
              <w:rPr>
                <w:webHidden/>
              </w:rPr>
              <w:fldChar w:fldCharType="end"/>
            </w:r>
          </w:hyperlink>
        </w:p>
        <w:p w14:paraId="6A57C5DB" w14:textId="6A34D272" w:rsidR="00A60D4B" w:rsidRDefault="00AB1438">
          <w:pPr>
            <w:pStyle w:val="TOC3"/>
            <w:rPr>
              <w:rFonts w:asciiTheme="minorHAnsi" w:hAnsiTheme="minorHAnsi"/>
              <w:color w:val="auto"/>
              <w:kern w:val="2"/>
              <w:sz w:val="24"/>
              <w:szCs w:val="24"/>
              <w:lang w:val="en-AU"/>
              <w14:ligatures w14:val="standardContextual"/>
            </w:rPr>
          </w:pPr>
          <w:hyperlink w:anchor="_Toc198138577" w:history="1">
            <w:r w:rsidR="00A60D4B" w:rsidRPr="007E7E46">
              <w:rPr>
                <w:rStyle w:val="Hyperlink"/>
                <w:b/>
              </w:rPr>
              <w:t>2.4.3</w:t>
            </w:r>
            <w:r w:rsidR="00A60D4B">
              <w:rPr>
                <w:rFonts w:asciiTheme="minorHAnsi" w:hAnsiTheme="minorHAnsi"/>
                <w:color w:val="auto"/>
                <w:kern w:val="2"/>
                <w:sz w:val="24"/>
                <w:szCs w:val="24"/>
                <w:lang w:val="en-AU"/>
                <w14:ligatures w14:val="standardContextual"/>
              </w:rPr>
              <w:tab/>
            </w:r>
            <w:r w:rsidR="00A60D4B" w:rsidRPr="007E7E46">
              <w:rPr>
                <w:rStyle w:val="Hyperlink"/>
              </w:rPr>
              <w:t>The National Scheme</w:t>
            </w:r>
            <w:r w:rsidR="00A60D4B">
              <w:rPr>
                <w:webHidden/>
              </w:rPr>
              <w:tab/>
            </w:r>
            <w:r w:rsidR="00A60D4B">
              <w:rPr>
                <w:webHidden/>
              </w:rPr>
              <w:fldChar w:fldCharType="begin"/>
            </w:r>
            <w:r w:rsidR="00A60D4B">
              <w:rPr>
                <w:webHidden/>
              </w:rPr>
              <w:instrText xml:space="preserve"> PAGEREF _Toc198138577 \h </w:instrText>
            </w:r>
            <w:r w:rsidR="00A60D4B">
              <w:rPr>
                <w:webHidden/>
              </w:rPr>
            </w:r>
            <w:r w:rsidR="00A60D4B">
              <w:rPr>
                <w:webHidden/>
              </w:rPr>
              <w:fldChar w:fldCharType="separate"/>
            </w:r>
            <w:r w:rsidR="00F32107">
              <w:rPr>
                <w:webHidden/>
              </w:rPr>
              <w:t>40</w:t>
            </w:r>
            <w:r w:rsidR="00A60D4B">
              <w:rPr>
                <w:webHidden/>
              </w:rPr>
              <w:fldChar w:fldCharType="end"/>
            </w:r>
          </w:hyperlink>
        </w:p>
        <w:p w14:paraId="444E60AA" w14:textId="7CA78296" w:rsidR="00A60D4B" w:rsidRDefault="00AB1438">
          <w:pPr>
            <w:pStyle w:val="TOC2"/>
            <w:rPr>
              <w:rFonts w:asciiTheme="minorHAnsi" w:hAnsiTheme="minorHAnsi"/>
              <w:iCs w:val="0"/>
              <w:color w:val="auto"/>
              <w:kern w:val="2"/>
              <w:sz w:val="24"/>
              <w:szCs w:val="24"/>
              <w:lang w:val="en-AU"/>
              <w14:ligatures w14:val="standardContextual"/>
            </w:rPr>
          </w:pPr>
          <w:hyperlink w:anchor="_Toc198138578" w:history="1">
            <w:r w:rsidR="00A60D4B" w:rsidRPr="007E7E46">
              <w:rPr>
                <w:rStyle w:val="Hyperlink"/>
              </w:rPr>
              <w:t>2.5</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Service provision – funding mechanisms and regulatory requirements</w:t>
            </w:r>
            <w:r w:rsidR="00A60D4B">
              <w:rPr>
                <w:webHidden/>
              </w:rPr>
              <w:tab/>
            </w:r>
            <w:r w:rsidR="00A60D4B">
              <w:rPr>
                <w:webHidden/>
              </w:rPr>
              <w:fldChar w:fldCharType="begin"/>
            </w:r>
            <w:r w:rsidR="00A60D4B">
              <w:rPr>
                <w:webHidden/>
              </w:rPr>
              <w:instrText xml:space="preserve"> PAGEREF _Toc198138578 \h </w:instrText>
            </w:r>
            <w:r w:rsidR="00A60D4B">
              <w:rPr>
                <w:webHidden/>
              </w:rPr>
            </w:r>
            <w:r w:rsidR="00A60D4B">
              <w:rPr>
                <w:webHidden/>
              </w:rPr>
              <w:fldChar w:fldCharType="separate"/>
            </w:r>
            <w:r w:rsidR="00F32107">
              <w:rPr>
                <w:webHidden/>
              </w:rPr>
              <w:t>45</w:t>
            </w:r>
            <w:r w:rsidR="00A60D4B">
              <w:rPr>
                <w:webHidden/>
              </w:rPr>
              <w:fldChar w:fldCharType="end"/>
            </w:r>
          </w:hyperlink>
        </w:p>
        <w:p w14:paraId="0DDF2823" w14:textId="404D48F3" w:rsidR="00A60D4B" w:rsidRDefault="00AB1438">
          <w:pPr>
            <w:pStyle w:val="TOC2"/>
            <w:rPr>
              <w:rFonts w:asciiTheme="minorHAnsi" w:hAnsiTheme="minorHAnsi"/>
              <w:iCs w:val="0"/>
              <w:color w:val="auto"/>
              <w:kern w:val="2"/>
              <w:sz w:val="24"/>
              <w:szCs w:val="24"/>
              <w:lang w:val="en-AU"/>
              <w14:ligatures w14:val="standardContextual"/>
            </w:rPr>
          </w:pPr>
          <w:hyperlink w:anchor="_Toc198138579" w:history="1">
            <w:r w:rsidR="00A60D4B" w:rsidRPr="007E7E46">
              <w:rPr>
                <w:rStyle w:val="Hyperlink"/>
              </w:rPr>
              <w:t>2.6</w:t>
            </w:r>
            <w:r w:rsidR="00A60D4B">
              <w:rPr>
                <w:rFonts w:asciiTheme="minorHAnsi" w:hAnsiTheme="minorHAnsi"/>
                <w:iCs w:val="0"/>
                <w:color w:val="auto"/>
                <w:kern w:val="2"/>
                <w:sz w:val="24"/>
                <w:szCs w:val="24"/>
                <w:lang w:val="en-AU"/>
                <w14:ligatures w14:val="standardContextual"/>
              </w:rPr>
              <w:tab/>
            </w:r>
            <w:r w:rsidR="00A60D4B" w:rsidRPr="007E7E46">
              <w:rPr>
                <w:rStyle w:val="Hyperlink"/>
              </w:rPr>
              <w:t>Comparison of regulation</w:t>
            </w:r>
            <w:r w:rsidR="00A60D4B">
              <w:rPr>
                <w:webHidden/>
              </w:rPr>
              <w:tab/>
            </w:r>
            <w:r w:rsidR="00A60D4B">
              <w:rPr>
                <w:webHidden/>
              </w:rPr>
              <w:fldChar w:fldCharType="begin"/>
            </w:r>
            <w:r w:rsidR="00A60D4B">
              <w:rPr>
                <w:webHidden/>
              </w:rPr>
              <w:instrText xml:space="preserve"> PAGEREF _Toc198138579 \h </w:instrText>
            </w:r>
            <w:r w:rsidR="00A60D4B">
              <w:rPr>
                <w:webHidden/>
              </w:rPr>
            </w:r>
            <w:r w:rsidR="00A60D4B">
              <w:rPr>
                <w:webHidden/>
              </w:rPr>
              <w:fldChar w:fldCharType="separate"/>
            </w:r>
            <w:r w:rsidR="00F32107">
              <w:rPr>
                <w:webHidden/>
              </w:rPr>
              <w:t>50</w:t>
            </w:r>
            <w:r w:rsidR="00A60D4B">
              <w:rPr>
                <w:webHidden/>
              </w:rPr>
              <w:fldChar w:fldCharType="end"/>
            </w:r>
          </w:hyperlink>
        </w:p>
        <w:p w14:paraId="45137A0A" w14:textId="0FEFE08C" w:rsidR="00A60D4B" w:rsidRDefault="00AB1438">
          <w:pPr>
            <w:pStyle w:val="TOC3"/>
            <w:rPr>
              <w:rFonts w:asciiTheme="minorHAnsi" w:hAnsiTheme="minorHAnsi"/>
              <w:color w:val="auto"/>
              <w:kern w:val="2"/>
              <w:sz w:val="24"/>
              <w:szCs w:val="24"/>
              <w:lang w:val="en-AU"/>
              <w14:ligatures w14:val="standardContextual"/>
            </w:rPr>
          </w:pPr>
          <w:hyperlink w:anchor="_Toc198138580" w:history="1">
            <w:r w:rsidR="00A60D4B" w:rsidRPr="007E7E46">
              <w:rPr>
                <w:rStyle w:val="Hyperlink"/>
                <w:b/>
              </w:rPr>
              <w:t>2.6.1</w:t>
            </w:r>
            <w:r w:rsidR="00A60D4B">
              <w:rPr>
                <w:rFonts w:asciiTheme="minorHAnsi" w:hAnsiTheme="minorHAnsi"/>
                <w:color w:val="auto"/>
                <w:kern w:val="2"/>
                <w:sz w:val="24"/>
                <w:szCs w:val="24"/>
                <w:lang w:val="en-AU"/>
                <w14:ligatures w14:val="standardContextual"/>
              </w:rPr>
              <w:tab/>
            </w:r>
            <w:r w:rsidR="00A60D4B" w:rsidRPr="007E7E46">
              <w:rPr>
                <w:rStyle w:val="Hyperlink"/>
              </w:rPr>
              <w:t>Audiologists and comparator professions in Australia</w:t>
            </w:r>
            <w:r w:rsidR="00A60D4B">
              <w:rPr>
                <w:webHidden/>
              </w:rPr>
              <w:tab/>
            </w:r>
            <w:r w:rsidR="00A60D4B">
              <w:rPr>
                <w:webHidden/>
              </w:rPr>
              <w:fldChar w:fldCharType="begin"/>
            </w:r>
            <w:r w:rsidR="00A60D4B">
              <w:rPr>
                <w:webHidden/>
              </w:rPr>
              <w:instrText xml:space="preserve"> PAGEREF _Toc198138580 \h </w:instrText>
            </w:r>
            <w:r w:rsidR="00A60D4B">
              <w:rPr>
                <w:webHidden/>
              </w:rPr>
            </w:r>
            <w:r w:rsidR="00A60D4B">
              <w:rPr>
                <w:webHidden/>
              </w:rPr>
              <w:fldChar w:fldCharType="separate"/>
            </w:r>
            <w:r w:rsidR="00F32107">
              <w:rPr>
                <w:webHidden/>
              </w:rPr>
              <w:t>50</w:t>
            </w:r>
            <w:r w:rsidR="00A60D4B">
              <w:rPr>
                <w:webHidden/>
              </w:rPr>
              <w:fldChar w:fldCharType="end"/>
            </w:r>
          </w:hyperlink>
        </w:p>
        <w:p w14:paraId="173DBBBC" w14:textId="31E0CAEA" w:rsidR="00A60D4B" w:rsidRDefault="00AB1438">
          <w:pPr>
            <w:pStyle w:val="TOC3"/>
            <w:rPr>
              <w:rFonts w:asciiTheme="minorHAnsi" w:hAnsiTheme="minorHAnsi"/>
              <w:color w:val="auto"/>
              <w:kern w:val="2"/>
              <w:sz w:val="24"/>
              <w:szCs w:val="24"/>
              <w:lang w:val="en-AU"/>
              <w14:ligatures w14:val="standardContextual"/>
            </w:rPr>
          </w:pPr>
          <w:hyperlink w:anchor="_Toc198138581" w:history="1">
            <w:r w:rsidR="00A60D4B" w:rsidRPr="007E7E46">
              <w:rPr>
                <w:rStyle w:val="Hyperlink"/>
                <w:b/>
              </w:rPr>
              <w:t>2.6.2</w:t>
            </w:r>
            <w:r w:rsidR="00A60D4B">
              <w:rPr>
                <w:rFonts w:asciiTheme="minorHAnsi" w:hAnsiTheme="minorHAnsi"/>
                <w:color w:val="auto"/>
                <w:kern w:val="2"/>
                <w:sz w:val="24"/>
                <w:szCs w:val="24"/>
                <w:lang w:val="en-AU"/>
                <w14:ligatures w14:val="standardContextual"/>
              </w:rPr>
              <w:tab/>
            </w:r>
            <w:r w:rsidR="00A60D4B" w:rsidRPr="007E7E46">
              <w:rPr>
                <w:rStyle w:val="Hyperlink"/>
              </w:rPr>
              <w:t>International comparison of audiologists and comparator professions</w:t>
            </w:r>
            <w:r w:rsidR="00A60D4B">
              <w:rPr>
                <w:webHidden/>
              </w:rPr>
              <w:tab/>
            </w:r>
            <w:r w:rsidR="00A60D4B">
              <w:rPr>
                <w:webHidden/>
              </w:rPr>
              <w:fldChar w:fldCharType="begin"/>
            </w:r>
            <w:r w:rsidR="00A60D4B">
              <w:rPr>
                <w:webHidden/>
              </w:rPr>
              <w:instrText xml:space="preserve"> PAGEREF _Toc198138581 \h </w:instrText>
            </w:r>
            <w:r w:rsidR="00A60D4B">
              <w:rPr>
                <w:webHidden/>
              </w:rPr>
            </w:r>
            <w:r w:rsidR="00A60D4B">
              <w:rPr>
                <w:webHidden/>
              </w:rPr>
              <w:fldChar w:fldCharType="separate"/>
            </w:r>
            <w:r w:rsidR="00F32107">
              <w:rPr>
                <w:webHidden/>
              </w:rPr>
              <w:t>51</w:t>
            </w:r>
            <w:r w:rsidR="00A60D4B">
              <w:rPr>
                <w:webHidden/>
              </w:rPr>
              <w:fldChar w:fldCharType="end"/>
            </w:r>
          </w:hyperlink>
        </w:p>
        <w:p w14:paraId="3657D691" w14:textId="6CE0BEC7" w:rsidR="00A60D4B" w:rsidRDefault="00AB1438">
          <w:pPr>
            <w:pStyle w:val="TOC1"/>
            <w:rPr>
              <w:rFonts w:asciiTheme="minorHAnsi" w:hAnsiTheme="minorHAnsi"/>
              <w:bCs w:val="0"/>
              <w:color w:val="auto"/>
              <w:kern w:val="2"/>
              <w:sz w:val="24"/>
              <w:szCs w:val="24"/>
              <w:u w:val="none"/>
              <w14:ligatures w14:val="standardContextual"/>
            </w:rPr>
          </w:pPr>
          <w:hyperlink w:anchor="_Toc198138582" w:history="1">
            <w:r w:rsidR="00A60D4B" w:rsidRPr="007E7E46">
              <w:rPr>
                <w:rStyle w:val="Hyperlink"/>
              </w:rPr>
              <w:t>3</w:t>
            </w:r>
            <w:r w:rsidR="00A60D4B">
              <w:rPr>
                <w:rFonts w:asciiTheme="minorHAnsi" w:hAnsiTheme="minorHAnsi"/>
                <w:bCs w:val="0"/>
                <w:color w:val="auto"/>
                <w:kern w:val="2"/>
                <w:sz w:val="24"/>
                <w:szCs w:val="24"/>
                <w:u w:val="none"/>
                <w14:ligatures w14:val="standardContextual"/>
              </w:rPr>
              <w:tab/>
            </w:r>
            <w:r w:rsidR="00A60D4B" w:rsidRPr="007E7E46">
              <w:rPr>
                <w:rStyle w:val="Hyperlink"/>
              </w:rPr>
              <w:t>What is the policy problem?</w:t>
            </w:r>
            <w:r w:rsidR="00A60D4B">
              <w:rPr>
                <w:webHidden/>
              </w:rPr>
              <w:tab/>
            </w:r>
            <w:r w:rsidR="00A60D4B">
              <w:rPr>
                <w:webHidden/>
              </w:rPr>
              <w:fldChar w:fldCharType="begin"/>
            </w:r>
            <w:r w:rsidR="00A60D4B">
              <w:rPr>
                <w:webHidden/>
              </w:rPr>
              <w:instrText xml:space="preserve"> PAGEREF _Toc198138582 \h </w:instrText>
            </w:r>
            <w:r w:rsidR="00A60D4B">
              <w:rPr>
                <w:webHidden/>
              </w:rPr>
            </w:r>
            <w:r w:rsidR="00A60D4B">
              <w:rPr>
                <w:webHidden/>
              </w:rPr>
              <w:fldChar w:fldCharType="separate"/>
            </w:r>
            <w:r w:rsidR="00F32107">
              <w:rPr>
                <w:webHidden/>
              </w:rPr>
              <w:t>55</w:t>
            </w:r>
            <w:r w:rsidR="00A60D4B">
              <w:rPr>
                <w:webHidden/>
              </w:rPr>
              <w:fldChar w:fldCharType="end"/>
            </w:r>
          </w:hyperlink>
        </w:p>
        <w:p w14:paraId="62CF4626" w14:textId="7FAAE0F3" w:rsidR="00A60D4B" w:rsidRDefault="00AB1438">
          <w:pPr>
            <w:pStyle w:val="TOC2"/>
            <w:rPr>
              <w:rFonts w:asciiTheme="minorHAnsi" w:hAnsiTheme="minorHAnsi"/>
              <w:iCs w:val="0"/>
              <w:color w:val="auto"/>
              <w:kern w:val="2"/>
              <w:sz w:val="24"/>
              <w:szCs w:val="24"/>
              <w:lang w:val="en-AU"/>
              <w14:ligatures w14:val="standardContextual"/>
            </w:rPr>
          </w:pPr>
          <w:hyperlink w:anchor="_Toc198138583" w:history="1">
            <w:r w:rsidR="00A60D4B" w:rsidRPr="007E7E46">
              <w:rPr>
                <w:rStyle w:val="Hyperlink"/>
              </w:rPr>
              <w:t>3.1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Problem 1: For audiology services, information asymmetries, principal-agent issues and patient vulnerabilities pose an increased risk of substandard care.</w:t>
            </w:r>
            <w:r w:rsidR="00A60D4B">
              <w:rPr>
                <w:webHidden/>
              </w:rPr>
              <w:tab/>
            </w:r>
            <w:r w:rsidR="00A60D4B">
              <w:rPr>
                <w:webHidden/>
              </w:rPr>
              <w:fldChar w:fldCharType="begin"/>
            </w:r>
            <w:r w:rsidR="00A60D4B">
              <w:rPr>
                <w:webHidden/>
              </w:rPr>
              <w:instrText xml:space="preserve"> PAGEREF _Toc198138583 \h </w:instrText>
            </w:r>
            <w:r w:rsidR="00A60D4B">
              <w:rPr>
                <w:webHidden/>
              </w:rPr>
            </w:r>
            <w:r w:rsidR="00A60D4B">
              <w:rPr>
                <w:webHidden/>
              </w:rPr>
              <w:fldChar w:fldCharType="separate"/>
            </w:r>
            <w:r w:rsidR="00F32107">
              <w:rPr>
                <w:webHidden/>
              </w:rPr>
              <w:t>56</w:t>
            </w:r>
            <w:r w:rsidR="00A60D4B">
              <w:rPr>
                <w:webHidden/>
              </w:rPr>
              <w:fldChar w:fldCharType="end"/>
            </w:r>
          </w:hyperlink>
        </w:p>
        <w:p w14:paraId="44C318F7" w14:textId="5336A670" w:rsidR="00A60D4B" w:rsidRDefault="00AB1438">
          <w:pPr>
            <w:pStyle w:val="TOC3"/>
            <w:rPr>
              <w:rFonts w:asciiTheme="minorHAnsi" w:hAnsiTheme="minorHAnsi"/>
              <w:color w:val="auto"/>
              <w:kern w:val="2"/>
              <w:sz w:val="24"/>
              <w:szCs w:val="24"/>
              <w:lang w:val="en-AU"/>
              <w14:ligatures w14:val="standardContextual"/>
            </w:rPr>
          </w:pPr>
          <w:hyperlink w:anchor="_Toc198138584" w:history="1">
            <w:r w:rsidR="00A60D4B" w:rsidRPr="007E7E46">
              <w:rPr>
                <w:rStyle w:val="Hyperlink"/>
                <w:b/>
              </w:rPr>
              <w:t>3.1.1</w:t>
            </w:r>
            <w:r w:rsidR="00A60D4B">
              <w:rPr>
                <w:rFonts w:asciiTheme="minorHAnsi" w:hAnsiTheme="minorHAnsi"/>
                <w:color w:val="auto"/>
                <w:kern w:val="2"/>
                <w:sz w:val="24"/>
                <w:szCs w:val="24"/>
                <w:lang w:val="en-AU"/>
                <w14:ligatures w14:val="standardContextual"/>
              </w:rPr>
              <w:tab/>
            </w:r>
            <w:r w:rsidR="00A60D4B" w:rsidRPr="007E7E46">
              <w:rPr>
                <w:rStyle w:val="Hyperlink"/>
              </w:rPr>
              <w:t>External reviews</w:t>
            </w:r>
            <w:r w:rsidR="00A60D4B">
              <w:rPr>
                <w:webHidden/>
              </w:rPr>
              <w:tab/>
            </w:r>
            <w:r w:rsidR="00A60D4B">
              <w:rPr>
                <w:webHidden/>
              </w:rPr>
              <w:fldChar w:fldCharType="begin"/>
            </w:r>
            <w:r w:rsidR="00A60D4B">
              <w:rPr>
                <w:webHidden/>
              </w:rPr>
              <w:instrText xml:space="preserve"> PAGEREF _Toc198138584 \h </w:instrText>
            </w:r>
            <w:r w:rsidR="00A60D4B">
              <w:rPr>
                <w:webHidden/>
              </w:rPr>
            </w:r>
            <w:r w:rsidR="00A60D4B">
              <w:rPr>
                <w:webHidden/>
              </w:rPr>
              <w:fldChar w:fldCharType="separate"/>
            </w:r>
            <w:r w:rsidR="00F32107">
              <w:rPr>
                <w:webHidden/>
              </w:rPr>
              <w:t>56</w:t>
            </w:r>
            <w:r w:rsidR="00A60D4B">
              <w:rPr>
                <w:webHidden/>
              </w:rPr>
              <w:fldChar w:fldCharType="end"/>
            </w:r>
          </w:hyperlink>
        </w:p>
        <w:p w14:paraId="0BA18A8F" w14:textId="632ADF6E" w:rsidR="00A60D4B" w:rsidRDefault="00AB1438">
          <w:pPr>
            <w:pStyle w:val="TOC3"/>
            <w:rPr>
              <w:rFonts w:asciiTheme="minorHAnsi" w:hAnsiTheme="minorHAnsi"/>
              <w:color w:val="auto"/>
              <w:kern w:val="2"/>
              <w:sz w:val="24"/>
              <w:szCs w:val="24"/>
              <w:lang w:val="en-AU"/>
              <w14:ligatures w14:val="standardContextual"/>
            </w:rPr>
          </w:pPr>
          <w:hyperlink w:anchor="_Toc198138585" w:history="1">
            <w:r w:rsidR="00A60D4B" w:rsidRPr="007E7E46">
              <w:rPr>
                <w:rStyle w:val="Hyperlink"/>
                <w:b/>
              </w:rPr>
              <w:t>3.1.2</w:t>
            </w:r>
            <w:r w:rsidR="00A60D4B">
              <w:rPr>
                <w:rFonts w:asciiTheme="minorHAnsi" w:hAnsiTheme="minorHAnsi"/>
                <w:color w:val="auto"/>
                <w:kern w:val="2"/>
                <w:sz w:val="24"/>
                <w:szCs w:val="24"/>
                <w:lang w:val="en-AU"/>
                <w14:ligatures w14:val="standardContextual"/>
              </w:rPr>
              <w:tab/>
            </w:r>
            <w:r w:rsidR="00A60D4B" w:rsidRPr="007E7E46">
              <w:rPr>
                <w:rStyle w:val="Hyperlink"/>
              </w:rPr>
              <w:t>Information asymmetries and principal-agent issues</w:t>
            </w:r>
            <w:r w:rsidR="00A60D4B">
              <w:rPr>
                <w:webHidden/>
              </w:rPr>
              <w:tab/>
            </w:r>
            <w:r w:rsidR="00A60D4B">
              <w:rPr>
                <w:webHidden/>
              </w:rPr>
              <w:fldChar w:fldCharType="begin"/>
            </w:r>
            <w:r w:rsidR="00A60D4B">
              <w:rPr>
                <w:webHidden/>
              </w:rPr>
              <w:instrText xml:space="preserve"> PAGEREF _Toc198138585 \h </w:instrText>
            </w:r>
            <w:r w:rsidR="00A60D4B">
              <w:rPr>
                <w:webHidden/>
              </w:rPr>
            </w:r>
            <w:r w:rsidR="00A60D4B">
              <w:rPr>
                <w:webHidden/>
              </w:rPr>
              <w:fldChar w:fldCharType="separate"/>
            </w:r>
            <w:r w:rsidR="00F32107">
              <w:rPr>
                <w:webHidden/>
              </w:rPr>
              <w:t>60</w:t>
            </w:r>
            <w:r w:rsidR="00A60D4B">
              <w:rPr>
                <w:webHidden/>
              </w:rPr>
              <w:fldChar w:fldCharType="end"/>
            </w:r>
          </w:hyperlink>
        </w:p>
        <w:p w14:paraId="4F4D46B9" w14:textId="3527B1DA" w:rsidR="00A60D4B" w:rsidRDefault="00AB1438">
          <w:pPr>
            <w:pStyle w:val="TOC3"/>
            <w:rPr>
              <w:rFonts w:asciiTheme="minorHAnsi" w:hAnsiTheme="minorHAnsi"/>
              <w:color w:val="auto"/>
              <w:kern w:val="2"/>
              <w:sz w:val="24"/>
              <w:szCs w:val="24"/>
              <w:lang w:val="en-AU"/>
              <w14:ligatures w14:val="standardContextual"/>
            </w:rPr>
          </w:pPr>
          <w:hyperlink w:anchor="_Toc198138586" w:history="1">
            <w:r w:rsidR="00A60D4B" w:rsidRPr="007E7E46">
              <w:rPr>
                <w:rStyle w:val="Hyperlink"/>
                <w:b/>
              </w:rPr>
              <w:t>3.1.3</w:t>
            </w:r>
            <w:r w:rsidR="00A60D4B">
              <w:rPr>
                <w:rFonts w:asciiTheme="minorHAnsi" w:hAnsiTheme="minorHAnsi"/>
                <w:color w:val="auto"/>
                <w:kern w:val="2"/>
                <w:sz w:val="24"/>
                <w:szCs w:val="24"/>
                <w:lang w:val="en-AU"/>
                <w14:ligatures w14:val="standardContextual"/>
              </w:rPr>
              <w:tab/>
            </w:r>
            <w:r w:rsidR="00A60D4B" w:rsidRPr="007E7E46">
              <w:rPr>
                <w:rStyle w:val="Hyperlink"/>
              </w:rPr>
              <w:t>Patient vulnerability</w:t>
            </w:r>
            <w:r w:rsidR="00A60D4B">
              <w:rPr>
                <w:webHidden/>
              </w:rPr>
              <w:tab/>
            </w:r>
            <w:r w:rsidR="00A60D4B">
              <w:rPr>
                <w:webHidden/>
              </w:rPr>
              <w:fldChar w:fldCharType="begin"/>
            </w:r>
            <w:r w:rsidR="00A60D4B">
              <w:rPr>
                <w:webHidden/>
              </w:rPr>
              <w:instrText xml:space="preserve"> PAGEREF _Toc198138586 \h </w:instrText>
            </w:r>
            <w:r w:rsidR="00A60D4B">
              <w:rPr>
                <w:webHidden/>
              </w:rPr>
            </w:r>
            <w:r w:rsidR="00A60D4B">
              <w:rPr>
                <w:webHidden/>
              </w:rPr>
              <w:fldChar w:fldCharType="separate"/>
            </w:r>
            <w:r w:rsidR="00F32107">
              <w:rPr>
                <w:webHidden/>
              </w:rPr>
              <w:t>63</w:t>
            </w:r>
            <w:r w:rsidR="00A60D4B">
              <w:rPr>
                <w:webHidden/>
              </w:rPr>
              <w:fldChar w:fldCharType="end"/>
            </w:r>
          </w:hyperlink>
        </w:p>
        <w:p w14:paraId="629EF894" w14:textId="52079927" w:rsidR="00A60D4B" w:rsidRDefault="00AB1438">
          <w:pPr>
            <w:pStyle w:val="TOC2"/>
            <w:rPr>
              <w:rFonts w:asciiTheme="minorHAnsi" w:hAnsiTheme="minorHAnsi"/>
              <w:iCs w:val="0"/>
              <w:color w:val="auto"/>
              <w:kern w:val="2"/>
              <w:sz w:val="24"/>
              <w:szCs w:val="24"/>
              <w:lang w:val="en-AU"/>
              <w14:ligatures w14:val="standardContextual"/>
            </w:rPr>
          </w:pPr>
          <w:hyperlink w:anchor="_Toc198138587" w:history="1">
            <w:r w:rsidR="00A60D4B" w:rsidRPr="007E7E46">
              <w:rPr>
                <w:rStyle w:val="Hyperlink"/>
              </w:rPr>
              <w:t>3.2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Problem 2: Audiologists have limited opportunities for formalised assessment of competency (including for specialised scopes of practice), and may have inconsistent or insufficient access to continuing professional development, training and clinical governance mechanisms that support high quality care.</w:t>
            </w:r>
            <w:r w:rsidR="00A60D4B">
              <w:rPr>
                <w:webHidden/>
              </w:rPr>
              <w:tab/>
            </w:r>
            <w:r w:rsidR="00A60D4B">
              <w:rPr>
                <w:webHidden/>
              </w:rPr>
              <w:fldChar w:fldCharType="begin"/>
            </w:r>
            <w:r w:rsidR="00A60D4B">
              <w:rPr>
                <w:webHidden/>
              </w:rPr>
              <w:instrText xml:space="preserve"> PAGEREF _Toc198138587 \h </w:instrText>
            </w:r>
            <w:r w:rsidR="00A60D4B">
              <w:rPr>
                <w:webHidden/>
              </w:rPr>
            </w:r>
            <w:r w:rsidR="00A60D4B">
              <w:rPr>
                <w:webHidden/>
              </w:rPr>
              <w:fldChar w:fldCharType="separate"/>
            </w:r>
            <w:r w:rsidR="00F32107">
              <w:rPr>
                <w:webHidden/>
              </w:rPr>
              <w:t>64</w:t>
            </w:r>
            <w:r w:rsidR="00A60D4B">
              <w:rPr>
                <w:webHidden/>
              </w:rPr>
              <w:fldChar w:fldCharType="end"/>
            </w:r>
          </w:hyperlink>
        </w:p>
        <w:p w14:paraId="07B329A6" w14:textId="6291A500" w:rsidR="00A60D4B" w:rsidRDefault="00AB1438">
          <w:pPr>
            <w:pStyle w:val="TOC2"/>
            <w:rPr>
              <w:rFonts w:asciiTheme="minorHAnsi" w:hAnsiTheme="minorHAnsi"/>
              <w:iCs w:val="0"/>
              <w:color w:val="auto"/>
              <w:kern w:val="2"/>
              <w:sz w:val="24"/>
              <w:szCs w:val="24"/>
              <w:lang w:val="en-AU"/>
              <w14:ligatures w14:val="standardContextual"/>
            </w:rPr>
          </w:pPr>
          <w:hyperlink w:anchor="_Toc198138588" w:history="1">
            <w:r w:rsidR="00A60D4B" w:rsidRPr="007E7E46">
              <w:rPr>
                <w:rStyle w:val="Hyperlink"/>
              </w:rPr>
              <w:t>3.3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Problem 3: Across the sector, stakeholders note the influence of organisation-level pressures on audiologists’ delivery of care.</w:t>
            </w:r>
            <w:r w:rsidR="00A60D4B">
              <w:rPr>
                <w:webHidden/>
              </w:rPr>
              <w:tab/>
            </w:r>
            <w:r w:rsidR="00A60D4B">
              <w:rPr>
                <w:webHidden/>
              </w:rPr>
              <w:fldChar w:fldCharType="begin"/>
            </w:r>
            <w:r w:rsidR="00A60D4B">
              <w:rPr>
                <w:webHidden/>
              </w:rPr>
              <w:instrText xml:space="preserve"> PAGEREF _Toc198138588 \h </w:instrText>
            </w:r>
            <w:r w:rsidR="00A60D4B">
              <w:rPr>
                <w:webHidden/>
              </w:rPr>
            </w:r>
            <w:r w:rsidR="00A60D4B">
              <w:rPr>
                <w:webHidden/>
              </w:rPr>
              <w:fldChar w:fldCharType="separate"/>
            </w:r>
            <w:r w:rsidR="00F32107">
              <w:rPr>
                <w:webHidden/>
              </w:rPr>
              <w:t>68</w:t>
            </w:r>
            <w:r w:rsidR="00A60D4B">
              <w:rPr>
                <w:webHidden/>
              </w:rPr>
              <w:fldChar w:fldCharType="end"/>
            </w:r>
          </w:hyperlink>
        </w:p>
        <w:p w14:paraId="7F517DA6" w14:textId="5F27D588" w:rsidR="00A60D4B" w:rsidRDefault="00AB1438">
          <w:pPr>
            <w:pStyle w:val="TOC3"/>
            <w:rPr>
              <w:rFonts w:asciiTheme="minorHAnsi" w:hAnsiTheme="minorHAnsi"/>
              <w:color w:val="auto"/>
              <w:kern w:val="2"/>
              <w:sz w:val="24"/>
              <w:szCs w:val="24"/>
              <w:lang w:val="en-AU"/>
              <w14:ligatures w14:val="standardContextual"/>
            </w:rPr>
          </w:pPr>
          <w:hyperlink w:anchor="_Toc198138589" w:history="1">
            <w:r w:rsidR="00A60D4B" w:rsidRPr="007E7E46">
              <w:rPr>
                <w:rStyle w:val="Hyperlink"/>
                <w:b/>
              </w:rPr>
              <w:t>3.3.1</w:t>
            </w:r>
            <w:r w:rsidR="00A60D4B">
              <w:rPr>
                <w:rFonts w:asciiTheme="minorHAnsi" w:hAnsiTheme="minorHAnsi"/>
                <w:color w:val="auto"/>
                <w:kern w:val="2"/>
                <w:sz w:val="24"/>
                <w:szCs w:val="24"/>
                <w:lang w:val="en-AU"/>
                <w14:ligatures w14:val="standardContextual"/>
              </w:rPr>
              <w:tab/>
            </w:r>
            <w:r w:rsidR="00A60D4B" w:rsidRPr="007E7E46">
              <w:rPr>
                <w:rStyle w:val="Hyperlink"/>
              </w:rPr>
              <w:t>Public sector</w:t>
            </w:r>
            <w:r w:rsidR="00A60D4B">
              <w:rPr>
                <w:webHidden/>
              </w:rPr>
              <w:tab/>
            </w:r>
            <w:r w:rsidR="00A60D4B">
              <w:rPr>
                <w:webHidden/>
              </w:rPr>
              <w:fldChar w:fldCharType="begin"/>
            </w:r>
            <w:r w:rsidR="00A60D4B">
              <w:rPr>
                <w:webHidden/>
              </w:rPr>
              <w:instrText xml:space="preserve"> PAGEREF _Toc198138589 \h </w:instrText>
            </w:r>
            <w:r w:rsidR="00A60D4B">
              <w:rPr>
                <w:webHidden/>
              </w:rPr>
            </w:r>
            <w:r w:rsidR="00A60D4B">
              <w:rPr>
                <w:webHidden/>
              </w:rPr>
              <w:fldChar w:fldCharType="separate"/>
            </w:r>
            <w:r w:rsidR="00F32107">
              <w:rPr>
                <w:webHidden/>
              </w:rPr>
              <w:t>68</w:t>
            </w:r>
            <w:r w:rsidR="00A60D4B">
              <w:rPr>
                <w:webHidden/>
              </w:rPr>
              <w:fldChar w:fldCharType="end"/>
            </w:r>
          </w:hyperlink>
        </w:p>
        <w:p w14:paraId="744E39EB" w14:textId="71630CAC" w:rsidR="00A60D4B" w:rsidRDefault="00AB1438">
          <w:pPr>
            <w:pStyle w:val="TOC3"/>
            <w:rPr>
              <w:rFonts w:asciiTheme="minorHAnsi" w:hAnsiTheme="minorHAnsi"/>
              <w:color w:val="auto"/>
              <w:kern w:val="2"/>
              <w:sz w:val="24"/>
              <w:szCs w:val="24"/>
              <w:lang w:val="en-AU"/>
              <w14:ligatures w14:val="standardContextual"/>
            </w:rPr>
          </w:pPr>
          <w:hyperlink w:anchor="_Toc198138590" w:history="1">
            <w:r w:rsidR="00A60D4B" w:rsidRPr="007E7E46">
              <w:rPr>
                <w:rStyle w:val="Hyperlink"/>
                <w:b/>
              </w:rPr>
              <w:t>3.3.2</w:t>
            </w:r>
            <w:r w:rsidR="00A60D4B">
              <w:rPr>
                <w:rFonts w:asciiTheme="minorHAnsi" w:hAnsiTheme="minorHAnsi"/>
                <w:color w:val="auto"/>
                <w:kern w:val="2"/>
                <w:sz w:val="24"/>
                <w:szCs w:val="24"/>
                <w:lang w:val="en-AU"/>
                <w14:ligatures w14:val="standardContextual"/>
              </w:rPr>
              <w:tab/>
            </w:r>
            <w:r w:rsidR="00A60D4B" w:rsidRPr="007E7E46">
              <w:rPr>
                <w:rStyle w:val="Hyperlink"/>
              </w:rPr>
              <w:t>Private sector</w:t>
            </w:r>
            <w:r w:rsidR="00A60D4B">
              <w:rPr>
                <w:webHidden/>
              </w:rPr>
              <w:tab/>
            </w:r>
            <w:r w:rsidR="00A60D4B">
              <w:rPr>
                <w:webHidden/>
              </w:rPr>
              <w:fldChar w:fldCharType="begin"/>
            </w:r>
            <w:r w:rsidR="00A60D4B">
              <w:rPr>
                <w:webHidden/>
              </w:rPr>
              <w:instrText xml:space="preserve"> PAGEREF _Toc198138590 \h </w:instrText>
            </w:r>
            <w:r w:rsidR="00A60D4B">
              <w:rPr>
                <w:webHidden/>
              </w:rPr>
            </w:r>
            <w:r w:rsidR="00A60D4B">
              <w:rPr>
                <w:webHidden/>
              </w:rPr>
              <w:fldChar w:fldCharType="separate"/>
            </w:r>
            <w:r w:rsidR="00F32107">
              <w:rPr>
                <w:webHidden/>
              </w:rPr>
              <w:t>70</w:t>
            </w:r>
            <w:r w:rsidR="00A60D4B">
              <w:rPr>
                <w:webHidden/>
              </w:rPr>
              <w:fldChar w:fldCharType="end"/>
            </w:r>
          </w:hyperlink>
        </w:p>
        <w:p w14:paraId="7810ECDF" w14:textId="535B9608" w:rsidR="00A60D4B" w:rsidRDefault="00AB1438">
          <w:pPr>
            <w:pStyle w:val="TOC2"/>
            <w:rPr>
              <w:rFonts w:asciiTheme="minorHAnsi" w:hAnsiTheme="minorHAnsi"/>
              <w:iCs w:val="0"/>
              <w:color w:val="auto"/>
              <w:kern w:val="2"/>
              <w:sz w:val="24"/>
              <w:szCs w:val="24"/>
              <w:lang w:val="en-AU"/>
              <w14:ligatures w14:val="standardContextual"/>
            </w:rPr>
          </w:pPr>
          <w:hyperlink w:anchor="_Toc198138591" w:history="1">
            <w:r w:rsidR="00A60D4B" w:rsidRPr="007E7E46">
              <w:rPr>
                <w:rStyle w:val="Hyperlink"/>
              </w:rPr>
              <w:t>3.4</w:t>
            </w:r>
            <w:r w:rsidR="00A60D4B">
              <w:rPr>
                <w:rFonts w:asciiTheme="minorHAnsi" w:hAnsiTheme="minorHAnsi"/>
                <w:iCs w:val="0"/>
                <w:color w:val="auto"/>
                <w:kern w:val="2"/>
                <w:sz w:val="24"/>
                <w:szCs w:val="24"/>
                <w:lang w:val="en-AU"/>
                <w14:ligatures w14:val="standardContextual"/>
              </w:rPr>
              <w:tab/>
            </w:r>
            <w:r w:rsidR="00A60D4B" w:rsidRPr="007E7E46">
              <w:rPr>
                <w:rStyle w:val="Hyperlink"/>
              </w:rPr>
              <w:t>Problem 4: For the minority of cases where an audiologist practices in an unethical or unsafe manner, factors specific to the delivery of audiology services generate barriers to enacting professional sanctions that would protect the public from harm.</w:t>
            </w:r>
            <w:r w:rsidR="00A60D4B">
              <w:rPr>
                <w:webHidden/>
              </w:rPr>
              <w:tab/>
            </w:r>
            <w:r w:rsidR="00A60D4B">
              <w:rPr>
                <w:webHidden/>
              </w:rPr>
              <w:fldChar w:fldCharType="begin"/>
            </w:r>
            <w:r w:rsidR="00A60D4B">
              <w:rPr>
                <w:webHidden/>
              </w:rPr>
              <w:instrText xml:space="preserve"> PAGEREF _Toc198138591 \h </w:instrText>
            </w:r>
            <w:r w:rsidR="00A60D4B">
              <w:rPr>
                <w:webHidden/>
              </w:rPr>
            </w:r>
            <w:r w:rsidR="00A60D4B">
              <w:rPr>
                <w:webHidden/>
              </w:rPr>
              <w:fldChar w:fldCharType="separate"/>
            </w:r>
            <w:r w:rsidR="00F32107">
              <w:rPr>
                <w:webHidden/>
              </w:rPr>
              <w:t>75</w:t>
            </w:r>
            <w:r w:rsidR="00A60D4B">
              <w:rPr>
                <w:webHidden/>
              </w:rPr>
              <w:fldChar w:fldCharType="end"/>
            </w:r>
          </w:hyperlink>
        </w:p>
        <w:p w14:paraId="3C5C14A2" w14:textId="7E59A293" w:rsidR="00A60D4B" w:rsidRDefault="00AB1438">
          <w:pPr>
            <w:pStyle w:val="TOC3"/>
            <w:rPr>
              <w:rFonts w:asciiTheme="minorHAnsi" w:hAnsiTheme="minorHAnsi"/>
              <w:color w:val="auto"/>
              <w:kern w:val="2"/>
              <w:sz w:val="24"/>
              <w:szCs w:val="24"/>
              <w:lang w:val="en-AU"/>
              <w14:ligatures w14:val="standardContextual"/>
            </w:rPr>
          </w:pPr>
          <w:hyperlink w:anchor="_Toc198138592" w:history="1">
            <w:r w:rsidR="00A60D4B" w:rsidRPr="007E7E46">
              <w:rPr>
                <w:rStyle w:val="Hyperlink"/>
                <w:b/>
              </w:rPr>
              <w:t>3.4.1</w:t>
            </w:r>
            <w:r w:rsidR="00A60D4B">
              <w:rPr>
                <w:rFonts w:asciiTheme="minorHAnsi" w:hAnsiTheme="minorHAnsi"/>
                <w:color w:val="auto"/>
                <w:kern w:val="2"/>
                <w:sz w:val="24"/>
                <w:szCs w:val="24"/>
                <w:lang w:val="en-AU"/>
                <w14:ligatures w14:val="standardContextual"/>
              </w:rPr>
              <w:tab/>
            </w:r>
            <w:r w:rsidR="00A60D4B" w:rsidRPr="007E7E46">
              <w:rPr>
                <w:rStyle w:val="Hyperlink"/>
              </w:rPr>
              <w:t>Theory of complaints in relation to audiology services</w:t>
            </w:r>
            <w:r w:rsidR="00A60D4B">
              <w:rPr>
                <w:webHidden/>
              </w:rPr>
              <w:tab/>
            </w:r>
            <w:r w:rsidR="00A60D4B">
              <w:rPr>
                <w:webHidden/>
              </w:rPr>
              <w:fldChar w:fldCharType="begin"/>
            </w:r>
            <w:r w:rsidR="00A60D4B">
              <w:rPr>
                <w:webHidden/>
              </w:rPr>
              <w:instrText xml:space="preserve"> PAGEREF _Toc198138592 \h </w:instrText>
            </w:r>
            <w:r w:rsidR="00A60D4B">
              <w:rPr>
                <w:webHidden/>
              </w:rPr>
            </w:r>
            <w:r w:rsidR="00A60D4B">
              <w:rPr>
                <w:webHidden/>
              </w:rPr>
              <w:fldChar w:fldCharType="separate"/>
            </w:r>
            <w:r w:rsidR="00F32107">
              <w:rPr>
                <w:webHidden/>
              </w:rPr>
              <w:t>75</w:t>
            </w:r>
            <w:r w:rsidR="00A60D4B">
              <w:rPr>
                <w:webHidden/>
              </w:rPr>
              <w:fldChar w:fldCharType="end"/>
            </w:r>
          </w:hyperlink>
        </w:p>
        <w:p w14:paraId="33905ACD" w14:textId="683550D0" w:rsidR="00A60D4B" w:rsidRDefault="00AB1438">
          <w:pPr>
            <w:pStyle w:val="TOC3"/>
            <w:rPr>
              <w:rFonts w:asciiTheme="minorHAnsi" w:hAnsiTheme="minorHAnsi"/>
              <w:color w:val="auto"/>
              <w:kern w:val="2"/>
              <w:sz w:val="24"/>
              <w:szCs w:val="24"/>
              <w:lang w:val="en-AU"/>
              <w14:ligatures w14:val="standardContextual"/>
            </w:rPr>
          </w:pPr>
          <w:hyperlink w:anchor="_Toc198138593" w:history="1">
            <w:r w:rsidR="00A60D4B" w:rsidRPr="007E7E46">
              <w:rPr>
                <w:rStyle w:val="Hyperlink"/>
                <w:b/>
              </w:rPr>
              <w:t>3.4.2</w:t>
            </w:r>
            <w:r w:rsidR="00A60D4B">
              <w:rPr>
                <w:rFonts w:asciiTheme="minorHAnsi" w:hAnsiTheme="minorHAnsi"/>
                <w:color w:val="auto"/>
                <w:kern w:val="2"/>
                <w:sz w:val="24"/>
                <w:szCs w:val="24"/>
                <w:lang w:val="en-AU"/>
                <w14:ligatures w14:val="standardContextual"/>
              </w:rPr>
              <w:tab/>
            </w:r>
            <w:r w:rsidR="00A60D4B" w:rsidRPr="007E7E46">
              <w:rPr>
                <w:rStyle w:val="Hyperlink"/>
              </w:rPr>
              <w:t>Numbers of complaints</w:t>
            </w:r>
            <w:r w:rsidR="00A60D4B">
              <w:rPr>
                <w:webHidden/>
              </w:rPr>
              <w:tab/>
            </w:r>
            <w:r w:rsidR="00A60D4B">
              <w:rPr>
                <w:webHidden/>
              </w:rPr>
              <w:fldChar w:fldCharType="begin"/>
            </w:r>
            <w:r w:rsidR="00A60D4B">
              <w:rPr>
                <w:webHidden/>
              </w:rPr>
              <w:instrText xml:space="preserve"> PAGEREF _Toc198138593 \h </w:instrText>
            </w:r>
            <w:r w:rsidR="00A60D4B">
              <w:rPr>
                <w:webHidden/>
              </w:rPr>
            </w:r>
            <w:r w:rsidR="00A60D4B">
              <w:rPr>
                <w:webHidden/>
              </w:rPr>
              <w:fldChar w:fldCharType="separate"/>
            </w:r>
            <w:r w:rsidR="00F32107">
              <w:rPr>
                <w:webHidden/>
              </w:rPr>
              <w:t>77</w:t>
            </w:r>
            <w:r w:rsidR="00A60D4B">
              <w:rPr>
                <w:webHidden/>
              </w:rPr>
              <w:fldChar w:fldCharType="end"/>
            </w:r>
          </w:hyperlink>
        </w:p>
        <w:p w14:paraId="43F83D0B" w14:textId="644D595A" w:rsidR="00A60D4B" w:rsidRDefault="00AB1438">
          <w:pPr>
            <w:pStyle w:val="TOC3"/>
            <w:rPr>
              <w:rFonts w:asciiTheme="minorHAnsi" w:hAnsiTheme="minorHAnsi"/>
              <w:color w:val="auto"/>
              <w:kern w:val="2"/>
              <w:sz w:val="24"/>
              <w:szCs w:val="24"/>
              <w:lang w:val="en-AU"/>
              <w14:ligatures w14:val="standardContextual"/>
            </w:rPr>
          </w:pPr>
          <w:hyperlink w:anchor="_Toc198138594" w:history="1">
            <w:r w:rsidR="00A60D4B" w:rsidRPr="007E7E46">
              <w:rPr>
                <w:rStyle w:val="Hyperlink"/>
                <w:b/>
              </w:rPr>
              <w:t>3.4.3</w:t>
            </w:r>
            <w:r w:rsidR="00A60D4B">
              <w:rPr>
                <w:rFonts w:asciiTheme="minorHAnsi" w:hAnsiTheme="minorHAnsi"/>
                <w:color w:val="auto"/>
                <w:kern w:val="2"/>
                <w:sz w:val="24"/>
                <w:szCs w:val="24"/>
                <w:lang w:val="en-AU"/>
                <w14:ligatures w14:val="standardContextual"/>
              </w:rPr>
              <w:tab/>
            </w:r>
            <w:r w:rsidR="00A60D4B" w:rsidRPr="007E7E46">
              <w:rPr>
                <w:rStyle w:val="Hyperlink"/>
              </w:rPr>
              <w:t>Issues with powers and functions of complaints mechanisms</w:t>
            </w:r>
            <w:r w:rsidR="00A60D4B">
              <w:rPr>
                <w:webHidden/>
              </w:rPr>
              <w:tab/>
            </w:r>
            <w:r w:rsidR="00A60D4B">
              <w:rPr>
                <w:webHidden/>
              </w:rPr>
              <w:fldChar w:fldCharType="begin"/>
            </w:r>
            <w:r w:rsidR="00A60D4B">
              <w:rPr>
                <w:webHidden/>
              </w:rPr>
              <w:instrText xml:space="preserve"> PAGEREF _Toc198138594 \h </w:instrText>
            </w:r>
            <w:r w:rsidR="00A60D4B">
              <w:rPr>
                <w:webHidden/>
              </w:rPr>
            </w:r>
            <w:r w:rsidR="00A60D4B">
              <w:rPr>
                <w:webHidden/>
              </w:rPr>
              <w:fldChar w:fldCharType="separate"/>
            </w:r>
            <w:r w:rsidR="00F32107">
              <w:rPr>
                <w:webHidden/>
              </w:rPr>
              <w:t>78</w:t>
            </w:r>
            <w:r w:rsidR="00A60D4B">
              <w:rPr>
                <w:webHidden/>
              </w:rPr>
              <w:fldChar w:fldCharType="end"/>
            </w:r>
          </w:hyperlink>
        </w:p>
        <w:p w14:paraId="254AAF48" w14:textId="1FC3CE7C" w:rsidR="00A60D4B" w:rsidRDefault="00AB1438">
          <w:pPr>
            <w:pStyle w:val="TOC2"/>
            <w:rPr>
              <w:rFonts w:asciiTheme="minorHAnsi" w:hAnsiTheme="minorHAnsi"/>
              <w:iCs w:val="0"/>
              <w:color w:val="auto"/>
              <w:kern w:val="2"/>
              <w:sz w:val="24"/>
              <w:szCs w:val="24"/>
              <w:lang w:val="en-AU"/>
              <w14:ligatures w14:val="standardContextual"/>
            </w:rPr>
          </w:pPr>
          <w:hyperlink w:anchor="_Toc198138595" w:history="1">
            <w:r w:rsidR="00A60D4B" w:rsidRPr="007E7E46">
              <w:rPr>
                <w:rStyle w:val="Hyperlink"/>
              </w:rPr>
              <w:t>3.5</w:t>
            </w:r>
            <w:r w:rsidR="00A60D4B">
              <w:rPr>
                <w:rFonts w:asciiTheme="minorHAnsi" w:hAnsiTheme="minorHAnsi"/>
                <w:iCs w:val="0"/>
                <w:color w:val="auto"/>
                <w:kern w:val="2"/>
                <w:sz w:val="24"/>
                <w:szCs w:val="24"/>
                <w:lang w:val="en-AU"/>
                <w14:ligatures w14:val="standardContextual"/>
              </w:rPr>
              <w:tab/>
            </w:r>
            <w:r w:rsidR="00A60D4B" w:rsidRPr="007E7E46">
              <w:rPr>
                <w:rStyle w:val="Hyperlink"/>
              </w:rPr>
              <w:t>Impact of not addressing the policy problem</w:t>
            </w:r>
            <w:r w:rsidR="00A60D4B">
              <w:rPr>
                <w:webHidden/>
              </w:rPr>
              <w:tab/>
            </w:r>
            <w:r w:rsidR="00A60D4B">
              <w:rPr>
                <w:webHidden/>
              </w:rPr>
              <w:fldChar w:fldCharType="begin"/>
            </w:r>
            <w:r w:rsidR="00A60D4B">
              <w:rPr>
                <w:webHidden/>
              </w:rPr>
              <w:instrText xml:space="preserve"> PAGEREF _Toc198138595 \h </w:instrText>
            </w:r>
            <w:r w:rsidR="00A60D4B">
              <w:rPr>
                <w:webHidden/>
              </w:rPr>
            </w:r>
            <w:r w:rsidR="00A60D4B">
              <w:rPr>
                <w:webHidden/>
              </w:rPr>
              <w:fldChar w:fldCharType="separate"/>
            </w:r>
            <w:r w:rsidR="00F32107">
              <w:rPr>
                <w:webHidden/>
              </w:rPr>
              <w:t>82</w:t>
            </w:r>
            <w:r w:rsidR="00A60D4B">
              <w:rPr>
                <w:webHidden/>
              </w:rPr>
              <w:fldChar w:fldCharType="end"/>
            </w:r>
          </w:hyperlink>
        </w:p>
        <w:p w14:paraId="3D33204B" w14:textId="501FBCE3" w:rsidR="00A60D4B" w:rsidRDefault="00AB1438">
          <w:pPr>
            <w:pStyle w:val="TOC1"/>
            <w:rPr>
              <w:rFonts w:asciiTheme="minorHAnsi" w:hAnsiTheme="minorHAnsi"/>
              <w:bCs w:val="0"/>
              <w:color w:val="auto"/>
              <w:kern w:val="2"/>
              <w:sz w:val="24"/>
              <w:szCs w:val="24"/>
              <w:u w:val="none"/>
              <w14:ligatures w14:val="standardContextual"/>
            </w:rPr>
          </w:pPr>
          <w:hyperlink w:anchor="_Toc198138596" w:history="1">
            <w:r w:rsidR="00A60D4B" w:rsidRPr="007E7E46">
              <w:rPr>
                <w:rStyle w:val="Hyperlink"/>
              </w:rPr>
              <w:t>4</w:t>
            </w:r>
            <w:r w:rsidR="00A60D4B">
              <w:rPr>
                <w:rFonts w:asciiTheme="minorHAnsi" w:hAnsiTheme="minorHAnsi"/>
                <w:bCs w:val="0"/>
                <w:color w:val="auto"/>
                <w:kern w:val="2"/>
                <w:sz w:val="24"/>
                <w:szCs w:val="24"/>
                <w:u w:val="none"/>
                <w14:ligatures w14:val="standardContextual"/>
              </w:rPr>
              <w:tab/>
            </w:r>
            <w:r w:rsidR="00A60D4B" w:rsidRPr="007E7E46">
              <w:rPr>
                <w:rStyle w:val="Hyperlink"/>
              </w:rPr>
              <w:t>Why is government action needed?</w:t>
            </w:r>
            <w:r w:rsidR="00A60D4B">
              <w:rPr>
                <w:webHidden/>
              </w:rPr>
              <w:tab/>
            </w:r>
            <w:r w:rsidR="00A60D4B">
              <w:rPr>
                <w:webHidden/>
              </w:rPr>
              <w:fldChar w:fldCharType="begin"/>
            </w:r>
            <w:r w:rsidR="00A60D4B">
              <w:rPr>
                <w:webHidden/>
              </w:rPr>
              <w:instrText xml:space="preserve"> PAGEREF _Toc198138596 \h </w:instrText>
            </w:r>
            <w:r w:rsidR="00A60D4B">
              <w:rPr>
                <w:webHidden/>
              </w:rPr>
            </w:r>
            <w:r w:rsidR="00A60D4B">
              <w:rPr>
                <w:webHidden/>
              </w:rPr>
              <w:fldChar w:fldCharType="separate"/>
            </w:r>
            <w:r w:rsidR="00F32107">
              <w:rPr>
                <w:webHidden/>
              </w:rPr>
              <w:t>84</w:t>
            </w:r>
            <w:r w:rsidR="00A60D4B">
              <w:rPr>
                <w:webHidden/>
              </w:rPr>
              <w:fldChar w:fldCharType="end"/>
            </w:r>
          </w:hyperlink>
        </w:p>
        <w:p w14:paraId="6D6AAD7E" w14:textId="0E087EA3" w:rsidR="00A60D4B" w:rsidRDefault="00AB1438">
          <w:pPr>
            <w:pStyle w:val="TOC2"/>
            <w:rPr>
              <w:rFonts w:asciiTheme="minorHAnsi" w:hAnsiTheme="minorHAnsi"/>
              <w:iCs w:val="0"/>
              <w:color w:val="auto"/>
              <w:kern w:val="2"/>
              <w:sz w:val="24"/>
              <w:szCs w:val="24"/>
              <w:lang w:val="en-AU"/>
              <w14:ligatures w14:val="standardContextual"/>
            </w:rPr>
          </w:pPr>
          <w:hyperlink w:anchor="_Toc198138597" w:history="1">
            <w:r w:rsidR="00A60D4B" w:rsidRPr="007E7E46">
              <w:rPr>
                <w:rStyle w:val="Hyperlink"/>
              </w:rPr>
              <w:t>4.1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Rationale for government intervention</w:t>
            </w:r>
            <w:r w:rsidR="00A60D4B">
              <w:rPr>
                <w:webHidden/>
              </w:rPr>
              <w:tab/>
            </w:r>
            <w:r w:rsidR="00A60D4B">
              <w:rPr>
                <w:webHidden/>
              </w:rPr>
              <w:fldChar w:fldCharType="begin"/>
            </w:r>
            <w:r w:rsidR="00A60D4B">
              <w:rPr>
                <w:webHidden/>
              </w:rPr>
              <w:instrText xml:space="preserve"> PAGEREF _Toc198138597 \h </w:instrText>
            </w:r>
            <w:r w:rsidR="00A60D4B">
              <w:rPr>
                <w:webHidden/>
              </w:rPr>
            </w:r>
            <w:r w:rsidR="00A60D4B">
              <w:rPr>
                <w:webHidden/>
              </w:rPr>
              <w:fldChar w:fldCharType="separate"/>
            </w:r>
            <w:r w:rsidR="00F32107">
              <w:rPr>
                <w:webHidden/>
              </w:rPr>
              <w:t>85</w:t>
            </w:r>
            <w:r w:rsidR="00A60D4B">
              <w:rPr>
                <w:webHidden/>
              </w:rPr>
              <w:fldChar w:fldCharType="end"/>
            </w:r>
          </w:hyperlink>
        </w:p>
        <w:p w14:paraId="308EA938" w14:textId="45C46998" w:rsidR="00A60D4B" w:rsidRDefault="00AB1438">
          <w:pPr>
            <w:pStyle w:val="TOC2"/>
            <w:rPr>
              <w:rFonts w:asciiTheme="minorHAnsi" w:hAnsiTheme="minorHAnsi"/>
              <w:iCs w:val="0"/>
              <w:color w:val="auto"/>
              <w:kern w:val="2"/>
              <w:sz w:val="24"/>
              <w:szCs w:val="24"/>
              <w:lang w:val="en-AU"/>
              <w14:ligatures w14:val="standardContextual"/>
            </w:rPr>
          </w:pPr>
          <w:hyperlink w:anchor="_Toc198138598" w:history="1">
            <w:r w:rsidR="00A60D4B" w:rsidRPr="007E7E46">
              <w:rPr>
                <w:rStyle w:val="Hyperlink"/>
              </w:rPr>
              <w:t>4.2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Alternatives to government action</w:t>
            </w:r>
            <w:r w:rsidR="00A60D4B">
              <w:rPr>
                <w:webHidden/>
              </w:rPr>
              <w:tab/>
            </w:r>
            <w:r w:rsidR="00A60D4B">
              <w:rPr>
                <w:webHidden/>
              </w:rPr>
              <w:fldChar w:fldCharType="begin"/>
            </w:r>
            <w:r w:rsidR="00A60D4B">
              <w:rPr>
                <w:webHidden/>
              </w:rPr>
              <w:instrText xml:space="preserve"> PAGEREF _Toc198138598 \h </w:instrText>
            </w:r>
            <w:r w:rsidR="00A60D4B">
              <w:rPr>
                <w:webHidden/>
              </w:rPr>
            </w:r>
            <w:r w:rsidR="00A60D4B">
              <w:rPr>
                <w:webHidden/>
              </w:rPr>
              <w:fldChar w:fldCharType="separate"/>
            </w:r>
            <w:r w:rsidR="00F32107">
              <w:rPr>
                <w:webHidden/>
              </w:rPr>
              <w:t>88</w:t>
            </w:r>
            <w:r w:rsidR="00A60D4B">
              <w:rPr>
                <w:webHidden/>
              </w:rPr>
              <w:fldChar w:fldCharType="end"/>
            </w:r>
          </w:hyperlink>
        </w:p>
        <w:p w14:paraId="6BFE994A" w14:textId="60A1FF1F" w:rsidR="00A60D4B" w:rsidRDefault="00AB1438">
          <w:pPr>
            <w:pStyle w:val="TOC2"/>
            <w:rPr>
              <w:rFonts w:asciiTheme="minorHAnsi" w:hAnsiTheme="minorHAnsi"/>
              <w:iCs w:val="0"/>
              <w:color w:val="auto"/>
              <w:kern w:val="2"/>
              <w:sz w:val="24"/>
              <w:szCs w:val="24"/>
              <w:lang w:val="en-AU"/>
              <w14:ligatures w14:val="standardContextual"/>
            </w:rPr>
          </w:pPr>
          <w:hyperlink w:anchor="_Toc198138599" w:history="1">
            <w:r w:rsidR="00A60D4B" w:rsidRPr="007E7E46">
              <w:rPr>
                <w:rStyle w:val="Hyperlink"/>
              </w:rPr>
              <w:t>4.3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Objectives of government action</w:t>
            </w:r>
            <w:r w:rsidR="00A60D4B">
              <w:rPr>
                <w:webHidden/>
              </w:rPr>
              <w:tab/>
            </w:r>
            <w:r w:rsidR="00A60D4B">
              <w:rPr>
                <w:webHidden/>
              </w:rPr>
              <w:fldChar w:fldCharType="begin"/>
            </w:r>
            <w:r w:rsidR="00A60D4B">
              <w:rPr>
                <w:webHidden/>
              </w:rPr>
              <w:instrText xml:space="preserve"> PAGEREF _Toc198138599 \h </w:instrText>
            </w:r>
            <w:r w:rsidR="00A60D4B">
              <w:rPr>
                <w:webHidden/>
              </w:rPr>
            </w:r>
            <w:r w:rsidR="00A60D4B">
              <w:rPr>
                <w:webHidden/>
              </w:rPr>
              <w:fldChar w:fldCharType="separate"/>
            </w:r>
            <w:r w:rsidR="00F32107">
              <w:rPr>
                <w:webHidden/>
              </w:rPr>
              <w:t>89</w:t>
            </w:r>
            <w:r w:rsidR="00A60D4B">
              <w:rPr>
                <w:webHidden/>
              </w:rPr>
              <w:fldChar w:fldCharType="end"/>
            </w:r>
          </w:hyperlink>
        </w:p>
        <w:p w14:paraId="214BA4D2" w14:textId="42A8D1E5" w:rsidR="00A60D4B" w:rsidRDefault="00AB1438">
          <w:pPr>
            <w:pStyle w:val="TOC2"/>
            <w:rPr>
              <w:rFonts w:asciiTheme="minorHAnsi" w:hAnsiTheme="minorHAnsi"/>
              <w:iCs w:val="0"/>
              <w:color w:val="auto"/>
              <w:kern w:val="2"/>
              <w:sz w:val="24"/>
              <w:szCs w:val="24"/>
              <w:lang w:val="en-AU"/>
              <w14:ligatures w14:val="standardContextual"/>
            </w:rPr>
          </w:pPr>
          <w:hyperlink w:anchor="_Toc198138600" w:history="1">
            <w:r w:rsidR="00A60D4B" w:rsidRPr="007E7E46">
              <w:rPr>
                <w:rStyle w:val="Hyperlink"/>
              </w:rPr>
              <w:t>4.4</w:t>
            </w:r>
            <w:r w:rsidR="00A60D4B">
              <w:rPr>
                <w:rFonts w:asciiTheme="minorHAnsi" w:hAnsiTheme="minorHAnsi"/>
                <w:iCs w:val="0"/>
                <w:color w:val="auto"/>
                <w:kern w:val="2"/>
                <w:sz w:val="24"/>
                <w:szCs w:val="24"/>
                <w:lang w:val="en-AU"/>
                <w14:ligatures w14:val="standardContextual"/>
              </w:rPr>
              <w:tab/>
            </w:r>
            <w:r w:rsidR="00A60D4B" w:rsidRPr="007E7E46">
              <w:rPr>
                <w:rStyle w:val="Hyperlink"/>
              </w:rPr>
              <w:t>Constraints and barriers</w:t>
            </w:r>
            <w:r w:rsidR="00A60D4B">
              <w:rPr>
                <w:webHidden/>
              </w:rPr>
              <w:tab/>
            </w:r>
            <w:r w:rsidR="00A60D4B">
              <w:rPr>
                <w:webHidden/>
              </w:rPr>
              <w:fldChar w:fldCharType="begin"/>
            </w:r>
            <w:r w:rsidR="00A60D4B">
              <w:rPr>
                <w:webHidden/>
              </w:rPr>
              <w:instrText xml:space="preserve"> PAGEREF _Toc198138600 \h </w:instrText>
            </w:r>
            <w:r w:rsidR="00A60D4B">
              <w:rPr>
                <w:webHidden/>
              </w:rPr>
            </w:r>
            <w:r w:rsidR="00A60D4B">
              <w:rPr>
                <w:webHidden/>
              </w:rPr>
              <w:fldChar w:fldCharType="separate"/>
            </w:r>
            <w:r w:rsidR="00F32107">
              <w:rPr>
                <w:webHidden/>
              </w:rPr>
              <w:t>90</w:t>
            </w:r>
            <w:r w:rsidR="00A60D4B">
              <w:rPr>
                <w:webHidden/>
              </w:rPr>
              <w:fldChar w:fldCharType="end"/>
            </w:r>
          </w:hyperlink>
        </w:p>
        <w:p w14:paraId="6DFEC65B" w14:textId="614F54E4" w:rsidR="00A60D4B" w:rsidRDefault="00AB1438">
          <w:pPr>
            <w:pStyle w:val="TOC1"/>
            <w:rPr>
              <w:rFonts w:asciiTheme="minorHAnsi" w:hAnsiTheme="minorHAnsi"/>
              <w:bCs w:val="0"/>
              <w:color w:val="auto"/>
              <w:kern w:val="2"/>
              <w:sz w:val="24"/>
              <w:szCs w:val="24"/>
              <w:u w:val="none"/>
              <w14:ligatures w14:val="standardContextual"/>
            </w:rPr>
          </w:pPr>
          <w:hyperlink w:anchor="_Toc198138601" w:history="1">
            <w:r w:rsidR="00A60D4B" w:rsidRPr="007E7E46">
              <w:rPr>
                <w:rStyle w:val="Hyperlink"/>
              </w:rPr>
              <w:t>5</w:t>
            </w:r>
            <w:r w:rsidR="00A60D4B">
              <w:rPr>
                <w:rFonts w:asciiTheme="minorHAnsi" w:hAnsiTheme="minorHAnsi"/>
                <w:bCs w:val="0"/>
                <w:color w:val="auto"/>
                <w:kern w:val="2"/>
                <w:sz w:val="24"/>
                <w:szCs w:val="24"/>
                <w:u w:val="none"/>
                <w14:ligatures w14:val="standardContextual"/>
              </w:rPr>
              <w:tab/>
            </w:r>
            <w:r w:rsidR="00A60D4B" w:rsidRPr="007E7E46">
              <w:rPr>
                <w:rStyle w:val="Hyperlink"/>
              </w:rPr>
              <w:t>What policy options are to be considered?</w:t>
            </w:r>
            <w:r w:rsidR="00A60D4B">
              <w:rPr>
                <w:webHidden/>
              </w:rPr>
              <w:tab/>
            </w:r>
            <w:r w:rsidR="00A60D4B">
              <w:rPr>
                <w:webHidden/>
              </w:rPr>
              <w:fldChar w:fldCharType="begin"/>
            </w:r>
            <w:r w:rsidR="00A60D4B">
              <w:rPr>
                <w:webHidden/>
              </w:rPr>
              <w:instrText xml:space="preserve"> PAGEREF _Toc198138601 \h </w:instrText>
            </w:r>
            <w:r w:rsidR="00A60D4B">
              <w:rPr>
                <w:webHidden/>
              </w:rPr>
            </w:r>
            <w:r w:rsidR="00A60D4B">
              <w:rPr>
                <w:webHidden/>
              </w:rPr>
              <w:fldChar w:fldCharType="separate"/>
            </w:r>
            <w:r w:rsidR="00F32107">
              <w:rPr>
                <w:webHidden/>
              </w:rPr>
              <w:t>92</w:t>
            </w:r>
            <w:r w:rsidR="00A60D4B">
              <w:rPr>
                <w:webHidden/>
              </w:rPr>
              <w:fldChar w:fldCharType="end"/>
            </w:r>
          </w:hyperlink>
        </w:p>
        <w:p w14:paraId="620C887E" w14:textId="1B2E0DA4" w:rsidR="00A60D4B" w:rsidRDefault="00AB1438">
          <w:pPr>
            <w:pStyle w:val="TOC2"/>
            <w:rPr>
              <w:rFonts w:asciiTheme="minorHAnsi" w:hAnsiTheme="minorHAnsi"/>
              <w:iCs w:val="0"/>
              <w:color w:val="auto"/>
              <w:kern w:val="2"/>
              <w:sz w:val="24"/>
              <w:szCs w:val="24"/>
              <w:lang w:val="en-AU"/>
              <w14:ligatures w14:val="standardContextual"/>
            </w:rPr>
          </w:pPr>
          <w:hyperlink w:anchor="_Toc198138602" w:history="1">
            <w:r w:rsidR="00A60D4B" w:rsidRPr="007E7E46">
              <w:rPr>
                <w:rStyle w:val="Hyperlink"/>
              </w:rPr>
              <w:t>5.1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Options excluded from impact analysis</w:t>
            </w:r>
            <w:r w:rsidR="00A60D4B">
              <w:rPr>
                <w:webHidden/>
              </w:rPr>
              <w:tab/>
            </w:r>
            <w:r w:rsidR="00A60D4B">
              <w:rPr>
                <w:webHidden/>
              </w:rPr>
              <w:fldChar w:fldCharType="begin"/>
            </w:r>
            <w:r w:rsidR="00A60D4B">
              <w:rPr>
                <w:webHidden/>
              </w:rPr>
              <w:instrText xml:space="preserve"> PAGEREF _Toc198138602 \h </w:instrText>
            </w:r>
            <w:r w:rsidR="00A60D4B">
              <w:rPr>
                <w:webHidden/>
              </w:rPr>
            </w:r>
            <w:r w:rsidR="00A60D4B">
              <w:rPr>
                <w:webHidden/>
              </w:rPr>
              <w:fldChar w:fldCharType="separate"/>
            </w:r>
            <w:r w:rsidR="00F32107">
              <w:rPr>
                <w:webHidden/>
              </w:rPr>
              <w:t>93</w:t>
            </w:r>
            <w:r w:rsidR="00A60D4B">
              <w:rPr>
                <w:webHidden/>
              </w:rPr>
              <w:fldChar w:fldCharType="end"/>
            </w:r>
          </w:hyperlink>
        </w:p>
        <w:p w14:paraId="15DD384C" w14:textId="0943F201" w:rsidR="00A60D4B" w:rsidRDefault="00AB1438">
          <w:pPr>
            <w:pStyle w:val="TOC3"/>
            <w:rPr>
              <w:rFonts w:asciiTheme="minorHAnsi" w:hAnsiTheme="minorHAnsi"/>
              <w:color w:val="auto"/>
              <w:kern w:val="2"/>
              <w:sz w:val="24"/>
              <w:szCs w:val="24"/>
              <w:lang w:val="en-AU"/>
              <w14:ligatures w14:val="standardContextual"/>
            </w:rPr>
          </w:pPr>
          <w:hyperlink w:anchor="_Toc198138603" w:history="1">
            <w:r w:rsidR="00A60D4B" w:rsidRPr="007E7E46">
              <w:rPr>
                <w:rStyle w:val="Hyperlink"/>
                <w:b/>
              </w:rPr>
              <w:t>5.1.1</w:t>
            </w:r>
            <w:r w:rsidR="00A60D4B">
              <w:rPr>
                <w:rFonts w:asciiTheme="minorHAnsi" w:hAnsiTheme="minorHAnsi"/>
                <w:color w:val="auto"/>
                <w:kern w:val="2"/>
                <w:sz w:val="24"/>
                <w:szCs w:val="24"/>
                <w:lang w:val="en-AU"/>
                <w14:ligatures w14:val="standardContextual"/>
              </w:rPr>
              <w:tab/>
            </w:r>
            <w:r w:rsidR="00A60D4B" w:rsidRPr="007E7E46">
              <w:rPr>
                <w:rStyle w:val="Hyperlink"/>
              </w:rPr>
              <w:t>Consolidation of the two audiology-specific PPBs to a single PPB</w:t>
            </w:r>
            <w:r w:rsidR="00A60D4B">
              <w:rPr>
                <w:webHidden/>
              </w:rPr>
              <w:tab/>
            </w:r>
            <w:r w:rsidR="00A60D4B">
              <w:rPr>
                <w:webHidden/>
              </w:rPr>
              <w:fldChar w:fldCharType="begin"/>
            </w:r>
            <w:r w:rsidR="00A60D4B">
              <w:rPr>
                <w:webHidden/>
              </w:rPr>
              <w:instrText xml:space="preserve"> PAGEREF _Toc198138603 \h </w:instrText>
            </w:r>
            <w:r w:rsidR="00A60D4B">
              <w:rPr>
                <w:webHidden/>
              </w:rPr>
            </w:r>
            <w:r w:rsidR="00A60D4B">
              <w:rPr>
                <w:webHidden/>
              </w:rPr>
              <w:fldChar w:fldCharType="separate"/>
            </w:r>
            <w:r w:rsidR="00F32107">
              <w:rPr>
                <w:webHidden/>
              </w:rPr>
              <w:t>93</w:t>
            </w:r>
            <w:r w:rsidR="00A60D4B">
              <w:rPr>
                <w:webHidden/>
              </w:rPr>
              <w:fldChar w:fldCharType="end"/>
            </w:r>
          </w:hyperlink>
        </w:p>
        <w:p w14:paraId="62C56C03" w14:textId="5516A085" w:rsidR="00A60D4B" w:rsidRDefault="00AB1438">
          <w:pPr>
            <w:pStyle w:val="TOC3"/>
            <w:rPr>
              <w:rFonts w:asciiTheme="minorHAnsi" w:hAnsiTheme="minorHAnsi"/>
              <w:color w:val="auto"/>
              <w:kern w:val="2"/>
              <w:sz w:val="24"/>
              <w:szCs w:val="24"/>
              <w:lang w:val="en-AU"/>
              <w14:ligatures w14:val="standardContextual"/>
            </w:rPr>
          </w:pPr>
          <w:hyperlink w:anchor="_Toc198138604" w:history="1">
            <w:r w:rsidR="00A60D4B" w:rsidRPr="007E7E46">
              <w:rPr>
                <w:rStyle w:val="Hyperlink"/>
                <w:b/>
              </w:rPr>
              <w:t>5.1.2</w:t>
            </w:r>
            <w:r w:rsidR="00A60D4B">
              <w:rPr>
                <w:rFonts w:asciiTheme="minorHAnsi" w:hAnsiTheme="minorHAnsi"/>
                <w:color w:val="auto"/>
                <w:kern w:val="2"/>
                <w:sz w:val="24"/>
                <w:szCs w:val="24"/>
                <w:lang w:val="en-AU"/>
                <w14:ligatures w14:val="standardContextual"/>
              </w:rPr>
              <w:tab/>
            </w:r>
            <w:r w:rsidR="00A60D4B" w:rsidRPr="007E7E46">
              <w:rPr>
                <w:rStyle w:val="Hyperlink"/>
              </w:rPr>
              <w:t>License private providers of audiology services</w:t>
            </w:r>
            <w:r w:rsidR="00A60D4B">
              <w:rPr>
                <w:webHidden/>
              </w:rPr>
              <w:tab/>
            </w:r>
            <w:r w:rsidR="00A60D4B">
              <w:rPr>
                <w:webHidden/>
              </w:rPr>
              <w:fldChar w:fldCharType="begin"/>
            </w:r>
            <w:r w:rsidR="00A60D4B">
              <w:rPr>
                <w:webHidden/>
              </w:rPr>
              <w:instrText xml:space="preserve"> PAGEREF _Toc198138604 \h </w:instrText>
            </w:r>
            <w:r w:rsidR="00A60D4B">
              <w:rPr>
                <w:webHidden/>
              </w:rPr>
            </w:r>
            <w:r w:rsidR="00A60D4B">
              <w:rPr>
                <w:webHidden/>
              </w:rPr>
              <w:fldChar w:fldCharType="separate"/>
            </w:r>
            <w:r w:rsidR="00F32107">
              <w:rPr>
                <w:webHidden/>
              </w:rPr>
              <w:t>94</w:t>
            </w:r>
            <w:r w:rsidR="00A60D4B">
              <w:rPr>
                <w:webHidden/>
              </w:rPr>
              <w:fldChar w:fldCharType="end"/>
            </w:r>
          </w:hyperlink>
        </w:p>
        <w:p w14:paraId="4ACD95F7" w14:textId="3541A735" w:rsidR="00A60D4B" w:rsidRDefault="00AB1438">
          <w:pPr>
            <w:pStyle w:val="TOC3"/>
            <w:rPr>
              <w:rFonts w:asciiTheme="minorHAnsi" w:hAnsiTheme="minorHAnsi"/>
              <w:color w:val="auto"/>
              <w:kern w:val="2"/>
              <w:sz w:val="24"/>
              <w:szCs w:val="24"/>
              <w:lang w:val="en-AU"/>
              <w14:ligatures w14:val="standardContextual"/>
            </w:rPr>
          </w:pPr>
          <w:hyperlink w:anchor="_Toc198138605" w:history="1">
            <w:r w:rsidR="00A60D4B" w:rsidRPr="007E7E46">
              <w:rPr>
                <w:rStyle w:val="Hyperlink"/>
                <w:b/>
              </w:rPr>
              <w:t>5.1.3</w:t>
            </w:r>
            <w:r w:rsidR="00A60D4B">
              <w:rPr>
                <w:rFonts w:asciiTheme="minorHAnsi" w:hAnsiTheme="minorHAnsi"/>
                <w:color w:val="auto"/>
                <w:kern w:val="2"/>
                <w:sz w:val="24"/>
                <w:szCs w:val="24"/>
                <w:lang w:val="en-AU"/>
                <w14:ligatures w14:val="standardContextual"/>
              </w:rPr>
              <w:tab/>
            </w:r>
            <w:r w:rsidR="00A60D4B" w:rsidRPr="007E7E46">
              <w:rPr>
                <w:rStyle w:val="Hyperlink"/>
              </w:rPr>
              <w:t>Regulation of audiologists that perform paediatric diagnostic and cochlear implant care services</w:t>
            </w:r>
            <w:r w:rsidR="00A60D4B">
              <w:rPr>
                <w:webHidden/>
              </w:rPr>
              <w:tab/>
            </w:r>
            <w:r w:rsidR="00A60D4B">
              <w:rPr>
                <w:webHidden/>
              </w:rPr>
              <w:fldChar w:fldCharType="begin"/>
            </w:r>
            <w:r w:rsidR="00A60D4B">
              <w:rPr>
                <w:webHidden/>
              </w:rPr>
              <w:instrText xml:space="preserve"> PAGEREF _Toc198138605 \h </w:instrText>
            </w:r>
            <w:r w:rsidR="00A60D4B">
              <w:rPr>
                <w:webHidden/>
              </w:rPr>
            </w:r>
            <w:r w:rsidR="00A60D4B">
              <w:rPr>
                <w:webHidden/>
              </w:rPr>
              <w:fldChar w:fldCharType="separate"/>
            </w:r>
            <w:r w:rsidR="00F32107">
              <w:rPr>
                <w:webHidden/>
              </w:rPr>
              <w:t>95</w:t>
            </w:r>
            <w:r w:rsidR="00A60D4B">
              <w:rPr>
                <w:webHidden/>
              </w:rPr>
              <w:fldChar w:fldCharType="end"/>
            </w:r>
          </w:hyperlink>
        </w:p>
        <w:p w14:paraId="4BFF0DA1" w14:textId="666CACDC" w:rsidR="00A60D4B" w:rsidRDefault="00AB1438">
          <w:pPr>
            <w:pStyle w:val="TOC2"/>
            <w:rPr>
              <w:rFonts w:asciiTheme="minorHAnsi" w:hAnsiTheme="minorHAnsi"/>
              <w:iCs w:val="0"/>
              <w:color w:val="auto"/>
              <w:kern w:val="2"/>
              <w:sz w:val="24"/>
              <w:szCs w:val="24"/>
              <w:lang w:val="en-AU"/>
              <w14:ligatures w14:val="standardContextual"/>
            </w:rPr>
          </w:pPr>
          <w:hyperlink w:anchor="_Toc198138606" w:history="1">
            <w:r w:rsidR="00A60D4B" w:rsidRPr="007E7E46">
              <w:rPr>
                <w:rStyle w:val="Hyperlink"/>
              </w:rPr>
              <w:t>5.2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Options retained for impact analysis</w:t>
            </w:r>
            <w:r w:rsidR="00A60D4B">
              <w:rPr>
                <w:webHidden/>
              </w:rPr>
              <w:tab/>
            </w:r>
            <w:r w:rsidR="00A60D4B">
              <w:rPr>
                <w:webHidden/>
              </w:rPr>
              <w:fldChar w:fldCharType="begin"/>
            </w:r>
            <w:r w:rsidR="00A60D4B">
              <w:rPr>
                <w:webHidden/>
              </w:rPr>
              <w:instrText xml:space="preserve"> PAGEREF _Toc198138606 \h </w:instrText>
            </w:r>
            <w:r w:rsidR="00A60D4B">
              <w:rPr>
                <w:webHidden/>
              </w:rPr>
            </w:r>
            <w:r w:rsidR="00A60D4B">
              <w:rPr>
                <w:webHidden/>
              </w:rPr>
              <w:fldChar w:fldCharType="separate"/>
            </w:r>
            <w:r w:rsidR="00F32107">
              <w:rPr>
                <w:webHidden/>
              </w:rPr>
              <w:t>96</w:t>
            </w:r>
            <w:r w:rsidR="00A60D4B">
              <w:rPr>
                <w:webHidden/>
              </w:rPr>
              <w:fldChar w:fldCharType="end"/>
            </w:r>
          </w:hyperlink>
        </w:p>
        <w:p w14:paraId="12BABEB8" w14:textId="43C1F0E4" w:rsidR="00A60D4B" w:rsidRDefault="00AB1438">
          <w:pPr>
            <w:pStyle w:val="TOC3"/>
            <w:rPr>
              <w:rFonts w:asciiTheme="minorHAnsi" w:hAnsiTheme="minorHAnsi"/>
              <w:color w:val="auto"/>
              <w:kern w:val="2"/>
              <w:sz w:val="24"/>
              <w:szCs w:val="24"/>
              <w:lang w:val="en-AU"/>
              <w14:ligatures w14:val="standardContextual"/>
            </w:rPr>
          </w:pPr>
          <w:hyperlink w:anchor="_Toc198138607" w:history="1">
            <w:r w:rsidR="00A60D4B" w:rsidRPr="007E7E46">
              <w:rPr>
                <w:rStyle w:val="Hyperlink"/>
                <w:b/>
              </w:rPr>
              <w:t>5.2.1</w:t>
            </w:r>
            <w:r w:rsidR="00A60D4B">
              <w:rPr>
                <w:rFonts w:asciiTheme="minorHAnsi" w:hAnsiTheme="minorHAnsi"/>
                <w:color w:val="auto"/>
                <w:kern w:val="2"/>
                <w:sz w:val="24"/>
                <w:szCs w:val="24"/>
                <w:lang w:val="en-AU"/>
                <w14:ligatures w14:val="standardContextual"/>
              </w:rPr>
              <w:tab/>
            </w:r>
            <w:r w:rsidR="00A60D4B" w:rsidRPr="007E7E46">
              <w:rPr>
                <w:rStyle w:val="Hyperlink"/>
              </w:rPr>
              <w:t>Status Quo (Current State)</w:t>
            </w:r>
            <w:r w:rsidR="00A60D4B">
              <w:rPr>
                <w:webHidden/>
              </w:rPr>
              <w:tab/>
            </w:r>
            <w:r w:rsidR="00A60D4B">
              <w:rPr>
                <w:webHidden/>
              </w:rPr>
              <w:fldChar w:fldCharType="begin"/>
            </w:r>
            <w:r w:rsidR="00A60D4B">
              <w:rPr>
                <w:webHidden/>
              </w:rPr>
              <w:instrText xml:space="preserve"> PAGEREF _Toc198138607 \h </w:instrText>
            </w:r>
            <w:r w:rsidR="00A60D4B">
              <w:rPr>
                <w:webHidden/>
              </w:rPr>
            </w:r>
            <w:r w:rsidR="00A60D4B">
              <w:rPr>
                <w:webHidden/>
              </w:rPr>
              <w:fldChar w:fldCharType="separate"/>
            </w:r>
            <w:r w:rsidR="00F32107">
              <w:rPr>
                <w:webHidden/>
              </w:rPr>
              <w:t>96</w:t>
            </w:r>
            <w:r w:rsidR="00A60D4B">
              <w:rPr>
                <w:webHidden/>
              </w:rPr>
              <w:fldChar w:fldCharType="end"/>
            </w:r>
          </w:hyperlink>
        </w:p>
        <w:p w14:paraId="21335B88" w14:textId="648AF559" w:rsidR="00A60D4B" w:rsidRDefault="00AB1438">
          <w:pPr>
            <w:pStyle w:val="TOC3"/>
            <w:rPr>
              <w:rFonts w:asciiTheme="minorHAnsi" w:hAnsiTheme="minorHAnsi"/>
              <w:color w:val="auto"/>
              <w:kern w:val="2"/>
              <w:sz w:val="24"/>
              <w:szCs w:val="24"/>
              <w:lang w:val="en-AU"/>
              <w14:ligatures w14:val="standardContextual"/>
            </w:rPr>
          </w:pPr>
          <w:hyperlink w:anchor="_Toc198138608" w:history="1">
            <w:r w:rsidR="00A60D4B" w:rsidRPr="007E7E46">
              <w:rPr>
                <w:rStyle w:val="Hyperlink"/>
                <w:b/>
              </w:rPr>
              <w:t>5.2.2</w:t>
            </w:r>
            <w:r w:rsidR="00A60D4B">
              <w:rPr>
                <w:rFonts w:asciiTheme="minorHAnsi" w:hAnsiTheme="minorHAnsi"/>
                <w:color w:val="auto"/>
                <w:kern w:val="2"/>
                <w:sz w:val="24"/>
                <w:szCs w:val="24"/>
                <w:lang w:val="en-AU"/>
                <w14:ligatures w14:val="standardContextual"/>
              </w:rPr>
              <w:tab/>
            </w:r>
            <w:r w:rsidR="00A60D4B" w:rsidRPr="007E7E46">
              <w:rPr>
                <w:rStyle w:val="Hyperlink"/>
              </w:rPr>
              <w:t>Mandatory membership of a PPB (modified to Strengthened Status Quo)</w:t>
            </w:r>
            <w:r w:rsidR="00A60D4B">
              <w:rPr>
                <w:webHidden/>
              </w:rPr>
              <w:tab/>
            </w:r>
            <w:r w:rsidR="00A60D4B">
              <w:rPr>
                <w:webHidden/>
              </w:rPr>
              <w:fldChar w:fldCharType="begin"/>
            </w:r>
            <w:r w:rsidR="00A60D4B">
              <w:rPr>
                <w:webHidden/>
              </w:rPr>
              <w:instrText xml:space="preserve"> PAGEREF _Toc198138608 \h </w:instrText>
            </w:r>
            <w:r w:rsidR="00A60D4B">
              <w:rPr>
                <w:webHidden/>
              </w:rPr>
            </w:r>
            <w:r w:rsidR="00A60D4B">
              <w:rPr>
                <w:webHidden/>
              </w:rPr>
              <w:fldChar w:fldCharType="separate"/>
            </w:r>
            <w:r w:rsidR="00F32107">
              <w:rPr>
                <w:webHidden/>
              </w:rPr>
              <w:t>98</w:t>
            </w:r>
            <w:r w:rsidR="00A60D4B">
              <w:rPr>
                <w:webHidden/>
              </w:rPr>
              <w:fldChar w:fldCharType="end"/>
            </w:r>
          </w:hyperlink>
        </w:p>
        <w:p w14:paraId="4A4B3D35" w14:textId="2AD78078" w:rsidR="00A60D4B" w:rsidRDefault="00AB1438">
          <w:pPr>
            <w:pStyle w:val="TOC3"/>
            <w:rPr>
              <w:rFonts w:asciiTheme="minorHAnsi" w:hAnsiTheme="minorHAnsi"/>
              <w:color w:val="auto"/>
              <w:kern w:val="2"/>
              <w:sz w:val="24"/>
              <w:szCs w:val="24"/>
              <w:lang w:val="en-AU"/>
              <w14:ligatures w14:val="standardContextual"/>
            </w:rPr>
          </w:pPr>
          <w:hyperlink w:anchor="_Toc198138609" w:history="1">
            <w:r w:rsidR="00A60D4B" w:rsidRPr="007E7E46">
              <w:rPr>
                <w:rStyle w:val="Hyperlink"/>
                <w:b/>
              </w:rPr>
              <w:t>5.2.3</w:t>
            </w:r>
            <w:r w:rsidR="00A60D4B">
              <w:rPr>
                <w:rFonts w:asciiTheme="minorHAnsi" w:hAnsiTheme="minorHAnsi"/>
                <w:color w:val="auto"/>
                <w:kern w:val="2"/>
                <w:sz w:val="24"/>
                <w:szCs w:val="24"/>
                <w:lang w:val="en-AU"/>
                <w14:ligatures w14:val="standardContextual"/>
              </w:rPr>
              <w:tab/>
            </w:r>
            <w:r w:rsidR="00A60D4B" w:rsidRPr="007E7E46">
              <w:rPr>
                <w:rStyle w:val="Hyperlink"/>
              </w:rPr>
              <w:t>Jurisdictional Registration of audiology profession</w:t>
            </w:r>
            <w:r w:rsidR="00A60D4B">
              <w:rPr>
                <w:webHidden/>
              </w:rPr>
              <w:tab/>
            </w:r>
            <w:r w:rsidR="00A60D4B">
              <w:rPr>
                <w:webHidden/>
              </w:rPr>
              <w:fldChar w:fldCharType="begin"/>
            </w:r>
            <w:r w:rsidR="00A60D4B">
              <w:rPr>
                <w:webHidden/>
              </w:rPr>
              <w:instrText xml:space="preserve"> PAGEREF _Toc198138609 \h </w:instrText>
            </w:r>
            <w:r w:rsidR="00A60D4B">
              <w:rPr>
                <w:webHidden/>
              </w:rPr>
            </w:r>
            <w:r w:rsidR="00A60D4B">
              <w:rPr>
                <w:webHidden/>
              </w:rPr>
              <w:fldChar w:fldCharType="separate"/>
            </w:r>
            <w:r w:rsidR="00F32107">
              <w:rPr>
                <w:webHidden/>
              </w:rPr>
              <w:t>99</w:t>
            </w:r>
            <w:r w:rsidR="00A60D4B">
              <w:rPr>
                <w:webHidden/>
              </w:rPr>
              <w:fldChar w:fldCharType="end"/>
            </w:r>
          </w:hyperlink>
        </w:p>
        <w:p w14:paraId="4377FB10" w14:textId="44748293" w:rsidR="00A60D4B" w:rsidRDefault="00AB1438">
          <w:pPr>
            <w:pStyle w:val="TOC3"/>
            <w:rPr>
              <w:rFonts w:asciiTheme="minorHAnsi" w:hAnsiTheme="minorHAnsi"/>
              <w:color w:val="auto"/>
              <w:kern w:val="2"/>
              <w:sz w:val="24"/>
              <w:szCs w:val="24"/>
              <w:lang w:val="en-AU"/>
              <w14:ligatures w14:val="standardContextual"/>
            </w:rPr>
          </w:pPr>
          <w:hyperlink w:anchor="_Toc198138610" w:history="1">
            <w:r w:rsidR="00A60D4B" w:rsidRPr="007E7E46">
              <w:rPr>
                <w:rStyle w:val="Hyperlink"/>
                <w:b/>
              </w:rPr>
              <w:t>5.2.4</w:t>
            </w:r>
            <w:r w:rsidR="00A60D4B">
              <w:rPr>
                <w:rFonts w:asciiTheme="minorHAnsi" w:hAnsiTheme="minorHAnsi"/>
                <w:color w:val="auto"/>
                <w:kern w:val="2"/>
                <w:sz w:val="24"/>
                <w:szCs w:val="24"/>
                <w:lang w:val="en-AU"/>
                <w14:ligatures w14:val="standardContextual"/>
              </w:rPr>
              <w:tab/>
            </w:r>
            <w:r w:rsidR="00A60D4B" w:rsidRPr="007E7E46">
              <w:rPr>
                <w:rStyle w:val="Hyperlink"/>
              </w:rPr>
              <w:t>National Registration of audiology profession under the NRAS</w:t>
            </w:r>
            <w:r w:rsidR="00A60D4B">
              <w:rPr>
                <w:webHidden/>
              </w:rPr>
              <w:tab/>
            </w:r>
            <w:r w:rsidR="00A60D4B">
              <w:rPr>
                <w:webHidden/>
              </w:rPr>
              <w:fldChar w:fldCharType="begin"/>
            </w:r>
            <w:r w:rsidR="00A60D4B">
              <w:rPr>
                <w:webHidden/>
              </w:rPr>
              <w:instrText xml:space="preserve"> PAGEREF _Toc198138610 \h </w:instrText>
            </w:r>
            <w:r w:rsidR="00A60D4B">
              <w:rPr>
                <w:webHidden/>
              </w:rPr>
            </w:r>
            <w:r w:rsidR="00A60D4B">
              <w:rPr>
                <w:webHidden/>
              </w:rPr>
              <w:fldChar w:fldCharType="separate"/>
            </w:r>
            <w:r w:rsidR="00F32107">
              <w:rPr>
                <w:webHidden/>
              </w:rPr>
              <w:t>101</w:t>
            </w:r>
            <w:r w:rsidR="00A60D4B">
              <w:rPr>
                <w:webHidden/>
              </w:rPr>
              <w:fldChar w:fldCharType="end"/>
            </w:r>
          </w:hyperlink>
        </w:p>
        <w:p w14:paraId="6CE7625C" w14:textId="6725B97A" w:rsidR="00A60D4B" w:rsidRDefault="00AB1438">
          <w:pPr>
            <w:pStyle w:val="TOC2"/>
            <w:rPr>
              <w:rFonts w:asciiTheme="minorHAnsi" w:hAnsiTheme="minorHAnsi"/>
              <w:iCs w:val="0"/>
              <w:color w:val="auto"/>
              <w:kern w:val="2"/>
              <w:sz w:val="24"/>
              <w:szCs w:val="24"/>
              <w:lang w:val="en-AU"/>
              <w14:ligatures w14:val="standardContextual"/>
            </w:rPr>
          </w:pPr>
          <w:hyperlink w:anchor="_Toc198138611" w:history="1">
            <w:r w:rsidR="00A60D4B" w:rsidRPr="007E7E46">
              <w:rPr>
                <w:rStyle w:val="Hyperlink"/>
              </w:rPr>
              <w:t>5.3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Summary</w:t>
            </w:r>
            <w:r w:rsidR="00A60D4B">
              <w:rPr>
                <w:webHidden/>
              </w:rPr>
              <w:tab/>
            </w:r>
            <w:r w:rsidR="00A60D4B">
              <w:rPr>
                <w:webHidden/>
              </w:rPr>
              <w:fldChar w:fldCharType="begin"/>
            </w:r>
            <w:r w:rsidR="00A60D4B">
              <w:rPr>
                <w:webHidden/>
              </w:rPr>
              <w:instrText xml:space="preserve"> PAGEREF _Toc198138611 \h </w:instrText>
            </w:r>
            <w:r w:rsidR="00A60D4B">
              <w:rPr>
                <w:webHidden/>
              </w:rPr>
            </w:r>
            <w:r w:rsidR="00A60D4B">
              <w:rPr>
                <w:webHidden/>
              </w:rPr>
              <w:fldChar w:fldCharType="separate"/>
            </w:r>
            <w:r w:rsidR="00F32107">
              <w:rPr>
                <w:webHidden/>
              </w:rPr>
              <w:t>104</w:t>
            </w:r>
            <w:r w:rsidR="00A60D4B">
              <w:rPr>
                <w:webHidden/>
              </w:rPr>
              <w:fldChar w:fldCharType="end"/>
            </w:r>
          </w:hyperlink>
        </w:p>
        <w:p w14:paraId="03B5638E" w14:textId="73311F96" w:rsidR="00A60D4B" w:rsidRDefault="00AB1438">
          <w:pPr>
            <w:pStyle w:val="TOC1"/>
            <w:rPr>
              <w:rFonts w:asciiTheme="minorHAnsi" w:hAnsiTheme="minorHAnsi"/>
              <w:bCs w:val="0"/>
              <w:color w:val="auto"/>
              <w:kern w:val="2"/>
              <w:sz w:val="24"/>
              <w:szCs w:val="24"/>
              <w:u w:val="none"/>
              <w14:ligatures w14:val="standardContextual"/>
            </w:rPr>
          </w:pPr>
          <w:hyperlink w:anchor="_Toc198138612" w:history="1">
            <w:r w:rsidR="00A60D4B" w:rsidRPr="007E7E46">
              <w:rPr>
                <w:rStyle w:val="Hyperlink"/>
              </w:rPr>
              <w:t>6</w:t>
            </w:r>
            <w:r w:rsidR="00A60D4B">
              <w:rPr>
                <w:rFonts w:asciiTheme="minorHAnsi" w:hAnsiTheme="minorHAnsi"/>
                <w:bCs w:val="0"/>
                <w:color w:val="auto"/>
                <w:kern w:val="2"/>
                <w:sz w:val="24"/>
                <w:szCs w:val="24"/>
                <w:u w:val="none"/>
                <w14:ligatures w14:val="standardContextual"/>
              </w:rPr>
              <w:tab/>
            </w:r>
            <w:r w:rsidR="00A60D4B" w:rsidRPr="007E7E46">
              <w:rPr>
                <w:rStyle w:val="Hyperlink"/>
              </w:rPr>
              <w:t>Who was consulted and how was their feedback incorporated?</w:t>
            </w:r>
            <w:r w:rsidR="00A60D4B">
              <w:rPr>
                <w:webHidden/>
              </w:rPr>
              <w:tab/>
            </w:r>
            <w:r w:rsidR="00A60D4B">
              <w:rPr>
                <w:webHidden/>
              </w:rPr>
              <w:fldChar w:fldCharType="begin"/>
            </w:r>
            <w:r w:rsidR="00A60D4B">
              <w:rPr>
                <w:webHidden/>
              </w:rPr>
              <w:instrText xml:space="preserve"> PAGEREF _Toc198138612 \h </w:instrText>
            </w:r>
            <w:r w:rsidR="00A60D4B">
              <w:rPr>
                <w:webHidden/>
              </w:rPr>
            </w:r>
            <w:r w:rsidR="00A60D4B">
              <w:rPr>
                <w:webHidden/>
              </w:rPr>
              <w:fldChar w:fldCharType="separate"/>
            </w:r>
            <w:r w:rsidR="00F32107">
              <w:rPr>
                <w:webHidden/>
              </w:rPr>
              <w:t>106</w:t>
            </w:r>
            <w:r w:rsidR="00A60D4B">
              <w:rPr>
                <w:webHidden/>
              </w:rPr>
              <w:fldChar w:fldCharType="end"/>
            </w:r>
          </w:hyperlink>
        </w:p>
        <w:p w14:paraId="60B8E313" w14:textId="11EE8397" w:rsidR="00A60D4B" w:rsidRDefault="00AB1438">
          <w:pPr>
            <w:pStyle w:val="TOC2"/>
            <w:rPr>
              <w:rFonts w:asciiTheme="minorHAnsi" w:hAnsiTheme="minorHAnsi"/>
              <w:iCs w:val="0"/>
              <w:color w:val="auto"/>
              <w:kern w:val="2"/>
              <w:sz w:val="24"/>
              <w:szCs w:val="24"/>
              <w:lang w:val="en-AU"/>
              <w14:ligatures w14:val="standardContextual"/>
            </w:rPr>
          </w:pPr>
          <w:hyperlink w:anchor="_Toc198138613" w:history="1">
            <w:r w:rsidR="00A60D4B" w:rsidRPr="007E7E46">
              <w:rPr>
                <w:rStyle w:val="Hyperlink"/>
              </w:rPr>
              <w:t>6.1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Overview</w:t>
            </w:r>
            <w:r w:rsidR="00A60D4B">
              <w:rPr>
                <w:webHidden/>
              </w:rPr>
              <w:tab/>
            </w:r>
            <w:r w:rsidR="00A60D4B">
              <w:rPr>
                <w:webHidden/>
              </w:rPr>
              <w:fldChar w:fldCharType="begin"/>
            </w:r>
            <w:r w:rsidR="00A60D4B">
              <w:rPr>
                <w:webHidden/>
              </w:rPr>
              <w:instrText xml:space="preserve"> PAGEREF _Toc198138613 \h </w:instrText>
            </w:r>
            <w:r w:rsidR="00A60D4B">
              <w:rPr>
                <w:webHidden/>
              </w:rPr>
            </w:r>
            <w:r w:rsidR="00A60D4B">
              <w:rPr>
                <w:webHidden/>
              </w:rPr>
              <w:fldChar w:fldCharType="separate"/>
            </w:r>
            <w:r w:rsidR="00F32107">
              <w:rPr>
                <w:webHidden/>
              </w:rPr>
              <w:t>107</w:t>
            </w:r>
            <w:r w:rsidR="00A60D4B">
              <w:rPr>
                <w:webHidden/>
              </w:rPr>
              <w:fldChar w:fldCharType="end"/>
            </w:r>
          </w:hyperlink>
        </w:p>
        <w:p w14:paraId="2FEC3B5A" w14:textId="1CA815F6" w:rsidR="00A60D4B" w:rsidRDefault="00AB1438">
          <w:pPr>
            <w:pStyle w:val="TOC2"/>
            <w:rPr>
              <w:rFonts w:asciiTheme="minorHAnsi" w:hAnsiTheme="minorHAnsi"/>
              <w:iCs w:val="0"/>
              <w:color w:val="auto"/>
              <w:kern w:val="2"/>
              <w:sz w:val="24"/>
              <w:szCs w:val="24"/>
              <w:lang w:val="en-AU"/>
              <w14:ligatures w14:val="standardContextual"/>
            </w:rPr>
          </w:pPr>
          <w:hyperlink w:anchor="_Toc198138614" w:history="1">
            <w:r w:rsidR="00A60D4B" w:rsidRPr="007E7E46">
              <w:rPr>
                <w:rStyle w:val="Hyperlink"/>
              </w:rPr>
              <w:t>6.2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Consultation Phase 1</w:t>
            </w:r>
            <w:r w:rsidR="00A60D4B">
              <w:rPr>
                <w:webHidden/>
              </w:rPr>
              <w:tab/>
            </w:r>
            <w:r w:rsidR="00A60D4B">
              <w:rPr>
                <w:webHidden/>
              </w:rPr>
              <w:fldChar w:fldCharType="begin"/>
            </w:r>
            <w:r w:rsidR="00A60D4B">
              <w:rPr>
                <w:webHidden/>
              </w:rPr>
              <w:instrText xml:space="preserve"> PAGEREF _Toc198138614 \h </w:instrText>
            </w:r>
            <w:r w:rsidR="00A60D4B">
              <w:rPr>
                <w:webHidden/>
              </w:rPr>
            </w:r>
            <w:r w:rsidR="00A60D4B">
              <w:rPr>
                <w:webHidden/>
              </w:rPr>
              <w:fldChar w:fldCharType="separate"/>
            </w:r>
            <w:r w:rsidR="00F32107">
              <w:rPr>
                <w:webHidden/>
              </w:rPr>
              <w:t>107</w:t>
            </w:r>
            <w:r w:rsidR="00A60D4B">
              <w:rPr>
                <w:webHidden/>
              </w:rPr>
              <w:fldChar w:fldCharType="end"/>
            </w:r>
          </w:hyperlink>
        </w:p>
        <w:p w14:paraId="14ADB14F" w14:textId="19DCDF15" w:rsidR="00A60D4B" w:rsidRDefault="00AB1438">
          <w:pPr>
            <w:pStyle w:val="TOC2"/>
            <w:rPr>
              <w:rFonts w:asciiTheme="minorHAnsi" w:hAnsiTheme="minorHAnsi"/>
              <w:iCs w:val="0"/>
              <w:color w:val="auto"/>
              <w:kern w:val="2"/>
              <w:sz w:val="24"/>
              <w:szCs w:val="24"/>
              <w:lang w:val="en-AU"/>
              <w14:ligatures w14:val="standardContextual"/>
            </w:rPr>
          </w:pPr>
          <w:hyperlink w:anchor="_Toc198138615" w:history="1">
            <w:r w:rsidR="00A60D4B" w:rsidRPr="007E7E46">
              <w:rPr>
                <w:rStyle w:val="Hyperlink"/>
              </w:rPr>
              <w:t>6.3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Consultation outcomes</w:t>
            </w:r>
            <w:r w:rsidR="00A60D4B">
              <w:rPr>
                <w:webHidden/>
              </w:rPr>
              <w:tab/>
            </w:r>
            <w:r w:rsidR="00A60D4B">
              <w:rPr>
                <w:webHidden/>
              </w:rPr>
              <w:fldChar w:fldCharType="begin"/>
            </w:r>
            <w:r w:rsidR="00A60D4B">
              <w:rPr>
                <w:webHidden/>
              </w:rPr>
              <w:instrText xml:space="preserve"> PAGEREF _Toc198138615 \h </w:instrText>
            </w:r>
            <w:r w:rsidR="00A60D4B">
              <w:rPr>
                <w:webHidden/>
              </w:rPr>
            </w:r>
            <w:r w:rsidR="00A60D4B">
              <w:rPr>
                <w:webHidden/>
              </w:rPr>
              <w:fldChar w:fldCharType="separate"/>
            </w:r>
            <w:r w:rsidR="00F32107">
              <w:rPr>
                <w:webHidden/>
              </w:rPr>
              <w:t>109</w:t>
            </w:r>
            <w:r w:rsidR="00A60D4B">
              <w:rPr>
                <w:webHidden/>
              </w:rPr>
              <w:fldChar w:fldCharType="end"/>
            </w:r>
          </w:hyperlink>
        </w:p>
        <w:p w14:paraId="6677CD5B" w14:textId="0D8C21A7" w:rsidR="00A60D4B" w:rsidRDefault="00AB1438">
          <w:pPr>
            <w:pStyle w:val="TOC2"/>
            <w:rPr>
              <w:rFonts w:asciiTheme="minorHAnsi" w:hAnsiTheme="minorHAnsi"/>
              <w:iCs w:val="0"/>
              <w:color w:val="auto"/>
              <w:kern w:val="2"/>
              <w:sz w:val="24"/>
              <w:szCs w:val="24"/>
              <w:lang w:val="en-AU"/>
              <w14:ligatures w14:val="standardContextual"/>
            </w:rPr>
          </w:pPr>
          <w:hyperlink w:anchor="_Toc198138616" w:history="1">
            <w:r w:rsidR="00A60D4B" w:rsidRPr="007E7E46">
              <w:rPr>
                <w:rStyle w:val="Hyperlink"/>
              </w:rPr>
              <w:t>6.4</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Scope considerations</w:t>
            </w:r>
            <w:r w:rsidR="00A60D4B">
              <w:rPr>
                <w:webHidden/>
              </w:rPr>
              <w:tab/>
            </w:r>
            <w:r w:rsidR="00A60D4B">
              <w:rPr>
                <w:webHidden/>
              </w:rPr>
              <w:fldChar w:fldCharType="begin"/>
            </w:r>
            <w:r w:rsidR="00A60D4B">
              <w:rPr>
                <w:webHidden/>
              </w:rPr>
              <w:instrText xml:space="preserve"> PAGEREF _Toc198138616 \h </w:instrText>
            </w:r>
            <w:r w:rsidR="00A60D4B">
              <w:rPr>
                <w:webHidden/>
              </w:rPr>
            </w:r>
            <w:r w:rsidR="00A60D4B">
              <w:rPr>
                <w:webHidden/>
              </w:rPr>
              <w:fldChar w:fldCharType="separate"/>
            </w:r>
            <w:r w:rsidR="00F32107">
              <w:rPr>
                <w:webHidden/>
              </w:rPr>
              <w:t>109</w:t>
            </w:r>
            <w:r w:rsidR="00A60D4B">
              <w:rPr>
                <w:webHidden/>
              </w:rPr>
              <w:fldChar w:fldCharType="end"/>
            </w:r>
          </w:hyperlink>
        </w:p>
        <w:p w14:paraId="1D0E1BF7" w14:textId="47361E94" w:rsidR="00A60D4B" w:rsidRDefault="00AB1438">
          <w:pPr>
            <w:pStyle w:val="TOC2"/>
            <w:rPr>
              <w:rFonts w:asciiTheme="minorHAnsi" w:hAnsiTheme="minorHAnsi"/>
              <w:iCs w:val="0"/>
              <w:color w:val="auto"/>
              <w:kern w:val="2"/>
              <w:sz w:val="24"/>
              <w:szCs w:val="24"/>
              <w:lang w:val="en-AU"/>
              <w14:ligatures w14:val="standardContextual"/>
            </w:rPr>
          </w:pPr>
          <w:hyperlink w:anchor="_Toc198138617" w:history="1">
            <w:r w:rsidR="00A60D4B" w:rsidRPr="007E7E46">
              <w:rPr>
                <w:rStyle w:val="Hyperlink"/>
              </w:rPr>
              <w:t>6.5</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Summary of consultation findings</w:t>
            </w:r>
            <w:r w:rsidR="00A60D4B">
              <w:rPr>
                <w:webHidden/>
              </w:rPr>
              <w:tab/>
            </w:r>
            <w:r w:rsidR="00A60D4B">
              <w:rPr>
                <w:webHidden/>
              </w:rPr>
              <w:fldChar w:fldCharType="begin"/>
            </w:r>
            <w:r w:rsidR="00A60D4B">
              <w:rPr>
                <w:webHidden/>
              </w:rPr>
              <w:instrText xml:space="preserve"> PAGEREF _Toc198138617 \h </w:instrText>
            </w:r>
            <w:r w:rsidR="00A60D4B">
              <w:rPr>
                <w:webHidden/>
              </w:rPr>
            </w:r>
            <w:r w:rsidR="00A60D4B">
              <w:rPr>
                <w:webHidden/>
              </w:rPr>
              <w:fldChar w:fldCharType="separate"/>
            </w:r>
            <w:r w:rsidR="00F32107">
              <w:rPr>
                <w:webHidden/>
              </w:rPr>
              <w:t>110</w:t>
            </w:r>
            <w:r w:rsidR="00A60D4B">
              <w:rPr>
                <w:webHidden/>
              </w:rPr>
              <w:fldChar w:fldCharType="end"/>
            </w:r>
          </w:hyperlink>
        </w:p>
        <w:p w14:paraId="41538887" w14:textId="6B9C0D2F" w:rsidR="00A60D4B" w:rsidRDefault="00AB1438">
          <w:pPr>
            <w:pStyle w:val="TOC2"/>
            <w:rPr>
              <w:rFonts w:asciiTheme="minorHAnsi" w:hAnsiTheme="minorHAnsi"/>
              <w:iCs w:val="0"/>
              <w:color w:val="auto"/>
              <w:kern w:val="2"/>
              <w:sz w:val="24"/>
              <w:szCs w:val="24"/>
              <w:lang w:val="en-AU"/>
              <w14:ligatures w14:val="standardContextual"/>
            </w:rPr>
          </w:pPr>
          <w:hyperlink w:anchor="_Toc198138618" w:history="1">
            <w:r w:rsidR="00A60D4B" w:rsidRPr="007E7E46">
              <w:rPr>
                <w:rStyle w:val="Hyperlink"/>
              </w:rPr>
              <w:t>6.6</w:t>
            </w:r>
            <w:r w:rsidR="00A60D4B">
              <w:rPr>
                <w:rFonts w:asciiTheme="minorHAnsi" w:hAnsiTheme="minorHAnsi"/>
                <w:iCs w:val="0"/>
                <w:color w:val="auto"/>
                <w:kern w:val="2"/>
                <w:sz w:val="24"/>
                <w:szCs w:val="24"/>
                <w:lang w:val="en-AU"/>
                <w14:ligatures w14:val="standardContextual"/>
              </w:rPr>
              <w:tab/>
            </w:r>
            <w:r w:rsidR="00A60D4B" w:rsidRPr="007E7E46">
              <w:rPr>
                <w:rStyle w:val="Hyperlink"/>
              </w:rPr>
              <w:t>Additional options from consultation</w:t>
            </w:r>
            <w:r w:rsidR="00A60D4B">
              <w:rPr>
                <w:webHidden/>
              </w:rPr>
              <w:tab/>
            </w:r>
            <w:r w:rsidR="00A60D4B">
              <w:rPr>
                <w:webHidden/>
              </w:rPr>
              <w:fldChar w:fldCharType="begin"/>
            </w:r>
            <w:r w:rsidR="00A60D4B">
              <w:rPr>
                <w:webHidden/>
              </w:rPr>
              <w:instrText xml:space="preserve"> PAGEREF _Toc198138618 \h </w:instrText>
            </w:r>
            <w:r w:rsidR="00A60D4B">
              <w:rPr>
                <w:webHidden/>
              </w:rPr>
            </w:r>
            <w:r w:rsidR="00A60D4B">
              <w:rPr>
                <w:webHidden/>
              </w:rPr>
              <w:fldChar w:fldCharType="separate"/>
            </w:r>
            <w:r w:rsidR="00F32107">
              <w:rPr>
                <w:webHidden/>
              </w:rPr>
              <w:t>112</w:t>
            </w:r>
            <w:r w:rsidR="00A60D4B">
              <w:rPr>
                <w:webHidden/>
              </w:rPr>
              <w:fldChar w:fldCharType="end"/>
            </w:r>
          </w:hyperlink>
        </w:p>
        <w:p w14:paraId="3CA98CEB" w14:textId="4CA8B3F0" w:rsidR="00A60D4B" w:rsidRDefault="00AB1438">
          <w:pPr>
            <w:pStyle w:val="TOC2"/>
            <w:rPr>
              <w:rFonts w:asciiTheme="minorHAnsi" w:hAnsiTheme="minorHAnsi"/>
              <w:iCs w:val="0"/>
              <w:color w:val="auto"/>
              <w:kern w:val="2"/>
              <w:sz w:val="24"/>
              <w:szCs w:val="24"/>
              <w:lang w:val="en-AU"/>
              <w14:ligatures w14:val="standardContextual"/>
            </w:rPr>
          </w:pPr>
          <w:hyperlink w:anchor="_Toc198138619" w:history="1">
            <w:r w:rsidR="00A60D4B" w:rsidRPr="007E7E46">
              <w:rPr>
                <w:rStyle w:val="Hyperlink"/>
              </w:rPr>
              <w:t>6.7</w:t>
            </w:r>
            <w:r w:rsidR="00A60D4B">
              <w:rPr>
                <w:rFonts w:asciiTheme="minorHAnsi" w:hAnsiTheme="minorHAnsi"/>
                <w:iCs w:val="0"/>
                <w:color w:val="auto"/>
                <w:kern w:val="2"/>
                <w:sz w:val="24"/>
                <w:szCs w:val="24"/>
                <w:lang w:val="en-AU"/>
                <w14:ligatures w14:val="standardContextual"/>
              </w:rPr>
              <w:tab/>
            </w:r>
            <w:r w:rsidR="00A60D4B" w:rsidRPr="007E7E46">
              <w:rPr>
                <w:rStyle w:val="Hyperlink"/>
              </w:rPr>
              <w:t>Consultation Phase 2</w:t>
            </w:r>
            <w:r w:rsidR="00A60D4B">
              <w:rPr>
                <w:webHidden/>
              </w:rPr>
              <w:tab/>
            </w:r>
            <w:r w:rsidR="00A60D4B">
              <w:rPr>
                <w:webHidden/>
              </w:rPr>
              <w:fldChar w:fldCharType="begin"/>
            </w:r>
            <w:r w:rsidR="00A60D4B">
              <w:rPr>
                <w:webHidden/>
              </w:rPr>
              <w:instrText xml:space="preserve"> PAGEREF _Toc198138619 \h </w:instrText>
            </w:r>
            <w:r w:rsidR="00A60D4B">
              <w:rPr>
                <w:webHidden/>
              </w:rPr>
            </w:r>
            <w:r w:rsidR="00A60D4B">
              <w:rPr>
                <w:webHidden/>
              </w:rPr>
              <w:fldChar w:fldCharType="separate"/>
            </w:r>
            <w:r w:rsidR="00F32107">
              <w:rPr>
                <w:webHidden/>
              </w:rPr>
              <w:t>112</w:t>
            </w:r>
            <w:r w:rsidR="00A60D4B">
              <w:rPr>
                <w:webHidden/>
              </w:rPr>
              <w:fldChar w:fldCharType="end"/>
            </w:r>
          </w:hyperlink>
        </w:p>
        <w:p w14:paraId="4F8FE019" w14:textId="0753D4B9" w:rsidR="00A60D4B" w:rsidRDefault="00AB1438">
          <w:pPr>
            <w:pStyle w:val="TOC2"/>
            <w:rPr>
              <w:rFonts w:asciiTheme="minorHAnsi" w:hAnsiTheme="minorHAnsi"/>
              <w:iCs w:val="0"/>
              <w:color w:val="auto"/>
              <w:kern w:val="2"/>
              <w:sz w:val="24"/>
              <w:szCs w:val="24"/>
              <w:lang w:val="en-AU"/>
              <w14:ligatures w14:val="standardContextual"/>
            </w:rPr>
          </w:pPr>
          <w:hyperlink w:anchor="_Toc198138620" w:history="1">
            <w:r w:rsidR="00A60D4B" w:rsidRPr="007E7E46">
              <w:rPr>
                <w:rStyle w:val="Hyperlink"/>
              </w:rPr>
              <w:t>6.8</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Summary of consultation findings</w:t>
            </w:r>
            <w:r w:rsidR="00A60D4B">
              <w:rPr>
                <w:webHidden/>
              </w:rPr>
              <w:tab/>
            </w:r>
            <w:r w:rsidR="00A60D4B">
              <w:rPr>
                <w:webHidden/>
              </w:rPr>
              <w:fldChar w:fldCharType="begin"/>
            </w:r>
            <w:r w:rsidR="00A60D4B">
              <w:rPr>
                <w:webHidden/>
              </w:rPr>
              <w:instrText xml:space="preserve"> PAGEREF _Toc198138620 \h </w:instrText>
            </w:r>
            <w:r w:rsidR="00A60D4B">
              <w:rPr>
                <w:webHidden/>
              </w:rPr>
            </w:r>
            <w:r w:rsidR="00A60D4B">
              <w:rPr>
                <w:webHidden/>
              </w:rPr>
              <w:fldChar w:fldCharType="separate"/>
            </w:r>
            <w:r w:rsidR="00F32107">
              <w:rPr>
                <w:webHidden/>
              </w:rPr>
              <w:t>113</w:t>
            </w:r>
            <w:r w:rsidR="00A60D4B">
              <w:rPr>
                <w:webHidden/>
              </w:rPr>
              <w:fldChar w:fldCharType="end"/>
            </w:r>
          </w:hyperlink>
        </w:p>
        <w:p w14:paraId="5D94F8EB" w14:textId="4A2AF020" w:rsidR="00A60D4B" w:rsidRDefault="00AB1438">
          <w:pPr>
            <w:pStyle w:val="TOC1"/>
            <w:rPr>
              <w:rFonts w:asciiTheme="minorHAnsi" w:hAnsiTheme="minorHAnsi"/>
              <w:bCs w:val="0"/>
              <w:color w:val="auto"/>
              <w:kern w:val="2"/>
              <w:sz w:val="24"/>
              <w:szCs w:val="24"/>
              <w:u w:val="none"/>
              <w14:ligatures w14:val="standardContextual"/>
            </w:rPr>
          </w:pPr>
          <w:hyperlink w:anchor="_Toc198138621" w:history="1">
            <w:r w:rsidR="00A60D4B" w:rsidRPr="007E7E46">
              <w:rPr>
                <w:rStyle w:val="Hyperlink"/>
              </w:rPr>
              <w:t>7</w:t>
            </w:r>
            <w:r w:rsidR="00A60D4B">
              <w:rPr>
                <w:rFonts w:asciiTheme="minorHAnsi" w:hAnsiTheme="minorHAnsi"/>
                <w:bCs w:val="0"/>
                <w:color w:val="auto"/>
                <w:kern w:val="2"/>
                <w:sz w:val="24"/>
                <w:szCs w:val="24"/>
                <w:u w:val="none"/>
                <w14:ligatures w14:val="standardContextual"/>
              </w:rPr>
              <w:tab/>
            </w:r>
            <w:r w:rsidR="00A60D4B" w:rsidRPr="007E7E46">
              <w:rPr>
                <w:rStyle w:val="Hyperlink"/>
              </w:rPr>
              <w:t>Methodology for assessing the net benefit of each option</w:t>
            </w:r>
            <w:r w:rsidR="00A60D4B">
              <w:rPr>
                <w:webHidden/>
              </w:rPr>
              <w:tab/>
            </w:r>
            <w:r w:rsidR="00A60D4B">
              <w:rPr>
                <w:webHidden/>
              </w:rPr>
              <w:fldChar w:fldCharType="begin"/>
            </w:r>
            <w:r w:rsidR="00A60D4B">
              <w:rPr>
                <w:webHidden/>
              </w:rPr>
              <w:instrText xml:space="preserve"> PAGEREF _Toc198138621 \h </w:instrText>
            </w:r>
            <w:r w:rsidR="00A60D4B">
              <w:rPr>
                <w:webHidden/>
              </w:rPr>
            </w:r>
            <w:r w:rsidR="00A60D4B">
              <w:rPr>
                <w:webHidden/>
              </w:rPr>
              <w:fldChar w:fldCharType="separate"/>
            </w:r>
            <w:r w:rsidR="00F32107">
              <w:rPr>
                <w:webHidden/>
              </w:rPr>
              <w:t>119</w:t>
            </w:r>
            <w:r w:rsidR="00A60D4B">
              <w:rPr>
                <w:webHidden/>
              </w:rPr>
              <w:fldChar w:fldCharType="end"/>
            </w:r>
          </w:hyperlink>
        </w:p>
        <w:p w14:paraId="371E4768" w14:textId="0C7C1876" w:rsidR="00A60D4B" w:rsidRDefault="00AB1438">
          <w:pPr>
            <w:pStyle w:val="TOC2"/>
            <w:rPr>
              <w:rFonts w:asciiTheme="minorHAnsi" w:hAnsiTheme="minorHAnsi"/>
              <w:iCs w:val="0"/>
              <w:color w:val="auto"/>
              <w:kern w:val="2"/>
              <w:sz w:val="24"/>
              <w:szCs w:val="24"/>
              <w:lang w:val="en-AU"/>
              <w14:ligatures w14:val="standardContextual"/>
            </w:rPr>
          </w:pPr>
          <w:hyperlink w:anchor="_Toc198138622" w:history="1">
            <w:r w:rsidR="00A60D4B" w:rsidRPr="007E7E46">
              <w:rPr>
                <w:rStyle w:val="Hyperlink"/>
              </w:rPr>
              <w:t>7.1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Methodology overview</w:t>
            </w:r>
            <w:r w:rsidR="00A60D4B">
              <w:rPr>
                <w:webHidden/>
              </w:rPr>
              <w:tab/>
            </w:r>
            <w:r w:rsidR="00A60D4B">
              <w:rPr>
                <w:webHidden/>
              </w:rPr>
              <w:fldChar w:fldCharType="begin"/>
            </w:r>
            <w:r w:rsidR="00A60D4B">
              <w:rPr>
                <w:webHidden/>
              </w:rPr>
              <w:instrText xml:space="preserve"> PAGEREF _Toc198138622 \h </w:instrText>
            </w:r>
            <w:r w:rsidR="00A60D4B">
              <w:rPr>
                <w:webHidden/>
              </w:rPr>
            </w:r>
            <w:r w:rsidR="00A60D4B">
              <w:rPr>
                <w:webHidden/>
              </w:rPr>
              <w:fldChar w:fldCharType="separate"/>
            </w:r>
            <w:r w:rsidR="00F32107">
              <w:rPr>
                <w:webHidden/>
              </w:rPr>
              <w:t>119</w:t>
            </w:r>
            <w:r w:rsidR="00A60D4B">
              <w:rPr>
                <w:webHidden/>
              </w:rPr>
              <w:fldChar w:fldCharType="end"/>
            </w:r>
          </w:hyperlink>
        </w:p>
        <w:p w14:paraId="1FA63A2C" w14:textId="495B04B6" w:rsidR="00A60D4B" w:rsidRDefault="00AB1438">
          <w:pPr>
            <w:pStyle w:val="TOC2"/>
            <w:rPr>
              <w:rFonts w:asciiTheme="minorHAnsi" w:hAnsiTheme="minorHAnsi"/>
              <w:iCs w:val="0"/>
              <w:color w:val="auto"/>
              <w:kern w:val="2"/>
              <w:sz w:val="24"/>
              <w:szCs w:val="24"/>
              <w:lang w:val="en-AU"/>
              <w14:ligatures w14:val="standardContextual"/>
            </w:rPr>
          </w:pPr>
          <w:hyperlink w:anchor="_Toc198138623" w:history="1">
            <w:r w:rsidR="00A60D4B" w:rsidRPr="007E7E46">
              <w:rPr>
                <w:rStyle w:val="Hyperlink"/>
              </w:rPr>
              <w:t>7.2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Theory of change</w:t>
            </w:r>
            <w:r w:rsidR="00A60D4B">
              <w:rPr>
                <w:webHidden/>
              </w:rPr>
              <w:tab/>
            </w:r>
            <w:r w:rsidR="00A60D4B">
              <w:rPr>
                <w:webHidden/>
              </w:rPr>
              <w:fldChar w:fldCharType="begin"/>
            </w:r>
            <w:r w:rsidR="00A60D4B">
              <w:rPr>
                <w:webHidden/>
              </w:rPr>
              <w:instrText xml:space="preserve"> PAGEREF _Toc198138623 \h </w:instrText>
            </w:r>
            <w:r w:rsidR="00A60D4B">
              <w:rPr>
                <w:webHidden/>
              </w:rPr>
            </w:r>
            <w:r w:rsidR="00A60D4B">
              <w:rPr>
                <w:webHidden/>
              </w:rPr>
              <w:fldChar w:fldCharType="separate"/>
            </w:r>
            <w:r w:rsidR="00F32107">
              <w:rPr>
                <w:webHidden/>
              </w:rPr>
              <w:t>119</w:t>
            </w:r>
            <w:r w:rsidR="00A60D4B">
              <w:rPr>
                <w:webHidden/>
              </w:rPr>
              <w:fldChar w:fldCharType="end"/>
            </w:r>
          </w:hyperlink>
        </w:p>
        <w:p w14:paraId="47127836" w14:textId="34C0248E" w:rsidR="00A60D4B" w:rsidRDefault="00AB1438">
          <w:pPr>
            <w:pStyle w:val="TOC2"/>
            <w:rPr>
              <w:rFonts w:asciiTheme="minorHAnsi" w:hAnsiTheme="minorHAnsi"/>
              <w:iCs w:val="0"/>
              <w:color w:val="auto"/>
              <w:kern w:val="2"/>
              <w:sz w:val="24"/>
              <w:szCs w:val="24"/>
              <w:lang w:val="en-AU"/>
              <w14:ligatures w14:val="standardContextual"/>
            </w:rPr>
          </w:pPr>
          <w:hyperlink w:anchor="_Toc198138624" w:history="1">
            <w:r w:rsidR="00A60D4B" w:rsidRPr="007E7E46">
              <w:rPr>
                <w:rStyle w:val="Hyperlink"/>
              </w:rPr>
              <w:t>7.3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Impact assessment</w:t>
            </w:r>
            <w:r w:rsidR="00A60D4B">
              <w:rPr>
                <w:webHidden/>
              </w:rPr>
              <w:tab/>
            </w:r>
            <w:r w:rsidR="00A60D4B">
              <w:rPr>
                <w:webHidden/>
              </w:rPr>
              <w:fldChar w:fldCharType="begin"/>
            </w:r>
            <w:r w:rsidR="00A60D4B">
              <w:rPr>
                <w:webHidden/>
              </w:rPr>
              <w:instrText xml:space="preserve"> PAGEREF _Toc198138624 \h </w:instrText>
            </w:r>
            <w:r w:rsidR="00A60D4B">
              <w:rPr>
                <w:webHidden/>
              </w:rPr>
            </w:r>
            <w:r w:rsidR="00A60D4B">
              <w:rPr>
                <w:webHidden/>
              </w:rPr>
              <w:fldChar w:fldCharType="separate"/>
            </w:r>
            <w:r w:rsidR="00F32107">
              <w:rPr>
                <w:webHidden/>
              </w:rPr>
              <w:t>120</w:t>
            </w:r>
            <w:r w:rsidR="00A60D4B">
              <w:rPr>
                <w:webHidden/>
              </w:rPr>
              <w:fldChar w:fldCharType="end"/>
            </w:r>
          </w:hyperlink>
        </w:p>
        <w:p w14:paraId="2A9A7B5F" w14:textId="276978D3" w:rsidR="00A60D4B" w:rsidRDefault="00AB1438">
          <w:pPr>
            <w:pStyle w:val="TOC2"/>
            <w:rPr>
              <w:rFonts w:asciiTheme="minorHAnsi" w:hAnsiTheme="minorHAnsi"/>
              <w:iCs w:val="0"/>
              <w:color w:val="auto"/>
              <w:kern w:val="2"/>
              <w:sz w:val="24"/>
              <w:szCs w:val="24"/>
              <w:lang w:val="en-AU"/>
              <w14:ligatures w14:val="standardContextual"/>
            </w:rPr>
          </w:pPr>
          <w:hyperlink w:anchor="_Toc198138625" w:history="1">
            <w:r w:rsidR="00A60D4B" w:rsidRPr="007E7E46">
              <w:rPr>
                <w:rStyle w:val="Hyperlink"/>
              </w:rPr>
              <w:t>7.4</w:t>
            </w:r>
            <w:r w:rsidR="00A60D4B">
              <w:rPr>
                <w:rFonts w:asciiTheme="minorHAnsi" w:hAnsiTheme="minorHAnsi"/>
                <w:iCs w:val="0"/>
                <w:color w:val="auto"/>
                <w:kern w:val="2"/>
                <w:sz w:val="24"/>
                <w:szCs w:val="24"/>
                <w:lang w:val="en-AU"/>
                <w14:ligatures w14:val="standardContextual"/>
              </w:rPr>
              <w:tab/>
            </w:r>
            <w:r w:rsidR="00A60D4B" w:rsidRPr="007E7E46">
              <w:rPr>
                <w:rStyle w:val="Hyperlink"/>
              </w:rPr>
              <w:t>Multi-criteria analysis</w:t>
            </w:r>
            <w:r w:rsidR="00A60D4B">
              <w:rPr>
                <w:webHidden/>
              </w:rPr>
              <w:tab/>
            </w:r>
            <w:r w:rsidR="00A60D4B">
              <w:rPr>
                <w:webHidden/>
              </w:rPr>
              <w:fldChar w:fldCharType="begin"/>
            </w:r>
            <w:r w:rsidR="00A60D4B">
              <w:rPr>
                <w:webHidden/>
              </w:rPr>
              <w:instrText xml:space="preserve"> PAGEREF _Toc198138625 \h </w:instrText>
            </w:r>
            <w:r w:rsidR="00A60D4B">
              <w:rPr>
                <w:webHidden/>
              </w:rPr>
            </w:r>
            <w:r w:rsidR="00A60D4B">
              <w:rPr>
                <w:webHidden/>
              </w:rPr>
              <w:fldChar w:fldCharType="separate"/>
            </w:r>
            <w:r w:rsidR="00F32107">
              <w:rPr>
                <w:webHidden/>
              </w:rPr>
              <w:t>121</w:t>
            </w:r>
            <w:r w:rsidR="00A60D4B">
              <w:rPr>
                <w:webHidden/>
              </w:rPr>
              <w:fldChar w:fldCharType="end"/>
            </w:r>
          </w:hyperlink>
        </w:p>
        <w:p w14:paraId="037BB77E" w14:textId="69FD54C6" w:rsidR="00A60D4B" w:rsidRDefault="00AB1438">
          <w:pPr>
            <w:pStyle w:val="TOC2"/>
            <w:rPr>
              <w:rFonts w:asciiTheme="minorHAnsi" w:hAnsiTheme="minorHAnsi"/>
              <w:iCs w:val="0"/>
              <w:color w:val="auto"/>
              <w:kern w:val="2"/>
              <w:sz w:val="24"/>
              <w:szCs w:val="24"/>
              <w:lang w:val="en-AU"/>
              <w14:ligatures w14:val="standardContextual"/>
            </w:rPr>
          </w:pPr>
          <w:hyperlink w:anchor="_Toc198138626" w:history="1">
            <w:r w:rsidR="00A60D4B" w:rsidRPr="007E7E46">
              <w:rPr>
                <w:rStyle w:val="Hyperlink"/>
              </w:rPr>
              <w:t>7.5</w:t>
            </w:r>
            <w:r w:rsidR="00A60D4B">
              <w:rPr>
                <w:rFonts w:asciiTheme="minorHAnsi" w:hAnsiTheme="minorHAnsi"/>
                <w:iCs w:val="0"/>
                <w:color w:val="auto"/>
                <w:kern w:val="2"/>
                <w:sz w:val="24"/>
                <w:szCs w:val="24"/>
                <w:lang w:val="en-AU"/>
                <w14:ligatures w14:val="standardContextual"/>
              </w:rPr>
              <w:tab/>
            </w:r>
            <w:r w:rsidR="00A60D4B" w:rsidRPr="007E7E46">
              <w:rPr>
                <w:rStyle w:val="Hyperlink"/>
              </w:rPr>
              <w:t>General assumptions</w:t>
            </w:r>
            <w:r w:rsidR="00A60D4B">
              <w:rPr>
                <w:webHidden/>
              </w:rPr>
              <w:tab/>
            </w:r>
            <w:r w:rsidR="00A60D4B">
              <w:rPr>
                <w:webHidden/>
              </w:rPr>
              <w:fldChar w:fldCharType="begin"/>
            </w:r>
            <w:r w:rsidR="00A60D4B">
              <w:rPr>
                <w:webHidden/>
              </w:rPr>
              <w:instrText xml:space="preserve"> PAGEREF _Toc198138626 \h </w:instrText>
            </w:r>
            <w:r w:rsidR="00A60D4B">
              <w:rPr>
                <w:webHidden/>
              </w:rPr>
            </w:r>
            <w:r w:rsidR="00A60D4B">
              <w:rPr>
                <w:webHidden/>
              </w:rPr>
              <w:fldChar w:fldCharType="separate"/>
            </w:r>
            <w:r w:rsidR="00F32107">
              <w:rPr>
                <w:webHidden/>
              </w:rPr>
              <w:t>122</w:t>
            </w:r>
            <w:r w:rsidR="00A60D4B">
              <w:rPr>
                <w:webHidden/>
              </w:rPr>
              <w:fldChar w:fldCharType="end"/>
            </w:r>
          </w:hyperlink>
        </w:p>
        <w:p w14:paraId="3C3B174B" w14:textId="367902E4" w:rsidR="00A60D4B" w:rsidRDefault="00AB1438">
          <w:pPr>
            <w:pStyle w:val="TOC2"/>
            <w:rPr>
              <w:rFonts w:asciiTheme="minorHAnsi" w:hAnsiTheme="minorHAnsi"/>
              <w:iCs w:val="0"/>
              <w:color w:val="auto"/>
              <w:kern w:val="2"/>
              <w:sz w:val="24"/>
              <w:szCs w:val="24"/>
              <w:lang w:val="en-AU"/>
              <w14:ligatures w14:val="standardContextual"/>
            </w:rPr>
          </w:pPr>
          <w:hyperlink w:anchor="_Toc198138627" w:history="1">
            <w:r w:rsidR="00A60D4B" w:rsidRPr="007E7E46">
              <w:rPr>
                <w:rStyle w:val="Hyperlink"/>
              </w:rPr>
              <w:t>7.6</w:t>
            </w:r>
            <w:r w:rsidR="00A60D4B">
              <w:rPr>
                <w:rFonts w:asciiTheme="minorHAnsi" w:hAnsiTheme="minorHAnsi"/>
                <w:iCs w:val="0"/>
                <w:color w:val="auto"/>
                <w:kern w:val="2"/>
                <w:sz w:val="24"/>
                <w:szCs w:val="24"/>
                <w:lang w:val="en-AU"/>
                <w14:ligatures w14:val="standardContextual"/>
              </w:rPr>
              <w:tab/>
            </w:r>
            <w:r w:rsidR="00A60D4B" w:rsidRPr="007E7E46">
              <w:rPr>
                <w:rStyle w:val="Hyperlink"/>
              </w:rPr>
              <w:t>Benefits of harm minimisation</w:t>
            </w:r>
            <w:r w:rsidR="00A60D4B">
              <w:rPr>
                <w:webHidden/>
              </w:rPr>
              <w:tab/>
            </w:r>
            <w:r w:rsidR="00A60D4B">
              <w:rPr>
                <w:webHidden/>
              </w:rPr>
              <w:fldChar w:fldCharType="begin"/>
            </w:r>
            <w:r w:rsidR="00A60D4B">
              <w:rPr>
                <w:webHidden/>
              </w:rPr>
              <w:instrText xml:space="preserve"> PAGEREF _Toc198138627 \h </w:instrText>
            </w:r>
            <w:r w:rsidR="00A60D4B">
              <w:rPr>
                <w:webHidden/>
              </w:rPr>
            </w:r>
            <w:r w:rsidR="00A60D4B">
              <w:rPr>
                <w:webHidden/>
              </w:rPr>
              <w:fldChar w:fldCharType="separate"/>
            </w:r>
            <w:r w:rsidR="00F32107">
              <w:rPr>
                <w:webHidden/>
              </w:rPr>
              <w:t>123</w:t>
            </w:r>
            <w:r w:rsidR="00A60D4B">
              <w:rPr>
                <w:webHidden/>
              </w:rPr>
              <w:fldChar w:fldCharType="end"/>
            </w:r>
          </w:hyperlink>
        </w:p>
        <w:p w14:paraId="41F96CC4" w14:textId="0EEDBC31" w:rsidR="00A60D4B" w:rsidRDefault="00AB1438">
          <w:pPr>
            <w:pStyle w:val="TOC3"/>
            <w:rPr>
              <w:rFonts w:asciiTheme="minorHAnsi" w:hAnsiTheme="minorHAnsi"/>
              <w:color w:val="auto"/>
              <w:kern w:val="2"/>
              <w:sz w:val="24"/>
              <w:szCs w:val="24"/>
              <w:lang w:val="en-AU"/>
              <w14:ligatures w14:val="standardContextual"/>
            </w:rPr>
          </w:pPr>
          <w:hyperlink w:anchor="_Toc198138628" w:history="1">
            <w:r w:rsidR="00A60D4B" w:rsidRPr="007E7E46">
              <w:rPr>
                <w:rStyle w:val="Hyperlink"/>
                <w:b/>
              </w:rPr>
              <w:t>7.6.1</w:t>
            </w:r>
            <w:r w:rsidR="00A60D4B">
              <w:rPr>
                <w:rFonts w:asciiTheme="minorHAnsi" w:hAnsiTheme="minorHAnsi"/>
                <w:color w:val="auto"/>
                <w:kern w:val="2"/>
                <w:sz w:val="24"/>
                <w:szCs w:val="24"/>
                <w:lang w:val="en-AU"/>
                <w14:ligatures w14:val="standardContextual"/>
              </w:rPr>
              <w:tab/>
            </w:r>
            <w:r w:rsidR="00A60D4B" w:rsidRPr="007E7E46">
              <w:rPr>
                <w:rStyle w:val="Hyperlink"/>
              </w:rPr>
              <w:t>Patient short-term quality of life associated with unaddressed hearing loss</w:t>
            </w:r>
            <w:r w:rsidR="00A60D4B">
              <w:rPr>
                <w:webHidden/>
              </w:rPr>
              <w:tab/>
            </w:r>
            <w:r w:rsidR="00A60D4B">
              <w:rPr>
                <w:webHidden/>
              </w:rPr>
              <w:fldChar w:fldCharType="begin"/>
            </w:r>
            <w:r w:rsidR="00A60D4B">
              <w:rPr>
                <w:webHidden/>
              </w:rPr>
              <w:instrText xml:space="preserve"> PAGEREF _Toc198138628 \h </w:instrText>
            </w:r>
            <w:r w:rsidR="00A60D4B">
              <w:rPr>
                <w:webHidden/>
              </w:rPr>
            </w:r>
            <w:r w:rsidR="00A60D4B">
              <w:rPr>
                <w:webHidden/>
              </w:rPr>
              <w:fldChar w:fldCharType="separate"/>
            </w:r>
            <w:r w:rsidR="00F32107">
              <w:rPr>
                <w:webHidden/>
              </w:rPr>
              <w:t>125</w:t>
            </w:r>
            <w:r w:rsidR="00A60D4B">
              <w:rPr>
                <w:webHidden/>
              </w:rPr>
              <w:fldChar w:fldCharType="end"/>
            </w:r>
          </w:hyperlink>
        </w:p>
        <w:p w14:paraId="18CE70D9" w14:textId="6F24E60B" w:rsidR="00A60D4B" w:rsidRDefault="00AB1438">
          <w:pPr>
            <w:pStyle w:val="TOC3"/>
            <w:rPr>
              <w:rFonts w:asciiTheme="minorHAnsi" w:hAnsiTheme="minorHAnsi"/>
              <w:color w:val="auto"/>
              <w:kern w:val="2"/>
              <w:sz w:val="24"/>
              <w:szCs w:val="24"/>
              <w:lang w:val="en-AU"/>
              <w14:ligatures w14:val="standardContextual"/>
            </w:rPr>
          </w:pPr>
          <w:hyperlink w:anchor="_Toc198138629" w:history="1">
            <w:r w:rsidR="00A60D4B" w:rsidRPr="007E7E46">
              <w:rPr>
                <w:rStyle w:val="Hyperlink"/>
                <w:b/>
              </w:rPr>
              <w:t>7.6.2</w:t>
            </w:r>
            <w:r w:rsidR="00A60D4B">
              <w:rPr>
                <w:rFonts w:asciiTheme="minorHAnsi" w:hAnsiTheme="minorHAnsi"/>
                <w:color w:val="auto"/>
                <w:kern w:val="2"/>
                <w:sz w:val="24"/>
                <w:szCs w:val="24"/>
                <w:lang w:val="en-AU"/>
                <w14:ligatures w14:val="standardContextual"/>
              </w:rPr>
              <w:tab/>
            </w:r>
            <w:r w:rsidR="00A60D4B" w:rsidRPr="007E7E46">
              <w:rPr>
                <w:rStyle w:val="Hyperlink"/>
              </w:rPr>
              <w:t>Long-term social and economic outcomes associated with substandard care – for patients, families/carers and government services</w:t>
            </w:r>
            <w:r w:rsidR="00A60D4B">
              <w:rPr>
                <w:webHidden/>
              </w:rPr>
              <w:tab/>
            </w:r>
            <w:r w:rsidR="00A60D4B">
              <w:rPr>
                <w:webHidden/>
              </w:rPr>
              <w:fldChar w:fldCharType="begin"/>
            </w:r>
            <w:r w:rsidR="00A60D4B">
              <w:rPr>
                <w:webHidden/>
              </w:rPr>
              <w:instrText xml:space="preserve"> PAGEREF _Toc198138629 \h </w:instrText>
            </w:r>
            <w:r w:rsidR="00A60D4B">
              <w:rPr>
                <w:webHidden/>
              </w:rPr>
            </w:r>
            <w:r w:rsidR="00A60D4B">
              <w:rPr>
                <w:webHidden/>
              </w:rPr>
              <w:fldChar w:fldCharType="separate"/>
            </w:r>
            <w:r w:rsidR="00F32107">
              <w:rPr>
                <w:webHidden/>
              </w:rPr>
              <w:t>128</w:t>
            </w:r>
            <w:r w:rsidR="00A60D4B">
              <w:rPr>
                <w:webHidden/>
              </w:rPr>
              <w:fldChar w:fldCharType="end"/>
            </w:r>
          </w:hyperlink>
        </w:p>
        <w:p w14:paraId="42CBFFE9" w14:textId="36672A92" w:rsidR="00A60D4B" w:rsidRDefault="00AB1438">
          <w:pPr>
            <w:pStyle w:val="TOC1"/>
            <w:rPr>
              <w:rFonts w:asciiTheme="minorHAnsi" w:hAnsiTheme="minorHAnsi"/>
              <w:bCs w:val="0"/>
              <w:color w:val="auto"/>
              <w:kern w:val="2"/>
              <w:sz w:val="24"/>
              <w:szCs w:val="24"/>
              <w:u w:val="none"/>
              <w14:ligatures w14:val="standardContextual"/>
            </w:rPr>
          </w:pPr>
          <w:hyperlink w:anchor="_Toc198138630" w:history="1">
            <w:r w:rsidR="00A60D4B" w:rsidRPr="007E7E46">
              <w:rPr>
                <w:rStyle w:val="Hyperlink"/>
              </w:rPr>
              <w:t>8</w:t>
            </w:r>
            <w:r w:rsidR="00A60D4B">
              <w:rPr>
                <w:rFonts w:asciiTheme="minorHAnsi" w:hAnsiTheme="minorHAnsi"/>
                <w:bCs w:val="0"/>
                <w:color w:val="auto"/>
                <w:kern w:val="2"/>
                <w:sz w:val="24"/>
                <w:szCs w:val="24"/>
                <w:u w:val="none"/>
                <w14:ligatures w14:val="standardContextual"/>
              </w:rPr>
              <w:tab/>
            </w:r>
            <w:r w:rsidR="00A60D4B" w:rsidRPr="007E7E46">
              <w:rPr>
                <w:rStyle w:val="Hyperlink"/>
              </w:rPr>
              <w:t>What is the likely net benefit of each option?</w:t>
            </w:r>
            <w:r w:rsidR="00A60D4B">
              <w:rPr>
                <w:webHidden/>
              </w:rPr>
              <w:tab/>
            </w:r>
            <w:r w:rsidR="00A60D4B">
              <w:rPr>
                <w:webHidden/>
              </w:rPr>
              <w:fldChar w:fldCharType="begin"/>
            </w:r>
            <w:r w:rsidR="00A60D4B">
              <w:rPr>
                <w:webHidden/>
              </w:rPr>
              <w:instrText xml:space="preserve"> PAGEREF _Toc198138630 \h </w:instrText>
            </w:r>
            <w:r w:rsidR="00A60D4B">
              <w:rPr>
                <w:webHidden/>
              </w:rPr>
            </w:r>
            <w:r w:rsidR="00A60D4B">
              <w:rPr>
                <w:webHidden/>
              </w:rPr>
              <w:fldChar w:fldCharType="separate"/>
            </w:r>
            <w:r w:rsidR="00F32107">
              <w:rPr>
                <w:webHidden/>
              </w:rPr>
              <w:t>133</w:t>
            </w:r>
            <w:r w:rsidR="00A60D4B">
              <w:rPr>
                <w:webHidden/>
              </w:rPr>
              <w:fldChar w:fldCharType="end"/>
            </w:r>
          </w:hyperlink>
        </w:p>
        <w:p w14:paraId="272567A3" w14:textId="53BAE8CF" w:rsidR="00A60D4B" w:rsidRDefault="00AB1438">
          <w:pPr>
            <w:pStyle w:val="TOC2"/>
            <w:rPr>
              <w:rFonts w:asciiTheme="minorHAnsi" w:hAnsiTheme="minorHAnsi"/>
              <w:iCs w:val="0"/>
              <w:color w:val="auto"/>
              <w:kern w:val="2"/>
              <w:sz w:val="24"/>
              <w:szCs w:val="24"/>
              <w:lang w:val="en-AU"/>
              <w14:ligatures w14:val="standardContextual"/>
            </w:rPr>
          </w:pPr>
          <w:hyperlink w:anchor="_Toc198138631" w:history="1">
            <w:r w:rsidR="00A60D4B" w:rsidRPr="007E7E46">
              <w:rPr>
                <w:rStyle w:val="Hyperlink"/>
              </w:rPr>
              <w:t>8.1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Status Quo</w:t>
            </w:r>
            <w:r w:rsidR="00A60D4B">
              <w:rPr>
                <w:webHidden/>
              </w:rPr>
              <w:tab/>
            </w:r>
            <w:r w:rsidR="00A60D4B">
              <w:rPr>
                <w:webHidden/>
              </w:rPr>
              <w:fldChar w:fldCharType="begin"/>
            </w:r>
            <w:r w:rsidR="00A60D4B">
              <w:rPr>
                <w:webHidden/>
              </w:rPr>
              <w:instrText xml:space="preserve"> PAGEREF _Toc198138631 \h </w:instrText>
            </w:r>
            <w:r w:rsidR="00A60D4B">
              <w:rPr>
                <w:webHidden/>
              </w:rPr>
            </w:r>
            <w:r w:rsidR="00A60D4B">
              <w:rPr>
                <w:webHidden/>
              </w:rPr>
              <w:fldChar w:fldCharType="separate"/>
            </w:r>
            <w:r w:rsidR="00F32107">
              <w:rPr>
                <w:webHidden/>
              </w:rPr>
              <w:t>135</w:t>
            </w:r>
            <w:r w:rsidR="00A60D4B">
              <w:rPr>
                <w:webHidden/>
              </w:rPr>
              <w:fldChar w:fldCharType="end"/>
            </w:r>
          </w:hyperlink>
        </w:p>
        <w:p w14:paraId="61059175" w14:textId="50B5F594" w:rsidR="00A60D4B" w:rsidRDefault="00AB1438">
          <w:pPr>
            <w:pStyle w:val="TOC3"/>
            <w:rPr>
              <w:rFonts w:asciiTheme="minorHAnsi" w:hAnsiTheme="minorHAnsi"/>
              <w:color w:val="auto"/>
              <w:kern w:val="2"/>
              <w:sz w:val="24"/>
              <w:szCs w:val="24"/>
              <w:lang w:val="en-AU"/>
              <w14:ligatures w14:val="standardContextual"/>
            </w:rPr>
          </w:pPr>
          <w:hyperlink w:anchor="_Toc198138632" w:history="1">
            <w:r w:rsidR="00A60D4B" w:rsidRPr="007E7E46">
              <w:rPr>
                <w:rStyle w:val="Hyperlink"/>
                <w:b/>
              </w:rPr>
              <w:t>8.1.1</w:t>
            </w:r>
            <w:r w:rsidR="00A60D4B">
              <w:rPr>
                <w:rFonts w:asciiTheme="minorHAnsi" w:hAnsiTheme="minorHAnsi"/>
                <w:color w:val="auto"/>
                <w:kern w:val="2"/>
                <w:sz w:val="24"/>
                <w:szCs w:val="24"/>
                <w:lang w:val="en-AU"/>
                <w14:ligatures w14:val="standardContextual"/>
              </w:rPr>
              <w:tab/>
            </w:r>
            <w:r w:rsidR="00A60D4B" w:rsidRPr="007E7E46">
              <w:rPr>
                <w:rStyle w:val="Hyperlink"/>
              </w:rPr>
              <w:t>Impact assessment framework</w:t>
            </w:r>
            <w:r w:rsidR="00A60D4B">
              <w:rPr>
                <w:webHidden/>
              </w:rPr>
              <w:tab/>
            </w:r>
            <w:r w:rsidR="00A60D4B">
              <w:rPr>
                <w:webHidden/>
              </w:rPr>
              <w:fldChar w:fldCharType="begin"/>
            </w:r>
            <w:r w:rsidR="00A60D4B">
              <w:rPr>
                <w:webHidden/>
              </w:rPr>
              <w:instrText xml:space="preserve"> PAGEREF _Toc198138632 \h </w:instrText>
            </w:r>
            <w:r w:rsidR="00A60D4B">
              <w:rPr>
                <w:webHidden/>
              </w:rPr>
            </w:r>
            <w:r w:rsidR="00A60D4B">
              <w:rPr>
                <w:webHidden/>
              </w:rPr>
              <w:fldChar w:fldCharType="separate"/>
            </w:r>
            <w:r w:rsidR="00F32107">
              <w:rPr>
                <w:webHidden/>
              </w:rPr>
              <w:t>135</w:t>
            </w:r>
            <w:r w:rsidR="00A60D4B">
              <w:rPr>
                <w:webHidden/>
              </w:rPr>
              <w:fldChar w:fldCharType="end"/>
            </w:r>
          </w:hyperlink>
        </w:p>
        <w:p w14:paraId="2DAA2D04" w14:textId="2BF61957" w:rsidR="00A60D4B" w:rsidRDefault="00AB1438">
          <w:pPr>
            <w:pStyle w:val="TOC3"/>
            <w:rPr>
              <w:rFonts w:asciiTheme="minorHAnsi" w:hAnsiTheme="minorHAnsi"/>
              <w:color w:val="auto"/>
              <w:kern w:val="2"/>
              <w:sz w:val="24"/>
              <w:szCs w:val="24"/>
              <w:lang w:val="en-AU"/>
              <w14:ligatures w14:val="standardContextual"/>
            </w:rPr>
          </w:pPr>
          <w:hyperlink w:anchor="_Toc198138633" w:history="1">
            <w:r w:rsidR="00A60D4B" w:rsidRPr="007E7E46">
              <w:rPr>
                <w:rStyle w:val="Hyperlink"/>
                <w:b/>
              </w:rPr>
              <w:t>8.1.2</w:t>
            </w:r>
            <w:r w:rsidR="00A60D4B">
              <w:rPr>
                <w:rFonts w:asciiTheme="minorHAnsi" w:hAnsiTheme="minorHAnsi"/>
                <w:color w:val="auto"/>
                <w:kern w:val="2"/>
                <w:sz w:val="24"/>
                <w:szCs w:val="24"/>
                <w:lang w:val="en-AU"/>
                <w14:ligatures w14:val="standardContextual"/>
              </w:rPr>
              <w:tab/>
            </w:r>
            <w:r w:rsidR="00A60D4B" w:rsidRPr="007E7E46">
              <w:rPr>
                <w:rStyle w:val="Hyperlink"/>
              </w:rPr>
              <w:t>Impact analysis</w:t>
            </w:r>
            <w:r w:rsidR="00A60D4B">
              <w:rPr>
                <w:webHidden/>
              </w:rPr>
              <w:tab/>
            </w:r>
            <w:r w:rsidR="00A60D4B">
              <w:rPr>
                <w:webHidden/>
              </w:rPr>
              <w:fldChar w:fldCharType="begin"/>
            </w:r>
            <w:r w:rsidR="00A60D4B">
              <w:rPr>
                <w:webHidden/>
              </w:rPr>
              <w:instrText xml:space="preserve"> PAGEREF _Toc198138633 \h </w:instrText>
            </w:r>
            <w:r w:rsidR="00A60D4B">
              <w:rPr>
                <w:webHidden/>
              </w:rPr>
            </w:r>
            <w:r w:rsidR="00A60D4B">
              <w:rPr>
                <w:webHidden/>
              </w:rPr>
              <w:fldChar w:fldCharType="separate"/>
            </w:r>
            <w:r w:rsidR="00F32107">
              <w:rPr>
                <w:webHidden/>
              </w:rPr>
              <w:t>135</w:t>
            </w:r>
            <w:r w:rsidR="00A60D4B">
              <w:rPr>
                <w:webHidden/>
              </w:rPr>
              <w:fldChar w:fldCharType="end"/>
            </w:r>
          </w:hyperlink>
        </w:p>
        <w:p w14:paraId="748DC16D" w14:textId="26170866" w:rsidR="00A60D4B" w:rsidRDefault="00AB1438">
          <w:pPr>
            <w:pStyle w:val="TOC3"/>
            <w:rPr>
              <w:rFonts w:asciiTheme="minorHAnsi" w:hAnsiTheme="minorHAnsi"/>
              <w:color w:val="auto"/>
              <w:kern w:val="2"/>
              <w:sz w:val="24"/>
              <w:szCs w:val="24"/>
              <w:lang w:val="en-AU"/>
              <w14:ligatures w14:val="standardContextual"/>
            </w:rPr>
          </w:pPr>
          <w:hyperlink w:anchor="_Toc198138634" w:history="1">
            <w:r w:rsidR="00A60D4B" w:rsidRPr="007E7E46">
              <w:rPr>
                <w:rStyle w:val="Hyperlink"/>
                <w:b/>
              </w:rPr>
              <w:t>8.1.3</w:t>
            </w:r>
            <w:r w:rsidR="00A60D4B">
              <w:rPr>
                <w:rFonts w:asciiTheme="minorHAnsi" w:hAnsiTheme="minorHAnsi"/>
                <w:color w:val="auto"/>
                <w:kern w:val="2"/>
                <w:sz w:val="24"/>
                <w:szCs w:val="24"/>
                <w:lang w:val="en-AU"/>
                <w14:ligatures w14:val="standardContextual"/>
              </w:rPr>
              <w:tab/>
            </w:r>
            <w:r w:rsidR="00A60D4B" w:rsidRPr="007E7E46">
              <w:rPr>
                <w:rStyle w:val="Hyperlink"/>
              </w:rPr>
              <w:t>Summary of impact analysis</w:t>
            </w:r>
            <w:r w:rsidR="00A60D4B">
              <w:rPr>
                <w:webHidden/>
              </w:rPr>
              <w:tab/>
            </w:r>
            <w:r w:rsidR="00A60D4B">
              <w:rPr>
                <w:webHidden/>
              </w:rPr>
              <w:fldChar w:fldCharType="begin"/>
            </w:r>
            <w:r w:rsidR="00A60D4B">
              <w:rPr>
                <w:webHidden/>
              </w:rPr>
              <w:instrText xml:space="preserve"> PAGEREF _Toc198138634 \h </w:instrText>
            </w:r>
            <w:r w:rsidR="00A60D4B">
              <w:rPr>
                <w:webHidden/>
              </w:rPr>
            </w:r>
            <w:r w:rsidR="00A60D4B">
              <w:rPr>
                <w:webHidden/>
              </w:rPr>
              <w:fldChar w:fldCharType="separate"/>
            </w:r>
            <w:r w:rsidR="00F32107">
              <w:rPr>
                <w:webHidden/>
              </w:rPr>
              <w:t>141</w:t>
            </w:r>
            <w:r w:rsidR="00A60D4B">
              <w:rPr>
                <w:webHidden/>
              </w:rPr>
              <w:fldChar w:fldCharType="end"/>
            </w:r>
          </w:hyperlink>
        </w:p>
        <w:p w14:paraId="7D425DAB" w14:textId="00D8973B" w:rsidR="00A60D4B" w:rsidRDefault="00AB1438">
          <w:pPr>
            <w:pStyle w:val="TOC3"/>
            <w:rPr>
              <w:rFonts w:asciiTheme="minorHAnsi" w:hAnsiTheme="minorHAnsi"/>
              <w:color w:val="auto"/>
              <w:kern w:val="2"/>
              <w:sz w:val="24"/>
              <w:szCs w:val="24"/>
              <w:lang w:val="en-AU"/>
              <w14:ligatures w14:val="standardContextual"/>
            </w:rPr>
          </w:pPr>
          <w:hyperlink w:anchor="_Toc198138635" w:history="1">
            <w:r w:rsidR="00A60D4B" w:rsidRPr="007E7E46">
              <w:rPr>
                <w:rStyle w:val="Hyperlink"/>
                <w:b/>
              </w:rPr>
              <w:t>8.1.4</w:t>
            </w:r>
            <w:r w:rsidR="00A60D4B">
              <w:rPr>
                <w:rFonts w:asciiTheme="minorHAnsi" w:hAnsiTheme="minorHAnsi"/>
                <w:color w:val="auto"/>
                <w:kern w:val="2"/>
                <w:sz w:val="24"/>
                <w:szCs w:val="24"/>
                <w:lang w:val="en-AU"/>
                <w14:ligatures w14:val="standardContextual"/>
              </w:rPr>
              <w:tab/>
            </w:r>
            <w:r w:rsidR="00A60D4B" w:rsidRPr="007E7E46">
              <w:rPr>
                <w:rStyle w:val="Hyperlink"/>
              </w:rPr>
              <w:t>Multi-criteria assessment</w:t>
            </w:r>
            <w:r w:rsidR="00A60D4B">
              <w:rPr>
                <w:webHidden/>
              </w:rPr>
              <w:tab/>
            </w:r>
            <w:r w:rsidR="00A60D4B">
              <w:rPr>
                <w:webHidden/>
              </w:rPr>
              <w:fldChar w:fldCharType="begin"/>
            </w:r>
            <w:r w:rsidR="00A60D4B">
              <w:rPr>
                <w:webHidden/>
              </w:rPr>
              <w:instrText xml:space="preserve"> PAGEREF _Toc198138635 \h </w:instrText>
            </w:r>
            <w:r w:rsidR="00A60D4B">
              <w:rPr>
                <w:webHidden/>
              </w:rPr>
            </w:r>
            <w:r w:rsidR="00A60D4B">
              <w:rPr>
                <w:webHidden/>
              </w:rPr>
              <w:fldChar w:fldCharType="separate"/>
            </w:r>
            <w:r w:rsidR="00F32107">
              <w:rPr>
                <w:webHidden/>
              </w:rPr>
              <w:t>141</w:t>
            </w:r>
            <w:r w:rsidR="00A60D4B">
              <w:rPr>
                <w:webHidden/>
              </w:rPr>
              <w:fldChar w:fldCharType="end"/>
            </w:r>
          </w:hyperlink>
        </w:p>
        <w:p w14:paraId="761058B0" w14:textId="606CDD48" w:rsidR="00A60D4B" w:rsidRDefault="00AB1438">
          <w:pPr>
            <w:pStyle w:val="TOC2"/>
            <w:rPr>
              <w:rFonts w:asciiTheme="minorHAnsi" w:hAnsiTheme="minorHAnsi"/>
              <w:iCs w:val="0"/>
              <w:color w:val="auto"/>
              <w:kern w:val="2"/>
              <w:sz w:val="24"/>
              <w:szCs w:val="24"/>
              <w:lang w:val="en-AU"/>
              <w14:ligatures w14:val="standardContextual"/>
            </w:rPr>
          </w:pPr>
          <w:hyperlink w:anchor="_Toc198138636" w:history="1">
            <w:r w:rsidR="00A60D4B" w:rsidRPr="007E7E46">
              <w:rPr>
                <w:rStyle w:val="Hyperlink"/>
              </w:rPr>
              <w:t>8.2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National Registration of audiology profession under the National Scheme (Option 7)</w:t>
            </w:r>
            <w:r w:rsidR="00A60D4B">
              <w:rPr>
                <w:webHidden/>
              </w:rPr>
              <w:tab/>
            </w:r>
            <w:r w:rsidR="00A60D4B">
              <w:rPr>
                <w:webHidden/>
              </w:rPr>
              <w:fldChar w:fldCharType="begin"/>
            </w:r>
            <w:r w:rsidR="00A60D4B">
              <w:rPr>
                <w:webHidden/>
              </w:rPr>
              <w:instrText xml:space="preserve"> PAGEREF _Toc198138636 \h </w:instrText>
            </w:r>
            <w:r w:rsidR="00A60D4B">
              <w:rPr>
                <w:webHidden/>
              </w:rPr>
            </w:r>
            <w:r w:rsidR="00A60D4B">
              <w:rPr>
                <w:webHidden/>
              </w:rPr>
              <w:fldChar w:fldCharType="separate"/>
            </w:r>
            <w:r w:rsidR="00F32107">
              <w:rPr>
                <w:webHidden/>
              </w:rPr>
              <w:t>143</w:t>
            </w:r>
            <w:r w:rsidR="00A60D4B">
              <w:rPr>
                <w:webHidden/>
              </w:rPr>
              <w:fldChar w:fldCharType="end"/>
            </w:r>
          </w:hyperlink>
        </w:p>
        <w:p w14:paraId="6C27439B" w14:textId="6C6E567A" w:rsidR="00A60D4B" w:rsidRDefault="00AB1438">
          <w:pPr>
            <w:pStyle w:val="TOC3"/>
            <w:rPr>
              <w:rFonts w:asciiTheme="minorHAnsi" w:hAnsiTheme="minorHAnsi"/>
              <w:color w:val="auto"/>
              <w:kern w:val="2"/>
              <w:sz w:val="24"/>
              <w:szCs w:val="24"/>
              <w:lang w:val="en-AU"/>
              <w14:ligatures w14:val="standardContextual"/>
            </w:rPr>
          </w:pPr>
          <w:hyperlink w:anchor="_Toc198138637" w:history="1">
            <w:r w:rsidR="00A60D4B" w:rsidRPr="007E7E46">
              <w:rPr>
                <w:rStyle w:val="Hyperlink"/>
                <w:b/>
              </w:rPr>
              <w:t>8.2.1</w:t>
            </w:r>
            <w:r w:rsidR="00A60D4B">
              <w:rPr>
                <w:rFonts w:asciiTheme="minorHAnsi" w:hAnsiTheme="minorHAnsi"/>
                <w:color w:val="auto"/>
                <w:kern w:val="2"/>
                <w:sz w:val="24"/>
                <w:szCs w:val="24"/>
                <w:lang w:val="en-AU"/>
                <w14:ligatures w14:val="standardContextual"/>
              </w:rPr>
              <w:tab/>
            </w:r>
            <w:r w:rsidR="00A60D4B" w:rsidRPr="007E7E46">
              <w:rPr>
                <w:rStyle w:val="Hyperlink"/>
              </w:rPr>
              <w:t>Theory of change</w:t>
            </w:r>
            <w:r w:rsidR="00A60D4B">
              <w:rPr>
                <w:webHidden/>
              </w:rPr>
              <w:tab/>
            </w:r>
            <w:r w:rsidR="00A60D4B">
              <w:rPr>
                <w:webHidden/>
              </w:rPr>
              <w:fldChar w:fldCharType="begin"/>
            </w:r>
            <w:r w:rsidR="00A60D4B">
              <w:rPr>
                <w:webHidden/>
              </w:rPr>
              <w:instrText xml:space="preserve"> PAGEREF _Toc198138637 \h </w:instrText>
            </w:r>
            <w:r w:rsidR="00A60D4B">
              <w:rPr>
                <w:webHidden/>
              </w:rPr>
            </w:r>
            <w:r w:rsidR="00A60D4B">
              <w:rPr>
                <w:webHidden/>
              </w:rPr>
              <w:fldChar w:fldCharType="separate"/>
            </w:r>
            <w:r w:rsidR="00F32107">
              <w:rPr>
                <w:webHidden/>
              </w:rPr>
              <w:t>143</w:t>
            </w:r>
            <w:r w:rsidR="00A60D4B">
              <w:rPr>
                <w:webHidden/>
              </w:rPr>
              <w:fldChar w:fldCharType="end"/>
            </w:r>
          </w:hyperlink>
        </w:p>
        <w:p w14:paraId="39599243" w14:textId="5B731E41" w:rsidR="00A60D4B" w:rsidRDefault="00AB1438">
          <w:pPr>
            <w:pStyle w:val="TOC3"/>
            <w:rPr>
              <w:rFonts w:asciiTheme="minorHAnsi" w:hAnsiTheme="minorHAnsi"/>
              <w:color w:val="auto"/>
              <w:kern w:val="2"/>
              <w:sz w:val="24"/>
              <w:szCs w:val="24"/>
              <w:lang w:val="en-AU"/>
              <w14:ligatures w14:val="standardContextual"/>
            </w:rPr>
          </w:pPr>
          <w:hyperlink w:anchor="_Toc198138638" w:history="1">
            <w:r w:rsidR="00A60D4B" w:rsidRPr="007E7E46">
              <w:rPr>
                <w:rStyle w:val="Hyperlink"/>
                <w:b/>
              </w:rPr>
              <w:t>8.2.2</w:t>
            </w:r>
            <w:r w:rsidR="00A60D4B">
              <w:rPr>
                <w:rFonts w:asciiTheme="minorHAnsi" w:hAnsiTheme="minorHAnsi"/>
                <w:color w:val="auto"/>
                <w:kern w:val="2"/>
                <w:sz w:val="24"/>
                <w:szCs w:val="24"/>
                <w:lang w:val="en-AU"/>
                <w14:ligatures w14:val="standardContextual"/>
              </w:rPr>
              <w:tab/>
            </w:r>
            <w:r w:rsidR="00A60D4B" w:rsidRPr="007E7E46">
              <w:rPr>
                <w:rStyle w:val="Hyperlink"/>
              </w:rPr>
              <w:t>Impact assessment framework</w:t>
            </w:r>
            <w:r w:rsidR="00A60D4B">
              <w:rPr>
                <w:webHidden/>
              </w:rPr>
              <w:tab/>
            </w:r>
            <w:r w:rsidR="00A60D4B">
              <w:rPr>
                <w:webHidden/>
              </w:rPr>
              <w:fldChar w:fldCharType="begin"/>
            </w:r>
            <w:r w:rsidR="00A60D4B">
              <w:rPr>
                <w:webHidden/>
              </w:rPr>
              <w:instrText xml:space="preserve"> PAGEREF _Toc198138638 \h </w:instrText>
            </w:r>
            <w:r w:rsidR="00A60D4B">
              <w:rPr>
                <w:webHidden/>
              </w:rPr>
            </w:r>
            <w:r w:rsidR="00A60D4B">
              <w:rPr>
                <w:webHidden/>
              </w:rPr>
              <w:fldChar w:fldCharType="separate"/>
            </w:r>
            <w:r w:rsidR="00F32107">
              <w:rPr>
                <w:webHidden/>
              </w:rPr>
              <w:t>143</w:t>
            </w:r>
            <w:r w:rsidR="00A60D4B">
              <w:rPr>
                <w:webHidden/>
              </w:rPr>
              <w:fldChar w:fldCharType="end"/>
            </w:r>
          </w:hyperlink>
        </w:p>
        <w:p w14:paraId="3C4CDF0B" w14:textId="7B3126B2" w:rsidR="00A60D4B" w:rsidRDefault="00AB1438">
          <w:pPr>
            <w:pStyle w:val="TOC3"/>
            <w:rPr>
              <w:rFonts w:asciiTheme="minorHAnsi" w:hAnsiTheme="minorHAnsi"/>
              <w:color w:val="auto"/>
              <w:kern w:val="2"/>
              <w:sz w:val="24"/>
              <w:szCs w:val="24"/>
              <w:lang w:val="en-AU"/>
              <w14:ligatures w14:val="standardContextual"/>
            </w:rPr>
          </w:pPr>
          <w:hyperlink w:anchor="_Toc198138639" w:history="1">
            <w:r w:rsidR="00A60D4B" w:rsidRPr="007E7E46">
              <w:rPr>
                <w:rStyle w:val="Hyperlink"/>
                <w:b/>
              </w:rPr>
              <w:t>8.2.3</w:t>
            </w:r>
            <w:r w:rsidR="00A60D4B">
              <w:rPr>
                <w:rFonts w:asciiTheme="minorHAnsi" w:hAnsiTheme="minorHAnsi"/>
                <w:color w:val="auto"/>
                <w:kern w:val="2"/>
                <w:sz w:val="24"/>
                <w:szCs w:val="24"/>
                <w:lang w:val="en-AU"/>
                <w14:ligatures w14:val="standardContextual"/>
              </w:rPr>
              <w:tab/>
            </w:r>
            <w:r w:rsidR="00A60D4B" w:rsidRPr="007E7E46">
              <w:rPr>
                <w:rStyle w:val="Hyperlink"/>
              </w:rPr>
              <w:t>Incremental impact analysis</w:t>
            </w:r>
            <w:r w:rsidR="00A60D4B">
              <w:rPr>
                <w:webHidden/>
              </w:rPr>
              <w:tab/>
            </w:r>
            <w:r w:rsidR="00A60D4B">
              <w:rPr>
                <w:webHidden/>
              </w:rPr>
              <w:fldChar w:fldCharType="begin"/>
            </w:r>
            <w:r w:rsidR="00A60D4B">
              <w:rPr>
                <w:webHidden/>
              </w:rPr>
              <w:instrText xml:space="preserve"> PAGEREF _Toc198138639 \h </w:instrText>
            </w:r>
            <w:r w:rsidR="00A60D4B">
              <w:rPr>
                <w:webHidden/>
              </w:rPr>
            </w:r>
            <w:r w:rsidR="00A60D4B">
              <w:rPr>
                <w:webHidden/>
              </w:rPr>
              <w:fldChar w:fldCharType="separate"/>
            </w:r>
            <w:r w:rsidR="00F32107">
              <w:rPr>
                <w:webHidden/>
              </w:rPr>
              <w:t>144</w:t>
            </w:r>
            <w:r w:rsidR="00A60D4B">
              <w:rPr>
                <w:webHidden/>
              </w:rPr>
              <w:fldChar w:fldCharType="end"/>
            </w:r>
          </w:hyperlink>
        </w:p>
        <w:p w14:paraId="6C158681" w14:textId="3693E18A" w:rsidR="00A60D4B" w:rsidRDefault="00AB1438">
          <w:pPr>
            <w:pStyle w:val="TOC3"/>
            <w:rPr>
              <w:rFonts w:asciiTheme="minorHAnsi" w:hAnsiTheme="minorHAnsi"/>
              <w:color w:val="auto"/>
              <w:kern w:val="2"/>
              <w:sz w:val="24"/>
              <w:szCs w:val="24"/>
              <w:lang w:val="en-AU"/>
              <w14:ligatures w14:val="standardContextual"/>
            </w:rPr>
          </w:pPr>
          <w:hyperlink w:anchor="_Toc198138640" w:history="1">
            <w:r w:rsidR="00A60D4B" w:rsidRPr="007E7E46">
              <w:rPr>
                <w:rStyle w:val="Hyperlink"/>
                <w:b/>
              </w:rPr>
              <w:t>8.2.4</w:t>
            </w:r>
            <w:r w:rsidR="00A60D4B">
              <w:rPr>
                <w:rFonts w:asciiTheme="minorHAnsi" w:hAnsiTheme="minorHAnsi"/>
                <w:color w:val="auto"/>
                <w:kern w:val="2"/>
                <w:sz w:val="24"/>
                <w:szCs w:val="24"/>
                <w:lang w:val="en-AU"/>
                <w14:ligatures w14:val="standardContextual"/>
              </w:rPr>
              <w:tab/>
            </w:r>
            <w:r w:rsidR="00A60D4B" w:rsidRPr="007E7E46">
              <w:rPr>
                <w:rStyle w:val="Hyperlink"/>
              </w:rPr>
              <w:t>Summary of incremental impact analysis</w:t>
            </w:r>
            <w:r w:rsidR="00A60D4B">
              <w:rPr>
                <w:webHidden/>
              </w:rPr>
              <w:tab/>
            </w:r>
            <w:r w:rsidR="00A60D4B">
              <w:rPr>
                <w:webHidden/>
              </w:rPr>
              <w:fldChar w:fldCharType="begin"/>
            </w:r>
            <w:r w:rsidR="00A60D4B">
              <w:rPr>
                <w:webHidden/>
              </w:rPr>
              <w:instrText xml:space="preserve"> PAGEREF _Toc198138640 \h </w:instrText>
            </w:r>
            <w:r w:rsidR="00A60D4B">
              <w:rPr>
                <w:webHidden/>
              </w:rPr>
            </w:r>
            <w:r w:rsidR="00A60D4B">
              <w:rPr>
                <w:webHidden/>
              </w:rPr>
              <w:fldChar w:fldCharType="separate"/>
            </w:r>
            <w:r w:rsidR="00F32107">
              <w:rPr>
                <w:webHidden/>
              </w:rPr>
              <w:t>156</w:t>
            </w:r>
            <w:r w:rsidR="00A60D4B">
              <w:rPr>
                <w:webHidden/>
              </w:rPr>
              <w:fldChar w:fldCharType="end"/>
            </w:r>
          </w:hyperlink>
        </w:p>
        <w:p w14:paraId="10D5F715" w14:textId="5643FA65" w:rsidR="00A60D4B" w:rsidRDefault="00AB1438">
          <w:pPr>
            <w:pStyle w:val="TOC3"/>
            <w:rPr>
              <w:rFonts w:asciiTheme="minorHAnsi" w:hAnsiTheme="minorHAnsi"/>
              <w:color w:val="auto"/>
              <w:kern w:val="2"/>
              <w:sz w:val="24"/>
              <w:szCs w:val="24"/>
              <w:lang w:val="en-AU"/>
              <w14:ligatures w14:val="standardContextual"/>
            </w:rPr>
          </w:pPr>
          <w:hyperlink w:anchor="_Toc198138641" w:history="1">
            <w:r w:rsidR="00A60D4B" w:rsidRPr="007E7E46">
              <w:rPr>
                <w:rStyle w:val="Hyperlink"/>
                <w:b/>
              </w:rPr>
              <w:t>8.2.5</w:t>
            </w:r>
            <w:r w:rsidR="00A60D4B">
              <w:rPr>
                <w:rFonts w:asciiTheme="minorHAnsi" w:hAnsiTheme="minorHAnsi"/>
                <w:color w:val="auto"/>
                <w:kern w:val="2"/>
                <w:sz w:val="24"/>
                <w:szCs w:val="24"/>
                <w:lang w:val="en-AU"/>
                <w14:ligatures w14:val="standardContextual"/>
              </w:rPr>
              <w:tab/>
            </w:r>
            <w:r w:rsidR="00A60D4B" w:rsidRPr="007E7E46">
              <w:rPr>
                <w:rStyle w:val="Hyperlink"/>
              </w:rPr>
              <w:t>Multi-criteria assessment</w:t>
            </w:r>
            <w:r w:rsidR="00A60D4B">
              <w:rPr>
                <w:webHidden/>
              </w:rPr>
              <w:tab/>
            </w:r>
            <w:r w:rsidR="00A60D4B">
              <w:rPr>
                <w:webHidden/>
              </w:rPr>
              <w:fldChar w:fldCharType="begin"/>
            </w:r>
            <w:r w:rsidR="00A60D4B">
              <w:rPr>
                <w:webHidden/>
              </w:rPr>
              <w:instrText xml:space="preserve"> PAGEREF _Toc198138641 \h </w:instrText>
            </w:r>
            <w:r w:rsidR="00A60D4B">
              <w:rPr>
                <w:webHidden/>
              </w:rPr>
            </w:r>
            <w:r w:rsidR="00A60D4B">
              <w:rPr>
                <w:webHidden/>
              </w:rPr>
              <w:fldChar w:fldCharType="separate"/>
            </w:r>
            <w:r w:rsidR="00F32107">
              <w:rPr>
                <w:webHidden/>
              </w:rPr>
              <w:t>161</w:t>
            </w:r>
            <w:r w:rsidR="00A60D4B">
              <w:rPr>
                <w:webHidden/>
              </w:rPr>
              <w:fldChar w:fldCharType="end"/>
            </w:r>
          </w:hyperlink>
        </w:p>
        <w:p w14:paraId="7B74899D" w14:textId="0FB5C5C7" w:rsidR="00A60D4B" w:rsidRDefault="00AB1438">
          <w:pPr>
            <w:pStyle w:val="TOC2"/>
            <w:rPr>
              <w:rFonts w:asciiTheme="minorHAnsi" w:hAnsiTheme="minorHAnsi"/>
              <w:iCs w:val="0"/>
              <w:color w:val="auto"/>
              <w:kern w:val="2"/>
              <w:sz w:val="24"/>
              <w:szCs w:val="24"/>
              <w:lang w:val="en-AU"/>
              <w14:ligatures w14:val="standardContextual"/>
            </w:rPr>
          </w:pPr>
          <w:hyperlink w:anchor="_Toc198138642" w:history="1">
            <w:r w:rsidR="00A60D4B" w:rsidRPr="007E7E46">
              <w:rPr>
                <w:rStyle w:val="Hyperlink"/>
              </w:rPr>
              <w:t>8.3</w:t>
            </w:r>
            <w:r w:rsidR="00A60D4B">
              <w:rPr>
                <w:rFonts w:asciiTheme="minorHAnsi" w:hAnsiTheme="minorHAnsi"/>
                <w:iCs w:val="0"/>
                <w:color w:val="auto"/>
                <w:kern w:val="2"/>
                <w:sz w:val="24"/>
                <w:szCs w:val="24"/>
                <w:lang w:val="en-AU"/>
                <w14:ligatures w14:val="standardContextual"/>
              </w:rPr>
              <w:tab/>
            </w:r>
            <w:r w:rsidR="00A60D4B" w:rsidRPr="007E7E46">
              <w:rPr>
                <w:rStyle w:val="Hyperlink"/>
              </w:rPr>
              <w:t>Jurisdictional Registration of the audiology profession (Option 6)</w:t>
            </w:r>
            <w:r w:rsidR="00A60D4B">
              <w:rPr>
                <w:webHidden/>
              </w:rPr>
              <w:tab/>
            </w:r>
            <w:r w:rsidR="00A60D4B">
              <w:rPr>
                <w:webHidden/>
              </w:rPr>
              <w:fldChar w:fldCharType="begin"/>
            </w:r>
            <w:r w:rsidR="00A60D4B">
              <w:rPr>
                <w:webHidden/>
              </w:rPr>
              <w:instrText xml:space="preserve"> PAGEREF _Toc198138642 \h </w:instrText>
            </w:r>
            <w:r w:rsidR="00A60D4B">
              <w:rPr>
                <w:webHidden/>
              </w:rPr>
            </w:r>
            <w:r w:rsidR="00A60D4B">
              <w:rPr>
                <w:webHidden/>
              </w:rPr>
              <w:fldChar w:fldCharType="separate"/>
            </w:r>
            <w:r w:rsidR="00F32107">
              <w:rPr>
                <w:webHidden/>
              </w:rPr>
              <w:t>163</w:t>
            </w:r>
            <w:r w:rsidR="00A60D4B">
              <w:rPr>
                <w:webHidden/>
              </w:rPr>
              <w:fldChar w:fldCharType="end"/>
            </w:r>
          </w:hyperlink>
        </w:p>
        <w:p w14:paraId="40D03396" w14:textId="4A920B9C" w:rsidR="00A60D4B" w:rsidRDefault="00AB1438">
          <w:pPr>
            <w:pStyle w:val="TOC3"/>
            <w:rPr>
              <w:rFonts w:asciiTheme="minorHAnsi" w:hAnsiTheme="minorHAnsi"/>
              <w:color w:val="auto"/>
              <w:kern w:val="2"/>
              <w:sz w:val="24"/>
              <w:szCs w:val="24"/>
              <w:lang w:val="en-AU"/>
              <w14:ligatures w14:val="standardContextual"/>
            </w:rPr>
          </w:pPr>
          <w:hyperlink w:anchor="_Toc198138643" w:history="1">
            <w:r w:rsidR="00A60D4B" w:rsidRPr="007E7E46">
              <w:rPr>
                <w:rStyle w:val="Hyperlink"/>
                <w:b/>
              </w:rPr>
              <w:t>8.3.1</w:t>
            </w:r>
            <w:r w:rsidR="00A60D4B">
              <w:rPr>
                <w:rFonts w:asciiTheme="minorHAnsi" w:hAnsiTheme="minorHAnsi"/>
                <w:color w:val="auto"/>
                <w:kern w:val="2"/>
                <w:sz w:val="24"/>
                <w:szCs w:val="24"/>
                <w:lang w:val="en-AU"/>
                <w14:ligatures w14:val="standardContextual"/>
              </w:rPr>
              <w:tab/>
            </w:r>
            <w:r w:rsidR="00A60D4B" w:rsidRPr="007E7E46">
              <w:rPr>
                <w:rStyle w:val="Hyperlink"/>
              </w:rPr>
              <w:t>Theory of change</w:t>
            </w:r>
            <w:r w:rsidR="00A60D4B">
              <w:rPr>
                <w:webHidden/>
              </w:rPr>
              <w:tab/>
            </w:r>
            <w:r w:rsidR="00A60D4B">
              <w:rPr>
                <w:webHidden/>
              </w:rPr>
              <w:fldChar w:fldCharType="begin"/>
            </w:r>
            <w:r w:rsidR="00A60D4B">
              <w:rPr>
                <w:webHidden/>
              </w:rPr>
              <w:instrText xml:space="preserve"> PAGEREF _Toc198138643 \h </w:instrText>
            </w:r>
            <w:r w:rsidR="00A60D4B">
              <w:rPr>
                <w:webHidden/>
              </w:rPr>
            </w:r>
            <w:r w:rsidR="00A60D4B">
              <w:rPr>
                <w:webHidden/>
              </w:rPr>
              <w:fldChar w:fldCharType="separate"/>
            </w:r>
            <w:r w:rsidR="00F32107">
              <w:rPr>
                <w:webHidden/>
              </w:rPr>
              <w:t>164</w:t>
            </w:r>
            <w:r w:rsidR="00A60D4B">
              <w:rPr>
                <w:webHidden/>
              </w:rPr>
              <w:fldChar w:fldCharType="end"/>
            </w:r>
          </w:hyperlink>
        </w:p>
        <w:p w14:paraId="0E57DC89" w14:textId="6EF9625E" w:rsidR="00A60D4B" w:rsidRDefault="00AB1438">
          <w:pPr>
            <w:pStyle w:val="TOC3"/>
            <w:rPr>
              <w:rFonts w:asciiTheme="minorHAnsi" w:hAnsiTheme="minorHAnsi"/>
              <w:color w:val="auto"/>
              <w:kern w:val="2"/>
              <w:sz w:val="24"/>
              <w:szCs w:val="24"/>
              <w:lang w:val="en-AU"/>
              <w14:ligatures w14:val="standardContextual"/>
            </w:rPr>
          </w:pPr>
          <w:hyperlink w:anchor="_Toc198138644" w:history="1">
            <w:r w:rsidR="00A60D4B" w:rsidRPr="007E7E46">
              <w:rPr>
                <w:rStyle w:val="Hyperlink"/>
                <w:b/>
              </w:rPr>
              <w:t>8.3.2</w:t>
            </w:r>
            <w:r w:rsidR="00A60D4B">
              <w:rPr>
                <w:rFonts w:asciiTheme="minorHAnsi" w:hAnsiTheme="minorHAnsi"/>
                <w:color w:val="auto"/>
                <w:kern w:val="2"/>
                <w:sz w:val="24"/>
                <w:szCs w:val="24"/>
                <w:lang w:val="en-AU"/>
                <w14:ligatures w14:val="standardContextual"/>
              </w:rPr>
              <w:tab/>
            </w:r>
            <w:r w:rsidR="00A60D4B" w:rsidRPr="007E7E46">
              <w:rPr>
                <w:rStyle w:val="Hyperlink"/>
              </w:rPr>
              <w:t>Impact assessment framework</w:t>
            </w:r>
            <w:r w:rsidR="00A60D4B">
              <w:rPr>
                <w:webHidden/>
              </w:rPr>
              <w:tab/>
            </w:r>
            <w:r w:rsidR="00A60D4B">
              <w:rPr>
                <w:webHidden/>
              </w:rPr>
              <w:fldChar w:fldCharType="begin"/>
            </w:r>
            <w:r w:rsidR="00A60D4B">
              <w:rPr>
                <w:webHidden/>
              </w:rPr>
              <w:instrText xml:space="preserve"> PAGEREF _Toc198138644 \h </w:instrText>
            </w:r>
            <w:r w:rsidR="00A60D4B">
              <w:rPr>
                <w:webHidden/>
              </w:rPr>
            </w:r>
            <w:r w:rsidR="00A60D4B">
              <w:rPr>
                <w:webHidden/>
              </w:rPr>
              <w:fldChar w:fldCharType="separate"/>
            </w:r>
            <w:r w:rsidR="00F32107">
              <w:rPr>
                <w:webHidden/>
              </w:rPr>
              <w:t>164</w:t>
            </w:r>
            <w:r w:rsidR="00A60D4B">
              <w:rPr>
                <w:webHidden/>
              </w:rPr>
              <w:fldChar w:fldCharType="end"/>
            </w:r>
          </w:hyperlink>
        </w:p>
        <w:p w14:paraId="5BB41B7B" w14:textId="53917EB8" w:rsidR="00A60D4B" w:rsidRDefault="00AB1438">
          <w:pPr>
            <w:pStyle w:val="TOC3"/>
            <w:rPr>
              <w:rFonts w:asciiTheme="minorHAnsi" w:hAnsiTheme="minorHAnsi"/>
              <w:color w:val="auto"/>
              <w:kern w:val="2"/>
              <w:sz w:val="24"/>
              <w:szCs w:val="24"/>
              <w:lang w:val="en-AU"/>
              <w14:ligatures w14:val="standardContextual"/>
            </w:rPr>
          </w:pPr>
          <w:hyperlink w:anchor="_Toc198138645" w:history="1">
            <w:r w:rsidR="00A60D4B" w:rsidRPr="007E7E46">
              <w:rPr>
                <w:rStyle w:val="Hyperlink"/>
                <w:b/>
              </w:rPr>
              <w:t>8.3.3</w:t>
            </w:r>
            <w:r w:rsidR="00A60D4B">
              <w:rPr>
                <w:rFonts w:asciiTheme="minorHAnsi" w:hAnsiTheme="minorHAnsi"/>
                <w:color w:val="auto"/>
                <w:kern w:val="2"/>
                <w:sz w:val="24"/>
                <w:szCs w:val="24"/>
                <w:lang w:val="en-AU"/>
                <w14:ligatures w14:val="standardContextual"/>
              </w:rPr>
              <w:tab/>
            </w:r>
            <w:r w:rsidR="00A60D4B" w:rsidRPr="007E7E46">
              <w:rPr>
                <w:rStyle w:val="Hyperlink"/>
              </w:rPr>
              <w:t>Incremental impact analysis</w:t>
            </w:r>
            <w:r w:rsidR="00A60D4B">
              <w:rPr>
                <w:webHidden/>
              </w:rPr>
              <w:tab/>
            </w:r>
            <w:r w:rsidR="00A60D4B">
              <w:rPr>
                <w:webHidden/>
              </w:rPr>
              <w:fldChar w:fldCharType="begin"/>
            </w:r>
            <w:r w:rsidR="00A60D4B">
              <w:rPr>
                <w:webHidden/>
              </w:rPr>
              <w:instrText xml:space="preserve"> PAGEREF _Toc198138645 \h </w:instrText>
            </w:r>
            <w:r w:rsidR="00A60D4B">
              <w:rPr>
                <w:webHidden/>
              </w:rPr>
            </w:r>
            <w:r w:rsidR="00A60D4B">
              <w:rPr>
                <w:webHidden/>
              </w:rPr>
              <w:fldChar w:fldCharType="separate"/>
            </w:r>
            <w:r w:rsidR="00F32107">
              <w:rPr>
                <w:webHidden/>
              </w:rPr>
              <w:t>165</w:t>
            </w:r>
            <w:r w:rsidR="00A60D4B">
              <w:rPr>
                <w:webHidden/>
              </w:rPr>
              <w:fldChar w:fldCharType="end"/>
            </w:r>
          </w:hyperlink>
        </w:p>
        <w:p w14:paraId="278F21DD" w14:textId="02B5AE86" w:rsidR="00A60D4B" w:rsidRDefault="00AB1438">
          <w:pPr>
            <w:pStyle w:val="TOC3"/>
            <w:rPr>
              <w:rFonts w:asciiTheme="minorHAnsi" w:hAnsiTheme="minorHAnsi"/>
              <w:color w:val="auto"/>
              <w:kern w:val="2"/>
              <w:sz w:val="24"/>
              <w:szCs w:val="24"/>
              <w:lang w:val="en-AU"/>
              <w14:ligatures w14:val="standardContextual"/>
            </w:rPr>
          </w:pPr>
          <w:hyperlink w:anchor="_Toc198138646" w:history="1">
            <w:r w:rsidR="00A60D4B" w:rsidRPr="007E7E46">
              <w:rPr>
                <w:rStyle w:val="Hyperlink"/>
                <w:b/>
              </w:rPr>
              <w:t>8.3.4</w:t>
            </w:r>
            <w:r w:rsidR="00A60D4B">
              <w:rPr>
                <w:rFonts w:asciiTheme="minorHAnsi" w:hAnsiTheme="minorHAnsi"/>
                <w:color w:val="auto"/>
                <w:kern w:val="2"/>
                <w:sz w:val="24"/>
                <w:szCs w:val="24"/>
                <w:lang w:val="en-AU"/>
                <w14:ligatures w14:val="standardContextual"/>
              </w:rPr>
              <w:tab/>
            </w:r>
            <w:r w:rsidR="00A60D4B" w:rsidRPr="007E7E46">
              <w:rPr>
                <w:rStyle w:val="Hyperlink"/>
              </w:rPr>
              <w:t>Summary of incremental impact analysis</w:t>
            </w:r>
            <w:r w:rsidR="00A60D4B">
              <w:rPr>
                <w:webHidden/>
              </w:rPr>
              <w:tab/>
            </w:r>
            <w:r w:rsidR="00A60D4B">
              <w:rPr>
                <w:webHidden/>
              </w:rPr>
              <w:fldChar w:fldCharType="begin"/>
            </w:r>
            <w:r w:rsidR="00A60D4B">
              <w:rPr>
                <w:webHidden/>
              </w:rPr>
              <w:instrText xml:space="preserve"> PAGEREF _Toc198138646 \h </w:instrText>
            </w:r>
            <w:r w:rsidR="00A60D4B">
              <w:rPr>
                <w:webHidden/>
              </w:rPr>
            </w:r>
            <w:r w:rsidR="00A60D4B">
              <w:rPr>
                <w:webHidden/>
              </w:rPr>
              <w:fldChar w:fldCharType="separate"/>
            </w:r>
            <w:r w:rsidR="00F32107">
              <w:rPr>
                <w:webHidden/>
              </w:rPr>
              <w:t>173</w:t>
            </w:r>
            <w:r w:rsidR="00A60D4B">
              <w:rPr>
                <w:webHidden/>
              </w:rPr>
              <w:fldChar w:fldCharType="end"/>
            </w:r>
          </w:hyperlink>
        </w:p>
        <w:p w14:paraId="3912EF81" w14:textId="6A173B90" w:rsidR="00A60D4B" w:rsidRDefault="00AB1438">
          <w:pPr>
            <w:pStyle w:val="TOC3"/>
            <w:rPr>
              <w:rFonts w:asciiTheme="minorHAnsi" w:hAnsiTheme="minorHAnsi"/>
              <w:color w:val="auto"/>
              <w:kern w:val="2"/>
              <w:sz w:val="24"/>
              <w:szCs w:val="24"/>
              <w:lang w:val="en-AU"/>
              <w14:ligatures w14:val="standardContextual"/>
            </w:rPr>
          </w:pPr>
          <w:hyperlink w:anchor="_Toc198138647" w:history="1">
            <w:r w:rsidR="00A60D4B" w:rsidRPr="007E7E46">
              <w:rPr>
                <w:rStyle w:val="Hyperlink"/>
                <w:b/>
              </w:rPr>
              <w:t>8.3.5</w:t>
            </w:r>
            <w:r w:rsidR="00A60D4B">
              <w:rPr>
                <w:rFonts w:asciiTheme="minorHAnsi" w:hAnsiTheme="minorHAnsi"/>
                <w:color w:val="auto"/>
                <w:kern w:val="2"/>
                <w:sz w:val="24"/>
                <w:szCs w:val="24"/>
                <w:lang w:val="en-AU"/>
                <w14:ligatures w14:val="standardContextual"/>
              </w:rPr>
              <w:tab/>
            </w:r>
            <w:r w:rsidR="00A60D4B" w:rsidRPr="007E7E46">
              <w:rPr>
                <w:rStyle w:val="Hyperlink"/>
              </w:rPr>
              <w:t>Multi-criteria assessment</w:t>
            </w:r>
            <w:r w:rsidR="00A60D4B">
              <w:rPr>
                <w:webHidden/>
              </w:rPr>
              <w:tab/>
            </w:r>
            <w:r w:rsidR="00A60D4B">
              <w:rPr>
                <w:webHidden/>
              </w:rPr>
              <w:fldChar w:fldCharType="begin"/>
            </w:r>
            <w:r w:rsidR="00A60D4B">
              <w:rPr>
                <w:webHidden/>
              </w:rPr>
              <w:instrText xml:space="preserve"> PAGEREF _Toc198138647 \h </w:instrText>
            </w:r>
            <w:r w:rsidR="00A60D4B">
              <w:rPr>
                <w:webHidden/>
              </w:rPr>
            </w:r>
            <w:r w:rsidR="00A60D4B">
              <w:rPr>
                <w:webHidden/>
              </w:rPr>
              <w:fldChar w:fldCharType="separate"/>
            </w:r>
            <w:r w:rsidR="00F32107">
              <w:rPr>
                <w:webHidden/>
              </w:rPr>
              <w:t>176</w:t>
            </w:r>
            <w:r w:rsidR="00A60D4B">
              <w:rPr>
                <w:webHidden/>
              </w:rPr>
              <w:fldChar w:fldCharType="end"/>
            </w:r>
          </w:hyperlink>
        </w:p>
        <w:p w14:paraId="267B0800" w14:textId="0D587474" w:rsidR="00A60D4B" w:rsidRDefault="00AB1438">
          <w:pPr>
            <w:pStyle w:val="TOC2"/>
            <w:rPr>
              <w:rFonts w:asciiTheme="minorHAnsi" w:hAnsiTheme="minorHAnsi"/>
              <w:iCs w:val="0"/>
              <w:color w:val="auto"/>
              <w:kern w:val="2"/>
              <w:sz w:val="24"/>
              <w:szCs w:val="24"/>
              <w:lang w:val="en-AU"/>
              <w14:ligatures w14:val="standardContextual"/>
            </w:rPr>
          </w:pPr>
          <w:hyperlink w:anchor="_Toc198138648" w:history="1">
            <w:r w:rsidR="00A60D4B" w:rsidRPr="007E7E46">
              <w:rPr>
                <w:rStyle w:val="Hyperlink"/>
              </w:rPr>
              <w:t>8.4</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Strengthened Status Quo - Jurisdictional mandatory current clinical certification of public sector audiologists and uplift in CPD (Modified Option 3)</w:t>
            </w:r>
            <w:r w:rsidR="00A60D4B">
              <w:rPr>
                <w:webHidden/>
              </w:rPr>
              <w:tab/>
            </w:r>
            <w:r w:rsidR="00A60D4B">
              <w:rPr>
                <w:webHidden/>
              </w:rPr>
              <w:fldChar w:fldCharType="begin"/>
            </w:r>
            <w:r w:rsidR="00A60D4B">
              <w:rPr>
                <w:webHidden/>
              </w:rPr>
              <w:instrText xml:space="preserve"> PAGEREF _Toc198138648 \h </w:instrText>
            </w:r>
            <w:r w:rsidR="00A60D4B">
              <w:rPr>
                <w:webHidden/>
              </w:rPr>
            </w:r>
            <w:r w:rsidR="00A60D4B">
              <w:rPr>
                <w:webHidden/>
              </w:rPr>
              <w:fldChar w:fldCharType="separate"/>
            </w:r>
            <w:r w:rsidR="00F32107">
              <w:rPr>
                <w:webHidden/>
              </w:rPr>
              <w:t>178</w:t>
            </w:r>
            <w:r w:rsidR="00A60D4B">
              <w:rPr>
                <w:webHidden/>
              </w:rPr>
              <w:fldChar w:fldCharType="end"/>
            </w:r>
          </w:hyperlink>
        </w:p>
        <w:p w14:paraId="58EE9D33" w14:textId="3ECEA503" w:rsidR="00A60D4B" w:rsidRDefault="00AB1438">
          <w:pPr>
            <w:pStyle w:val="TOC3"/>
            <w:rPr>
              <w:rFonts w:asciiTheme="minorHAnsi" w:hAnsiTheme="minorHAnsi"/>
              <w:color w:val="auto"/>
              <w:kern w:val="2"/>
              <w:sz w:val="24"/>
              <w:szCs w:val="24"/>
              <w:lang w:val="en-AU"/>
              <w14:ligatures w14:val="standardContextual"/>
            </w:rPr>
          </w:pPr>
          <w:hyperlink w:anchor="_Toc198138649" w:history="1">
            <w:r w:rsidR="00A60D4B" w:rsidRPr="007E7E46">
              <w:rPr>
                <w:rStyle w:val="Hyperlink"/>
                <w:b/>
              </w:rPr>
              <w:t>8.4.1</w:t>
            </w:r>
            <w:r w:rsidR="00A60D4B">
              <w:rPr>
                <w:rFonts w:asciiTheme="minorHAnsi" w:hAnsiTheme="minorHAnsi"/>
                <w:color w:val="auto"/>
                <w:kern w:val="2"/>
                <w:sz w:val="24"/>
                <w:szCs w:val="24"/>
                <w:lang w:val="en-AU"/>
                <w14:ligatures w14:val="standardContextual"/>
              </w:rPr>
              <w:tab/>
            </w:r>
            <w:r w:rsidR="00A60D4B" w:rsidRPr="007E7E46">
              <w:rPr>
                <w:rStyle w:val="Hyperlink"/>
              </w:rPr>
              <w:t>Theory of change</w:t>
            </w:r>
            <w:r w:rsidR="00A60D4B">
              <w:rPr>
                <w:webHidden/>
              </w:rPr>
              <w:tab/>
            </w:r>
            <w:r w:rsidR="00A60D4B">
              <w:rPr>
                <w:webHidden/>
              </w:rPr>
              <w:fldChar w:fldCharType="begin"/>
            </w:r>
            <w:r w:rsidR="00A60D4B">
              <w:rPr>
                <w:webHidden/>
              </w:rPr>
              <w:instrText xml:space="preserve"> PAGEREF _Toc198138649 \h </w:instrText>
            </w:r>
            <w:r w:rsidR="00A60D4B">
              <w:rPr>
                <w:webHidden/>
              </w:rPr>
            </w:r>
            <w:r w:rsidR="00A60D4B">
              <w:rPr>
                <w:webHidden/>
              </w:rPr>
              <w:fldChar w:fldCharType="separate"/>
            </w:r>
            <w:r w:rsidR="00F32107">
              <w:rPr>
                <w:webHidden/>
              </w:rPr>
              <w:t>178</w:t>
            </w:r>
            <w:r w:rsidR="00A60D4B">
              <w:rPr>
                <w:webHidden/>
              </w:rPr>
              <w:fldChar w:fldCharType="end"/>
            </w:r>
          </w:hyperlink>
        </w:p>
        <w:p w14:paraId="55118604" w14:textId="63B6C11F" w:rsidR="00A60D4B" w:rsidRDefault="00AB1438">
          <w:pPr>
            <w:pStyle w:val="TOC3"/>
            <w:rPr>
              <w:rFonts w:asciiTheme="minorHAnsi" w:hAnsiTheme="minorHAnsi"/>
              <w:color w:val="auto"/>
              <w:kern w:val="2"/>
              <w:sz w:val="24"/>
              <w:szCs w:val="24"/>
              <w:lang w:val="en-AU"/>
              <w14:ligatures w14:val="standardContextual"/>
            </w:rPr>
          </w:pPr>
          <w:hyperlink w:anchor="_Toc198138650" w:history="1">
            <w:r w:rsidR="00A60D4B" w:rsidRPr="007E7E46">
              <w:rPr>
                <w:rStyle w:val="Hyperlink"/>
                <w:b/>
              </w:rPr>
              <w:t>8.4.2</w:t>
            </w:r>
            <w:r w:rsidR="00A60D4B">
              <w:rPr>
                <w:rFonts w:asciiTheme="minorHAnsi" w:hAnsiTheme="minorHAnsi"/>
                <w:color w:val="auto"/>
                <w:kern w:val="2"/>
                <w:sz w:val="24"/>
                <w:szCs w:val="24"/>
                <w:lang w:val="en-AU"/>
                <w14:ligatures w14:val="standardContextual"/>
              </w:rPr>
              <w:tab/>
            </w:r>
            <w:r w:rsidR="00A60D4B" w:rsidRPr="007E7E46">
              <w:rPr>
                <w:rStyle w:val="Hyperlink"/>
              </w:rPr>
              <w:t>Impact assessment framework</w:t>
            </w:r>
            <w:r w:rsidR="00A60D4B">
              <w:rPr>
                <w:webHidden/>
              </w:rPr>
              <w:tab/>
            </w:r>
            <w:r w:rsidR="00A60D4B">
              <w:rPr>
                <w:webHidden/>
              </w:rPr>
              <w:fldChar w:fldCharType="begin"/>
            </w:r>
            <w:r w:rsidR="00A60D4B">
              <w:rPr>
                <w:webHidden/>
              </w:rPr>
              <w:instrText xml:space="preserve"> PAGEREF _Toc198138650 \h </w:instrText>
            </w:r>
            <w:r w:rsidR="00A60D4B">
              <w:rPr>
                <w:webHidden/>
              </w:rPr>
            </w:r>
            <w:r w:rsidR="00A60D4B">
              <w:rPr>
                <w:webHidden/>
              </w:rPr>
              <w:fldChar w:fldCharType="separate"/>
            </w:r>
            <w:r w:rsidR="00F32107">
              <w:rPr>
                <w:webHidden/>
              </w:rPr>
              <w:t>178</w:t>
            </w:r>
            <w:r w:rsidR="00A60D4B">
              <w:rPr>
                <w:webHidden/>
              </w:rPr>
              <w:fldChar w:fldCharType="end"/>
            </w:r>
          </w:hyperlink>
        </w:p>
        <w:p w14:paraId="1C4F3527" w14:textId="43091789" w:rsidR="00A60D4B" w:rsidRDefault="00AB1438">
          <w:pPr>
            <w:pStyle w:val="TOC3"/>
            <w:rPr>
              <w:rFonts w:asciiTheme="minorHAnsi" w:hAnsiTheme="minorHAnsi"/>
              <w:color w:val="auto"/>
              <w:kern w:val="2"/>
              <w:sz w:val="24"/>
              <w:szCs w:val="24"/>
              <w:lang w:val="en-AU"/>
              <w14:ligatures w14:val="standardContextual"/>
            </w:rPr>
          </w:pPr>
          <w:hyperlink w:anchor="_Toc198138651" w:history="1">
            <w:r w:rsidR="00A60D4B" w:rsidRPr="007E7E46">
              <w:rPr>
                <w:rStyle w:val="Hyperlink"/>
                <w:b/>
              </w:rPr>
              <w:t>8.4.3</w:t>
            </w:r>
            <w:r w:rsidR="00A60D4B">
              <w:rPr>
                <w:rFonts w:asciiTheme="minorHAnsi" w:hAnsiTheme="minorHAnsi"/>
                <w:color w:val="auto"/>
                <w:kern w:val="2"/>
                <w:sz w:val="24"/>
                <w:szCs w:val="24"/>
                <w:lang w:val="en-AU"/>
                <w14:ligatures w14:val="standardContextual"/>
              </w:rPr>
              <w:tab/>
            </w:r>
            <w:r w:rsidR="00A60D4B" w:rsidRPr="007E7E46">
              <w:rPr>
                <w:rStyle w:val="Hyperlink"/>
              </w:rPr>
              <w:t>Incremental impact analysis</w:t>
            </w:r>
            <w:r w:rsidR="00A60D4B">
              <w:rPr>
                <w:webHidden/>
              </w:rPr>
              <w:tab/>
            </w:r>
            <w:r w:rsidR="00A60D4B">
              <w:rPr>
                <w:webHidden/>
              </w:rPr>
              <w:fldChar w:fldCharType="begin"/>
            </w:r>
            <w:r w:rsidR="00A60D4B">
              <w:rPr>
                <w:webHidden/>
              </w:rPr>
              <w:instrText xml:space="preserve"> PAGEREF _Toc198138651 \h </w:instrText>
            </w:r>
            <w:r w:rsidR="00A60D4B">
              <w:rPr>
                <w:webHidden/>
              </w:rPr>
            </w:r>
            <w:r w:rsidR="00A60D4B">
              <w:rPr>
                <w:webHidden/>
              </w:rPr>
              <w:fldChar w:fldCharType="separate"/>
            </w:r>
            <w:r w:rsidR="00F32107">
              <w:rPr>
                <w:webHidden/>
              </w:rPr>
              <w:t>179</w:t>
            </w:r>
            <w:r w:rsidR="00A60D4B">
              <w:rPr>
                <w:webHidden/>
              </w:rPr>
              <w:fldChar w:fldCharType="end"/>
            </w:r>
          </w:hyperlink>
        </w:p>
        <w:p w14:paraId="25B6C9A6" w14:textId="6A920C4F" w:rsidR="00A60D4B" w:rsidRDefault="00AB1438">
          <w:pPr>
            <w:pStyle w:val="TOC3"/>
            <w:rPr>
              <w:rFonts w:asciiTheme="minorHAnsi" w:hAnsiTheme="minorHAnsi"/>
              <w:color w:val="auto"/>
              <w:kern w:val="2"/>
              <w:sz w:val="24"/>
              <w:szCs w:val="24"/>
              <w:lang w:val="en-AU"/>
              <w14:ligatures w14:val="standardContextual"/>
            </w:rPr>
          </w:pPr>
          <w:hyperlink w:anchor="_Toc198138652" w:history="1">
            <w:r w:rsidR="00A60D4B" w:rsidRPr="007E7E46">
              <w:rPr>
                <w:rStyle w:val="Hyperlink"/>
                <w:b/>
              </w:rPr>
              <w:t>8.4.4</w:t>
            </w:r>
            <w:r w:rsidR="00A60D4B">
              <w:rPr>
                <w:rFonts w:asciiTheme="minorHAnsi" w:hAnsiTheme="minorHAnsi"/>
                <w:color w:val="auto"/>
                <w:kern w:val="2"/>
                <w:sz w:val="24"/>
                <w:szCs w:val="24"/>
                <w:lang w:val="en-AU"/>
                <w14:ligatures w14:val="standardContextual"/>
              </w:rPr>
              <w:tab/>
            </w:r>
            <w:r w:rsidR="00A60D4B" w:rsidRPr="007E7E46">
              <w:rPr>
                <w:rStyle w:val="Hyperlink"/>
              </w:rPr>
              <w:t>Summary of incremental impact analysis</w:t>
            </w:r>
            <w:r w:rsidR="00A60D4B">
              <w:rPr>
                <w:webHidden/>
              </w:rPr>
              <w:tab/>
            </w:r>
            <w:r w:rsidR="00A60D4B">
              <w:rPr>
                <w:webHidden/>
              </w:rPr>
              <w:fldChar w:fldCharType="begin"/>
            </w:r>
            <w:r w:rsidR="00A60D4B">
              <w:rPr>
                <w:webHidden/>
              </w:rPr>
              <w:instrText xml:space="preserve"> PAGEREF _Toc198138652 \h </w:instrText>
            </w:r>
            <w:r w:rsidR="00A60D4B">
              <w:rPr>
                <w:webHidden/>
              </w:rPr>
            </w:r>
            <w:r w:rsidR="00A60D4B">
              <w:rPr>
                <w:webHidden/>
              </w:rPr>
              <w:fldChar w:fldCharType="separate"/>
            </w:r>
            <w:r w:rsidR="00F32107">
              <w:rPr>
                <w:webHidden/>
              </w:rPr>
              <w:t>184</w:t>
            </w:r>
            <w:r w:rsidR="00A60D4B">
              <w:rPr>
                <w:webHidden/>
              </w:rPr>
              <w:fldChar w:fldCharType="end"/>
            </w:r>
          </w:hyperlink>
        </w:p>
        <w:p w14:paraId="7062ACC9" w14:textId="1424F4C0" w:rsidR="00A60D4B" w:rsidRDefault="00AB1438">
          <w:pPr>
            <w:pStyle w:val="TOC3"/>
            <w:rPr>
              <w:rFonts w:asciiTheme="minorHAnsi" w:hAnsiTheme="minorHAnsi"/>
              <w:color w:val="auto"/>
              <w:kern w:val="2"/>
              <w:sz w:val="24"/>
              <w:szCs w:val="24"/>
              <w:lang w:val="en-AU"/>
              <w14:ligatures w14:val="standardContextual"/>
            </w:rPr>
          </w:pPr>
          <w:hyperlink w:anchor="_Toc198138653" w:history="1">
            <w:r w:rsidR="00A60D4B" w:rsidRPr="007E7E46">
              <w:rPr>
                <w:rStyle w:val="Hyperlink"/>
                <w:b/>
              </w:rPr>
              <w:t>8.4.5</w:t>
            </w:r>
            <w:r w:rsidR="00A60D4B">
              <w:rPr>
                <w:rFonts w:asciiTheme="minorHAnsi" w:hAnsiTheme="minorHAnsi"/>
                <w:color w:val="auto"/>
                <w:kern w:val="2"/>
                <w:sz w:val="24"/>
                <w:szCs w:val="24"/>
                <w:lang w:val="en-AU"/>
                <w14:ligatures w14:val="standardContextual"/>
              </w:rPr>
              <w:tab/>
            </w:r>
            <w:r w:rsidR="00A60D4B" w:rsidRPr="007E7E46">
              <w:rPr>
                <w:rStyle w:val="Hyperlink"/>
              </w:rPr>
              <w:t>Multi-criteria assessment</w:t>
            </w:r>
            <w:r w:rsidR="00A60D4B">
              <w:rPr>
                <w:webHidden/>
              </w:rPr>
              <w:tab/>
            </w:r>
            <w:r w:rsidR="00A60D4B">
              <w:rPr>
                <w:webHidden/>
              </w:rPr>
              <w:fldChar w:fldCharType="begin"/>
            </w:r>
            <w:r w:rsidR="00A60D4B">
              <w:rPr>
                <w:webHidden/>
              </w:rPr>
              <w:instrText xml:space="preserve"> PAGEREF _Toc198138653 \h </w:instrText>
            </w:r>
            <w:r w:rsidR="00A60D4B">
              <w:rPr>
                <w:webHidden/>
              </w:rPr>
            </w:r>
            <w:r w:rsidR="00A60D4B">
              <w:rPr>
                <w:webHidden/>
              </w:rPr>
              <w:fldChar w:fldCharType="separate"/>
            </w:r>
            <w:r w:rsidR="00F32107">
              <w:rPr>
                <w:webHidden/>
              </w:rPr>
              <w:t>186</w:t>
            </w:r>
            <w:r w:rsidR="00A60D4B">
              <w:rPr>
                <w:webHidden/>
              </w:rPr>
              <w:fldChar w:fldCharType="end"/>
            </w:r>
          </w:hyperlink>
        </w:p>
        <w:p w14:paraId="148B7FCD" w14:textId="4968E788" w:rsidR="00A60D4B" w:rsidRDefault="00AB1438">
          <w:pPr>
            <w:pStyle w:val="TOC2"/>
            <w:rPr>
              <w:rFonts w:asciiTheme="minorHAnsi" w:hAnsiTheme="minorHAnsi"/>
              <w:iCs w:val="0"/>
              <w:color w:val="auto"/>
              <w:kern w:val="2"/>
              <w:sz w:val="24"/>
              <w:szCs w:val="24"/>
              <w:lang w:val="en-AU"/>
              <w14:ligatures w14:val="standardContextual"/>
            </w:rPr>
          </w:pPr>
          <w:hyperlink w:anchor="_Toc198138654" w:history="1">
            <w:r w:rsidR="00A60D4B" w:rsidRPr="007E7E46">
              <w:rPr>
                <w:rStyle w:val="Hyperlink"/>
              </w:rPr>
              <w:t>8.5</w:t>
            </w:r>
            <w:r w:rsidR="00A60D4B">
              <w:rPr>
                <w:rFonts w:asciiTheme="minorHAnsi" w:hAnsiTheme="minorHAnsi"/>
                <w:iCs w:val="0"/>
                <w:color w:val="auto"/>
                <w:kern w:val="2"/>
                <w:sz w:val="24"/>
                <w:szCs w:val="24"/>
                <w:lang w:val="en-AU"/>
                <w14:ligatures w14:val="standardContextual"/>
              </w:rPr>
              <w:tab/>
            </w:r>
            <w:r w:rsidR="00A60D4B" w:rsidRPr="007E7E46">
              <w:rPr>
                <w:rStyle w:val="Hyperlink"/>
              </w:rPr>
              <w:t>Summary</w:t>
            </w:r>
            <w:r w:rsidR="00A60D4B">
              <w:rPr>
                <w:webHidden/>
              </w:rPr>
              <w:tab/>
            </w:r>
            <w:r w:rsidR="00A60D4B">
              <w:rPr>
                <w:webHidden/>
              </w:rPr>
              <w:fldChar w:fldCharType="begin"/>
            </w:r>
            <w:r w:rsidR="00A60D4B">
              <w:rPr>
                <w:webHidden/>
              </w:rPr>
              <w:instrText xml:space="preserve"> PAGEREF _Toc198138654 \h </w:instrText>
            </w:r>
            <w:r w:rsidR="00A60D4B">
              <w:rPr>
                <w:webHidden/>
              </w:rPr>
            </w:r>
            <w:r w:rsidR="00A60D4B">
              <w:rPr>
                <w:webHidden/>
              </w:rPr>
              <w:fldChar w:fldCharType="separate"/>
            </w:r>
            <w:r w:rsidR="00F32107">
              <w:rPr>
                <w:webHidden/>
              </w:rPr>
              <w:t>188</w:t>
            </w:r>
            <w:r w:rsidR="00A60D4B">
              <w:rPr>
                <w:webHidden/>
              </w:rPr>
              <w:fldChar w:fldCharType="end"/>
            </w:r>
          </w:hyperlink>
        </w:p>
        <w:p w14:paraId="46B29AC9" w14:textId="534ED682" w:rsidR="00A60D4B" w:rsidRDefault="00AB1438">
          <w:pPr>
            <w:pStyle w:val="TOC1"/>
            <w:rPr>
              <w:rFonts w:asciiTheme="minorHAnsi" w:hAnsiTheme="minorHAnsi"/>
              <w:bCs w:val="0"/>
              <w:color w:val="auto"/>
              <w:kern w:val="2"/>
              <w:sz w:val="24"/>
              <w:szCs w:val="24"/>
              <w:u w:val="none"/>
              <w14:ligatures w14:val="standardContextual"/>
            </w:rPr>
          </w:pPr>
          <w:hyperlink w:anchor="_Toc198138655" w:history="1">
            <w:r w:rsidR="00A60D4B" w:rsidRPr="007E7E46">
              <w:rPr>
                <w:rStyle w:val="Hyperlink"/>
              </w:rPr>
              <w:t>9</w:t>
            </w:r>
            <w:r w:rsidR="00A60D4B">
              <w:rPr>
                <w:rFonts w:asciiTheme="minorHAnsi" w:hAnsiTheme="minorHAnsi"/>
                <w:bCs w:val="0"/>
                <w:color w:val="auto"/>
                <w:kern w:val="2"/>
                <w:sz w:val="24"/>
                <w:szCs w:val="24"/>
                <w:u w:val="none"/>
                <w14:ligatures w14:val="standardContextual"/>
              </w:rPr>
              <w:tab/>
            </w:r>
            <w:r w:rsidR="00A60D4B" w:rsidRPr="007E7E46">
              <w:rPr>
                <w:rStyle w:val="Hyperlink"/>
              </w:rPr>
              <w:t>What is the best option from those considered and how will it be implemented?</w:t>
            </w:r>
            <w:r w:rsidR="00A60D4B">
              <w:rPr>
                <w:webHidden/>
              </w:rPr>
              <w:tab/>
            </w:r>
            <w:r w:rsidR="00A60D4B">
              <w:rPr>
                <w:webHidden/>
              </w:rPr>
              <w:fldChar w:fldCharType="begin"/>
            </w:r>
            <w:r w:rsidR="00A60D4B">
              <w:rPr>
                <w:webHidden/>
              </w:rPr>
              <w:instrText xml:space="preserve"> PAGEREF _Toc198138655 \h </w:instrText>
            </w:r>
            <w:r w:rsidR="00A60D4B">
              <w:rPr>
                <w:webHidden/>
              </w:rPr>
            </w:r>
            <w:r w:rsidR="00A60D4B">
              <w:rPr>
                <w:webHidden/>
              </w:rPr>
              <w:fldChar w:fldCharType="separate"/>
            </w:r>
            <w:r w:rsidR="00F32107">
              <w:rPr>
                <w:webHidden/>
              </w:rPr>
              <w:t>190</w:t>
            </w:r>
            <w:r w:rsidR="00A60D4B">
              <w:rPr>
                <w:webHidden/>
              </w:rPr>
              <w:fldChar w:fldCharType="end"/>
            </w:r>
          </w:hyperlink>
        </w:p>
        <w:p w14:paraId="4CE8FD84" w14:textId="08E8C982" w:rsidR="00A60D4B" w:rsidRDefault="00AB1438">
          <w:pPr>
            <w:pStyle w:val="TOC2"/>
            <w:rPr>
              <w:rFonts w:asciiTheme="minorHAnsi" w:hAnsiTheme="minorHAnsi"/>
              <w:iCs w:val="0"/>
              <w:color w:val="auto"/>
              <w:kern w:val="2"/>
              <w:sz w:val="24"/>
              <w:szCs w:val="24"/>
              <w:lang w:val="en-AU"/>
              <w14:ligatures w14:val="standardContextual"/>
            </w:rPr>
          </w:pPr>
          <w:hyperlink w:anchor="_Toc198138656" w:history="1">
            <w:r w:rsidR="00A60D4B" w:rsidRPr="007E7E46">
              <w:rPr>
                <w:rStyle w:val="Hyperlink"/>
              </w:rPr>
              <w:t>9.1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Preferred option and timing considerations of final decision</w:t>
            </w:r>
            <w:r w:rsidR="00A60D4B">
              <w:rPr>
                <w:webHidden/>
              </w:rPr>
              <w:tab/>
            </w:r>
            <w:r w:rsidR="00A60D4B">
              <w:rPr>
                <w:webHidden/>
              </w:rPr>
              <w:fldChar w:fldCharType="begin"/>
            </w:r>
            <w:r w:rsidR="00A60D4B">
              <w:rPr>
                <w:webHidden/>
              </w:rPr>
              <w:instrText xml:space="preserve"> PAGEREF _Toc198138656 \h </w:instrText>
            </w:r>
            <w:r w:rsidR="00A60D4B">
              <w:rPr>
                <w:webHidden/>
              </w:rPr>
            </w:r>
            <w:r w:rsidR="00A60D4B">
              <w:rPr>
                <w:webHidden/>
              </w:rPr>
              <w:fldChar w:fldCharType="separate"/>
            </w:r>
            <w:r w:rsidR="00F32107">
              <w:rPr>
                <w:webHidden/>
              </w:rPr>
              <w:t>191</w:t>
            </w:r>
            <w:r w:rsidR="00A60D4B">
              <w:rPr>
                <w:webHidden/>
              </w:rPr>
              <w:fldChar w:fldCharType="end"/>
            </w:r>
          </w:hyperlink>
        </w:p>
        <w:p w14:paraId="21528B65" w14:textId="0E029BA3" w:rsidR="00A60D4B" w:rsidRDefault="00AB1438">
          <w:pPr>
            <w:pStyle w:val="TOC3"/>
            <w:rPr>
              <w:rFonts w:asciiTheme="minorHAnsi" w:hAnsiTheme="minorHAnsi"/>
              <w:color w:val="auto"/>
              <w:kern w:val="2"/>
              <w:sz w:val="24"/>
              <w:szCs w:val="24"/>
              <w:lang w:val="en-AU"/>
              <w14:ligatures w14:val="standardContextual"/>
            </w:rPr>
          </w:pPr>
          <w:hyperlink w:anchor="_Toc198138657" w:history="1">
            <w:r w:rsidR="00A60D4B" w:rsidRPr="007E7E46">
              <w:rPr>
                <w:rStyle w:val="Hyperlink"/>
                <w:b/>
              </w:rPr>
              <w:t>9.1.1</w:t>
            </w:r>
            <w:r w:rsidR="00A60D4B">
              <w:rPr>
                <w:rFonts w:asciiTheme="minorHAnsi" w:hAnsiTheme="minorHAnsi"/>
                <w:color w:val="auto"/>
                <w:kern w:val="2"/>
                <w:sz w:val="24"/>
                <w:szCs w:val="24"/>
                <w:lang w:val="en-AU"/>
                <w14:ligatures w14:val="standardContextual"/>
              </w:rPr>
              <w:tab/>
            </w:r>
            <w:r w:rsidR="00A60D4B" w:rsidRPr="007E7E46">
              <w:rPr>
                <w:rStyle w:val="Hyperlink"/>
              </w:rPr>
              <w:t>Preferred option</w:t>
            </w:r>
            <w:r w:rsidR="00A60D4B">
              <w:rPr>
                <w:webHidden/>
              </w:rPr>
              <w:tab/>
            </w:r>
            <w:r w:rsidR="00A60D4B">
              <w:rPr>
                <w:webHidden/>
              </w:rPr>
              <w:fldChar w:fldCharType="begin"/>
            </w:r>
            <w:r w:rsidR="00A60D4B">
              <w:rPr>
                <w:webHidden/>
              </w:rPr>
              <w:instrText xml:space="preserve"> PAGEREF _Toc198138657 \h </w:instrText>
            </w:r>
            <w:r w:rsidR="00A60D4B">
              <w:rPr>
                <w:webHidden/>
              </w:rPr>
            </w:r>
            <w:r w:rsidR="00A60D4B">
              <w:rPr>
                <w:webHidden/>
              </w:rPr>
              <w:fldChar w:fldCharType="separate"/>
            </w:r>
            <w:r w:rsidR="00F32107">
              <w:rPr>
                <w:webHidden/>
              </w:rPr>
              <w:t>191</w:t>
            </w:r>
            <w:r w:rsidR="00A60D4B">
              <w:rPr>
                <w:webHidden/>
              </w:rPr>
              <w:fldChar w:fldCharType="end"/>
            </w:r>
          </w:hyperlink>
        </w:p>
        <w:p w14:paraId="76BA5E61" w14:textId="0B82AF1D" w:rsidR="00A60D4B" w:rsidRDefault="00AB1438">
          <w:pPr>
            <w:pStyle w:val="TOC3"/>
            <w:rPr>
              <w:rFonts w:asciiTheme="minorHAnsi" w:hAnsiTheme="minorHAnsi"/>
              <w:color w:val="auto"/>
              <w:kern w:val="2"/>
              <w:sz w:val="24"/>
              <w:szCs w:val="24"/>
              <w:lang w:val="en-AU"/>
              <w14:ligatures w14:val="standardContextual"/>
            </w:rPr>
          </w:pPr>
          <w:hyperlink w:anchor="_Toc198138658" w:history="1">
            <w:r w:rsidR="00A60D4B" w:rsidRPr="007E7E46">
              <w:rPr>
                <w:rStyle w:val="Hyperlink"/>
                <w:b/>
              </w:rPr>
              <w:t>9.1.2</w:t>
            </w:r>
            <w:r w:rsidR="00A60D4B">
              <w:rPr>
                <w:rFonts w:asciiTheme="minorHAnsi" w:hAnsiTheme="minorHAnsi"/>
                <w:color w:val="auto"/>
                <w:kern w:val="2"/>
                <w:sz w:val="24"/>
                <w:szCs w:val="24"/>
                <w:lang w:val="en-AU"/>
                <w14:ligatures w14:val="standardContextual"/>
              </w:rPr>
              <w:tab/>
            </w:r>
            <w:r w:rsidR="00A60D4B" w:rsidRPr="007E7E46">
              <w:rPr>
                <w:rStyle w:val="Hyperlink"/>
              </w:rPr>
              <w:t>Timing considerations of final decision</w:t>
            </w:r>
            <w:r w:rsidR="00A60D4B">
              <w:rPr>
                <w:webHidden/>
              </w:rPr>
              <w:tab/>
            </w:r>
            <w:r w:rsidR="00A60D4B">
              <w:rPr>
                <w:webHidden/>
              </w:rPr>
              <w:fldChar w:fldCharType="begin"/>
            </w:r>
            <w:r w:rsidR="00A60D4B">
              <w:rPr>
                <w:webHidden/>
              </w:rPr>
              <w:instrText xml:space="preserve"> PAGEREF _Toc198138658 \h </w:instrText>
            </w:r>
            <w:r w:rsidR="00A60D4B">
              <w:rPr>
                <w:webHidden/>
              </w:rPr>
            </w:r>
            <w:r w:rsidR="00A60D4B">
              <w:rPr>
                <w:webHidden/>
              </w:rPr>
              <w:fldChar w:fldCharType="separate"/>
            </w:r>
            <w:r w:rsidR="00F32107">
              <w:rPr>
                <w:webHidden/>
              </w:rPr>
              <w:t>192</w:t>
            </w:r>
            <w:r w:rsidR="00A60D4B">
              <w:rPr>
                <w:webHidden/>
              </w:rPr>
              <w:fldChar w:fldCharType="end"/>
            </w:r>
          </w:hyperlink>
        </w:p>
        <w:p w14:paraId="66C3B462" w14:textId="1047AB92" w:rsidR="00A60D4B" w:rsidRDefault="00AB1438">
          <w:pPr>
            <w:pStyle w:val="TOC2"/>
            <w:rPr>
              <w:rFonts w:asciiTheme="minorHAnsi" w:hAnsiTheme="minorHAnsi"/>
              <w:iCs w:val="0"/>
              <w:color w:val="auto"/>
              <w:kern w:val="2"/>
              <w:sz w:val="24"/>
              <w:szCs w:val="24"/>
              <w:lang w:val="en-AU"/>
              <w14:ligatures w14:val="standardContextual"/>
            </w:rPr>
          </w:pPr>
          <w:hyperlink w:anchor="_Toc198138659" w:history="1">
            <w:r w:rsidR="00A60D4B" w:rsidRPr="007E7E46">
              <w:rPr>
                <w:rStyle w:val="Hyperlink"/>
              </w:rPr>
              <w:t>9.2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Implementation</w:t>
            </w:r>
            <w:r w:rsidR="00A60D4B">
              <w:rPr>
                <w:webHidden/>
              </w:rPr>
              <w:tab/>
            </w:r>
            <w:r w:rsidR="00A60D4B">
              <w:rPr>
                <w:webHidden/>
              </w:rPr>
              <w:fldChar w:fldCharType="begin"/>
            </w:r>
            <w:r w:rsidR="00A60D4B">
              <w:rPr>
                <w:webHidden/>
              </w:rPr>
              <w:instrText xml:space="preserve"> PAGEREF _Toc198138659 \h </w:instrText>
            </w:r>
            <w:r w:rsidR="00A60D4B">
              <w:rPr>
                <w:webHidden/>
              </w:rPr>
            </w:r>
            <w:r w:rsidR="00A60D4B">
              <w:rPr>
                <w:webHidden/>
              </w:rPr>
              <w:fldChar w:fldCharType="separate"/>
            </w:r>
            <w:r w:rsidR="00F32107">
              <w:rPr>
                <w:webHidden/>
              </w:rPr>
              <w:t>193</w:t>
            </w:r>
            <w:r w:rsidR="00A60D4B">
              <w:rPr>
                <w:webHidden/>
              </w:rPr>
              <w:fldChar w:fldCharType="end"/>
            </w:r>
          </w:hyperlink>
        </w:p>
        <w:p w14:paraId="7CEC0B42" w14:textId="6273FADC" w:rsidR="00A60D4B" w:rsidRDefault="00AB1438">
          <w:pPr>
            <w:pStyle w:val="TOC3"/>
            <w:rPr>
              <w:rFonts w:asciiTheme="minorHAnsi" w:hAnsiTheme="minorHAnsi"/>
              <w:color w:val="auto"/>
              <w:kern w:val="2"/>
              <w:sz w:val="24"/>
              <w:szCs w:val="24"/>
              <w:lang w:val="en-AU"/>
              <w14:ligatures w14:val="standardContextual"/>
            </w:rPr>
          </w:pPr>
          <w:hyperlink w:anchor="_Toc198138660" w:history="1">
            <w:r w:rsidR="00A60D4B" w:rsidRPr="007E7E46">
              <w:rPr>
                <w:rStyle w:val="Hyperlink"/>
                <w:b/>
              </w:rPr>
              <w:t>9.2.1</w:t>
            </w:r>
            <w:r w:rsidR="00A60D4B">
              <w:rPr>
                <w:rFonts w:asciiTheme="minorHAnsi" w:hAnsiTheme="minorHAnsi"/>
                <w:color w:val="auto"/>
                <w:kern w:val="2"/>
                <w:sz w:val="24"/>
                <w:szCs w:val="24"/>
                <w:lang w:val="en-AU"/>
                <w14:ligatures w14:val="standardContextual"/>
              </w:rPr>
              <w:tab/>
            </w:r>
            <w:r w:rsidR="00A60D4B" w:rsidRPr="007E7E46">
              <w:rPr>
                <w:rStyle w:val="Hyperlink"/>
              </w:rPr>
              <w:t>Implementation milestones</w:t>
            </w:r>
            <w:r w:rsidR="00A60D4B">
              <w:rPr>
                <w:webHidden/>
              </w:rPr>
              <w:tab/>
            </w:r>
            <w:r w:rsidR="00A60D4B">
              <w:rPr>
                <w:webHidden/>
              </w:rPr>
              <w:fldChar w:fldCharType="begin"/>
            </w:r>
            <w:r w:rsidR="00A60D4B">
              <w:rPr>
                <w:webHidden/>
              </w:rPr>
              <w:instrText xml:space="preserve"> PAGEREF _Toc198138660 \h </w:instrText>
            </w:r>
            <w:r w:rsidR="00A60D4B">
              <w:rPr>
                <w:webHidden/>
              </w:rPr>
            </w:r>
            <w:r w:rsidR="00A60D4B">
              <w:rPr>
                <w:webHidden/>
              </w:rPr>
              <w:fldChar w:fldCharType="separate"/>
            </w:r>
            <w:r w:rsidR="00F32107">
              <w:rPr>
                <w:webHidden/>
              </w:rPr>
              <w:t>193</w:t>
            </w:r>
            <w:r w:rsidR="00A60D4B">
              <w:rPr>
                <w:webHidden/>
              </w:rPr>
              <w:fldChar w:fldCharType="end"/>
            </w:r>
          </w:hyperlink>
        </w:p>
        <w:p w14:paraId="0678E641" w14:textId="3E085863" w:rsidR="00A60D4B" w:rsidRDefault="00AB1438">
          <w:pPr>
            <w:pStyle w:val="TOC3"/>
            <w:rPr>
              <w:rFonts w:asciiTheme="minorHAnsi" w:hAnsiTheme="minorHAnsi"/>
              <w:color w:val="auto"/>
              <w:kern w:val="2"/>
              <w:sz w:val="24"/>
              <w:szCs w:val="24"/>
              <w:lang w:val="en-AU"/>
              <w14:ligatures w14:val="standardContextual"/>
            </w:rPr>
          </w:pPr>
          <w:hyperlink w:anchor="_Toc198138661" w:history="1">
            <w:r w:rsidR="00A60D4B" w:rsidRPr="007E7E46">
              <w:rPr>
                <w:rStyle w:val="Hyperlink"/>
                <w:b/>
              </w:rPr>
              <w:t>9.2.2</w:t>
            </w:r>
            <w:r w:rsidR="00A60D4B">
              <w:rPr>
                <w:rFonts w:asciiTheme="minorHAnsi" w:hAnsiTheme="minorHAnsi"/>
                <w:color w:val="auto"/>
                <w:kern w:val="2"/>
                <w:sz w:val="24"/>
                <w:szCs w:val="24"/>
                <w:lang w:val="en-AU"/>
                <w14:ligatures w14:val="standardContextual"/>
              </w:rPr>
              <w:tab/>
            </w:r>
            <w:r w:rsidR="00A60D4B" w:rsidRPr="007E7E46">
              <w:rPr>
                <w:rStyle w:val="Hyperlink"/>
              </w:rPr>
              <w:t>Changes to legislation and scheme requirements regarding employment and funding eligibility</w:t>
            </w:r>
            <w:r w:rsidR="00A60D4B">
              <w:rPr>
                <w:webHidden/>
              </w:rPr>
              <w:tab/>
            </w:r>
            <w:r w:rsidR="00A60D4B">
              <w:rPr>
                <w:webHidden/>
              </w:rPr>
              <w:fldChar w:fldCharType="begin"/>
            </w:r>
            <w:r w:rsidR="00A60D4B">
              <w:rPr>
                <w:webHidden/>
              </w:rPr>
              <w:instrText xml:space="preserve"> PAGEREF _Toc198138661 \h </w:instrText>
            </w:r>
            <w:r w:rsidR="00A60D4B">
              <w:rPr>
                <w:webHidden/>
              </w:rPr>
            </w:r>
            <w:r w:rsidR="00A60D4B">
              <w:rPr>
                <w:webHidden/>
              </w:rPr>
              <w:fldChar w:fldCharType="separate"/>
            </w:r>
            <w:r w:rsidR="00F32107">
              <w:rPr>
                <w:webHidden/>
              </w:rPr>
              <w:t>198</w:t>
            </w:r>
            <w:r w:rsidR="00A60D4B">
              <w:rPr>
                <w:webHidden/>
              </w:rPr>
              <w:fldChar w:fldCharType="end"/>
            </w:r>
          </w:hyperlink>
        </w:p>
        <w:p w14:paraId="67260814" w14:textId="14BC66E4" w:rsidR="00A60D4B" w:rsidRDefault="00AB1438">
          <w:pPr>
            <w:pStyle w:val="TOC3"/>
            <w:rPr>
              <w:rFonts w:asciiTheme="minorHAnsi" w:hAnsiTheme="minorHAnsi"/>
              <w:color w:val="auto"/>
              <w:kern w:val="2"/>
              <w:sz w:val="24"/>
              <w:szCs w:val="24"/>
              <w:lang w:val="en-AU"/>
              <w14:ligatures w14:val="standardContextual"/>
            </w:rPr>
          </w:pPr>
          <w:hyperlink w:anchor="_Toc198138662" w:history="1">
            <w:r w:rsidR="00A60D4B" w:rsidRPr="007E7E46">
              <w:rPr>
                <w:rStyle w:val="Hyperlink"/>
                <w:b/>
              </w:rPr>
              <w:t>9.2.3</w:t>
            </w:r>
            <w:r w:rsidR="00A60D4B">
              <w:rPr>
                <w:rFonts w:asciiTheme="minorHAnsi" w:hAnsiTheme="minorHAnsi"/>
                <w:color w:val="auto"/>
                <w:kern w:val="2"/>
                <w:sz w:val="24"/>
                <w:szCs w:val="24"/>
                <w:lang w:val="en-AU"/>
                <w14:ligatures w14:val="standardContextual"/>
              </w:rPr>
              <w:tab/>
            </w:r>
            <w:r w:rsidR="00A60D4B" w:rsidRPr="007E7E46">
              <w:rPr>
                <w:rStyle w:val="Hyperlink"/>
              </w:rPr>
              <w:t>Stakeholder communication</w:t>
            </w:r>
            <w:r w:rsidR="00A60D4B">
              <w:rPr>
                <w:webHidden/>
              </w:rPr>
              <w:tab/>
            </w:r>
            <w:r w:rsidR="00A60D4B">
              <w:rPr>
                <w:webHidden/>
              </w:rPr>
              <w:fldChar w:fldCharType="begin"/>
            </w:r>
            <w:r w:rsidR="00A60D4B">
              <w:rPr>
                <w:webHidden/>
              </w:rPr>
              <w:instrText xml:space="preserve"> PAGEREF _Toc198138662 \h </w:instrText>
            </w:r>
            <w:r w:rsidR="00A60D4B">
              <w:rPr>
                <w:webHidden/>
              </w:rPr>
            </w:r>
            <w:r w:rsidR="00A60D4B">
              <w:rPr>
                <w:webHidden/>
              </w:rPr>
              <w:fldChar w:fldCharType="separate"/>
            </w:r>
            <w:r w:rsidR="00F32107">
              <w:rPr>
                <w:webHidden/>
              </w:rPr>
              <w:t>198</w:t>
            </w:r>
            <w:r w:rsidR="00A60D4B">
              <w:rPr>
                <w:webHidden/>
              </w:rPr>
              <w:fldChar w:fldCharType="end"/>
            </w:r>
          </w:hyperlink>
        </w:p>
        <w:p w14:paraId="3910D782" w14:textId="6BD6E0C7" w:rsidR="00A60D4B" w:rsidRDefault="00AB1438">
          <w:pPr>
            <w:pStyle w:val="TOC3"/>
            <w:rPr>
              <w:rFonts w:asciiTheme="minorHAnsi" w:hAnsiTheme="minorHAnsi"/>
              <w:color w:val="auto"/>
              <w:kern w:val="2"/>
              <w:sz w:val="24"/>
              <w:szCs w:val="24"/>
              <w:lang w:val="en-AU"/>
              <w14:ligatures w14:val="standardContextual"/>
            </w:rPr>
          </w:pPr>
          <w:hyperlink w:anchor="_Toc198138663" w:history="1">
            <w:r w:rsidR="00A60D4B" w:rsidRPr="007E7E46">
              <w:rPr>
                <w:rStyle w:val="Hyperlink"/>
                <w:b/>
              </w:rPr>
              <w:t>9.2.4</w:t>
            </w:r>
            <w:r w:rsidR="00A60D4B">
              <w:rPr>
                <w:rFonts w:asciiTheme="minorHAnsi" w:hAnsiTheme="minorHAnsi"/>
                <w:color w:val="auto"/>
                <w:kern w:val="2"/>
                <w:sz w:val="24"/>
                <w:szCs w:val="24"/>
                <w:lang w:val="en-AU"/>
                <w14:ligatures w14:val="standardContextual"/>
              </w:rPr>
              <w:tab/>
            </w:r>
            <w:r w:rsidR="00A60D4B" w:rsidRPr="007E7E46">
              <w:rPr>
                <w:rStyle w:val="Hyperlink"/>
              </w:rPr>
              <w:t>Implementation risks</w:t>
            </w:r>
            <w:r w:rsidR="00A60D4B">
              <w:rPr>
                <w:webHidden/>
              </w:rPr>
              <w:tab/>
            </w:r>
            <w:r w:rsidR="00A60D4B">
              <w:rPr>
                <w:webHidden/>
              </w:rPr>
              <w:fldChar w:fldCharType="begin"/>
            </w:r>
            <w:r w:rsidR="00A60D4B">
              <w:rPr>
                <w:webHidden/>
              </w:rPr>
              <w:instrText xml:space="preserve"> PAGEREF _Toc198138663 \h </w:instrText>
            </w:r>
            <w:r w:rsidR="00A60D4B">
              <w:rPr>
                <w:webHidden/>
              </w:rPr>
            </w:r>
            <w:r w:rsidR="00A60D4B">
              <w:rPr>
                <w:webHidden/>
              </w:rPr>
              <w:fldChar w:fldCharType="separate"/>
            </w:r>
            <w:r w:rsidR="00F32107">
              <w:rPr>
                <w:webHidden/>
              </w:rPr>
              <w:t>199</w:t>
            </w:r>
            <w:r w:rsidR="00A60D4B">
              <w:rPr>
                <w:webHidden/>
              </w:rPr>
              <w:fldChar w:fldCharType="end"/>
            </w:r>
          </w:hyperlink>
        </w:p>
        <w:p w14:paraId="562873D0" w14:textId="42469706" w:rsidR="00A60D4B" w:rsidRDefault="00AB1438">
          <w:pPr>
            <w:pStyle w:val="TOC1"/>
            <w:rPr>
              <w:rFonts w:asciiTheme="minorHAnsi" w:hAnsiTheme="minorHAnsi"/>
              <w:bCs w:val="0"/>
              <w:color w:val="auto"/>
              <w:kern w:val="2"/>
              <w:sz w:val="24"/>
              <w:szCs w:val="24"/>
              <w:u w:val="none"/>
              <w14:ligatures w14:val="standardContextual"/>
            </w:rPr>
          </w:pPr>
          <w:hyperlink w:anchor="_Toc198138664" w:history="1">
            <w:r w:rsidR="00A60D4B" w:rsidRPr="007E7E46">
              <w:rPr>
                <w:rStyle w:val="Hyperlink"/>
              </w:rPr>
              <w:t>10</w:t>
            </w:r>
            <w:r w:rsidR="00A60D4B">
              <w:rPr>
                <w:rFonts w:asciiTheme="minorHAnsi" w:hAnsiTheme="minorHAnsi"/>
                <w:bCs w:val="0"/>
                <w:color w:val="auto"/>
                <w:kern w:val="2"/>
                <w:sz w:val="24"/>
                <w:szCs w:val="24"/>
                <w:u w:val="none"/>
                <w14:ligatures w14:val="standardContextual"/>
              </w:rPr>
              <w:tab/>
            </w:r>
            <w:r w:rsidR="00A60D4B" w:rsidRPr="007E7E46">
              <w:rPr>
                <w:rStyle w:val="Hyperlink"/>
              </w:rPr>
              <w:t>How will the chosen option be evaluated?</w:t>
            </w:r>
            <w:r w:rsidR="00A60D4B">
              <w:rPr>
                <w:webHidden/>
              </w:rPr>
              <w:tab/>
            </w:r>
            <w:r w:rsidR="00A60D4B">
              <w:rPr>
                <w:webHidden/>
              </w:rPr>
              <w:fldChar w:fldCharType="begin"/>
            </w:r>
            <w:r w:rsidR="00A60D4B">
              <w:rPr>
                <w:webHidden/>
              </w:rPr>
              <w:instrText xml:space="preserve"> PAGEREF _Toc198138664 \h </w:instrText>
            </w:r>
            <w:r w:rsidR="00A60D4B">
              <w:rPr>
                <w:webHidden/>
              </w:rPr>
            </w:r>
            <w:r w:rsidR="00A60D4B">
              <w:rPr>
                <w:webHidden/>
              </w:rPr>
              <w:fldChar w:fldCharType="separate"/>
            </w:r>
            <w:r w:rsidR="00F32107">
              <w:rPr>
                <w:webHidden/>
              </w:rPr>
              <w:t>211</w:t>
            </w:r>
            <w:r w:rsidR="00A60D4B">
              <w:rPr>
                <w:webHidden/>
              </w:rPr>
              <w:fldChar w:fldCharType="end"/>
            </w:r>
          </w:hyperlink>
        </w:p>
        <w:p w14:paraId="68EFC761" w14:textId="49D87BF6" w:rsidR="00A60D4B" w:rsidRDefault="00AB1438">
          <w:pPr>
            <w:pStyle w:val="TOC2"/>
            <w:rPr>
              <w:rFonts w:asciiTheme="minorHAnsi" w:hAnsiTheme="minorHAnsi"/>
              <w:iCs w:val="0"/>
              <w:color w:val="auto"/>
              <w:kern w:val="2"/>
              <w:sz w:val="24"/>
              <w:szCs w:val="24"/>
              <w:lang w:val="en-AU"/>
              <w14:ligatures w14:val="standardContextual"/>
            </w:rPr>
          </w:pPr>
          <w:hyperlink w:anchor="_Toc198138665" w:history="1">
            <w:r w:rsidR="00A60D4B" w:rsidRPr="007E7E46">
              <w:rPr>
                <w:rStyle w:val="Hyperlink"/>
              </w:rPr>
              <w:t>10.1</w:t>
            </w:r>
            <w:r w:rsidR="00A60D4B">
              <w:rPr>
                <w:rFonts w:asciiTheme="minorHAnsi" w:hAnsiTheme="minorHAnsi"/>
                <w:iCs w:val="0"/>
                <w:color w:val="auto"/>
                <w:kern w:val="2"/>
                <w:sz w:val="24"/>
                <w:szCs w:val="24"/>
                <w:lang w:val="en-AU"/>
                <w14:ligatures w14:val="standardContextual"/>
              </w:rPr>
              <w:tab/>
            </w:r>
            <w:r w:rsidR="00A60D4B" w:rsidRPr="007E7E46">
              <w:rPr>
                <w:rStyle w:val="Hyperlink"/>
              </w:rPr>
              <w:t>Evaluation purpose</w:t>
            </w:r>
            <w:r w:rsidR="00A60D4B">
              <w:rPr>
                <w:webHidden/>
              </w:rPr>
              <w:tab/>
            </w:r>
            <w:r w:rsidR="00A60D4B">
              <w:rPr>
                <w:webHidden/>
              </w:rPr>
              <w:fldChar w:fldCharType="begin"/>
            </w:r>
            <w:r w:rsidR="00A60D4B">
              <w:rPr>
                <w:webHidden/>
              </w:rPr>
              <w:instrText xml:space="preserve"> PAGEREF _Toc198138665 \h </w:instrText>
            </w:r>
            <w:r w:rsidR="00A60D4B">
              <w:rPr>
                <w:webHidden/>
              </w:rPr>
            </w:r>
            <w:r w:rsidR="00A60D4B">
              <w:rPr>
                <w:webHidden/>
              </w:rPr>
              <w:fldChar w:fldCharType="separate"/>
            </w:r>
            <w:r w:rsidR="00F32107">
              <w:rPr>
                <w:webHidden/>
              </w:rPr>
              <w:t>211</w:t>
            </w:r>
            <w:r w:rsidR="00A60D4B">
              <w:rPr>
                <w:webHidden/>
              </w:rPr>
              <w:fldChar w:fldCharType="end"/>
            </w:r>
          </w:hyperlink>
        </w:p>
        <w:p w14:paraId="51C0C5C1" w14:textId="716621CB" w:rsidR="00A60D4B" w:rsidRDefault="00AB1438">
          <w:pPr>
            <w:pStyle w:val="TOC2"/>
            <w:rPr>
              <w:rFonts w:asciiTheme="minorHAnsi" w:hAnsiTheme="minorHAnsi"/>
              <w:iCs w:val="0"/>
              <w:color w:val="auto"/>
              <w:kern w:val="2"/>
              <w:sz w:val="24"/>
              <w:szCs w:val="24"/>
              <w:lang w:val="en-AU"/>
              <w14:ligatures w14:val="standardContextual"/>
            </w:rPr>
          </w:pPr>
          <w:hyperlink w:anchor="_Toc198138666" w:history="1">
            <w:r w:rsidR="00A60D4B" w:rsidRPr="007E7E46">
              <w:rPr>
                <w:rStyle w:val="Hyperlink"/>
              </w:rPr>
              <w:t>10.2</w:t>
            </w:r>
            <w:r w:rsidR="00A60D4B">
              <w:rPr>
                <w:rFonts w:asciiTheme="minorHAnsi" w:hAnsiTheme="minorHAnsi"/>
                <w:iCs w:val="0"/>
                <w:color w:val="auto"/>
                <w:kern w:val="2"/>
                <w:sz w:val="24"/>
                <w:szCs w:val="24"/>
                <w:lang w:val="en-AU"/>
                <w14:ligatures w14:val="standardContextual"/>
              </w:rPr>
              <w:tab/>
            </w:r>
            <w:r w:rsidR="00A60D4B" w:rsidRPr="007E7E46">
              <w:rPr>
                <w:rStyle w:val="Hyperlink"/>
              </w:rPr>
              <w:t>Evaluation process</w:t>
            </w:r>
            <w:r w:rsidR="00A60D4B">
              <w:rPr>
                <w:webHidden/>
              </w:rPr>
              <w:tab/>
            </w:r>
            <w:r w:rsidR="00A60D4B">
              <w:rPr>
                <w:webHidden/>
              </w:rPr>
              <w:fldChar w:fldCharType="begin"/>
            </w:r>
            <w:r w:rsidR="00A60D4B">
              <w:rPr>
                <w:webHidden/>
              </w:rPr>
              <w:instrText xml:space="preserve"> PAGEREF _Toc198138666 \h </w:instrText>
            </w:r>
            <w:r w:rsidR="00A60D4B">
              <w:rPr>
                <w:webHidden/>
              </w:rPr>
            </w:r>
            <w:r w:rsidR="00A60D4B">
              <w:rPr>
                <w:webHidden/>
              </w:rPr>
              <w:fldChar w:fldCharType="separate"/>
            </w:r>
            <w:r w:rsidR="00F32107">
              <w:rPr>
                <w:webHidden/>
              </w:rPr>
              <w:t>213</w:t>
            </w:r>
            <w:r w:rsidR="00A60D4B">
              <w:rPr>
                <w:webHidden/>
              </w:rPr>
              <w:fldChar w:fldCharType="end"/>
            </w:r>
          </w:hyperlink>
        </w:p>
        <w:p w14:paraId="6B6F5E11" w14:textId="77104A81" w:rsidR="00A60D4B" w:rsidRDefault="00AB1438">
          <w:pPr>
            <w:pStyle w:val="TOC3"/>
            <w:rPr>
              <w:rFonts w:asciiTheme="minorHAnsi" w:hAnsiTheme="minorHAnsi"/>
              <w:color w:val="auto"/>
              <w:kern w:val="2"/>
              <w:sz w:val="24"/>
              <w:szCs w:val="24"/>
              <w:lang w:val="en-AU"/>
              <w14:ligatures w14:val="standardContextual"/>
            </w:rPr>
          </w:pPr>
          <w:hyperlink w:anchor="_Toc198138667" w:history="1">
            <w:r w:rsidR="00A60D4B" w:rsidRPr="007E7E46">
              <w:rPr>
                <w:rStyle w:val="Hyperlink"/>
                <w:b/>
              </w:rPr>
              <w:t>10.2.1</w:t>
            </w:r>
            <w:r w:rsidR="00A60D4B">
              <w:rPr>
                <w:rFonts w:asciiTheme="minorHAnsi" w:hAnsiTheme="minorHAnsi"/>
                <w:color w:val="auto"/>
                <w:kern w:val="2"/>
                <w:sz w:val="24"/>
                <w:szCs w:val="24"/>
                <w:lang w:val="en-AU"/>
                <w14:ligatures w14:val="standardContextual"/>
              </w:rPr>
              <w:tab/>
            </w:r>
            <w:r w:rsidR="00A60D4B" w:rsidRPr="007E7E46">
              <w:rPr>
                <w:rStyle w:val="Hyperlink"/>
              </w:rPr>
              <w:t>Evaluation planning</w:t>
            </w:r>
            <w:r w:rsidR="00A60D4B">
              <w:rPr>
                <w:webHidden/>
              </w:rPr>
              <w:tab/>
            </w:r>
            <w:r w:rsidR="00A60D4B">
              <w:rPr>
                <w:webHidden/>
              </w:rPr>
              <w:fldChar w:fldCharType="begin"/>
            </w:r>
            <w:r w:rsidR="00A60D4B">
              <w:rPr>
                <w:webHidden/>
              </w:rPr>
              <w:instrText xml:space="preserve"> PAGEREF _Toc198138667 \h </w:instrText>
            </w:r>
            <w:r w:rsidR="00A60D4B">
              <w:rPr>
                <w:webHidden/>
              </w:rPr>
            </w:r>
            <w:r w:rsidR="00A60D4B">
              <w:rPr>
                <w:webHidden/>
              </w:rPr>
              <w:fldChar w:fldCharType="separate"/>
            </w:r>
            <w:r w:rsidR="00F32107">
              <w:rPr>
                <w:webHidden/>
              </w:rPr>
              <w:t>213</w:t>
            </w:r>
            <w:r w:rsidR="00A60D4B">
              <w:rPr>
                <w:webHidden/>
              </w:rPr>
              <w:fldChar w:fldCharType="end"/>
            </w:r>
          </w:hyperlink>
        </w:p>
        <w:p w14:paraId="2A78B407" w14:textId="7C53C7D9" w:rsidR="00A60D4B" w:rsidRDefault="00AB1438">
          <w:pPr>
            <w:pStyle w:val="TOC3"/>
            <w:rPr>
              <w:rFonts w:asciiTheme="minorHAnsi" w:hAnsiTheme="minorHAnsi"/>
              <w:color w:val="auto"/>
              <w:kern w:val="2"/>
              <w:sz w:val="24"/>
              <w:szCs w:val="24"/>
              <w:lang w:val="en-AU"/>
              <w14:ligatures w14:val="standardContextual"/>
            </w:rPr>
          </w:pPr>
          <w:hyperlink w:anchor="_Toc198138668" w:history="1">
            <w:r w:rsidR="00A60D4B" w:rsidRPr="007E7E46">
              <w:rPr>
                <w:rStyle w:val="Hyperlink"/>
                <w:b/>
              </w:rPr>
              <w:t>10.2.2</w:t>
            </w:r>
            <w:r w:rsidR="00A60D4B">
              <w:rPr>
                <w:rFonts w:asciiTheme="minorHAnsi" w:hAnsiTheme="minorHAnsi"/>
                <w:color w:val="auto"/>
                <w:kern w:val="2"/>
                <w:sz w:val="24"/>
                <w:szCs w:val="24"/>
                <w:lang w:val="en-AU"/>
                <w14:ligatures w14:val="standardContextual"/>
              </w:rPr>
              <w:tab/>
            </w:r>
            <w:r w:rsidR="00A60D4B" w:rsidRPr="007E7E46">
              <w:rPr>
                <w:rStyle w:val="Hyperlink"/>
              </w:rPr>
              <w:t>Data collection</w:t>
            </w:r>
            <w:r w:rsidR="00A60D4B">
              <w:rPr>
                <w:webHidden/>
              </w:rPr>
              <w:tab/>
            </w:r>
            <w:r w:rsidR="00A60D4B">
              <w:rPr>
                <w:webHidden/>
              </w:rPr>
              <w:fldChar w:fldCharType="begin"/>
            </w:r>
            <w:r w:rsidR="00A60D4B">
              <w:rPr>
                <w:webHidden/>
              </w:rPr>
              <w:instrText xml:space="preserve"> PAGEREF _Toc198138668 \h </w:instrText>
            </w:r>
            <w:r w:rsidR="00A60D4B">
              <w:rPr>
                <w:webHidden/>
              </w:rPr>
            </w:r>
            <w:r w:rsidR="00A60D4B">
              <w:rPr>
                <w:webHidden/>
              </w:rPr>
              <w:fldChar w:fldCharType="separate"/>
            </w:r>
            <w:r w:rsidR="00F32107">
              <w:rPr>
                <w:webHidden/>
              </w:rPr>
              <w:t>214</w:t>
            </w:r>
            <w:r w:rsidR="00A60D4B">
              <w:rPr>
                <w:webHidden/>
              </w:rPr>
              <w:fldChar w:fldCharType="end"/>
            </w:r>
          </w:hyperlink>
        </w:p>
        <w:p w14:paraId="739F4223" w14:textId="2CF95BBD" w:rsidR="00A60D4B" w:rsidRDefault="00AB1438">
          <w:pPr>
            <w:pStyle w:val="TOC3"/>
            <w:rPr>
              <w:rFonts w:asciiTheme="minorHAnsi" w:hAnsiTheme="minorHAnsi"/>
              <w:color w:val="auto"/>
              <w:kern w:val="2"/>
              <w:sz w:val="24"/>
              <w:szCs w:val="24"/>
              <w:lang w:val="en-AU"/>
              <w14:ligatures w14:val="standardContextual"/>
            </w:rPr>
          </w:pPr>
          <w:hyperlink w:anchor="_Toc198138669" w:history="1">
            <w:r w:rsidR="00A60D4B" w:rsidRPr="007E7E46">
              <w:rPr>
                <w:rStyle w:val="Hyperlink"/>
                <w:b/>
              </w:rPr>
              <w:t>10.2.3</w:t>
            </w:r>
            <w:r w:rsidR="00A60D4B">
              <w:rPr>
                <w:rFonts w:asciiTheme="minorHAnsi" w:hAnsiTheme="minorHAnsi"/>
                <w:color w:val="auto"/>
                <w:kern w:val="2"/>
                <w:sz w:val="24"/>
                <w:szCs w:val="24"/>
                <w:lang w:val="en-AU"/>
                <w14:ligatures w14:val="standardContextual"/>
              </w:rPr>
              <w:tab/>
            </w:r>
            <w:r w:rsidR="00A60D4B" w:rsidRPr="007E7E46">
              <w:rPr>
                <w:rStyle w:val="Hyperlink"/>
              </w:rPr>
              <w:t>Baseline identification</w:t>
            </w:r>
            <w:r w:rsidR="00A60D4B">
              <w:rPr>
                <w:webHidden/>
              </w:rPr>
              <w:tab/>
            </w:r>
            <w:r w:rsidR="00A60D4B">
              <w:rPr>
                <w:webHidden/>
              </w:rPr>
              <w:fldChar w:fldCharType="begin"/>
            </w:r>
            <w:r w:rsidR="00A60D4B">
              <w:rPr>
                <w:webHidden/>
              </w:rPr>
              <w:instrText xml:space="preserve"> PAGEREF _Toc198138669 \h </w:instrText>
            </w:r>
            <w:r w:rsidR="00A60D4B">
              <w:rPr>
                <w:webHidden/>
              </w:rPr>
            </w:r>
            <w:r w:rsidR="00A60D4B">
              <w:rPr>
                <w:webHidden/>
              </w:rPr>
              <w:fldChar w:fldCharType="separate"/>
            </w:r>
            <w:r w:rsidR="00F32107">
              <w:rPr>
                <w:webHidden/>
              </w:rPr>
              <w:t>215</w:t>
            </w:r>
            <w:r w:rsidR="00A60D4B">
              <w:rPr>
                <w:webHidden/>
              </w:rPr>
              <w:fldChar w:fldCharType="end"/>
            </w:r>
          </w:hyperlink>
        </w:p>
        <w:p w14:paraId="3FF3DEA4" w14:textId="3FB93180" w:rsidR="005F3118" w:rsidRDefault="005F3118">
          <w:r>
            <w:rPr>
              <w:b/>
              <w:bCs/>
              <w:noProof/>
            </w:rPr>
            <w:fldChar w:fldCharType="end"/>
          </w:r>
        </w:p>
      </w:sdtContent>
    </w:sdt>
    <w:p w14:paraId="0EB37D21" w14:textId="77777777" w:rsidR="005F3118" w:rsidRDefault="005F3118"/>
    <w:p w14:paraId="128F170C" w14:textId="77777777" w:rsidR="005F3118" w:rsidRDefault="005F3118"/>
    <w:p w14:paraId="30BE4242" w14:textId="77777777" w:rsidR="006A37B3" w:rsidRDefault="006A37B3">
      <w:pPr>
        <w:rPr>
          <w:rFonts w:ascii="Fira Sans SemiBold" w:eastAsiaTheme="majorEastAsia" w:hAnsi="Fira Sans SemiBold" w:cstheme="majorBidi"/>
          <w:color w:val="183C5D" w:themeColor="text2"/>
          <w:spacing w:val="-4"/>
          <w:kern w:val="68"/>
          <w:sz w:val="60"/>
          <w:szCs w:val="60"/>
          <w14:numSpacing w14:val="proportional"/>
        </w:rPr>
      </w:pPr>
      <w:r>
        <w:br w:type="page"/>
      </w:r>
    </w:p>
    <w:p w14:paraId="7374DBA9" w14:textId="6031C4CB" w:rsidR="004D707F" w:rsidRPr="00EE3AA4" w:rsidRDefault="004D707F" w:rsidP="00EE3AA4">
      <w:pPr>
        <w:pStyle w:val="HeaderTitle"/>
        <w:spacing w:before="120" w:after="0"/>
        <w:rPr>
          <w:sz w:val="48"/>
          <w:szCs w:val="48"/>
        </w:rPr>
      </w:pPr>
      <w:r w:rsidRPr="00EE3AA4">
        <w:rPr>
          <w:sz w:val="48"/>
          <w:szCs w:val="48"/>
        </w:rPr>
        <w:lastRenderedPageBreak/>
        <w:t xml:space="preserve">Acronyms </w:t>
      </w:r>
    </w:p>
    <w:tbl>
      <w:tblPr>
        <w:tblStyle w:val="Deloittetable"/>
        <w:tblW w:w="5000" w:type="pct"/>
        <w:tblLook w:val="04A0" w:firstRow="1" w:lastRow="0" w:firstColumn="1" w:lastColumn="0" w:noHBand="0" w:noVBand="1"/>
      </w:tblPr>
      <w:tblGrid>
        <w:gridCol w:w="1946"/>
        <w:gridCol w:w="6898"/>
      </w:tblGrid>
      <w:tr w:rsidR="008655FB" w:rsidRPr="004B4D01" w14:paraId="08B40641" w14:textId="77777777" w:rsidTr="006A37B3">
        <w:trPr>
          <w:cnfStyle w:val="100000000000" w:firstRow="1" w:lastRow="0" w:firstColumn="0" w:lastColumn="0" w:oddVBand="0" w:evenVBand="0" w:oddHBand="0" w:evenHBand="0" w:firstRowFirstColumn="0" w:firstRowLastColumn="0" w:lastRowFirstColumn="0" w:lastRowLastColumn="0"/>
        </w:trPr>
        <w:tc>
          <w:tcPr>
            <w:tcW w:w="1100" w:type="pct"/>
          </w:tcPr>
          <w:p w14:paraId="4FC39CBE" w14:textId="77777777" w:rsidR="008655FB" w:rsidRPr="00896590" w:rsidRDefault="008655FB" w:rsidP="00896590">
            <w:pPr>
              <w:pStyle w:val="TabletextLeft"/>
              <w:rPr>
                <w:rFonts w:ascii="Fira Sans" w:hAnsi="Fira Sans"/>
                <w:b/>
                <w:bCs/>
              </w:rPr>
            </w:pPr>
            <w:r w:rsidRPr="00896590">
              <w:rPr>
                <w:rFonts w:ascii="Fira Sans" w:hAnsi="Fira Sans"/>
                <w:b/>
                <w:bCs/>
              </w:rPr>
              <w:t>Acronym</w:t>
            </w:r>
          </w:p>
        </w:tc>
        <w:tc>
          <w:tcPr>
            <w:tcW w:w="3900" w:type="pct"/>
          </w:tcPr>
          <w:p w14:paraId="1E60F56D" w14:textId="77777777" w:rsidR="008655FB" w:rsidRPr="00896590" w:rsidRDefault="008655FB" w:rsidP="00896590">
            <w:pPr>
              <w:pStyle w:val="TabletextLeft"/>
              <w:rPr>
                <w:rFonts w:ascii="Fira Sans" w:hAnsi="Fira Sans"/>
                <w:b/>
                <w:bCs/>
              </w:rPr>
            </w:pPr>
            <w:r w:rsidRPr="00896590">
              <w:rPr>
                <w:rFonts w:ascii="Fira Sans" w:hAnsi="Fira Sans"/>
                <w:b/>
                <w:bCs/>
              </w:rPr>
              <w:t>Full name</w:t>
            </w:r>
          </w:p>
        </w:tc>
      </w:tr>
      <w:tr w:rsidR="008655FB" w:rsidRPr="004B4D01" w14:paraId="33054BC8" w14:textId="77777777" w:rsidTr="006A37B3">
        <w:tc>
          <w:tcPr>
            <w:tcW w:w="1100" w:type="pct"/>
          </w:tcPr>
          <w:p w14:paraId="7D60B32B" w14:textId="77777777" w:rsidR="008655FB" w:rsidRPr="004D483E" w:rsidRDefault="008655FB" w:rsidP="00751088">
            <w:pPr>
              <w:pStyle w:val="TabletextLeft"/>
              <w:rPr>
                <w:rFonts w:ascii="Fira Sans" w:hAnsi="Fira Sans"/>
              </w:rPr>
            </w:pPr>
            <w:r w:rsidRPr="004D483E">
              <w:rPr>
                <w:rFonts w:ascii="Fira Sans" w:hAnsi="Fira Sans"/>
              </w:rPr>
              <w:t>AAUACC</w:t>
            </w:r>
          </w:p>
        </w:tc>
        <w:tc>
          <w:tcPr>
            <w:tcW w:w="3900" w:type="pct"/>
          </w:tcPr>
          <w:p w14:paraId="01C6645F" w14:textId="77777777" w:rsidR="008655FB" w:rsidRPr="004D483E" w:rsidRDefault="008655FB" w:rsidP="00291B4B">
            <w:pPr>
              <w:pStyle w:val="TabletextLeft"/>
              <w:rPr>
                <w:rFonts w:ascii="Fira Sans" w:hAnsi="Fira Sans"/>
              </w:rPr>
            </w:pPr>
            <w:r w:rsidRPr="004D483E">
              <w:rPr>
                <w:rFonts w:ascii="Fira Sans" w:hAnsi="Fira Sans"/>
              </w:rPr>
              <w:t>Audiology Australia University Accreditation and Competencies Committee</w:t>
            </w:r>
          </w:p>
        </w:tc>
      </w:tr>
      <w:tr w:rsidR="008655FB" w:rsidRPr="004B4D01" w14:paraId="325F44ED" w14:textId="77777777" w:rsidTr="006A37B3">
        <w:tc>
          <w:tcPr>
            <w:tcW w:w="1100" w:type="pct"/>
          </w:tcPr>
          <w:p w14:paraId="6D390522" w14:textId="77777777" w:rsidR="008655FB" w:rsidRPr="004D483E" w:rsidRDefault="008655FB" w:rsidP="00291B4B">
            <w:pPr>
              <w:pStyle w:val="TabletextLeft"/>
              <w:rPr>
                <w:rFonts w:ascii="Fira Sans" w:hAnsi="Fira Sans"/>
              </w:rPr>
            </w:pPr>
            <w:r w:rsidRPr="004D483E">
              <w:rPr>
                <w:rFonts w:ascii="Fira Sans" w:hAnsi="Fira Sans"/>
              </w:rPr>
              <w:t>ABS</w:t>
            </w:r>
          </w:p>
        </w:tc>
        <w:tc>
          <w:tcPr>
            <w:tcW w:w="3900" w:type="pct"/>
          </w:tcPr>
          <w:p w14:paraId="3F86D327" w14:textId="77777777" w:rsidR="008655FB" w:rsidRPr="004D483E" w:rsidRDefault="008655FB" w:rsidP="00291B4B">
            <w:pPr>
              <w:pStyle w:val="TabletextLeft"/>
              <w:rPr>
                <w:rFonts w:ascii="Fira Sans" w:hAnsi="Fira Sans"/>
              </w:rPr>
            </w:pPr>
            <w:r w:rsidRPr="004D483E">
              <w:rPr>
                <w:rFonts w:ascii="Fira Sans" w:hAnsi="Fira Sans"/>
              </w:rPr>
              <w:t>Australian Bureau of Statistics</w:t>
            </w:r>
          </w:p>
        </w:tc>
      </w:tr>
      <w:tr w:rsidR="008655FB" w:rsidRPr="004B4D01" w14:paraId="5055924C" w14:textId="77777777" w:rsidTr="006A37B3">
        <w:tc>
          <w:tcPr>
            <w:tcW w:w="1100" w:type="pct"/>
          </w:tcPr>
          <w:p w14:paraId="0BE41610" w14:textId="54DE21A5" w:rsidR="008655FB" w:rsidRPr="004D483E" w:rsidRDefault="008655FB" w:rsidP="00291B4B">
            <w:pPr>
              <w:pStyle w:val="TabletextLeft"/>
              <w:rPr>
                <w:rFonts w:ascii="Fira Sans" w:hAnsi="Fira Sans"/>
              </w:rPr>
            </w:pPr>
            <w:r w:rsidRPr="004D483E">
              <w:rPr>
                <w:rFonts w:ascii="Fira Sans" w:hAnsi="Fira Sans"/>
              </w:rPr>
              <w:t>A</w:t>
            </w:r>
            <w:r w:rsidR="00CF53C9">
              <w:rPr>
                <w:rFonts w:ascii="Fira Sans" w:hAnsi="Fira Sans"/>
              </w:rPr>
              <w:t>c</w:t>
            </w:r>
            <w:r w:rsidRPr="004D483E">
              <w:rPr>
                <w:rFonts w:ascii="Fira Sans" w:hAnsi="Fira Sans"/>
              </w:rPr>
              <w:t>Aud</w:t>
            </w:r>
          </w:p>
        </w:tc>
        <w:tc>
          <w:tcPr>
            <w:tcW w:w="3900" w:type="pct"/>
          </w:tcPr>
          <w:p w14:paraId="482F0EBF" w14:textId="77777777" w:rsidR="008655FB" w:rsidRPr="004D483E" w:rsidRDefault="008655FB" w:rsidP="00291B4B">
            <w:pPr>
              <w:pStyle w:val="TabletextLeft"/>
              <w:rPr>
                <w:rFonts w:ascii="Fira Sans" w:hAnsi="Fira Sans"/>
              </w:rPr>
            </w:pPr>
            <w:r w:rsidRPr="004D483E">
              <w:rPr>
                <w:rFonts w:ascii="Fira Sans" w:hAnsi="Fira Sans"/>
              </w:rPr>
              <w:t>Australian College of Audiology</w:t>
            </w:r>
          </w:p>
        </w:tc>
      </w:tr>
      <w:tr w:rsidR="008655FB" w:rsidRPr="004B4D01" w14:paraId="0BC53033" w14:textId="77777777" w:rsidTr="006A37B3">
        <w:tc>
          <w:tcPr>
            <w:tcW w:w="1100" w:type="pct"/>
          </w:tcPr>
          <w:p w14:paraId="7DDA5070" w14:textId="77777777" w:rsidR="008655FB" w:rsidRPr="004D483E" w:rsidRDefault="008655FB" w:rsidP="00291B4B">
            <w:pPr>
              <w:pStyle w:val="TabletextLeft"/>
              <w:rPr>
                <w:rFonts w:ascii="Fira Sans" w:hAnsi="Fira Sans"/>
              </w:rPr>
            </w:pPr>
            <w:r w:rsidRPr="004D483E">
              <w:rPr>
                <w:rFonts w:ascii="Fira Sans" w:hAnsi="Fira Sans"/>
              </w:rPr>
              <w:t>ACCC</w:t>
            </w:r>
          </w:p>
        </w:tc>
        <w:tc>
          <w:tcPr>
            <w:tcW w:w="3900" w:type="pct"/>
          </w:tcPr>
          <w:p w14:paraId="3B4CC8EE" w14:textId="77777777" w:rsidR="008655FB" w:rsidRPr="004D483E" w:rsidRDefault="008655FB" w:rsidP="00291B4B">
            <w:pPr>
              <w:pStyle w:val="TabletextLeft"/>
              <w:rPr>
                <w:rFonts w:ascii="Fira Sans" w:hAnsi="Fira Sans"/>
              </w:rPr>
            </w:pPr>
            <w:r w:rsidRPr="004D483E">
              <w:rPr>
                <w:rFonts w:ascii="Fira Sans" w:hAnsi="Fira Sans"/>
              </w:rPr>
              <w:t>Australian Competition and Consumer Commission</w:t>
            </w:r>
          </w:p>
        </w:tc>
      </w:tr>
      <w:tr w:rsidR="008655FB" w:rsidRPr="004B4D01" w14:paraId="669A8BA5" w14:textId="77777777" w:rsidTr="006A37B3">
        <w:tc>
          <w:tcPr>
            <w:tcW w:w="1100" w:type="pct"/>
          </w:tcPr>
          <w:p w14:paraId="26D6D0EC" w14:textId="2FF558EE" w:rsidR="008655FB" w:rsidRPr="004D483E" w:rsidRDefault="001358EA" w:rsidP="00291B4B">
            <w:pPr>
              <w:pStyle w:val="TabletextLeft"/>
              <w:rPr>
                <w:rFonts w:ascii="Fira Sans" w:hAnsi="Fira Sans"/>
              </w:rPr>
            </w:pPr>
            <w:r>
              <w:rPr>
                <w:rFonts w:ascii="Fira Sans" w:hAnsi="Fira Sans"/>
              </w:rPr>
              <w:t>Ahpra</w:t>
            </w:r>
          </w:p>
        </w:tc>
        <w:tc>
          <w:tcPr>
            <w:tcW w:w="3900" w:type="pct"/>
          </w:tcPr>
          <w:p w14:paraId="1A19B0A6" w14:textId="77777777" w:rsidR="008655FB" w:rsidRPr="004D483E" w:rsidRDefault="008655FB" w:rsidP="00291B4B">
            <w:pPr>
              <w:pStyle w:val="TabletextLeft"/>
              <w:rPr>
                <w:rFonts w:ascii="Fira Sans" w:hAnsi="Fira Sans"/>
              </w:rPr>
            </w:pPr>
            <w:r w:rsidRPr="004D483E">
              <w:rPr>
                <w:rFonts w:ascii="Fira Sans" w:hAnsi="Fira Sans"/>
              </w:rPr>
              <w:t xml:space="preserve">Australian Health Practitioner Regulation Agency </w:t>
            </w:r>
          </w:p>
        </w:tc>
      </w:tr>
      <w:tr w:rsidR="008655FB" w:rsidRPr="004B4D01" w14:paraId="664AF3CB" w14:textId="77777777" w:rsidTr="006A37B3">
        <w:tc>
          <w:tcPr>
            <w:tcW w:w="1100" w:type="pct"/>
          </w:tcPr>
          <w:p w14:paraId="51EC33C0" w14:textId="77777777" w:rsidR="008655FB" w:rsidRPr="004D483E" w:rsidRDefault="008655FB" w:rsidP="00291B4B">
            <w:pPr>
              <w:pStyle w:val="TabletextLeft"/>
              <w:rPr>
                <w:rFonts w:ascii="Fira Sans" w:hAnsi="Fira Sans"/>
              </w:rPr>
            </w:pPr>
            <w:r w:rsidRPr="004D483E">
              <w:rPr>
                <w:rFonts w:ascii="Fira Sans" w:hAnsi="Fira Sans"/>
              </w:rPr>
              <w:t>AIHW</w:t>
            </w:r>
          </w:p>
        </w:tc>
        <w:tc>
          <w:tcPr>
            <w:tcW w:w="3900" w:type="pct"/>
          </w:tcPr>
          <w:p w14:paraId="6D8A1B6C" w14:textId="77777777" w:rsidR="008655FB" w:rsidRPr="004D483E" w:rsidRDefault="008655FB" w:rsidP="00291B4B">
            <w:pPr>
              <w:pStyle w:val="TabletextLeft"/>
              <w:rPr>
                <w:rFonts w:ascii="Fira Sans" w:hAnsi="Fira Sans"/>
              </w:rPr>
            </w:pPr>
            <w:r w:rsidRPr="004D483E">
              <w:rPr>
                <w:rFonts w:ascii="Fira Sans" w:hAnsi="Fira Sans"/>
              </w:rPr>
              <w:t>Australian Institute of Health and Welfare</w:t>
            </w:r>
          </w:p>
        </w:tc>
      </w:tr>
      <w:tr w:rsidR="008655FB" w:rsidRPr="004B4D01" w14:paraId="7CADA0E2" w14:textId="77777777" w:rsidTr="006A37B3">
        <w:tc>
          <w:tcPr>
            <w:tcW w:w="1100" w:type="pct"/>
          </w:tcPr>
          <w:p w14:paraId="6477B2CC" w14:textId="77777777" w:rsidR="008655FB" w:rsidRPr="004D483E" w:rsidRDefault="008655FB" w:rsidP="00291B4B">
            <w:pPr>
              <w:pStyle w:val="TabletextLeft"/>
              <w:rPr>
                <w:rFonts w:ascii="Fira Sans" w:hAnsi="Fira Sans"/>
              </w:rPr>
            </w:pPr>
            <w:r w:rsidRPr="004D483E">
              <w:rPr>
                <w:rFonts w:ascii="Fira Sans" w:hAnsi="Fira Sans"/>
              </w:rPr>
              <w:t>ANZSCO</w:t>
            </w:r>
          </w:p>
        </w:tc>
        <w:tc>
          <w:tcPr>
            <w:tcW w:w="3900" w:type="pct"/>
          </w:tcPr>
          <w:p w14:paraId="5F132635" w14:textId="77777777" w:rsidR="008655FB" w:rsidRPr="004D483E" w:rsidRDefault="008655FB" w:rsidP="00291B4B">
            <w:pPr>
              <w:pStyle w:val="TabletextLeft"/>
              <w:rPr>
                <w:rFonts w:ascii="Fira Sans" w:hAnsi="Fira Sans"/>
              </w:rPr>
            </w:pPr>
            <w:r w:rsidRPr="004D483E">
              <w:rPr>
                <w:rFonts w:ascii="Fira Sans" w:hAnsi="Fira Sans"/>
              </w:rPr>
              <w:t>Australian and New Zealand Standard Classification of Occupations</w:t>
            </w:r>
          </w:p>
        </w:tc>
      </w:tr>
      <w:tr w:rsidR="008655FB" w:rsidRPr="004B4D01" w14:paraId="0AFA4DE7" w14:textId="77777777" w:rsidTr="006A37B3">
        <w:tc>
          <w:tcPr>
            <w:tcW w:w="1100" w:type="pct"/>
          </w:tcPr>
          <w:p w14:paraId="2C01F1F1" w14:textId="77777777" w:rsidR="008655FB" w:rsidRPr="004D483E" w:rsidRDefault="008655FB" w:rsidP="00291B4B">
            <w:pPr>
              <w:pStyle w:val="TabletextLeft"/>
              <w:rPr>
                <w:rFonts w:ascii="Fira Sans" w:hAnsi="Fira Sans"/>
              </w:rPr>
            </w:pPr>
            <w:r w:rsidRPr="004D483E">
              <w:rPr>
                <w:rFonts w:ascii="Fira Sans" w:hAnsi="Fira Sans"/>
              </w:rPr>
              <w:t>AOAC</w:t>
            </w:r>
          </w:p>
        </w:tc>
        <w:tc>
          <w:tcPr>
            <w:tcW w:w="3900" w:type="pct"/>
          </w:tcPr>
          <w:p w14:paraId="61AB7D7F" w14:textId="77777777" w:rsidR="008655FB" w:rsidRPr="004D483E" w:rsidRDefault="008655FB" w:rsidP="00291B4B">
            <w:pPr>
              <w:pStyle w:val="TabletextLeft"/>
              <w:rPr>
                <w:rFonts w:ascii="Fira Sans" w:hAnsi="Fira Sans"/>
              </w:rPr>
            </w:pPr>
            <w:r w:rsidRPr="004D483E">
              <w:rPr>
                <w:rFonts w:ascii="Fira Sans" w:hAnsi="Fira Sans"/>
              </w:rPr>
              <w:t>Australian Osteopathic Accreditation Council</w:t>
            </w:r>
          </w:p>
        </w:tc>
      </w:tr>
      <w:tr w:rsidR="008655FB" w:rsidRPr="004B4D01" w14:paraId="1C523A65" w14:textId="77777777" w:rsidTr="006A37B3">
        <w:tc>
          <w:tcPr>
            <w:tcW w:w="1100" w:type="pct"/>
          </w:tcPr>
          <w:p w14:paraId="3F8B4573" w14:textId="77777777" w:rsidR="008655FB" w:rsidRPr="004D483E" w:rsidRDefault="008655FB" w:rsidP="00291B4B">
            <w:pPr>
              <w:pStyle w:val="TabletextLeft"/>
              <w:rPr>
                <w:rFonts w:ascii="Fira Sans" w:hAnsi="Fira Sans"/>
              </w:rPr>
            </w:pPr>
            <w:r w:rsidRPr="004D483E">
              <w:rPr>
                <w:rFonts w:ascii="Fira Sans" w:hAnsi="Fira Sans"/>
              </w:rPr>
              <w:t>ASD</w:t>
            </w:r>
          </w:p>
        </w:tc>
        <w:tc>
          <w:tcPr>
            <w:tcW w:w="3900" w:type="pct"/>
          </w:tcPr>
          <w:p w14:paraId="5CF41EE6" w14:textId="77777777" w:rsidR="008655FB" w:rsidRPr="004D483E" w:rsidRDefault="008655FB" w:rsidP="00291B4B">
            <w:pPr>
              <w:pStyle w:val="TabletextLeft"/>
              <w:rPr>
                <w:rFonts w:ascii="Fira Sans" w:hAnsi="Fira Sans"/>
              </w:rPr>
            </w:pPr>
            <w:r w:rsidRPr="004D483E">
              <w:rPr>
                <w:rFonts w:ascii="Fira Sans" w:hAnsi="Fira Sans"/>
              </w:rPr>
              <w:t>Autism spectrum disorder</w:t>
            </w:r>
          </w:p>
        </w:tc>
      </w:tr>
      <w:tr w:rsidR="008655FB" w:rsidRPr="004B4D01" w14:paraId="073AC0B0" w14:textId="77777777" w:rsidTr="006A37B3">
        <w:tc>
          <w:tcPr>
            <w:tcW w:w="1100" w:type="pct"/>
          </w:tcPr>
          <w:p w14:paraId="1996EA31" w14:textId="77777777" w:rsidR="008655FB" w:rsidRPr="004D483E" w:rsidRDefault="008655FB" w:rsidP="00291B4B">
            <w:pPr>
              <w:pStyle w:val="TabletextLeft"/>
              <w:rPr>
                <w:rFonts w:ascii="Fira Sans" w:hAnsi="Fira Sans"/>
              </w:rPr>
            </w:pPr>
            <w:r w:rsidRPr="004D483E">
              <w:rPr>
                <w:rFonts w:ascii="Fira Sans" w:hAnsi="Fira Sans"/>
              </w:rPr>
              <w:t>AudA</w:t>
            </w:r>
          </w:p>
        </w:tc>
        <w:tc>
          <w:tcPr>
            <w:tcW w:w="3900" w:type="pct"/>
          </w:tcPr>
          <w:p w14:paraId="4DA327CD" w14:textId="77777777" w:rsidR="008655FB" w:rsidRPr="004D483E" w:rsidRDefault="008655FB" w:rsidP="00291B4B">
            <w:pPr>
              <w:pStyle w:val="TabletextLeft"/>
              <w:rPr>
                <w:rFonts w:ascii="Fira Sans" w:hAnsi="Fira Sans"/>
              </w:rPr>
            </w:pPr>
            <w:r w:rsidRPr="004D483E">
              <w:rPr>
                <w:rFonts w:ascii="Fira Sans" w:hAnsi="Fira Sans"/>
              </w:rPr>
              <w:t>Audiology Australia</w:t>
            </w:r>
          </w:p>
        </w:tc>
      </w:tr>
      <w:tr w:rsidR="008655FB" w:rsidRPr="004B4D01" w14:paraId="3B938770" w14:textId="77777777" w:rsidTr="006A37B3">
        <w:tc>
          <w:tcPr>
            <w:tcW w:w="1100" w:type="pct"/>
          </w:tcPr>
          <w:p w14:paraId="73FED1E9" w14:textId="77777777" w:rsidR="008655FB" w:rsidRPr="004D483E" w:rsidRDefault="008655FB" w:rsidP="00291B4B">
            <w:pPr>
              <w:pStyle w:val="TabletextLeft"/>
              <w:rPr>
                <w:rFonts w:ascii="Fira Sans" w:hAnsi="Fira Sans"/>
              </w:rPr>
            </w:pPr>
            <w:r w:rsidRPr="004D483E">
              <w:rPr>
                <w:rFonts w:ascii="Fira Sans" w:hAnsi="Fira Sans"/>
              </w:rPr>
              <w:t>CI</w:t>
            </w:r>
          </w:p>
        </w:tc>
        <w:tc>
          <w:tcPr>
            <w:tcW w:w="3900" w:type="pct"/>
          </w:tcPr>
          <w:p w14:paraId="11C7DDC5" w14:textId="77777777" w:rsidR="008655FB" w:rsidRPr="004D483E" w:rsidRDefault="008655FB" w:rsidP="00291B4B">
            <w:pPr>
              <w:pStyle w:val="TabletextLeft"/>
              <w:rPr>
                <w:rFonts w:ascii="Fira Sans" w:hAnsi="Fira Sans"/>
              </w:rPr>
            </w:pPr>
            <w:r w:rsidRPr="004D483E">
              <w:rPr>
                <w:rFonts w:ascii="Fira Sans" w:hAnsi="Fira Sans"/>
              </w:rPr>
              <w:t>Cochlear implant</w:t>
            </w:r>
          </w:p>
        </w:tc>
      </w:tr>
      <w:tr w:rsidR="008655FB" w:rsidRPr="004B4D01" w14:paraId="5E2EEC6A" w14:textId="77777777" w:rsidTr="006A37B3">
        <w:tc>
          <w:tcPr>
            <w:tcW w:w="1100" w:type="pct"/>
          </w:tcPr>
          <w:p w14:paraId="25BFA85C" w14:textId="77777777" w:rsidR="008655FB" w:rsidRPr="004D483E" w:rsidRDefault="008655FB" w:rsidP="00291B4B">
            <w:pPr>
              <w:pStyle w:val="TabletextLeft"/>
              <w:rPr>
                <w:rFonts w:ascii="Fira Sans" w:hAnsi="Fira Sans"/>
              </w:rPr>
            </w:pPr>
            <w:r w:rsidRPr="004D483E">
              <w:rPr>
                <w:rFonts w:ascii="Fira Sans" w:hAnsi="Fira Sans"/>
              </w:rPr>
              <w:t>CPD</w:t>
            </w:r>
          </w:p>
        </w:tc>
        <w:tc>
          <w:tcPr>
            <w:tcW w:w="3900" w:type="pct"/>
          </w:tcPr>
          <w:p w14:paraId="44AA8EA3" w14:textId="77777777" w:rsidR="008655FB" w:rsidRPr="004D483E" w:rsidRDefault="008655FB" w:rsidP="00291B4B">
            <w:pPr>
              <w:pStyle w:val="TabletextLeft"/>
              <w:rPr>
                <w:rFonts w:ascii="Fira Sans" w:hAnsi="Fira Sans"/>
              </w:rPr>
            </w:pPr>
            <w:r w:rsidRPr="004D483E">
              <w:rPr>
                <w:rFonts w:ascii="Fira Sans" w:hAnsi="Fira Sans"/>
              </w:rPr>
              <w:t>Continuing Professional Development</w:t>
            </w:r>
          </w:p>
        </w:tc>
      </w:tr>
      <w:tr w:rsidR="008655FB" w:rsidRPr="004B4D01" w14:paraId="4870B671" w14:textId="77777777" w:rsidTr="006A37B3">
        <w:tc>
          <w:tcPr>
            <w:tcW w:w="1100" w:type="pct"/>
          </w:tcPr>
          <w:p w14:paraId="4930793F" w14:textId="77777777" w:rsidR="008655FB" w:rsidRPr="004D483E" w:rsidRDefault="008655FB" w:rsidP="00291B4B">
            <w:pPr>
              <w:pStyle w:val="TabletextLeft"/>
              <w:rPr>
                <w:rFonts w:ascii="Fira Sans" w:hAnsi="Fira Sans"/>
              </w:rPr>
            </w:pPr>
            <w:r w:rsidRPr="004D483E">
              <w:rPr>
                <w:rFonts w:ascii="Fira Sans" w:hAnsi="Fira Sans"/>
              </w:rPr>
              <w:t>DALYs</w:t>
            </w:r>
          </w:p>
        </w:tc>
        <w:tc>
          <w:tcPr>
            <w:tcW w:w="3900" w:type="pct"/>
          </w:tcPr>
          <w:p w14:paraId="63A83E73" w14:textId="77777777" w:rsidR="008655FB" w:rsidRPr="004D483E" w:rsidRDefault="008655FB" w:rsidP="00291B4B">
            <w:pPr>
              <w:pStyle w:val="TabletextLeft"/>
              <w:rPr>
                <w:rFonts w:ascii="Fira Sans" w:hAnsi="Fira Sans"/>
              </w:rPr>
            </w:pPr>
            <w:r w:rsidRPr="004D483E">
              <w:rPr>
                <w:rFonts w:ascii="Fira Sans" w:hAnsi="Fira Sans"/>
              </w:rPr>
              <w:t>Disability adjusted life year</w:t>
            </w:r>
          </w:p>
        </w:tc>
      </w:tr>
      <w:tr w:rsidR="008655FB" w:rsidRPr="004B4D01" w14:paraId="01E5DE48" w14:textId="77777777" w:rsidTr="006A37B3">
        <w:tc>
          <w:tcPr>
            <w:tcW w:w="1100" w:type="pct"/>
          </w:tcPr>
          <w:p w14:paraId="2713DFC6" w14:textId="77777777" w:rsidR="008655FB" w:rsidRPr="004D483E" w:rsidRDefault="008655FB" w:rsidP="00291B4B">
            <w:pPr>
              <w:pStyle w:val="TabletextLeft"/>
              <w:rPr>
                <w:rFonts w:ascii="Fira Sans" w:hAnsi="Fira Sans"/>
              </w:rPr>
            </w:pPr>
            <w:r w:rsidRPr="004D483E">
              <w:rPr>
                <w:rFonts w:ascii="Fira Sans" w:hAnsi="Fira Sans"/>
              </w:rPr>
              <w:t>dB</w:t>
            </w:r>
          </w:p>
        </w:tc>
        <w:tc>
          <w:tcPr>
            <w:tcW w:w="3900" w:type="pct"/>
          </w:tcPr>
          <w:p w14:paraId="407C76C9" w14:textId="77777777" w:rsidR="008655FB" w:rsidRPr="004D483E" w:rsidRDefault="008655FB" w:rsidP="00291B4B">
            <w:pPr>
              <w:pStyle w:val="TabletextLeft"/>
              <w:rPr>
                <w:rFonts w:ascii="Fira Sans" w:hAnsi="Fira Sans"/>
              </w:rPr>
            </w:pPr>
            <w:r w:rsidRPr="004D483E">
              <w:rPr>
                <w:rFonts w:ascii="Fira Sans" w:hAnsi="Fira Sans"/>
              </w:rPr>
              <w:t>Decibels</w:t>
            </w:r>
          </w:p>
        </w:tc>
      </w:tr>
      <w:tr w:rsidR="008655FB" w:rsidRPr="004B4D01" w14:paraId="1D5D68FA" w14:textId="77777777" w:rsidTr="006A37B3">
        <w:tc>
          <w:tcPr>
            <w:tcW w:w="1100" w:type="pct"/>
          </w:tcPr>
          <w:p w14:paraId="6A8D1ACA" w14:textId="77777777" w:rsidR="008655FB" w:rsidRPr="004D483E" w:rsidRDefault="008655FB" w:rsidP="00291B4B">
            <w:pPr>
              <w:pStyle w:val="TabletextLeft"/>
              <w:rPr>
                <w:rFonts w:ascii="Fira Sans" w:hAnsi="Fira Sans"/>
              </w:rPr>
            </w:pPr>
            <w:r w:rsidRPr="004D483E">
              <w:rPr>
                <w:rFonts w:ascii="Fira Sans" w:hAnsi="Fira Sans"/>
              </w:rPr>
              <w:t>ERC</w:t>
            </w:r>
          </w:p>
        </w:tc>
        <w:tc>
          <w:tcPr>
            <w:tcW w:w="3900" w:type="pct"/>
          </w:tcPr>
          <w:p w14:paraId="42499EC9" w14:textId="77777777" w:rsidR="008655FB" w:rsidRPr="004D483E" w:rsidRDefault="008655FB" w:rsidP="00291B4B">
            <w:pPr>
              <w:pStyle w:val="TabletextLeft"/>
              <w:rPr>
                <w:rFonts w:ascii="Fira Sans" w:hAnsi="Fira Sans"/>
              </w:rPr>
            </w:pPr>
            <w:r w:rsidRPr="004D483E">
              <w:rPr>
                <w:rFonts w:ascii="Fira Sans" w:hAnsi="Fira Sans"/>
              </w:rPr>
              <w:t>Ethics Review Committee</w:t>
            </w:r>
          </w:p>
        </w:tc>
      </w:tr>
      <w:tr w:rsidR="008655FB" w:rsidRPr="004B4D01" w14:paraId="17AE4146" w14:textId="77777777" w:rsidTr="006A37B3">
        <w:tc>
          <w:tcPr>
            <w:tcW w:w="1100" w:type="pct"/>
          </w:tcPr>
          <w:p w14:paraId="2390FE23" w14:textId="77777777" w:rsidR="008655FB" w:rsidRPr="004D483E" w:rsidRDefault="008655FB" w:rsidP="00291B4B">
            <w:pPr>
              <w:pStyle w:val="TabletextLeft"/>
              <w:rPr>
                <w:rFonts w:ascii="Fira Sans" w:hAnsi="Fira Sans"/>
              </w:rPr>
            </w:pPr>
            <w:r w:rsidRPr="004D483E">
              <w:rPr>
                <w:rFonts w:ascii="Fira Sans" w:hAnsi="Fira Sans"/>
              </w:rPr>
              <w:t>HAASA</w:t>
            </w:r>
          </w:p>
        </w:tc>
        <w:tc>
          <w:tcPr>
            <w:tcW w:w="3900" w:type="pct"/>
          </w:tcPr>
          <w:p w14:paraId="0C724ADA" w14:textId="77777777" w:rsidR="008655FB" w:rsidRPr="004D483E" w:rsidRDefault="008655FB" w:rsidP="00291B4B">
            <w:pPr>
              <w:pStyle w:val="TabletextLeft"/>
              <w:rPr>
                <w:rFonts w:ascii="Fira Sans" w:hAnsi="Fira Sans"/>
              </w:rPr>
            </w:pPr>
            <w:r w:rsidRPr="004D483E">
              <w:rPr>
                <w:rFonts w:ascii="Fira Sans" w:hAnsi="Fira Sans"/>
              </w:rPr>
              <w:t>Hearing Aid Audiology Society of Australia</w:t>
            </w:r>
          </w:p>
        </w:tc>
      </w:tr>
      <w:tr w:rsidR="008655FB" w:rsidRPr="004B4D01" w14:paraId="67416094" w14:textId="77777777" w:rsidTr="006A37B3">
        <w:tc>
          <w:tcPr>
            <w:tcW w:w="1100" w:type="pct"/>
          </w:tcPr>
          <w:p w14:paraId="130AD720" w14:textId="77777777" w:rsidR="008655FB" w:rsidRPr="004D483E" w:rsidRDefault="008655FB" w:rsidP="00291B4B">
            <w:pPr>
              <w:pStyle w:val="TabletextLeft"/>
              <w:rPr>
                <w:rFonts w:ascii="Fira Sans" w:hAnsi="Fira Sans"/>
              </w:rPr>
            </w:pPr>
            <w:r w:rsidRPr="004D483E">
              <w:rPr>
                <w:rFonts w:ascii="Fira Sans" w:hAnsi="Fira Sans"/>
              </w:rPr>
              <w:t>HCE</w:t>
            </w:r>
          </w:p>
        </w:tc>
        <w:tc>
          <w:tcPr>
            <w:tcW w:w="3900" w:type="pct"/>
          </w:tcPr>
          <w:p w14:paraId="21EB9F0C" w14:textId="77777777" w:rsidR="008655FB" w:rsidRPr="004D483E" w:rsidRDefault="008655FB" w:rsidP="00291B4B">
            <w:pPr>
              <w:pStyle w:val="TabletextLeft"/>
              <w:rPr>
                <w:rFonts w:ascii="Fira Sans" w:hAnsi="Fira Sans"/>
              </w:rPr>
            </w:pPr>
            <w:r w:rsidRPr="004D483E">
              <w:rPr>
                <w:rFonts w:ascii="Fira Sans" w:hAnsi="Fira Sans"/>
              </w:rPr>
              <w:t>Health Complaints Entity</w:t>
            </w:r>
          </w:p>
        </w:tc>
      </w:tr>
      <w:tr w:rsidR="008655FB" w:rsidRPr="004B4D01" w14:paraId="12651A48" w14:textId="77777777" w:rsidTr="006A37B3">
        <w:tc>
          <w:tcPr>
            <w:tcW w:w="1100" w:type="pct"/>
          </w:tcPr>
          <w:p w14:paraId="52230A12" w14:textId="58E1899F" w:rsidR="008655FB" w:rsidRPr="004D483E" w:rsidRDefault="008655FB" w:rsidP="00291B4B">
            <w:pPr>
              <w:pStyle w:val="TabletextLeft"/>
              <w:rPr>
                <w:rFonts w:ascii="Fira Sans" w:hAnsi="Fira Sans"/>
              </w:rPr>
            </w:pPr>
            <w:r w:rsidRPr="004D483E">
              <w:rPr>
                <w:rFonts w:ascii="Fira Sans" w:hAnsi="Fira Sans"/>
              </w:rPr>
              <w:t>H</w:t>
            </w:r>
            <w:r w:rsidR="001314B9">
              <w:rPr>
                <w:rFonts w:ascii="Fira Sans" w:hAnsi="Fira Sans"/>
              </w:rPr>
              <w:t>MM</w:t>
            </w:r>
          </w:p>
        </w:tc>
        <w:tc>
          <w:tcPr>
            <w:tcW w:w="3900" w:type="pct"/>
          </w:tcPr>
          <w:p w14:paraId="25463B7E" w14:textId="0A16747C" w:rsidR="008655FB" w:rsidRPr="004D483E" w:rsidRDefault="008655FB" w:rsidP="00291B4B">
            <w:pPr>
              <w:pStyle w:val="TabletextLeft"/>
              <w:rPr>
                <w:rFonts w:ascii="Fira Sans" w:hAnsi="Fira Sans"/>
              </w:rPr>
            </w:pPr>
            <w:r w:rsidRPr="004D483E">
              <w:rPr>
                <w:rFonts w:ascii="Fira Sans" w:hAnsi="Fira Sans"/>
              </w:rPr>
              <w:t>Health Ministers</w:t>
            </w:r>
            <w:r w:rsidR="001314B9">
              <w:rPr>
                <w:rFonts w:ascii="Fira Sans" w:hAnsi="Fira Sans"/>
              </w:rPr>
              <w:t>’</w:t>
            </w:r>
            <w:r w:rsidRPr="004D483E">
              <w:rPr>
                <w:rFonts w:ascii="Fira Sans" w:hAnsi="Fira Sans"/>
              </w:rPr>
              <w:t xml:space="preserve"> Meeting</w:t>
            </w:r>
          </w:p>
        </w:tc>
      </w:tr>
      <w:tr w:rsidR="006D4EF8" w:rsidRPr="004B4D01" w14:paraId="7CBB8155" w14:textId="77777777" w:rsidTr="006A37B3">
        <w:tc>
          <w:tcPr>
            <w:tcW w:w="1100" w:type="pct"/>
          </w:tcPr>
          <w:p w14:paraId="482D0300" w14:textId="0672FDE8" w:rsidR="006D4EF8" w:rsidRPr="004D483E" w:rsidRDefault="006D4EF8" w:rsidP="00291B4B">
            <w:pPr>
              <w:pStyle w:val="TabletextLeft"/>
              <w:rPr>
                <w:rFonts w:ascii="Fira Sans" w:hAnsi="Fira Sans"/>
              </w:rPr>
            </w:pPr>
            <w:r>
              <w:rPr>
                <w:rFonts w:ascii="Fira Sans" w:hAnsi="Fira Sans"/>
              </w:rPr>
              <w:t>HPCCB</w:t>
            </w:r>
          </w:p>
        </w:tc>
        <w:tc>
          <w:tcPr>
            <w:tcW w:w="3900" w:type="pct"/>
          </w:tcPr>
          <w:p w14:paraId="01D8FF01" w14:textId="357CE528" w:rsidR="006D4EF8" w:rsidRPr="004D483E" w:rsidRDefault="002259F0" w:rsidP="00291B4B">
            <w:pPr>
              <w:pStyle w:val="TabletextLeft"/>
              <w:rPr>
                <w:rFonts w:ascii="Fira Sans" w:hAnsi="Fira Sans"/>
              </w:rPr>
            </w:pPr>
            <w:r>
              <w:rPr>
                <w:rFonts w:ascii="Fira Sans" w:hAnsi="Fira Sans"/>
              </w:rPr>
              <w:t>Hearing Professional</w:t>
            </w:r>
            <w:r w:rsidR="006D4EF8">
              <w:rPr>
                <w:rFonts w:ascii="Fira Sans" w:hAnsi="Fira Sans"/>
              </w:rPr>
              <w:t xml:space="preserve"> Conduct and Complaints Body</w:t>
            </w:r>
          </w:p>
        </w:tc>
      </w:tr>
      <w:tr w:rsidR="008655FB" w:rsidRPr="004B4D01" w14:paraId="67DC6C76" w14:textId="77777777" w:rsidTr="006A37B3">
        <w:tc>
          <w:tcPr>
            <w:tcW w:w="1100" w:type="pct"/>
          </w:tcPr>
          <w:p w14:paraId="4BADF6E6" w14:textId="77777777" w:rsidR="008655FB" w:rsidRPr="004D483E" w:rsidRDefault="008655FB" w:rsidP="00291B4B">
            <w:pPr>
              <w:pStyle w:val="TabletextLeft"/>
              <w:rPr>
                <w:rFonts w:ascii="Fira Sans" w:hAnsi="Fira Sans"/>
              </w:rPr>
            </w:pPr>
            <w:r w:rsidRPr="004D483E">
              <w:rPr>
                <w:rFonts w:ascii="Fira Sans" w:hAnsi="Fira Sans"/>
              </w:rPr>
              <w:t>MCA</w:t>
            </w:r>
          </w:p>
        </w:tc>
        <w:tc>
          <w:tcPr>
            <w:tcW w:w="3900" w:type="pct"/>
          </w:tcPr>
          <w:p w14:paraId="6BE5BEFA" w14:textId="77777777" w:rsidR="008655FB" w:rsidRPr="004D483E" w:rsidRDefault="008655FB" w:rsidP="00291B4B">
            <w:pPr>
              <w:pStyle w:val="TabletextLeft"/>
              <w:rPr>
                <w:rFonts w:ascii="Fira Sans" w:hAnsi="Fira Sans"/>
              </w:rPr>
            </w:pPr>
            <w:r w:rsidRPr="004D483E">
              <w:rPr>
                <w:rFonts w:ascii="Fira Sans" w:hAnsi="Fira Sans"/>
              </w:rPr>
              <w:t>Multi-criteria analysis</w:t>
            </w:r>
          </w:p>
        </w:tc>
      </w:tr>
      <w:tr w:rsidR="008655FB" w:rsidRPr="004B4D01" w14:paraId="76C5F3AF" w14:textId="77777777" w:rsidTr="006A37B3">
        <w:tc>
          <w:tcPr>
            <w:tcW w:w="1100" w:type="pct"/>
          </w:tcPr>
          <w:p w14:paraId="0E39DD96" w14:textId="77777777" w:rsidR="008655FB" w:rsidRPr="004D483E" w:rsidRDefault="008655FB" w:rsidP="00291B4B">
            <w:pPr>
              <w:pStyle w:val="TabletextLeft"/>
              <w:rPr>
                <w:rFonts w:ascii="Fira Sans" w:hAnsi="Fira Sans"/>
              </w:rPr>
            </w:pPr>
            <w:r w:rsidRPr="004D483E">
              <w:rPr>
                <w:rFonts w:ascii="Fira Sans" w:hAnsi="Fira Sans"/>
              </w:rPr>
              <w:t>MSHHS</w:t>
            </w:r>
          </w:p>
        </w:tc>
        <w:tc>
          <w:tcPr>
            <w:tcW w:w="3900" w:type="pct"/>
          </w:tcPr>
          <w:p w14:paraId="5CF67A7D" w14:textId="77777777" w:rsidR="008655FB" w:rsidRPr="004D483E" w:rsidRDefault="008655FB" w:rsidP="00291B4B">
            <w:pPr>
              <w:pStyle w:val="TabletextLeft"/>
              <w:rPr>
                <w:rFonts w:ascii="Fira Sans" w:hAnsi="Fira Sans"/>
              </w:rPr>
            </w:pPr>
            <w:r w:rsidRPr="004D483E">
              <w:rPr>
                <w:rFonts w:ascii="Fira Sans" w:hAnsi="Fira Sans"/>
              </w:rPr>
              <w:t>Metro South Hospital and Health Service</w:t>
            </w:r>
          </w:p>
        </w:tc>
      </w:tr>
      <w:tr w:rsidR="008655FB" w:rsidRPr="004B4D01" w14:paraId="01F0C183" w14:textId="77777777" w:rsidTr="006A37B3">
        <w:tc>
          <w:tcPr>
            <w:tcW w:w="1100" w:type="pct"/>
          </w:tcPr>
          <w:p w14:paraId="23227E75" w14:textId="77777777" w:rsidR="008655FB" w:rsidRPr="004D483E" w:rsidRDefault="008655FB" w:rsidP="00291B4B">
            <w:pPr>
              <w:pStyle w:val="TabletextLeft"/>
              <w:rPr>
                <w:rFonts w:ascii="Fira Sans" w:hAnsi="Fira Sans"/>
              </w:rPr>
            </w:pPr>
            <w:r w:rsidRPr="004D483E">
              <w:rPr>
                <w:rFonts w:ascii="Fira Sans" w:hAnsi="Fira Sans"/>
              </w:rPr>
              <w:t>NASRHP</w:t>
            </w:r>
          </w:p>
        </w:tc>
        <w:tc>
          <w:tcPr>
            <w:tcW w:w="3900" w:type="pct"/>
          </w:tcPr>
          <w:p w14:paraId="7D5A07F8" w14:textId="77777777" w:rsidR="008655FB" w:rsidRPr="004D483E" w:rsidRDefault="008655FB" w:rsidP="00291B4B">
            <w:pPr>
              <w:pStyle w:val="TabletextLeft"/>
              <w:rPr>
                <w:rFonts w:ascii="Fira Sans" w:hAnsi="Fira Sans"/>
              </w:rPr>
            </w:pPr>
            <w:r w:rsidRPr="004D483E">
              <w:rPr>
                <w:rFonts w:ascii="Fira Sans" w:hAnsi="Fira Sans"/>
              </w:rPr>
              <w:t xml:space="preserve">National Alliance of Self-Regulating Health Professionals </w:t>
            </w:r>
          </w:p>
        </w:tc>
      </w:tr>
      <w:tr w:rsidR="008655FB" w:rsidRPr="004B4D01" w14:paraId="614C21E9" w14:textId="77777777" w:rsidTr="006A37B3">
        <w:tc>
          <w:tcPr>
            <w:tcW w:w="1100" w:type="pct"/>
          </w:tcPr>
          <w:p w14:paraId="0C3C815B" w14:textId="77777777" w:rsidR="008655FB" w:rsidRPr="004D483E" w:rsidRDefault="008655FB" w:rsidP="00291B4B">
            <w:pPr>
              <w:pStyle w:val="TabletextLeft"/>
              <w:rPr>
                <w:rFonts w:ascii="Fira Sans" w:hAnsi="Fira Sans"/>
              </w:rPr>
            </w:pPr>
            <w:r w:rsidRPr="004D483E">
              <w:rPr>
                <w:rFonts w:ascii="Fira Sans" w:hAnsi="Fira Sans"/>
              </w:rPr>
              <w:t>NATSIHS</w:t>
            </w:r>
          </w:p>
        </w:tc>
        <w:tc>
          <w:tcPr>
            <w:tcW w:w="3900" w:type="pct"/>
          </w:tcPr>
          <w:p w14:paraId="083B2D79" w14:textId="77777777" w:rsidR="008655FB" w:rsidRPr="004D483E" w:rsidRDefault="008655FB" w:rsidP="00291B4B">
            <w:pPr>
              <w:pStyle w:val="TabletextLeft"/>
              <w:rPr>
                <w:rFonts w:ascii="Fira Sans" w:hAnsi="Fira Sans"/>
              </w:rPr>
            </w:pPr>
            <w:r w:rsidRPr="004D483E">
              <w:rPr>
                <w:rFonts w:ascii="Fira Sans" w:hAnsi="Fira Sans"/>
              </w:rPr>
              <w:t>National Aboriginal Torres Strait Islander Health Survey</w:t>
            </w:r>
          </w:p>
        </w:tc>
      </w:tr>
      <w:tr w:rsidR="008655FB" w:rsidRPr="004B4D01" w14:paraId="433C5BDD" w14:textId="77777777" w:rsidTr="006A37B3">
        <w:tc>
          <w:tcPr>
            <w:tcW w:w="1100" w:type="pct"/>
          </w:tcPr>
          <w:p w14:paraId="40BDC39C" w14:textId="77777777" w:rsidR="008655FB" w:rsidRPr="004D483E" w:rsidRDefault="008655FB" w:rsidP="00291B4B">
            <w:pPr>
              <w:pStyle w:val="TabletextLeft"/>
              <w:rPr>
                <w:rFonts w:ascii="Fira Sans" w:hAnsi="Fira Sans"/>
              </w:rPr>
            </w:pPr>
            <w:r w:rsidRPr="004D483E">
              <w:rPr>
                <w:rFonts w:ascii="Fira Sans" w:hAnsi="Fira Sans"/>
              </w:rPr>
              <w:t>NDIS</w:t>
            </w:r>
          </w:p>
        </w:tc>
        <w:tc>
          <w:tcPr>
            <w:tcW w:w="3900" w:type="pct"/>
          </w:tcPr>
          <w:p w14:paraId="4B06140F" w14:textId="77777777" w:rsidR="008655FB" w:rsidRPr="004D483E" w:rsidRDefault="008655FB" w:rsidP="00291B4B">
            <w:pPr>
              <w:pStyle w:val="TabletextLeft"/>
              <w:rPr>
                <w:rFonts w:ascii="Fira Sans" w:hAnsi="Fira Sans"/>
              </w:rPr>
            </w:pPr>
            <w:r w:rsidRPr="004D483E">
              <w:rPr>
                <w:rFonts w:ascii="Fira Sans" w:hAnsi="Fira Sans"/>
              </w:rPr>
              <w:t>National Disability Insurance Scheme</w:t>
            </w:r>
          </w:p>
        </w:tc>
      </w:tr>
      <w:tr w:rsidR="008655FB" w:rsidRPr="004B4D01" w14:paraId="6C90EA57" w14:textId="77777777" w:rsidTr="006A37B3">
        <w:tc>
          <w:tcPr>
            <w:tcW w:w="1100" w:type="pct"/>
          </w:tcPr>
          <w:p w14:paraId="7D9D1402" w14:textId="77777777" w:rsidR="008655FB" w:rsidRPr="004D483E" w:rsidRDefault="008655FB" w:rsidP="00291B4B">
            <w:pPr>
              <w:pStyle w:val="TabletextLeft"/>
              <w:rPr>
                <w:rFonts w:ascii="Fira Sans" w:hAnsi="Fira Sans"/>
              </w:rPr>
            </w:pPr>
            <w:r w:rsidRPr="004D483E">
              <w:rPr>
                <w:rFonts w:ascii="Fira Sans" w:hAnsi="Fira Sans"/>
              </w:rPr>
              <w:t>NPV</w:t>
            </w:r>
          </w:p>
        </w:tc>
        <w:tc>
          <w:tcPr>
            <w:tcW w:w="3900" w:type="pct"/>
          </w:tcPr>
          <w:p w14:paraId="0E15920E" w14:textId="77777777" w:rsidR="008655FB" w:rsidRPr="004D483E" w:rsidRDefault="008655FB" w:rsidP="00291B4B">
            <w:pPr>
              <w:pStyle w:val="TabletextLeft"/>
              <w:rPr>
                <w:rFonts w:ascii="Fira Sans" w:hAnsi="Fira Sans"/>
              </w:rPr>
            </w:pPr>
            <w:r w:rsidRPr="004D483E">
              <w:rPr>
                <w:rFonts w:ascii="Fira Sans" w:hAnsi="Fira Sans"/>
              </w:rPr>
              <w:t>Net present value</w:t>
            </w:r>
          </w:p>
        </w:tc>
      </w:tr>
      <w:tr w:rsidR="008655FB" w:rsidRPr="004B4D01" w14:paraId="1C0A61B0" w14:textId="77777777" w:rsidTr="006A37B3">
        <w:tc>
          <w:tcPr>
            <w:tcW w:w="1100" w:type="pct"/>
          </w:tcPr>
          <w:p w14:paraId="0E7B01D8" w14:textId="77777777" w:rsidR="008655FB" w:rsidRPr="004D483E" w:rsidRDefault="008655FB" w:rsidP="00291B4B">
            <w:pPr>
              <w:pStyle w:val="TabletextLeft"/>
              <w:rPr>
                <w:rFonts w:ascii="Fira Sans" w:hAnsi="Fira Sans"/>
              </w:rPr>
            </w:pPr>
            <w:r w:rsidRPr="004D483E">
              <w:rPr>
                <w:rFonts w:ascii="Fira Sans" w:hAnsi="Fira Sans"/>
              </w:rPr>
              <w:t>NRAS</w:t>
            </w:r>
          </w:p>
        </w:tc>
        <w:tc>
          <w:tcPr>
            <w:tcW w:w="3900" w:type="pct"/>
          </w:tcPr>
          <w:p w14:paraId="20028739" w14:textId="77777777" w:rsidR="008655FB" w:rsidRPr="004D483E" w:rsidRDefault="008655FB" w:rsidP="00291B4B">
            <w:pPr>
              <w:pStyle w:val="TabletextLeft"/>
              <w:rPr>
                <w:rFonts w:ascii="Fira Sans" w:hAnsi="Fira Sans"/>
              </w:rPr>
            </w:pPr>
            <w:r w:rsidRPr="004D483E">
              <w:rPr>
                <w:rFonts w:ascii="Fira Sans" w:hAnsi="Fira Sans"/>
              </w:rPr>
              <w:t>National Registration and Accreditation Scheme</w:t>
            </w:r>
          </w:p>
        </w:tc>
      </w:tr>
      <w:tr w:rsidR="008655FB" w:rsidRPr="004B4D01" w14:paraId="27C4D3D3" w14:textId="77777777" w:rsidTr="006A37B3">
        <w:tc>
          <w:tcPr>
            <w:tcW w:w="1100" w:type="pct"/>
          </w:tcPr>
          <w:p w14:paraId="55525775" w14:textId="77777777" w:rsidR="008655FB" w:rsidRPr="004D483E" w:rsidRDefault="008655FB" w:rsidP="00291B4B">
            <w:pPr>
              <w:pStyle w:val="TabletextLeft"/>
              <w:rPr>
                <w:rFonts w:ascii="Fira Sans" w:hAnsi="Fira Sans"/>
              </w:rPr>
            </w:pPr>
            <w:r w:rsidRPr="004D483E">
              <w:rPr>
                <w:rFonts w:ascii="Fira Sans" w:hAnsi="Fira Sans"/>
              </w:rPr>
              <w:t>NSW HCCC</w:t>
            </w:r>
          </w:p>
        </w:tc>
        <w:tc>
          <w:tcPr>
            <w:tcW w:w="3900" w:type="pct"/>
          </w:tcPr>
          <w:p w14:paraId="52F1F806" w14:textId="77777777" w:rsidR="008655FB" w:rsidRPr="004D483E" w:rsidRDefault="008655FB" w:rsidP="00291B4B">
            <w:pPr>
              <w:pStyle w:val="TabletextLeft"/>
              <w:rPr>
                <w:rFonts w:ascii="Fira Sans" w:hAnsi="Fira Sans"/>
              </w:rPr>
            </w:pPr>
            <w:r w:rsidRPr="004D483E">
              <w:rPr>
                <w:rFonts w:ascii="Fira Sans" w:hAnsi="Fira Sans"/>
              </w:rPr>
              <w:t>New South Wales Health Complaints Commission</w:t>
            </w:r>
          </w:p>
        </w:tc>
      </w:tr>
      <w:tr w:rsidR="008655FB" w:rsidRPr="004B4D01" w14:paraId="7536D057" w14:textId="77777777" w:rsidTr="006A37B3">
        <w:tc>
          <w:tcPr>
            <w:tcW w:w="1100" w:type="pct"/>
          </w:tcPr>
          <w:p w14:paraId="44FF10BB" w14:textId="77777777" w:rsidR="008655FB" w:rsidRPr="004D483E" w:rsidRDefault="008655FB" w:rsidP="00291B4B">
            <w:pPr>
              <w:pStyle w:val="TabletextLeft"/>
              <w:rPr>
                <w:rFonts w:ascii="Fira Sans" w:hAnsi="Fira Sans"/>
              </w:rPr>
            </w:pPr>
            <w:r w:rsidRPr="004D483E">
              <w:rPr>
                <w:rFonts w:ascii="Fira Sans" w:hAnsi="Fira Sans"/>
              </w:rPr>
              <w:t>OHO</w:t>
            </w:r>
          </w:p>
        </w:tc>
        <w:tc>
          <w:tcPr>
            <w:tcW w:w="3900" w:type="pct"/>
          </w:tcPr>
          <w:p w14:paraId="0831AFED" w14:textId="77777777" w:rsidR="008655FB" w:rsidRPr="004D483E" w:rsidRDefault="008655FB" w:rsidP="00291B4B">
            <w:pPr>
              <w:pStyle w:val="TabletextLeft"/>
              <w:rPr>
                <w:rFonts w:ascii="Fira Sans" w:hAnsi="Fira Sans"/>
              </w:rPr>
            </w:pPr>
            <w:r w:rsidRPr="004D483E">
              <w:rPr>
                <w:rFonts w:ascii="Fira Sans" w:hAnsi="Fira Sans"/>
              </w:rPr>
              <w:t>Office of the Health Ombudsman</w:t>
            </w:r>
          </w:p>
        </w:tc>
      </w:tr>
      <w:tr w:rsidR="008655FB" w:rsidRPr="004B4D01" w14:paraId="47A207F4" w14:textId="77777777" w:rsidTr="006A37B3">
        <w:tc>
          <w:tcPr>
            <w:tcW w:w="1100" w:type="pct"/>
          </w:tcPr>
          <w:p w14:paraId="52E3911E" w14:textId="77777777" w:rsidR="008655FB" w:rsidRPr="004D483E" w:rsidRDefault="008655FB" w:rsidP="00291B4B">
            <w:pPr>
              <w:pStyle w:val="TabletextLeft"/>
              <w:rPr>
                <w:rFonts w:ascii="Fira Sans" w:hAnsi="Fira Sans"/>
              </w:rPr>
            </w:pPr>
            <w:r w:rsidRPr="004D483E">
              <w:rPr>
                <w:rFonts w:ascii="Fira Sans" w:hAnsi="Fira Sans"/>
              </w:rPr>
              <w:t>OIA</w:t>
            </w:r>
          </w:p>
        </w:tc>
        <w:tc>
          <w:tcPr>
            <w:tcW w:w="3900" w:type="pct"/>
          </w:tcPr>
          <w:p w14:paraId="7F42FAF2" w14:textId="77777777" w:rsidR="008655FB" w:rsidRPr="004D483E" w:rsidRDefault="008655FB" w:rsidP="00291B4B">
            <w:pPr>
              <w:pStyle w:val="TabletextLeft"/>
              <w:rPr>
                <w:rFonts w:ascii="Fira Sans" w:hAnsi="Fira Sans"/>
              </w:rPr>
            </w:pPr>
            <w:r w:rsidRPr="004D483E">
              <w:rPr>
                <w:rFonts w:ascii="Fira Sans" w:hAnsi="Fira Sans"/>
              </w:rPr>
              <w:t xml:space="preserve">Office of Impact Analysis </w:t>
            </w:r>
          </w:p>
        </w:tc>
      </w:tr>
      <w:tr w:rsidR="008655FB" w:rsidRPr="004B4D01" w14:paraId="6D8EB7A4" w14:textId="77777777" w:rsidTr="006A37B3">
        <w:tc>
          <w:tcPr>
            <w:tcW w:w="1100" w:type="pct"/>
          </w:tcPr>
          <w:p w14:paraId="2E18072A" w14:textId="77777777" w:rsidR="008655FB" w:rsidRPr="004D483E" w:rsidRDefault="008655FB" w:rsidP="00291B4B">
            <w:pPr>
              <w:pStyle w:val="TabletextLeft"/>
              <w:rPr>
                <w:rFonts w:ascii="Fira Sans" w:hAnsi="Fira Sans"/>
              </w:rPr>
            </w:pPr>
            <w:r w:rsidRPr="004D483E">
              <w:rPr>
                <w:rFonts w:ascii="Fira Sans" w:hAnsi="Fira Sans"/>
              </w:rPr>
              <w:t>PCHI</w:t>
            </w:r>
          </w:p>
        </w:tc>
        <w:tc>
          <w:tcPr>
            <w:tcW w:w="3900" w:type="pct"/>
          </w:tcPr>
          <w:p w14:paraId="6AD7A2D5" w14:textId="77777777" w:rsidR="008655FB" w:rsidRPr="004D483E" w:rsidRDefault="008655FB" w:rsidP="00291B4B">
            <w:pPr>
              <w:pStyle w:val="TabletextLeft"/>
              <w:rPr>
                <w:rFonts w:ascii="Fira Sans" w:hAnsi="Fira Sans"/>
              </w:rPr>
            </w:pPr>
            <w:r w:rsidRPr="004D483E">
              <w:rPr>
                <w:rFonts w:ascii="Fira Sans" w:hAnsi="Fira Sans"/>
              </w:rPr>
              <w:t>Permanent childhood hearing impairment</w:t>
            </w:r>
          </w:p>
        </w:tc>
      </w:tr>
      <w:tr w:rsidR="008655FB" w:rsidRPr="004B4D01" w14:paraId="62F9838E" w14:textId="77777777" w:rsidTr="006A37B3">
        <w:tc>
          <w:tcPr>
            <w:tcW w:w="1100" w:type="pct"/>
          </w:tcPr>
          <w:p w14:paraId="17280EEF" w14:textId="77777777" w:rsidR="008655FB" w:rsidRPr="004D483E" w:rsidRDefault="008655FB" w:rsidP="00291B4B">
            <w:pPr>
              <w:pStyle w:val="TabletextLeft"/>
              <w:rPr>
                <w:rFonts w:ascii="Fira Sans" w:hAnsi="Fira Sans"/>
              </w:rPr>
            </w:pPr>
            <w:r w:rsidRPr="004D483E">
              <w:rPr>
                <w:rFonts w:ascii="Fira Sans" w:hAnsi="Fira Sans"/>
              </w:rPr>
              <w:t>PPB</w:t>
            </w:r>
          </w:p>
        </w:tc>
        <w:tc>
          <w:tcPr>
            <w:tcW w:w="3900" w:type="pct"/>
          </w:tcPr>
          <w:p w14:paraId="76D1A024" w14:textId="77777777" w:rsidR="008655FB" w:rsidRPr="004D483E" w:rsidRDefault="008655FB" w:rsidP="00291B4B">
            <w:pPr>
              <w:pStyle w:val="TabletextLeft"/>
              <w:rPr>
                <w:rFonts w:ascii="Fira Sans" w:hAnsi="Fira Sans"/>
              </w:rPr>
            </w:pPr>
            <w:r w:rsidRPr="004D483E">
              <w:rPr>
                <w:rFonts w:ascii="Fira Sans" w:hAnsi="Fira Sans"/>
              </w:rPr>
              <w:t>Practitioner Professional Bodies</w:t>
            </w:r>
          </w:p>
        </w:tc>
      </w:tr>
      <w:tr w:rsidR="008655FB" w:rsidRPr="004B4D01" w14:paraId="23A9E158" w14:textId="77777777" w:rsidTr="006A37B3">
        <w:tc>
          <w:tcPr>
            <w:tcW w:w="1100" w:type="pct"/>
          </w:tcPr>
          <w:p w14:paraId="1938CFCE" w14:textId="77777777" w:rsidR="008655FB" w:rsidRPr="004D483E" w:rsidRDefault="008655FB" w:rsidP="00291B4B">
            <w:pPr>
              <w:pStyle w:val="TabletextLeft"/>
              <w:rPr>
                <w:rFonts w:ascii="Fira Sans" w:hAnsi="Fira Sans"/>
              </w:rPr>
            </w:pPr>
            <w:r w:rsidRPr="004D483E">
              <w:rPr>
                <w:rFonts w:ascii="Fira Sans" w:hAnsi="Fira Sans"/>
              </w:rPr>
              <w:t>QALYs</w:t>
            </w:r>
          </w:p>
        </w:tc>
        <w:tc>
          <w:tcPr>
            <w:tcW w:w="3900" w:type="pct"/>
          </w:tcPr>
          <w:p w14:paraId="3388D6EC" w14:textId="77777777" w:rsidR="008655FB" w:rsidRPr="004D483E" w:rsidRDefault="008655FB" w:rsidP="00291B4B">
            <w:pPr>
              <w:pStyle w:val="TabletextLeft"/>
              <w:rPr>
                <w:rFonts w:ascii="Fira Sans" w:hAnsi="Fira Sans"/>
              </w:rPr>
            </w:pPr>
            <w:r w:rsidRPr="004D483E">
              <w:rPr>
                <w:rFonts w:ascii="Fira Sans" w:hAnsi="Fira Sans"/>
              </w:rPr>
              <w:t>Quality Adjusted Life Years</w:t>
            </w:r>
          </w:p>
        </w:tc>
      </w:tr>
      <w:tr w:rsidR="008655FB" w:rsidRPr="004B4D01" w14:paraId="220648BA" w14:textId="77777777" w:rsidTr="006A37B3">
        <w:tc>
          <w:tcPr>
            <w:tcW w:w="1100" w:type="pct"/>
          </w:tcPr>
          <w:p w14:paraId="4736BCFE" w14:textId="77777777" w:rsidR="008655FB" w:rsidRPr="004D483E" w:rsidRDefault="008655FB" w:rsidP="00291B4B">
            <w:pPr>
              <w:pStyle w:val="TabletextLeft"/>
              <w:rPr>
                <w:rFonts w:ascii="Fira Sans" w:hAnsi="Fira Sans"/>
              </w:rPr>
            </w:pPr>
            <w:r w:rsidRPr="004D483E">
              <w:rPr>
                <w:rFonts w:ascii="Fira Sans" w:hAnsi="Fira Sans"/>
              </w:rPr>
              <w:t xml:space="preserve">QP </w:t>
            </w:r>
          </w:p>
        </w:tc>
        <w:tc>
          <w:tcPr>
            <w:tcW w:w="3900" w:type="pct"/>
          </w:tcPr>
          <w:p w14:paraId="19FD35D1" w14:textId="77777777" w:rsidR="008655FB" w:rsidRPr="004D483E" w:rsidRDefault="008655FB" w:rsidP="00291B4B">
            <w:pPr>
              <w:pStyle w:val="TabletextLeft"/>
              <w:rPr>
                <w:rFonts w:ascii="Fira Sans" w:hAnsi="Fira Sans"/>
              </w:rPr>
            </w:pPr>
            <w:r w:rsidRPr="004D483E">
              <w:rPr>
                <w:rFonts w:ascii="Fira Sans" w:hAnsi="Fira Sans"/>
              </w:rPr>
              <w:t>Qualified practitioner</w:t>
            </w:r>
          </w:p>
        </w:tc>
      </w:tr>
      <w:tr w:rsidR="008655FB" w:rsidRPr="004B4D01" w14:paraId="286FC9E6" w14:textId="77777777" w:rsidTr="006A37B3">
        <w:tc>
          <w:tcPr>
            <w:tcW w:w="1100" w:type="pct"/>
          </w:tcPr>
          <w:p w14:paraId="6620CB14" w14:textId="77777777" w:rsidR="008655FB" w:rsidRPr="004D483E" w:rsidRDefault="008655FB" w:rsidP="00291B4B">
            <w:pPr>
              <w:pStyle w:val="TabletextLeft"/>
              <w:rPr>
                <w:rFonts w:ascii="Fira Sans" w:hAnsi="Fira Sans"/>
              </w:rPr>
            </w:pPr>
            <w:r w:rsidRPr="004D483E">
              <w:rPr>
                <w:rFonts w:ascii="Fira Sans" w:hAnsi="Fira Sans"/>
              </w:rPr>
              <w:t>RIS</w:t>
            </w:r>
          </w:p>
        </w:tc>
        <w:tc>
          <w:tcPr>
            <w:tcW w:w="3900" w:type="pct"/>
          </w:tcPr>
          <w:p w14:paraId="131BB15C" w14:textId="77777777" w:rsidR="008655FB" w:rsidRPr="004D483E" w:rsidRDefault="008655FB" w:rsidP="00291B4B">
            <w:pPr>
              <w:pStyle w:val="TabletextLeft"/>
              <w:rPr>
                <w:rFonts w:ascii="Fira Sans" w:hAnsi="Fira Sans"/>
              </w:rPr>
            </w:pPr>
            <w:r w:rsidRPr="004D483E">
              <w:rPr>
                <w:rFonts w:ascii="Fira Sans" w:hAnsi="Fira Sans"/>
              </w:rPr>
              <w:t>Regulatory Impact Statement</w:t>
            </w:r>
          </w:p>
        </w:tc>
      </w:tr>
      <w:tr w:rsidR="008655FB" w:rsidRPr="004B4D01" w14:paraId="26A9DD18" w14:textId="77777777" w:rsidTr="006A37B3">
        <w:tc>
          <w:tcPr>
            <w:tcW w:w="1100" w:type="pct"/>
          </w:tcPr>
          <w:p w14:paraId="63A14E3A" w14:textId="77777777" w:rsidR="008655FB" w:rsidRPr="004D483E" w:rsidRDefault="008655FB" w:rsidP="00291B4B">
            <w:pPr>
              <w:pStyle w:val="TabletextLeft"/>
              <w:rPr>
                <w:rFonts w:ascii="Fira Sans" w:hAnsi="Fira Sans"/>
              </w:rPr>
            </w:pPr>
            <w:r w:rsidRPr="004D483E">
              <w:rPr>
                <w:rFonts w:ascii="Fira Sans" w:hAnsi="Fira Sans"/>
              </w:rPr>
              <w:t>VSL</w:t>
            </w:r>
          </w:p>
        </w:tc>
        <w:tc>
          <w:tcPr>
            <w:tcW w:w="3900" w:type="pct"/>
          </w:tcPr>
          <w:p w14:paraId="3E42E076" w14:textId="77777777" w:rsidR="008655FB" w:rsidRPr="004D483E" w:rsidRDefault="008655FB" w:rsidP="00291B4B">
            <w:pPr>
              <w:pStyle w:val="TabletextLeft"/>
              <w:rPr>
                <w:rFonts w:ascii="Fira Sans" w:hAnsi="Fira Sans"/>
              </w:rPr>
            </w:pPr>
            <w:r w:rsidRPr="004D483E">
              <w:rPr>
                <w:rFonts w:ascii="Fira Sans" w:hAnsi="Fira Sans"/>
              </w:rPr>
              <w:t>Value of a statistical life</w:t>
            </w:r>
          </w:p>
        </w:tc>
      </w:tr>
      <w:tr w:rsidR="008655FB" w:rsidRPr="004B4D01" w14:paraId="1F469FB5" w14:textId="77777777" w:rsidTr="006A37B3">
        <w:tc>
          <w:tcPr>
            <w:tcW w:w="1100" w:type="pct"/>
          </w:tcPr>
          <w:p w14:paraId="5D93AD78" w14:textId="77777777" w:rsidR="008655FB" w:rsidRPr="004D483E" w:rsidRDefault="008655FB" w:rsidP="00291B4B">
            <w:pPr>
              <w:pStyle w:val="TabletextLeft"/>
              <w:rPr>
                <w:rFonts w:ascii="Fira Sans" w:hAnsi="Fira Sans"/>
              </w:rPr>
            </w:pPr>
            <w:r w:rsidRPr="004D483E">
              <w:rPr>
                <w:rFonts w:ascii="Fira Sans" w:hAnsi="Fira Sans"/>
              </w:rPr>
              <w:t>VSLY</w:t>
            </w:r>
          </w:p>
        </w:tc>
        <w:tc>
          <w:tcPr>
            <w:tcW w:w="3900" w:type="pct"/>
          </w:tcPr>
          <w:p w14:paraId="0572C6F0" w14:textId="77777777" w:rsidR="008655FB" w:rsidRPr="004D483E" w:rsidRDefault="008655FB" w:rsidP="00291B4B">
            <w:pPr>
              <w:pStyle w:val="TabletextLeft"/>
              <w:rPr>
                <w:rFonts w:ascii="Fira Sans" w:hAnsi="Fira Sans"/>
              </w:rPr>
            </w:pPr>
            <w:r w:rsidRPr="004D483E">
              <w:rPr>
                <w:rFonts w:ascii="Fira Sans" w:hAnsi="Fira Sans"/>
              </w:rPr>
              <w:t>Value of a statistical life year</w:t>
            </w:r>
          </w:p>
        </w:tc>
      </w:tr>
      <w:tr w:rsidR="008655FB" w:rsidRPr="004B4D01" w14:paraId="1BF67A0F" w14:textId="77777777" w:rsidTr="006A37B3">
        <w:tc>
          <w:tcPr>
            <w:tcW w:w="1100" w:type="pct"/>
          </w:tcPr>
          <w:p w14:paraId="7369B745" w14:textId="77777777" w:rsidR="008655FB" w:rsidRPr="004D483E" w:rsidRDefault="008655FB" w:rsidP="00291B4B">
            <w:pPr>
              <w:pStyle w:val="TabletextLeft"/>
              <w:rPr>
                <w:rFonts w:ascii="Fira Sans" w:hAnsi="Fira Sans"/>
              </w:rPr>
            </w:pPr>
            <w:r w:rsidRPr="004D483E">
              <w:rPr>
                <w:rFonts w:ascii="Fira Sans" w:hAnsi="Fira Sans"/>
              </w:rPr>
              <w:t>WCHN</w:t>
            </w:r>
          </w:p>
        </w:tc>
        <w:tc>
          <w:tcPr>
            <w:tcW w:w="3900" w:type="pct"/>
          </w:tcPr>
          <w:p w14:paraId="39A8CE13" w14:textId="77777777" w:rsidR="008655FB" w:rsidRPr="004D483E" w:rsidRDefault="008655FB" w:rsidP="00291B4B">
            <w:pPr>
              <w:pStyle w:val="TabletextLeft"/>
              <w:rPr>
                <w:rFonts w:ascii="Fira Sans" w:hAnsi="Fira Sans"/>
              </w:rPr>
            </w:pPr>
            <w:r w:rsidRPr="004D483E">
              <w:rPr>
                <w:rFonts w:ascii="Fira Sans" w:hAnsi="Fira Sans"/>
              </w:rPr>
              <w:t>Women and Children’s Health Network</w:t>
            </w:r>
          </w:p>
        </w:tc>
      </w:tr>
      <w:tr w:rsidR="008655FB" w:rsidRPr="004B4D01" w14:paraId="12FEEF92" w14:textId="77777777" w:rsidTr="006A37B3">
        <w:tc>
          <w:tcPr>
            <w:tcW w:w="1100" w:type="pct"/>
          </w:tcPr>
          <w:p w14:paraId="59B54C0B" w14:textId="77777777" w:rsidR="008655FB" w:rsidRPr="004D483E" w:rsidRDefault="008655FB" w:rsidP="00291B4B">
            <w:pPr>
              <w:pStyle w:val="TabletextLeft"/>
              <w:rPr>
                <w:rFonts w:ascii="Fira Sans" w:hAnsi="Fira Sans"/>
              </w:rPr>
            </w:pPr>
            <w:r w:rsidRPr="004D483E">
              <w:rPr>
                <w:rFonts w:ascii="Fira Sans" w:hAnsi="Fira Sans"/>
              </w:rPr>
              <w:t>YLD</w:t>
            </w:r>
          </w:p>
        </w:tc>
        <w:tc>
          <w:tcPr>
            <w:tcW w:w="3900" w:type="pct"/>
          </w:tcPr>
          <w:p w14:paraId="1B331D7C" w14:textId="77777777" w:rsidR="008655FB" w:rsidRPr="004D483E" w:rsidRDefault="008655FB" w:rsidP="00291B4B">
            <w:pPr>
              <w:pStyle w:val="TabletextLeft"/>
              <w:rPr>
                <w:rFonts w:ascii="Fira Sans" w:hAnsi="Fira Sans"/>
              </w:rPr>
            </w:pPr>
            <w:r w:rsidRPr="004D483E">
              <w:rPr>
                <w:rFonts w:ascii="Fira Sans" w:hAnsi="Fira Sans"/>
              </w:rPr>
              <w:t>Years lost due to disability</w:t>
            </w:r>
          </w:p>
        </w:tc>
      </w:tr>
      <w:tr w:rsidR="008655FB" w:rsidRPr="004B4D01" w14:paraId="6CD3A486" w14:textId="77777777" w:rsidTr="006A37B3">
        <w:tc>
          <w:tcPr>
            <w:tcW w:w="1100" w:type="pct"/>
          </w:tcPr>
          <w:p w14:paraId="59397F7E" w14:textId="77777777" w:rsidR="008655FB" w:rsidRPr="004D483E" w:rsidRDefault="008655FB" w:rsidP="00291B4B">
            <w:pPr>
              <w:pStyle w:val="TabletextLeft"/>
              <w:rPr>
                <w:rFonts w:ascii="Fira Sans" w:hAnsi="Fira Sans"/>
              </w:rPr>
            </w:pPr>
            <w:r w:rsidRPr="004D483E">
              <w:rPr>
                <w:rFonts w:ascii="Fira Sans" w:hAnsi="Fira Sans"/>
              </w:rPr>
              <w:lastRenderedPageBreak/>
              <w:t>YLL</w:t>
            </w:r>
          </w:p>
        </w:tc>
        <w:tc>
          <w:tcPr>
            <w:tcW w:w="3900" w:type="pct"/>
          </w:tcPr>
          <w:p w14:paraId="0DDCDB3E" w14:textId="77777777" w:rsidR="008655FB" w:rsidRPr="004D483E" w:rsidRDefault="008655FB" w:rsidP="00291B4B">
            <w:pPr>
              <w:pStyle w:val="TabletextLeft"/>
              <w:rPr>
                <w:rFonts w:ascii="Fira Sans" w:hAnsi="Fira Sans"/>
              </w:rPr>
            </w:pPr>
            <w:r w:rsidRPr="004D483E">
              <w:rPr>
                <w:rFonts w:ascii="Fira Sans" w:hAnsi="Fira Sans"/>
              </w:rPr>
              <w:t>Years lost due to premature death</w:t>
            </w:r>
          </w:p>
        </w:tc>
      </w:tr>
    </w:tbl>
    <w:p w14:paraId="76AA5438" w14:textId="39910004" w:rsidR="00090EC6" w:rsidRDefault="00090EC6" w:rsidP="003C3699">
      <w:pPr>
        <w:pStyle w:val="HeaderTitle"/>
      </w:pPr>
      <w:r w:rsidRPr="000B755D">
        <w:t>Executive</w:t>
      </w:r>
      <w:r>
        <w:t xml:space="preserve"> Summary</w:t>
      </w:r>
    </w:p>
    <w:p w14:paraId="37AACA20" w14:textId="77777777" w:rsidR="00D10ADB" w:rsidRPr="000B755D" w:rsidRDefault="00D10ADB" w:rsidP="000B755D">
      <w:pPr>
        <w:pStyle w:val="HeadingA"/>
      </w:pPr>
      <w:r w:rsidRPr="000B755D">
        <w:t>Background</w:t>
      </w:r>
    </w:p>
    <w:p w14:paraId="4CFDA4E6" w14:textId="34FE6885" w:rsidR="00E00CF5" w:rsidRDefault="003242EC" w:rsidP="003242EC">
      <w:pPr>
        <w:pStyle w:val="BodyText"/>
      </w:pPr>
      <w:r>
        <w:t xml:space="preserve">At the 13 December 2023 Health Ministers’ Meeting (HMM), </w:t>
      </w:r>
      <w:r w:rsidR="00D55509">
        <w:t>State and Territory</w:t>
      </w:r>
      <w:r>
        <w:t xml:space="preserve"> Health Ministers commissioned a Decision Regulatory Impact Statement (Decision RIS) to assess the viability of regulating the audiology profession under the National Registration and Accreditation Scheme. </w:t>
      </w:r>
      <w:r w:rsidR="00E00CF5" w:rsidRPr="00E00CF5">
        <w:t>Following consideration of the Decision RIS at HMM in August 2024, Ministers agreed in-principle to inclusion of audiology in the National Registration and Accreditation Scheme, with further consultation and costings to be undertaken to inform final consideration and decision. This further work include</w:t>
      </w:r>
      <w:r w:rsidR="00E00CF5">
        <w:t>d</w:t>
      </w:r>
      <w:r w:rsidR="00E00CF5" w:rsidRPr="00E00CF5">
        <w:t xml:space="preserve"> targeted consultation with stakeholders to consider issues including costs, implementation, risks and impacts on First Nations communities.</w:t>
      </w:r>
    </w:p>
    <w:p w14:paraId="58D81449" w14:textId="13736530" w:rsidR="003242EC" w:rsidRDefault="003242EC" w:rsidP="003242EC">
      <w:pPr>
        <w:pStyle w:val="BodyText"/>
      </w:pPr>
      <w:r>
        <w:t xml:space="preserve">This Decision RIS has been prepared in accordance with the </w:t>
      </w:r>
      <w:r>
        <w:rPr>
          <w:i/>
          <w:iCs/>
        </w:rPr>
        <w:t>Regulatory Impact Analysis Guide for Ministers’ Meetings and National Standard Setting Bodies June 2023</w:t>
      </w:r>
      <w:r w:rsidRPr="008B4B5C">
        <w:t xml:space="preserve"> (the Guide), </w:t>
      </w:r>
      <w:r>
        <w:t>administered by the Office of Impact Analysis (OIA)</w:t>
      </w:r>
      <w:r w:rsidR="00C461A9">
        <w:t>. As per the Guide</w:t>
      </w:r>
      <w:r w:rsidR="005B2A92">
        <w:t>,</w:t>
      </w:r>
      <w:r w:rsidR="00C461A9">
        <w:t xml:space="preserve"> it considers </w:t>
      </w:r>
      <w:r w:rsidR="005B2A92">
        <w:t>a range of options</w:t>
      </w:r>
      <w:r>
        <w:t xml:space="preserve"> for future regulation of the audiology profession, including:</w:t>
      </w:r>
    </w:p>
    <w:p w14:paraId="748F2043" w14:textId="77777777" w:rsidR="003242EC" w:rsidRDefault="003242EC" w:rsidP="002A0CEF">
      <w:pPr>
        <w:pStyle w:val="ListBullet"/>
      </w:pPr>
      <w:r>
        <w:t>Status Quo (current state)</w:t>
      </w:r>
    </w:p>
    <w:p w14:paraId="31D5B230" w14:textId="2B990AA7" w:rsidR="003242EC" w:rsidRDefault="003242EC" w:rsidP="002A0CEF">
      <w:pPr>
        <w:pStyle w:val="ListBullet"/>
      </w:pPr>
      <w:r>
        <w:t xml:space="preserve">Strengthened Status Quo (Jurisdictional </w:t>
      </w:r>
      <w:r w:rsidR="00D71545">
        <w:t xml:space="preserve">mandatory </w:t>
      </w:r>
      <w:r>
        <w:t>current clinical certification for public sector audiologists a</w:t>
      </w:r>
      <w:r w:rsidR="001D1596">
        <w:t>n</w:t>
      </w:r>
      <w:r>
        <w:t>d uplift in continuing professional development)</w:t>
      </w:r>
    </w:p>
    <w:p w14:paraId="6E219B0D" w14:textId="7403A6BB" w:rsidR="003242EC" w:rsidRDefault="003242EC" w:rsidP="002A0CEF">
      <w:pPr>
        <w:pStyle w:val="ListBullet"/>
      </w:pPr>
      <w:r>
        <w:t xml:space="preserve">Jurisdictional </w:t>
      </w:r>
      <w:r w:rsidR="002E529C">
        <w:t>R</w:t>
      </w:r>
      <w:r w:rsidR="00791E1D">
        <w:t>egistration</w:t>
      </w:r>
    </w:p>
    <w:p w14:paraId="1A4623BB" w14:textId="2DF8C620" w:rsidR="003242EC" w:rsidRDefault="003242EC" w:rsidP="002A0CEF">
      <w:pPr>
        <w:pStyle w:val="ListBullet"/>
      </w:pPr>
      <w:r>
        <w:t xml:space="preserve">National </w:t>
      </w:r>
      <w:r w:rsidR="002E529C">
        <w:t>R</w:t>
      </w:r>
      <w:r>
        <w:t>egistration under the National Registration and Accreditation Scheme.</w:t>
      </w:r>
    </w:p>
    <w:p w14:paraId="12DB3F69" w14:textId="77777777" w:rsidR="00D10ADB" w:rsidRDefault="00D10ADB" w:rsidP="00972D1E">
      <w:pPr>
        <w:pStyle w:val="BodyText"/>
      </w:pPr>
      <w:r>
        <w:t>The following short description of the audiology profession is provided below:</w:t>
      </w:r>
    </w:p>
    <w:p w14:paraId="001C6AAD" w14:textId="5D7FF812" w:rsidR="00D10ADB" w:rsidRDefault="00D10ADB" w:rsidP="00972D1E">
      <w:pPr>
        <w:pStyle w:val="ListBullet"/>
      </w:pPr>
      <w:r>
        <w:t>Audiology is a self-regulated profession of approximately 3,</w:t>
      </w:r>
      <w:r w:rsidR="002231AE">
        <w:t>8</w:t>
      </w:r>
      <w:r>
        <w:t>00 (noting data challenges associated with verifying workforce numbers).</w:t>
      </w:r>
    </w:p>
    <w:p w14:paraId="5D3525EB" w14:textId="2963F376" w:rsidR="00D10ADB" w:rsidRDefault="00D10ADB" w:rsidP="00972D1E">
      <w:pPr>
        <w:pStyle w:val="ListBullet"/>
      </w:pPr>
      <w:r>
        <w:t xml:space="preserve">Approximately </w:t>
      </w:r>
      <w:r w:rsidR="007B7AB4">
        <w:t>90</w:t>
      </w:r>
      <w:r>
        <w:t>% of the profession practices in the private sector, and 1</w:t>
      </w:r>
      <w:r w:rsidR="006F0D5C">
        <w:t>0</w:t>
      </w:r>
      <w:r>
        <w:t>% in the public sector.</w:t>
      </w:r>
    </w:p>
    <w:p w14:paraId="5AFC959E" w14:textId="5076FB4C" w:rsidR="00D10ADB" w:rsidRDefault="00D10ADB" w:rsidP="00972D1E">
      <w:pPr>
        <w:pStyle w:val="ListBullet"/>
      </w:pPr>
      <w:r>
        <w:t>Audiologists (holding a Masters-level degree) have a shared scope of practice with audiometrists (who primarily have a Diploma in audiometry). However, audiologists</w:t>
      </w:r>
      <w:r w:rsidR="005E2115">
        <w:t>’</w:t>
      </w:r>
      <w:r>
        <w:t xml:space="preserve"> additional qualifications generates a non-overlapping scope of practice.</w:t>
      </w:r>
    </w:p>
    <w:p w14:paraId="2704B02F" w14:textId="77777777" w:rsidR="00D10ADB" w:rsidRDefault="00D10ADB" w:rsidP="00972D1E">
      <w:pPr>
        <w:pStyle w:val="ListBullet"/>
      </w:pPr>
      <w:r>
        <w:t xml:space="preserve">Audiology has a number of specialisations of practice, which include paediatric diagnostic services and cochlear implant care services. </w:t>
      </w:r>
    </w:p>
    <w:p w14:paraId="49B59157" w14:textId="3D31FE2E" w:rsidR="00B17D32" w:rsidRPr="0057304D" w:rsidRDefault="00B050D2" w:rsidP="00B050D2">
      <w:pPr>
        <w:pStyle w:val="BodyText"/>
      </w:pPr>
      <w:r>
        <w:t>As requested by the decision-maker, t</w:t>
      </w:r>
      <w:r w:rsidRPr="00B050D2">
        <w:t>his Decision RIS defines the audiology profession as referring to the audiologist workforce, rather than the audiologist and audiometrist workforce.</w:t>
      </w:r>
      <w:r w:rsidR="00473AFC" w:rsidRPr="00473AFC">
        <w:t xml:space="preserve"> Throughout </w:t>
      </w:r>
      <w:r w:rsidR="00D70657">
        <w:t>both</w:t>
      </w:r>
      <w:r w:rsidR="00473AFC" w:rsidRPr="00473AFC">
        <w:t xml:space="preserve"> consultation period</w:t>
      </w:r>
      <w:r w:rsidR="00D70657">
        <w:t>s</w:t>
      </w:r>
      <w:r w:rsidR="00473AFC" w:rsidRPr="00473AFC">
        <w:t>, strong (though not unanimous) feedback was received that audiologists and audiometrists should be subject to a consistent regulatory approach.</w:t>
      </w:r>
    </w:p>
    <w:p w14:paraId="79E7B01F" w14:textId="77777777" w:rsidR="00D10ADB" w:rsidRPr="000B755D" w:rsidRDefault="00D10ADB" w:rsidP="000B755D">
      <w:pPr>
        <w:pStyle w:val="HeadingA"/>
      </w:pPr>
      <w:r w:rsidRPr="000B755D">
        <w:t>What is the policy problem?</w:t>
      </w:r>
    </w:p>
    <w:p w14:paraId="485C862E" w14:textId="429CD947" w:rsidR="00D10ADB" w:rsidRDefault="00807EDE" w:rsidP="00807EDE">
      <w:pPr>
        <w:pStyle w:val="BodyText"/>
      </w:pPr>
      <w:r w:rsidRPr="00807EDE">
        <w:t>This Decision RIS examines the policy problem of instances of substandard care occurring in the provision of audiology services in Australia</w:t>
      </w:r>
      <w:r w:rsidR="00D10ADB">
        <w:t>.</w:t>
      </w:r>
    </w:p>
    <w:p w14:paraId="2094625D" w14:textId="08A9E313" w:rsidR="00D10ADB" w:rsidRDefault="00D81A1E" w:rsidP="00D81A1E">
      <w:pPr>
        <w:pStyle w:val="ListBullet"/>
      </w:pPr>
      <w:r w:rsidRPr="00D81A1E">
        <w:t>Problem 1: For audiology services, information asymmetries, principal-agent issues and patient vulnerabilities pose an increased risk of substandard care</w:t>
      </w:r>
      <w:r w:rsidR="00D10ADB">
        <w:t xml:space="preserve">. </w:t>
      </w:r>
    </w:p>
    <w:p w14:paraId="778E407B" w14:textId="2BBC7AD1" w:rsidR="00D10ADB" w:rsidRDefault="001E4F1C" w:rsidP="00972D1E">
      <w:pPr>
        <w:pStyle w:val="ListBullet"/>
      </w:pPr>
      <w:r w:rsidRPr="001E4F1C">
        <w:lastRenderedPageBreak/>
        <w:t>Problem 2: Audiologists have limited opportunities for formalised assessment of competency (including for specialised scopes of practice), and may have inconsistent or insufficient access to continuing professional development, training and clinical governance mechanisms that support high quality care</w:t>
      </w:r>
      <w:r w:rsidR="00D10ADB">
        <w:t>.</w:t>
      </w:r>
    </w:p>
    <w:p w14:paraId="274C9F74" w14:textId="0E0E185F" w:rsidR="00D10ADB" w:rsidRDefault="00B67DCB" w:rsidP="00972D1E">
      <w:pPr>
        <w:pStyle w:val="ListBullet"/>
      </w:pPr>
      <w:r w:rsidRPr="00B67DCB">
        <w:t>Problem 3: Across the sector, stakeholders note the influence of organisation-level pressures on audiologists’ delivery of care</w:t>
      </w:r>
      <w:r w:rsidR="00D10ADB" w:rsidRPr="008047A1">
        <w:t>.</w:t>
      </w:r>
    </w:p>
    <w:p w14:paraId="418DE6DA" w14:textId="3196D242" w:rsidR="00D10ADB" w:rsidRPr="00967799" w:rsidRDefault="00312E32" w:rsidP="00972D1E">
      <w:pPr>
        <w:pStyle w:val="ListBullet"/>
      </w:pPr>
      <w:r w:rsidRPr="00312E32">
        <w:t>Problem 4: For the minority of cases where an audiologist practices in an unethical or unsafe manner, factors specific to the delivery of audiology services generate barriers to enacting professional sanctions that would protect the public from harm</w:t>
      </w:r>
      <w:r w:rsidR="00D10ADB">
        <w:t xml:space="preserve">. </w:t>
      </w:r>
    </w:p>
    <w:p w14:paraId="7BDE1E7F" w14:textId="77777777" w:rsidR="00D10ADB" w:rsidRPr="000B755D" w:rsidRDefault="00D10ADB" w:rsidP="000B755D">
      <w:pPr>
        <w:pStyle w:val="HeadingA"/>
      </w:pPr>
      <w:r w:rsidRPr="000B755D">
        <w:t>Why is government action needed?</w:t>
      </w:r>
    </w:p>
    <w:p w14:paraId="3EC207FB" w14:textId="4A7200B2" w:rsidR="002426C7" w:rsidRDefault="002426C7" w:rsidP="002426C7">
      <w:pPr>
        <w:pStyle w:val="BodyText"/>
      </w:pPr>
      <w:r>
        <w:t>There is a legitimate reason for government intervention</w:t>
      </w:r>
      <w:r w:rsidR="00637AED">
        <w:t>, as sum</w:t>
      </w:r>
      <w:r w:rsidR="000E2B3D">
        <w:t>marised below.</w:t>
      </w:r>
    </w:p>
    <w:p w14:paraId="34B8ED91" w14:textId="54C5C0E9" w:rsidR="002426C7" w:rsidRDefault="002426C7" w:rsidP="002426C7">
      <w:pPr>
        <w:pStyle w:val="ListBullet"/>
      </w:pPr>
      <w:r>
        <w:t xml:space="preserve">State and Territory government </w:t>
      </w:r>
      <w:r w:rsidR="000E2B3D">
        <w:t xml:space="preserve">have </w:t>
      </w:r>
      <w:r>
        <w:t>responsibility for public hospital services</w:t>
      </w:r>
      <w:r w:rsidR="000E2B3D">
        <w:t>.</w:t>
      </w:r>
    </w:p>
    <w:p w14:paraId="357EB529" w14:textId="30DC41B4" w:rsidR="002426C7" w:rsidRDefault="002426C7" w:rsidP="002426C7">
      <w:pPr>
        <w:pStyle w:val="ListBullet"/>
      </w:pPr>
      <w:r>
        <w:t>The market for audiology services includes elements of information asymmetry, principal-agent issues and positive externalities</w:t>
      </w:r>
      <w:r w:rsidR="00C45442">
        <w:t>.</w:t>
      </w:r>
    </w:p>
    <w:p w14:paraId="58F8A56F" w14:textId="2031D4DF" w:rsidR="002426C7" w:rsidRDefault="002426C7" w:rsidP="002426C7">
      <w:pPr>
        <w:pStyle w:val="ListBullet"/>
      </w:pPr>
      <w:r>
        <w:t>Health workforce regulation is an established responsibility between the Australian Government and States and Territories. Here, government has shown the capacity to intervene through both broad-based mechanisms (e.g., implementation of the National Code</w:t>
      </w:r>
      <w:r w:rsidR="00754B9A">
        <w:t xml:space="preserve"> of Conduct for Health Care Workers</w:t>
      </w:r>
      <w:r>
        <w:t>) as well as profession-specific mechanisms (e.g., the inclusion of paramedicine in the National Scheme).</w:t>
      </w:r>
    </w:p>
    <w:p w14:paraId="55EF6E5C" w14:textId="77777777" w:rsidR="002426C7" w:rsidRDefault="002426C7" w:rsidP="002426C7">
      <w:pPr>
        <w:pStyle w:val="ListBullet"/>
      </w:pPr>
      <w:r>
        <w:t>Government subsidisation of hearing services and devices in relation to the Hearing Services Program requires appropriate regulatory settings to ensure continued access for Australians.</w:t>
      </w:r>
    </w:p>
    <w:p w14:paraId="21767D3A" w14:textId="77777777" w:rsidR="00D10ADB" w:rsidRDefault="00D10ADB" w:rsidP="00972D1E">
      <w:pPr>
        <w:pStyle w:val="BodyText"/>
      </w:pPr>
      <w:r>
        <w:t>It is noted that several alternatives to government action are operating currently, including audiology as a self-regulated profession and government subsidies in the production of clinical documentation.</w:t>
      </w:r>
    </w:p>
    <w:p w14:paraId="59AEE320" w14:textId="77777777" w:rsidR="00D10ADB" w:rsidRPr="00EB112B" w:rsidRDefault="00D10ADB" w:rsidP="00972D1E">
      <w:pPr>
        <w:pStyle w:val="BodyText"/>
      </w:pPr>
      <w:r>
        <w:t>The overarching goal of government action is to p</w:t>
      </w:r>
      <w:r w:rsidRPr="00EB112B">
        <w:t>rotect the Australian public by minimising the incidence of</w:t>
      </w:r>
      <w:r>
        <w:t xml:space="preserve"> patient</w:t>
      </w:r>
      <w:r w:rsidRPr="00EB112B">
        <w:t xml:space="preserve"> harm associated with delivery of audiology services. </w:t>
      </w:r>
      <w:r>
        <w:t>H</w:t>
      </w:r>
      <w:r w:rsidRPr="00EB112B">
        <w:t>arm is defined to include health, social, and economic (including financial) impacts, and recognises the long-term impacts that may arise from a</w:t>
      </w:r>
      <w:r>
        <w:t xml:space="preserve"> single</w:t>
      </w:r>
      <w:r w:rsidRPr="00EB112B">
        <w:t xml:space="preserve"> incident of harm. </w:t>
      </w:r>
      <w:r>
        <w:t>Given the problem statements identified, the objectives of action to achieve this goal include:</w:t>
      </w:r>
    </w:p>
    <w:p w14:paraId="1FE5A919" w14:textId="77777777" w:rsidR="006E4948" w:rsidRPr="00EB112B" w:rsidRDefault="006E4948" w:rsidP="006E4948">
      <w:pPr>
        <w:pStyle w:val="ListBullet"/>
      </w:pPr>
      <w:r>
        <w:rPr>
          <w:b/>
          <w:bCs/>
        </w:rPr>
        <w:t>Care quality assurance</w:t>
      </w:r>
      <w:r w:rsidRPr="00040DB3">
        <w:rPr>
          <w:b/>
          <w:bCs/>
        </w:rPr>
        <w:t>.</w:t>
      </w:r>
      <w:r>
        <w:t xml:space="preserve"> Ensure audiology services are delivered by practitioners who are supported by a clear scope of practice and profession-level goods. </w:t>
      </w:r>
    </w:p>
    <w:p w14:paraId="4894F78D" w14:textId="77777777" w:rsidR="006E4948" w:rsidRDefault="006E4948" w:rsidP="006E4948">
      <w:pPr>
        <w:pStyle w:val="ListBullet"/>
      </w:pPr>
      <w:r>
        <w:rPr>
          <w:b/>
          <w:bCs/>
        </w:rPr>
        <w:t>Regulatory c</w:t>
      </w:r>
      <w:r w:rsidRPr="00040DB3">
        <w:rPr>
          <w:b/>
          <w:bCs/>
        </w:rPr>
        <w:t>onsistency.</w:t>
      </w:r>
      <w:r>
        <w:t xml:space="preserve"> A </w:t>
      </w:r>
      <w:r w:rsidRPr="00EB112B">
        <w:t xml:space="preserve">regulatory context that </w:t>
      </w:r>
      <w:r>
        <w:t>provides consistent oversight of the whole profession, regardless of jurisdiction, elective membership or employment type.</w:t>
      </w:r>
    </w:p>
    <w:p w14:paraId="15E9C367" w14:textId="77777777" w:rsidR="006E4948" w:rsidRDefault="006E4948" w:rsidP="006E4948">
      <w:pPr>
        <w:pStyle w:val="ListBullet"/>
      </w:pPr>
      <w:r w:rsidRPr="00040DB3">
        <w:rPr>
          <w:b/>
          <w:bCs/>
        </w:rPr>
        <w:t>Escalation systems</w:t>
      </w:r>
      <w:r>
        <w:t xml:space="preserve">. Robust regulatory systems that maximise the identification of cases of substandard care and ensure they are appropriately treated. </w:t>
      </w:r>
    </w:p>
    <w:p w14:paraId="43F9FE77" w14:textId="77777777" w:rsidR="006E4948" w:rsidRDefault="006E4948" w:rsidP="006E4948">
      <w:pPr>
        <w:pStyle w:val="ListBullet"/>
      </w:pPr>
      <w:r w:rsidRPr="00EB6DE4">
        <w:rPr>
          <w:b/>
          <w:bCs/>
        </w:rPr>
        <w:t>Market</w:t>
      </w:r>
      <w:r>
        <w:rPr>
          <w:b/>
          <w:bCs/>
        </w:rPr>
        <w:t xml:space="preserve"> awareness</w:t>
      </w:r>
      <w:r w:rsidRPr="00EB6DE4">
        <w:rPr>
          <w:b/>
          <w:bCs/>
        </w:rPr>
        <w:t xml:space="preserve">. </w:t>
      </w:r>
      <w:r w:rsidRPr="00EB6DE4">
        <w:t>Mechan</w:t>
      </w:r>
      <w:r>
        <w:t>i</w:t>
      </w:r>
      <w:r w:rsidRPr="00EB6DE4">
        <w:t xml:space="preserve">sms that </w:t>
      </w:r>
      <w:r>
        <w:t xml:space="preserve">increase market signalling, with a view to raising </w:t>
      </w:r>
      <w:r w:rsidRPr="00EB6DE4">
        <w:t>consumer</w:t>
      </w:r>
      <w:r>
        <w:t xml:space="preserve"> and employer understanding of</w:t>
      </w:r>
      <w:r w:rsidRPr="00EB6DE4">
        <w:t xml:space="preserve"> </w:t>
      </w:r>
      <w:r>
        <w:t>who is fit and proper to deliver different types of hearing health services.</w:t>
      </w:r>
    </w:p>
    <w:p w14:paraId="68A3EFF9" w14:textId="77777777" w:rsidR="006E4948" w:rsidRDefault="006E4948" w:rsidP="006E4948">
      <w:pPr>
        <w:pStyle w:val="ListBullet"/>
      </w:pPr>
      <w:r>
        <w:rPr>
          <w:b/>
          <w:bCs/>
        </w:rPr>
        <w:t xml:space="preserve">Ethical practice. </w:t>
      </w:r>
      <w:r>
        <w:t xml:space="preserve">Mechanisms that seek to minimise undue commercial influence on clinical practice, with the goal of preventing practitioner behaviours that are unethical or unsafe. </w:t>
      </w:r>
    </w:p>
    <w:p w14:paraId="45FB0767" w14:textId="77777777" w:rsidR="00D10ADB" w:rsidRPr="00972D1E" w:rsidRDefault="00D10ADB" w:rsidP="00972D1E">
      <w:pPr>
        <w:pStyle w:val="HeadingA"/>
      </w:pPr>
      <w:r w:rsidRPr="00972D1E">
        <w:lastRenderedPageBreak/>
        <w:t>What policy options are to be considered?</w:t>
      </w:r>
    </w:p>
    <w:p w14:paraId="4A57C7D2" w14:textId="77777777" w:rsidR="00D10ADB" w:rsidRPr="00940755" w:rsidRDefault="00D10ADB" w:rsidP="00940755">
      <w:pPr>
        <w:pStyle w:val="BodyText"/>
      </w:pPr>
      <w:r w:rsidRPr="00940755">
        <w:t>This Decision RIS considered seven longlisted options. Following stakeholder consultation, the asterisked options were carried forward to the impact analysis.</w:t>
      </w:r>
    </w:p>
    <w:p w14:paraId="24998F1E" w14:textId="77777777" w:rsidR="00D10ADB" w:rsidRDefault="00D10ADB" w:rsidP="00940755">
      <w:pPr>
        <w:pStyle w:val="ListBullet"/>
      </w:pPr>
      <w:r>
        <w:t>Status Quo (Current State)*</w:t>
      </w:r>
    </w:p>
    <w:p w14:paraId="321444D8" w14:textId="77777777" w:rsidR="00D10ADB" w:rsidRDefault="00D10ADB" w:rsidP="00940755">
      <w:pPr>
        <w:pStyle w:val="ListBullet"/>
      </w:pPr>
      <w:r>
        <w:t>Consolidation of the two audiology-specific PPBs to a single PPB</w:t>
      </w:r>
    </w:p>
    <w:p w14:paraId="4EA1EF3B" w14:textId="472BAC7D" w:rsidR="00D10ADB" w:rsidRDefault="00D10ADB" w:rsidP="00940755">
      <w:pPr>
        <w:pStyle w:val="ListBullet"/>
      </w:pPr>
      <w:r>
        <w:t>Mandatory membership with a P</w:t>
      </w:r>
      <w:r w:rsidR="00862F00">
        <w:t xml:space="preserve">ractitioner </w:t>
      </w:r>
      <w:r>
        <w:t>P</w:t>
      </w:r>
      <w:r w:rsidR="00862F00">
        <w:t xml:space="preserve">rofessional </w:t>
      </w:r>
      <w:r>
        <w:t>B</w:t>
      </w:r>
      <w:r w:rsidR="00862F00">
        <w:t>ody</w:t>
      </w:r>
      <w:r>
        <w:t>* (modified</w:t>
      </w:r>
      <w:r w:rsidR="00433739">
        <w:t xml:space="preserve"> following the conclusion of the </w:t>
      </w:r>
      <w:r w:rsidR="00B81A6F">
        <w:t>Consultation Phase 1</w:t>
      </w:r>
      <w:r>
        <w:t xml:space="preserve"> to be ‘Strengthened Status Quo – Jurisdictional </w:t>
      </w:r>
      <w:r w:rsidR="009B3802">
        <w:t xml:space="preserve">mandatory </w:t>
      </w:r>
      <w:r>
        <w:t xml:space="preserve">current clinical certification of public sector audiologists and uplift </w:t>
      </w:r>
      <w:r w:rsidR="009B3802">
        <w:t xml:space="preserve">in </w:t>
      </w:r>
      <w:r>
        <w:t>continuing professional development’)</w:t>
      </w:r>
    </w:p>
    <w:p w14:paraId="35637F54" w14:textId="77777777" w:rsidR="00D10ADB" w:rsidRDefault="00D10ADB" w:rsidP="00940755">
      <w:pPr>
        <w:pStyle w:val="ListBullet"/>
      </w:pPr>
      <w:r>
        <w:t>License private providers of audiology services</w:t>
      </w:r>
    </w:p>
    <w:p w14:paraId="45188BA3" w14:textId="77777777" w:rsidR="00D10ADB" w:rsidRDefault="00D10ADB" w:rsidP="00940755">
      <w:pPr>
        <w:pStyle w:val="ListBullet"/>
      </w:pPr>
      <w:r>
        <w:t>Regulation of audiologists that perform paediatric diagnostic and cochlear implant care services</w:t>
      </w:r>
    </w:p>
    <w:p w14:paraId="59B1C90D" w14:textId="0C3C80ED" w:rsidR="00D10ADB" w:rsidRDefault="00D10ADB" w:rsidP="00940755">
      <w:pPr>
        <w:pStyle w:val="ListBullet"/>
      </w:pPr>
      <w:r>
        <w:t xml:space="preserve">Jurisdictional </w:t>
      </w:r>
      <w:r w:rsidR="002C4A9A">
        <w:t>R</w:t>
      </w:r>
      <w:r w:rsidR="00791E1D">
        <w:t>egistration</w:t>
      </w:r>
      <w:r>
        <w:t xml:space="preserve"> of the audiology profession*</w:t>
      </w:r>
    </w:p>
    <w:p w14:paraId="4713EF7E" w14:textId="6C0A7A77" w:rsidR="00D10ADB" w:rsidRDefault="00D10ADB" w:rsidP="00D3083F">
      <w:pPr>
        <w:pStyle w:val="ListBullet"/>
      </w:pPr>
      <w:r>
        <w:t xml:space="preserve">National </w:t>
      </w:r>
      <w:r w:rsidR="002C4A9A">
        <w:t>R</w:t>
      </w:r>
      <w:r>
        <w:t>egistration of the audiology profession*.</w:t>
      </w:r>
    </w:p>
    <w:p w14:paraId="31083287" w14:textId="370C01C4" w:rsidR="003125EA" w:rsidRDefault="003125EA" w:rsidP="00EB6921">
      <w:pPr>
        <w:pStyle w:val="HeadingA"/>
        <w:spacing w:after="120"/>
        <w:rPr>
          <w:lang w:val="en-US"/>
        </w:rPr>
      </w:pPr>
      <w:r w:rsidRPr="00EB6921">
        <w:t>Who was consulted and how was their feedback incorporated?</w:t>
      </w:r>
    </w:p>
    <w:p w14:paraId="7289E75C" w14:textId="73E81C19" w:rsidR="00CC46B4" w:rsidRDefault="00CC46B4" w:rsidP="00CC46B4">
      <w:r>
        <w:t>Consultation for this Decision RIS took place across two phases, as per the request of the decision-maker (HMM). Collectively, the consultation process engaged stakeholder groups included Commonwealth and State and Territory Government, Practitioner Professional Bodies (PPBs); professional/regulatory associations and authorities; hearing providers (private and public); the academic sector; the insurance industry; audiologists</w:t>
      </w:r>
      <w:r w:rsidR="00895920">
        <w:t>;</w:t>
      </w:r>
      <w:r>
        <w:t xml:space="preserve"> and consumers.</w:t>
      </w:r>
    </w:p>
    <w:p w14:paraId="62D5A405" w14:textId="77777777" w:rsidR="00B8100E" w:rsidRDefault="00B8100E" w:rsidP="00CC46B4"/>
    <w:p w14:paraId="0F7D7B24" w14:textId="1DC84483" w:rsidR="005C2DE0" w:rsidRDefault="00CC46B4" w:rsidP="00CC46B4">
      <w:r>
        <w:t>In Consultation Phase 1, a targeted consultation strategy was employed. This involved one-on-one semi-structured interviews and focus groups with parties most directly affected by the proposal as well as the inclusion of a public submission process hosted on the Queensland Health website. The project conducted 28 interviews and 2 focus groups and received 289 public submissions</w:t>
      </w:r>
      <w:r w:rsidR="00B8100E">
        <w:t xml:space="preserve"> (noting the number of stakeholders that elected to identify</w:t>
      </w:r>
      <w:r w:rsidR="000077C6">
        <w:t xml:space="preserve"> themselves in public submissions was low)</w:t>
      </w:r>
      <w:r>
        <w:t xml:space="preserve">. The option with the most support from Consultation Phase 1 was </w:t>
      </w:r>
      <w:r w:rsidR="009D65B6">
        <w:t>National Registration</w:t>
      </w:r>
      <w:r>
        <w:t xml:space="preserve"> (63% of stakeholders), followed by the Status Quo (28% of stakeholders).</w:t>
      </w:r>
      <w:r w:rsidR="000077C6">
        <w:t xml:space="preserve"> </w:t>
      </w:r>
      <w:r w:rsidR="00BB60C6">
        <w:t xml:space="preserve">Here it is noted that due to Strengthened Status Quo being included as an option </w:t>
      </w:r>
      <w:r w:rsidR="00A9319F">
        <w:t xml:space="preserve">after Consultation </w:t>
      </w:r>
      <w:r w:rsidR="00DF2DB4">
        <w:t xml:space="preserve">Phase </w:t>
      </w:r>
      <w:r w:rsidR="00A9319F">
        <w:t>1 closed due to stakeholder feedba</w:t>
      </w:r>
      <w:r w:rsidR="00854FFF">
        <w:t>ck</w:t>
      </w:r>
      <w:r w:rsidR="00BB60C6">
        <w:t>, this option was not able to be tested directly with stakeholders.</w:t>
      </w:r>
    </w:p>
    <w:p w14:paraId="3584C2A2" w14:textId="77777777" w:rsidR="005C2DE0" w:rsidRDefault="005C2DE0" w:rsidP="00CC46B4"/>
    <w:p w14:paraId="2250F9F0" w14:textId="3B9E3A2F" w:rsidR="00CC46B4" w:rsidRPr="00CC46B4" w:rsidRDefault="00CC46B4" w:rsidP="00CC46B4">
      <w:r>
        <w:t>In Consultation Phase 2, the Decision RIS employed a targeted consultation strategy again, however this was tailored</w:t>
      </w:r>
      <w:r w:rsidR="00854FFF">
        <w:t xml:space="preserve"> specifically</w:t>
      </w:r>
      <w:r>
        <w:t xml:space="preserve"> to the additional consultation scope requested. The strategy included one-on-one semi structured interviews, as well as a public submission process. The project conducted 41 unique interviews and received 20 public submissions that contained material within scope for the Decision RIS. Further consultation with Ahpra was a key focus of Consultation Period 2.</w:t>
      </w:r>
      <w:r w:rsidR="005C2DE0">
        <w:t xml:space="preserve"> </w:t>
      </w:r>
      <w:r w:rsidR="000E1D52">
        <w:t xml:space="preserve">While option preferences were not directly re-tested with stakeholders in Consultation Phase 2, Audiology Australia (the largest PPB) stated that the majority of its members support </w:t>
      </w:r>
      <w:r w:rsidR="009D65B6">
        <w:t>National Registration</w:t>
      </w:r>
      <w:r w:rsidR="000E1D52">
        <w:t xml:space="preserve"> if it provides clear benefits such as strengthening consumer confidence, offering protection of title and enhancing transparency.</w:t>
      </w:r>
    </w:p>
    <w:p w14:paraId="62D791FC" w14:textId="298366B7" w:rsidR="00D10ADB" w:rsidRPr="00D3083F" w:rsidRDefault="00D10ADB" w:rsidP="00D3083F">
      <w:pPr>
        <w:pStyle w:val="HeadingA"/>
      </w:pPr>
      <w:r w:rsidRPr="74BF0985">
        <w:rPr>
          <w:lang w:val="en-US"/>
        </w:rPr>
        <w:t>What is the likely net benefit of each option?</w:t>
      </w:r>
    </w:p>
    <w:p w14:paraId="5CF1CCA7" w14:textId="506BF412" w:rsidR="00203BC3" w:rsidRDefault="00203BC3" w:rsidP="00203BC3">
      <w:pPr>
        <w:pStyle w:val="BodyText"/>
      </w:pPr>
      <w:r>
        <w:t xml:space="preserve">To inform an assessment of the </w:t>
      </w:r>
      <w:r w:rsidR="00877044">
        <w:t>incremental net</w:t>
      </w:r>
      <w:r>
        <w:t xml:space="preserve"> benefits and costs of each option, quantitative and qualitative benefits</w:t>
      </w:r>
      <w:r w:rsidR="00A8472E">
        <w:t xml:space="preserve"> and costs</w:t>
      </w:r>
      <w:r>
        <w:t xml:space="preserve"> associated with each </w:t>
      </w:r>
      <w:r w:rsidR="00FB3418">
        <w:t>shortlisted</w:t>
      </w:r>
      <w:r>
        <w:t xml:space="preserve"> regulatory option w</w:t>
      </w:r>
      <w:r w:rsidR="00C9290E">
        <w:t>ere</w:t>
      </w:r>
      <w:r>
        <w:t xml:space="preserve"> assessed relative to the </w:t>
      </w:r>
      <w:r w:rsidR="00A80F45">
        <w:t>Status Quo</w:t>
      </w:r>
      <w:r>
        <w:t xml:space="preserve">. </w:t>
      </w:r>
    </w:p>
    <w:p w14:paraId="3217427C" w14:textId="26B82968" w:rsidR="00203BC3" w:rsidRDefault="00203BC3" w:rsidP="00203BC3">
      <w:pPr>
        <w:pStyle w:val="BodyText"/>
      </w:pPr>
      <w:r w:rsidRPr="00371510">
        <w:t>Each regulatory option is expected to result in various levels of harm minimisation</w:t>
      </w:r>
      <w:r>
        <w:t xml:space="preserve"> relative to the </w:t>
      </w:r>
      <w:r w:rsidR="00A80F45">
        <w:t>Status Quo</w:t>
      </w:r>
      <w:r>
        <w:t>, however</w:t>
      </w:r>
      <w:r w:rsidRPr="00371510">
        <w:t xml:space="preserve"> </w:t>
      </w:r>
      <w:r>
        <w:t xml:space="preserve">this could not be quantified owing to data limitations on the incidence of harms occurring under the </w:t>
      </w:r>
      <w:r w:rsidR="00A80F45">
        <w:t>Status Quo</w:t>
      </w:r>
      <w:r>
        <w:t xml:space="preserve"> and challenges in estimating the efficacy of each option in reducing harm. Given the primary benefit of harm minimisation could not be quantified, to compare the options, the incremental costs associated with each option w</w:t>
      </w:r>
      <w:r w:rsidR="004459FD">
        <w:t>ere</w:t>
      </w:r>
      <w:r>
        <w:t xml:space="preserve"> considered alongside a multi-criteria analysis. </w:t>
      </w:r>
    </w:p>
    <w:p w14:paraId="7A060166" w14:textId="545AF8DF" w:rsidR="0091574E" w:rsidRDefault="0091574E" w:rsidP="0091574E">
      <w:pPr>
        <w:pStyle w:val="BodyText"/>
      </w:pPr>
      <w:r>
        <w:t>The multi-criteria analysis considered the extent to which each option responds to the objectives for action</w:t>
      </w:r>
      <w:r w:rsidR="006A55EC">
        <w:t xml:space="preserve"> previously identified</w:t>
      </w:r>
      <w:r>
        <w:t>: care quality assurance; regulatory consistency; escalation systems; market awareness, and ethical practice.</w:t>
      </w:r>
    </w:p>
    <w:p w14:paraId="451C1EB3" w14:textId="5CF0D711" w:rsidR="00E61B29" w:rsidRDefault="00D10ADB" w:rsidP="00D3083F">
      <w:pPr>
        <w:pStyle w:val="BodyText"/>
        <w:sectPr w:rsidR="00E61B29" w:rsidSect="007F4E7D">
          <w:headerReference w:type="default" r:id="rId17"/>
          <w:footerReference w:type="default" r:id="rId18"/>
          <w:footerReference w:type="first" r:id="rId19"/>
          <w:pgSz w:w="11906" w:h="16838" w:code="9"/>
          <w:pgMar w:top="1531" w:right="1531" w:bottom="1531" w:left="1531" w:header="709" w:footer="709" w:gutter="0"/>
          <w:cols w:space="708"/>
          <w:docGrid w:linePitch="360"/>
        </w:sectPr>
      </w:pPr>
      <w:r>
        <w:t>A summary of th</w:t>
      </w:r>
      <w:r w:rsidR="002B3FC3">
        <w:t>is</w:t>
      </w:r>
      <w:r>
        <w:t xml:space="preserve"> analysis is shown in the table below</w:t>
      </w:r>
      <w:r w:rsidRPr="0050632D">
        <w:t>.</w:t>
      </w:r>
    </w:p>
    <w:tbl>
      <w:tblPr>
        <w:tblStyle w:val="BodyTable"/>
        <w:tblpPr w:leftFromText="181" w:rightFromText="181" w:vertAnchor="text" w:horzAnchor="margin" w:tblpY="1"/>
        <w:tblW w:w="0" w:type="auto"/>
        <w:tblLook w:val="04A0" w:firstRow="1" w:lastRow="0" w:firstColumn="1" w:lastColumn="0" w:noHBand="0" w:noVBand="1"/>
      </w:tblPr>
      <w:tblGrid>
        <w:gridCol w:w="1418"/>
        <w:gridCol w:w="1230"/>
        <w:gridCol w:w="4440"/>
        <w:gridCol w:w="3332"/>
        <w:gridCol w:w="3047"/>
      </w:tblGrid>
      <w:tr w:rsidR="00D2473C" w:rsidRPr="00D2473C" w14:paraId="40F4DBD1" w14:textId="77777777" w:rsidTr="00CE3D81">
        <w:trPr>
          <w:cnfStyle w:val="100000000000" w:firstRow="1" w:lastRow="0" w:firstColumn="0" w:lastColumn="0" w:oddVBand="0" w:evenVBand="0" w:oddHBand="0" w:evenHBand="0" w:firstRowFirstColumn="0" w:firstRowLastColumn="0" w:lastRowFirstColumn="0" w:lastRowLastColumn="0"/>
          <w:trHeight w:val="310"/>
        </w:trPr>
        <w:tc>
          <w:tcPr>
            <w:tcW w:w="1418" w:type="dxa"/>
          </w:tcPr>
          <w:p w14:paraId="66F8BC15" w14:textId="77777777" w:rsidR="00C95A45" w:rsidRPr="00D2473C" w:rsidRDefault="00C95A45" w:rsidP="00F26291">
            <w:pPr>
              <w:rPr>
                <w:b/>
                <w:sz w:val="14"/>
                <w:szCs w:val="14"/>
              </w:rPr>
            </w:pPr>
            <w:r w:rsidRPr="00D2473C">
              <w:rPr>
                <w:b/>
                <w:bCs/>
                <w:sz w:val="14"/>
                <w:szCs w:val="14"/>
              </w:rPr>
              <w:t>Criterion</w:t>
            </w:r>
          </w:p>
        </w:tc>
        <w:tc>
          <w:tcPr>
            <w:tcW w:w="1230" w:type="dxa"/>
          </w:tcPr>
          <w:p w14:paraId="6F545FD9" w14:textId="77777777" w:rsidR="00C95A45" w:rsidRPr="00D2473C" w:rsidRDefault="00C95A45" w:rsidP="00F26291">
            <w:pPr>
              <w:rPr>
                <w:b/>
                <w:sz w:val="14"/>
                <w:szCs w:val="14"/>
              </w:rPr>
            </w:pPr>
            <w:r w:rsidRPr="00D2473C">
              <w:rPr>
                <w:b/>
                <w:sz w:val="14"/>
                <w:szCs w:val="14"/>
              </w:rPr>
              <w:t xml:space="preserve">Current </w:t>
            </w:r>
            <w:r w:rsidRPr="00D2473C">
              <w:rPr>
                <w:b/>
                <w:bCs/>
                <w:sz w:val="14"/>
                <w:szCs w:val="14"/>
              </w:rPr>
              <w:t>S</w:t>
            </w:r>
            <w:r w:rsidRPr="00D2473C">
              <w:rPr>
                <w:b/>
                <w:sz w:val="14"/>
                <w:szCs w:val="14"/>
              </w:rPr>
              <w:t>tate</w:t>
            </w:r>
          </w:p>
        </w:tc>
        <w:tc>
          <w:tcPr>
            <w:tcW w:w="4440" w:type="dxa"/>
          </w:tcPr>
          <w:p w14:paraId="12EDE918" w14:textId="77777777" w:rsidR="00C95A45" w:rsidRPr="00D2473C" w:rsidRDefault="00C95A45" w:rsidP="00F26291">
            <w:pPr>
              <w:rPr>
                <w:b/>
                <w:sz w:val="14"/>
                <w:szCs w:val="14"/>
              </w:rPr>
            </w:pPr>
            <w:r w:rsidRPr="00D2473C">
              <w:rPr>
                <w:b/>
                <w:sz w:val="14"/>
                <w:szCs w:val="14"/>
              </w:rPr>
              <w:t>Strengthened Status Quo</w:t>
            </w:r>
          </w:p>
        </w:tc>
        <w:tc>
          <w:tcPr>
            <w:tcW w:w="3332" w:type="dxa"/>
          </w:tcPr>
          <w:p w14:paraId="4C13E881" w14:textId="718510DF" w:rsidR="00C95A45" w:rsidRPr="00D2473C" w:rsidRDefault="00C95A45" w:rsidP="00F26291">
            <w:pPr>
              <w:rPr>
                <w:b/>
                <w:sz w:val="14"/>
                <w:szCs w:val="14"/>
              </w:rPr>
            </w:pPr>
            <w:r w:rsidRPr="00D2473C">
              <w:rPr>
                <w:b/>
                <w:sz w:val="14"/>
                <w:szCs w:val="14"/>
              </w:rPr>
              <w:t xml:space="preserve">Jurisdictional </w:t>
            </w:r>
            <w:r w:rsidR="002D3DEF">
              <w:rPr>
                <w:b/>
                <w:sz w:val="14"/>
                <w:szCs w:val="14"/>
              </w:rPr>
              <w:t>R</w:t>
            </w:r>
            <w:r w:rsidRPr="00D2473C">
              <w:rPr>
                <w:b/>
                <w:sz w:val="14"/>
                <w:szCs w:val="14"/>
              </w:rPr>
              <w:t>egistration</w:t>
            </w:r>
          </w:p>
        </w:tc>
        <w:tc>
          <w:tcPr>
            <w:tcW w:w="3047" w:type="dxa"/>
          </w:tcPr>
          <w:p w14:paraId="32CB6BD7" w14:textId="18E53692" w:rsidR="00C95A45" w:rsidRPr="00D2473C" w:rsidRDefault="00C95A45" w:rsidP="00F26291">
            <w:pPr>
              <w:rPr>
                <w:b/>
                <w:sz w:val="14"/>
                <w:szCs w:val="14"/>
              </w:rPr>
            </w:pPr>
            <w:r w:rsidRPr="00D2473C">
              <w:rPr>
                <w:b/>
                <w:sz w:val="14"/>
                <w:szCs w:val="14"/>
              </w:rPr>
              <w:t xml:space="preserve">National </w:t>
            </w:r>
            <w:r w:rsidR="002D3DEF">
              <w:rPr>
                <w:b/>
                <w:sz w:val="14"/>
                <w:szCs w:val="14"/>
              </w:rPr>
              <w:t>R</w:t>
            </w:r>
            <w:r w:rsidRPr="00D2473C">
              <w:rPr>
                <w:b/>
                <w:sz w:val="14"/>
                <w:szCs w:val="14"/>
              </w:rPr>
              <w:t>egistration</w:t>
            </w:r>
          </w:p>
        </w:tc>
      </w:tr>
      <w:tr w:rsidR="00D2473C" w:rsidRPr="00D2473C" w14:paraId="78618451" w14:textId="77777777" w:rsidTr="00CE3D81">
        <w:trPr>
          <w:trHeight w:val="411"/>
        </w:trPr>
        <w:tc>
          <w:tcPr>
            <w:tcW w:w="1418" w:type="dxa"/>
          </w:tcPr>
          <w:p w14:paraId="0CA1AA0F" w14:textId="77777777" w:rsidR="00C95A45" w:rsidRPr="00D2473C" w:rsidRDefault="00C95A45" w:rsidP="00283983">
            <w:pPr>
              <w:spacing w:line="240" w:lineRule="auto"/>
              <w:rPr>
                <w:i/>
                <w:sz w:val="14"/>
                <w:szCs w:val="14"/>
              </w:rPr>
            </w:pPr>
            <w:r w:rsidRPr="00D2473C">
              <w:rPr>
                <w:i/>
                <w:sz w:val="14"/>
                <w:szCs w:val="14"/>
              </w:rPr>
              <w:t>Care quality assurance</w:t>
            </w:r>
          </w:p>
        </w:tc>
        <w:tc>
          <w:tcPr>
            <w:tcW w:w="1230" w:type="dxa"/>
          </w:tcPr>
          <w:p w14:paraId="3105BFB7" w14:textId="77777777" w:rsidR="00C95A45" w:rsidRPr="00D2473C" w:rsidRDefault="00C95A45" w:rsidP="00283983">
            <w:pPr>
              <w:spacing w:line="240" w:lineRule="auto"/>
              <w:rPr>
                <w:sz w:val="14"/>
                <w:szCs w:val="14"/>
              </w:rPr>
            </w:pPr>
            <w:r w:rsidRPr="00D2473C">
              <w:rPr>
                <w:sz w:val="14"/>
                <w:szCs w:val="14"/>
              </w:rPr>
              <w:t>Somewhat (2)</w:t>
            </w:r>
          </w:p>
        </w:tc>
        <w:tc>
          <w:tcPr>
            <w:tcW w:w="4440" w:type="dxa"/>
          </w:tcPr>
          <w:p w14:paraId="4498A726" w14:textId="77777777" w:rsidR="00C95A45" w:rsidRPr="00D2473C" w:rsidRDefault="00C95A45" w:rsidP="00283983">
            <w:pPr>
              <w:spacing w:line="240" w:lineRule="auto"/>
              <w:rPr>
                <w:sz w:val="14"/>
                <w:szCs w:val="14"/>
              </w:rPr>
            </w:pPr>
            <w:r w:rsidRPr="00D2473C">
              <w:rPr>
                <w:sz w:val="14"/>
                <w:szCs w:val="14"/>
              </w:rPr>
              <w:t>Mostly (3)</w:t>
            </w:r>
          </w:p>
        </w:tc>
        <w:tc>
          <w:tcPr>
            <w:tcW w:w="3332" w:type="dxa"/>
          </w:tcPr>
          <w:p w14:paraId="2F512436" w14:textId="77777777" w:rsidR="00C95A45" w:rsidRPr="00D2473C" w:rsidRDefault="00C95A45" w:rsidP="00283983">
            <w:pPr>
              <w:spacing w:line="240" w:lineRule="auto"/>
              <w:rPr>
                <w:sz w:val="14"/>
                <w:szCs w:val="14"/>
              </w:rPr>
            </w:pPr>
            <w:r w:rsidRPr="00D2473C">
              <w:rPr>
                <w:sz w:val="14"/>
                <w:szCs w:val="14"/>
              </w:rPr>
              <w:t>Mostly (3)</w:t>
            </w:r>
          </w:p>
        </w:tc>
        <w:tc>
          <w:tcPr>
            <w:tcW w:w="3047" w:type="dxa"/>
          </w:tcPr>
          <w:p w14:paraId="56E7096D" w14:textId="77777777" w:rsidR="00C95A45" w:rsidRPr="00D2473C" w:rsidRDefault="00C95A45" w:rsidP="00283983">
            <w:pPr>
              <w:spacing w:line="240" w:lineRule="auto"/>
              <w:rPr>
                <w:sz w:val="14"/>
                <w:szCs w:val="14"/>
              </w:rPr>
            </w:pPr>
            <w:r w:rsidRPr="00D2473C">
              <w:rPr>
                <w:sz w:val="14"/>
                <w:szCs w:val="14"/>
              </w:rPr>
              <w:t>Mostly (3)</w:t>
            </w:r>
          </w:p>
        </w:tc>
      </w:tr>
      <w:tr w:rsidR="00D2473C" w:rsidRPr="00D2473C" w14:paraId="549336AA" w14:textId="77777777" w:rsidTr="00CE3D81">
        <w:trPr>
          <w:trHeight w:val="411"/>
        </w:trPr>
        <w:tc>
          <w:tcPr>
            <w:tcW w:w="1418" w:type="dxa"/>
          </w:tcPr>
          <w:p w14:paraId="501E22F1" w14:textId="77777777" w:rsidR="00C95A45" w:rsidRPr="00D2473C" w:rsidRDefault="00C95A45" w:rsidP="00283983">
            <w:pPr>
              <w:spacing w:line="240" w:lineRule="auto"/>
              <w:rPr>
                <w:i/>
                <w:sz w:val="14"/>
                <w:szCs w:val="14"/>
              </w:rPr>
            </w:pPr>
            <w:r w:rsidRPr="00D2473C">
              <w:rPr>
                <w:i/>
                <w:sz w:val="14"/>
                <w:szCs w:val="14"/>
              </w:rPr>
              <w:t>Regulatory consistency</w:t>
            </w:r>
          </w:p>
        </w:tc>
        <w:tc>
          <w:tcPr>
            <w:tcW w:w="1230" w:type="dxa"/>
          </w:tcPr>
          <w:p w14:paraId="2F2F59C8" w14:textId="77777777" w:rsidR="00C95A45" w:rsidRPr="00D2473C" w:rsidRDefault="00C95A45" w:rsidP="00283983">
            <w:pPr>
              <w:spacing w:line="240" w:lineRule="auto"/>
              <w:rPr>
                <w:sz w:val="14"/>
                <w:szCs w:val="14"/>
              </w:rPr>
            </w:pPr>
            <w:r w:rsidRPr="00D2473C">
              <w:rPr>
                <w:sz w:val="14"/>
                <w:szCs w:val="14"/>
              </w:rPr>
              <w:t>Somewhat (2)</w:t>
            </w:r>
          </w:p>
        </w:tc>
        <w:tc>
          <w:tcPr>
            <w:tcW w:w="4440" w:type="dxa"/>
          </w:tcPr>
          <w:p w14:paraId="46942C84" w14:textId="77777777" w:rsidR="00C95A45" w:rsidRPr="00D2473C" w:rsidRDefault="00C95A45" w:rsidP="00283983">
            <w:pPr>
              <w:spacing w:line="240" w:lineRule="auto"/>
              <w:rPr>
                <w:sz w:val="14"/>
                <w:szCs w:val="14"/>
              </w:rPr>
            </w:pPr>
            <w:r w:rsidRPr="00D2473C">
              <w:rPr>
                <w:sz w:val="14"/>
                <w:szCs w:val="14"/>
              </w:rPr>
              <w:t>Somewhat (2)</w:t>
            </w:r>
          </w:p>
        </w:tc>
        <w:tc>
          <w:tcPr>
            <w:tcW w:w="3332" w:type="dxa"/>
          </w:tcPr>
          <w:p w14:paraId="3D7C9C25" w14:textId="77777777" w:rsidR="00C95A45" w:rsidRPr="00D2473C" w:rsidRDefault="00C95A45" w:rsidP="00283983">
            <w:pPr>
              <w:spacing w:line="240" w:lineRule="auto"/>
              <w:rPr>
                <w:sz w:val="14"/>
                <w:szCs w:val="14"/>
              </w:rPr>
            </w:pPr>
            <w:r w:rsidRPr="00D2473C">
              <w:rPr>
                <w:sz w:val="14"/>
                <w:szCs w:val="14"/>
              </w:rPr>
              <w:t>Somewhat (2)</w:t>
            </w:r>
          </w:p>
        </w:tc>
        <w:tc>
          <w:tcPr>
            <w:tcW w:w="3047" w:type="dxa"/>
          </w:tcPr>
          <w:p w14:paraId="707F0943" w14:textId="77777777" w:rsidR="00C95A45" w:rsidRPr="00D2473C" w:rsidRDefault="00C95A45" w:rsidP="00283983">
            <w:pPr>
              <w:spacing w:line="240" w:lineRule="auto"/>
              <w:rPr>
                <w:sz w:val="14"/>
                <w:szCs w:val="14"/>
              </w:rPr>
            </w:pPr>
            <w:r w:rsidRPr="00D2473C">
              <w:rPr>
                <w:sz w:val="14"/>
                <w:szCs w:val="14"/>
              </w:rPr>
              <w:t>Mostly (3)</w:t>
            </w:r>
          </w:p>
        </w:tc>
      </w:tr>
      <w:tr w:rsidR="00D2473C" w:rsidRPr="00D2473C" w14:paraId="5F8ACC72" w14:textId="77777777" w:rsidTr="00CE3D81">
        <w:trPr>
          <w:trHeight w:val="218"/>
        </w:trPr>
        <w:tc>
          <w:tcPr>
            <w:tcW w:w="1418" w:type="dxa"/>
          </w:tcPr>
          <w:p w14:paraId="2EA5042E" w14:textId="77777777" w:rsidR="00C95A45" w:rsidRPr="00D2473C" w:rsidRDefault="00C95A45" w:rsidP="00283983">
            <w:pPr>
              <w:spacing w:line="240" w:lineRule="auto"/>
              <w:rPr>
                <w:i/>
                <w:sz w:val="14"/>
                <w:szCs w:val="14"/>
              </w:rPr>
            </w:pPr>
            <w:r w:rsidRPr="00D2473C">
              <w:rPr>
                <w:i/>
                <w:sz w:val="14"/>
                <w:szCs w:val="14"/>
              </w:rPr>
              <w:t xml:space="preserve">Escalation systems </w:t>
            </w:r>
          </w:p>
        </w:tc>
        <w:tc>
          <w:tcPr>
            <w:tcW w:w="1230" w:type="dxa"/>
          </w:tcPr>
          <w:p w14:paraId="0B9E2C2F" w14:textId="77777777" w:rsidR="00C95A45" w:rsidRPr="00D2473C" w:rsidRDefault="00C95A45" w:rsidP="00283983">
            <w:pPr>
              <w:spacing w:line="240" w:lineRule="auto"/>
              <w:rPr>
                <w:sz w:val="14"/>
                <w:szCs w:val="14"/>
              </w:rPr>
            </w:pPr>
            <w:r w:rsidRPr="00D2473C">
              <w:rPr>
                <w:sz w:val="14"/>
                <w:szCs w:val="14"/>
              </w:rPr>
              <w:t>Somewhat (2)</w:t>
            </w:r>
          </w:p>
        </w:tc>
        <w:tc>
          <w:tcPr>
            <w:tcW w:w="4440" w:type="dxa"/>
          </w:tcPr>
          <w:p w14:paraId="4E11C7E3" w14:textId="77777777" w:rsidR="00C95A45" w:rsidRPr="00D2473C" w:rsidRDefault="00C95A45" w:rsidP="00283983">
            <w:pPr>
              <w:spacing w:line="240" w:lineRule="auto"/>
              <w:rPr>
                <w:sz w:val="14"/>
                <w:szCs w:val="14"/>
              </w:rPr>
            </w:pPr>
            <w:r w:rsidRPr="00D2473C">
              <w:rPr>
                <w:sz w:val="14"/>
                <w:szCs w:val="14"/>
              </w:rPr>
              <w:t>Somewhat (2)</w:t>
            </w:r>
          </w:p>
        </w:tc>
        <w:tc>
          <w:tcPr>
            <w:tcW w:w="3332" w:type="dxa"/>
          </w:tcPr>
          <w:p w14:paraId="1B2E2DE1" w14:textId="77777777" w:rsidR="00C95A45" w:rsidRPr="00D2473C" w:rsidRDefault="00C95A45" w:rsidP="00283983">
            <w:pPr>
              <w:spacing w:line="240" w:lineRule="auto"/>
              <w:rPr>
                <w:sz w:val="14"/>
                <w:szCs w:val="14"/>
              </w:rPr>
            </w:pPr>
            <w:r w:rsidRPr="00D2473C">
              <w:rPr>
                <w:sz w:val="14"/>
                <w:szCs w:val="14"/>
              </w:rPr>
              <w:t>Somewhat (2)</w:t>
            </w:r>
          </w:p>
        </w:tc>
        <w:tc>
          <w:tcPr>
            <w:tcW w:w="3047" w:type="dxa"/>
          </w:tcPr>
          <w:p w14:paraId="55A2BF1E" w14:textId="77777777" w:rsidR="00C95A45" w:rsidRPr="00D2473C" w:rsidRDefault="00C95A45" w:rsidP="00283983">
            <w:pPr>
              <w:spacing w:line="240" w:lineRule="auto"/>
              <w:rPr>
                <w:sz w:val="14"/>
                <w:szCs w:val="14"/>
              </w:rPr>
            </w:pPr>
            <w:r w:rsidRPr="00D2473C">
              <w:rPr>
                <w:sz w:val="14"/>
                <w:szCs w:val="14"/>
              </w:rPr>
              <w:t>Mostly (3)</w:t>
            </w:r>
          </w:p>
        </w:tc>
      </w:tr>
      <w:tr w:rsidR="00D2473C" w:rsidRPr="00D2473C" w14:paraId="152D5026" w14:textId="77777777" w:rsidTr="00CE3D81">
        <w:trPr>
          <w:trHeight w:val="165"/>
        </w:trPr>
        <w:tc>
          <w:tcPr>
            <w:tcW w:w="1418" w:type="dxa"/>
          </w:tcPr>
          <w:p w14:paraId="6AD2167D" w14:textId="77777777" w:rsidR="00C95A45" w:rsidRPr="00D2473C" w:rsidRDefault="00C95A45" w:rsidP="00283983">
            <w:pPr>
              <w:spacing w:line="240" w:lineRule="auto"/>
              <w:rPr>
                <w:i/>
                <w:sz w:val="14"/>
                <w:szCs w:val="14"/>
              </w:rPr>
            </w:pPr>
            <w:r w:rsidRPr="00D2473C">
              <w:rPr>
                <w:i/>
                <w:sz w:val="14"/>
                <w:szCs w:val="14"/>
              </w:rPr>
              <w:t>Market awareness</w:t>
            </w:r>
          </w:p>
        </w:tc>
        <w:tc>
          <w:tcPr>
            <w:tcW w:w="1230" w:type="dxa"/>
          </w:tcPr>
          <w:p w14:paraId="18B5BAE4" w14:textId="77777777" w:rsidR="00C95A45" w:rsidRPr="00D2473C" w:rsidRDefault="00C95A45" w:rsidP="00283983">
            <w:pPr>
              <w:spacing w:line="240" w:lineRule="auto"/>
              <w:rPr>
                <w:sz w:val="14"/>
                <w:szCs w:val="14"/>
              </w:rPr>
            </w:pPr>
            <w:r w:rsidRPr="00D2473C">
              <w:rPr>
                <w:sz w:val="14"/>
                <w:szCs w:val="14"/>
              </w:rPr>
              <w:t>Not at all (1)</w:t>
            </w:r>
          </w:p>
        </w:tc>
        <w:tc>
          <w:tcPr>
            <w:tcW w:w="4440" w:type="dxa"/>
          </w:tcPr>
          <w:p w14:paraId="0ECF6B83" w14:textId="77777777" w:rsidR="00C95A45" w:rsidRPr="00D2473C" w:rsidRDefault="00C95A45" w:rsidP="00283983">
            <w:pPr>
              <w:spacing w:line="240" w:lineRule="auto"/>
              <w:rPr>
                <w:sz w:val="14"/>
                <w:szCs w:val="14"/>
              </w:rPr>
            </w:pPr>
            <w:r w:rsidRPr="00D2473C">
              <w:rPr>
                <w:sz w:val="14"/>
                <w:szCs w:val="14"/>
              </w:rPr>
              <w:t>Not at all (1)</w:t>
            </w:r>
          </w:p>
        </w:tc>
        <w:tc>
          <w:tcPr>
            <w:tcW w:w="3332" w:type="dxa"/>
          </w:tcPr>
          <w:p w14:paraId="465C3A49" w14:textId="77777777" w:rsidR="00C95A45" w:rsidRPr="00D2473C" w:rsidRDefault="00C95A45" w:rsidP="00283983">
            <w:pPr>
              <w:spacing w:line="240" w:lineRule="auto"/>
              <w:rPr>
                <w:sz w:val="14"/>
                <w:szCs w:val="14"/>
              </w:rPr>
            </w:pPr>
            <w:r w:rsidRPr="00D2473C">
              <w:rPr>
                <w:sz w:val="14"/>
                <w:szCs w:val="14"/>
              </w:rPr>
              <w:t>Somewhat (2)</w:t>
            </w:r>
          </w:p>
        </w:tc>
        <w:tc>
          <w:tcPr>
            <w:tcW w:w="3047" w:type="dxa"/>
          </w:tcPr>
          <w:p w14:paraId="5B34D71D" w14:textId="77777777" w:rsidR="00C95A45" w:rsidRPr="00D2473C" w:rsidRDefault="00C95A45" w:rsidP="00283983">
            <w:pPr>
              <w:spacing w:line="240" w:lineRule="auto"/>
              <w:rPr>
                <w:sz w:val="14"/>
                <w:szCs w:val="14"/>
              </w:rPr>
            </w:pPr>
            <w:r w:rsidRPr="00D2473C">
              <w:rPr>
                <w:sz w:val="14"/>
                <w:szCs w:val="14"/>
              </w:rPr>
              <w:t>Somewhat (2)</w:t>
            </w:r>
          </w:p>
        </w:tc>
      </w:tr>
      <w:tr w:rsidR="00D2473C" w:rsidRPr="00D2473C" w14:paraId="7743C639" w14:textId="77777777" w:rsidTr="00CE3D81">
        <w:trPr>
          <w:trHeight w:val="156"/>
        </w:trPr>
        <w:tc>
          <w:tcPr>
            <w:tcW w:w="1418" w:type="dxa"/>
          </w:tcPr>
          <w:p w14:paraId="066888C4" w14:textId="77777777" w:rsidR="00C95A45" w:rsidRPr="00D2473C" w:rsidRDefault="00C95A45" w:rsidP="00283983">
            <w:pPr>
              <w:spacing w:line="240" w:lineRule="auto"/>
              <w:rPr>
                <w:i/>
                <w:sz w:val="14"/>
                <w:szCs w:val="14"/>
              </w:rPr>
            </w:pPr>
            <w:r w:rsidRPr="00D2473C">
              <w:rPr>
                <w:i/>
                <w:sz w:val="14"/>
                <w:szCs w:val="14"/>
              </w:rPr>
              <w:t>Ethical practice</w:t>
            </w:r>
          </w:p>
        </w:tc>
        <w:tc>
          <w:tcPr>
            <w:tcW w:w="1230" w:type="dxa"/>
          </w:tcPr>
          <w:p w14:paraId="73537B33" w14:textId="77777777" w:rsidR="00C95A45" w:rsidRPr="00D2473C" w:rsidRDefault="00C95A45" w:rsidP="00283983">
            <w:pPr>
              <w:spacing w:line="240" w:lineRule="auto"/>
              <w:rPr>
                <w:sz w:val="14"/>
                <w:szCs w:val="14"/>
              </w:rPr>
            </w:pPr>
            <w:r w:rsidRPr="00D2473C">
              <w:rPr>
                <w:sz w:val="14"/>
                <w:szCs w:val="14"/>
              </w:rPr>
              <w:t>Somewhat (2)</w:t>
            </w:r>
          </w:p>
        </w:tc>
        <w:tc>
          <w:tcPr>
            <w:tcW w:w="4440" w:type="dxa"/>
          </w:tcPr>
          <w:p w14:paraId="64AA55FA" w14:textId="77777777" w:rsidR="00C95A45" w:rsidRPr="00D2473C" w:rsidRDefault="00C95A45" w:rsidP="00283983">
            <w:pPr>
              <w:spacing w:line="240" w:lineRule="auto"/>
              <w:rPr>
                <w:sz w:val="14"/>
                <w:szCs w:val="14"/>
              </w:rPr>
            </w:pPr>
            <w:r w:rsidRPr="00D2473C">
              <w:rPr>
                <w:sz w:val="14"/>
                <w:szCs w:val="14"/>
              </w:rPr>
              <w:t>Somewhat (2)</w:t>
            </w:r>
          </w:p>
        </w:tc>
        <w:tc>
          <w:tcPr>
            <w:tcW w:w="3332" w:type="dxa"/>
          </w:tcPr>
          <w:p w14:paraId="75B13ACC" w14:textId="77777777" w:rsidR="00C95A45" w:rsidRPr="00D2473C" w:rsidRDefault="00C95A45" w:rsidP="00283983">
            <w:pPr>
              <w:spacing w:line="240" w:lineRule="auto"/>
              <w:rPr>
                <w:sz w:val="14"/>
                <w:szCs w:val="14"/>
              </w:rPr>
            </w:pPr>
            <w:r w:rsidRPr="00D2473C">
              <w:rPr>
                <w:sz w:val="14"/>
                <w:szCs w:val="14"/>
              </w:rPr>
              <w:t>Somewhat (2)</w:t>
            </w:r>
          </w:p>
        </w:tc>
        <w:tc>
          <w:tcPr>
            <w:tcW w:w="3047" w:type="dxa"/>
          </w:tcPr>
          <w:p w14:paraId="2B29A24A" w14:textId="77777777" w:rsidR="00C95A45" w:rsidRPr="00D2473C" w:rsidRDefault="00C95A45" w:rsidP="00283983">
            <w:pPr>
              <w:spacing w:line="240" w:lineRule="auto"/>
              <w:rPr>
                <w:sz w:val="14"/>
                <w:szCs w:val="14"/>
              </w:rPr>
            </w:pPr>
            <w:r w:rsidRPr="00D2473C">
              <w:rPr>
                <w:sz w:val="14"/>
                <w:szCs w:val="14"/>
              </w:rPr>
              <w:t>Somewhat (2)</w:t>
            </w:r>
          </w:p>
        </w:tc>
      </w:tr>
      <w:tr w:rsidR="00D2473C" w:rsidRPr="00D2473C" w14:paraId="5BF619FC" w14:textId="77777777" w:rsidTr="00283983">
        <w:trPr>
          <w:trHeight w:val="22"/>
        </w:trPr>
        <w:tc>
          <w:tcPr>
            <w:tcW w:w="1418" w:type="dxa"/>
          </w:tcPr>
          <w:p w14:paraId="7E1874A3" w14:textId="77777777" w:rsidR="00C95A45" w:rsidRPr="00D2473C" w:rsidRDefault="00C95A45" w:rsidP="00283983">
            <w:pPr>
              <w:spacing w:line="240" w:lineRule="auto"/>
              <w:rPr>
                <w:b/>
                <w:sz w:val="14"/>
                <w:szCs w:val="14"/>
              </w:rPr>
            </w:pPr>
            <w:r w:rsidRPr="00D2473C">
              <w:rPr>
                <w:b/>
                <w:sz w:val="14"/>
                <w:szCs w:val="14"/>
              </w:rPr>
              <w:t>Total (out of 20)</w:t>
            </w:r>
          </w:p>
        </w:tc>
        <w:tc>
          <w:tcPr>
            <w:tcW w:w="1230" w:type="dxa"/>
          </w:tcPr>
          <w:p w14:paraId="0B3F7BD7" w14:textId="77777777" w:rsidR="00C95A45" w:rsidRPr="00D2473C" w:rsidRDefault="00C95A45" w:rsidP="00283983">
            <w:pPr>
              <w:spacing w:line="240" w:lineRule="auto"/>
              <w:rPr>
                <w:b/>
                <w:sz w:val="14"/>
                <w:szCs w:val="14"/>
              </w:rPr>
            </w:pPr>
            <w:r w:rsidRPr="00D2473C">
              <w:rPr>
                <w:b/>
                <w:sz w:val="14"/>
                <w:szCs w:val="14"/>
              </w:rPr>
              <w:t>9</w:t>
            </w:r>
          </w:p>
        </w:tc>
        <w:tc>
          <w:tcPr>
            <w:tcW w:w="4440" w:type="dxa"/>
          </w:tcPr>
          <w:p w14:paraId="1D7EACDE" w14:textId="77777777" w:rsidR="00C95A45" w:rsidRPr="00D2473C" w:rsidRDefault="00C95A45" w:rsidP="00283983">
            <w:pPr>
              <w:spacing w:line="240" w:lineRule="auto"/>
              <w:rPr>
                <w:b/>
                <w:sz w:val="14"/>
                <w:szCs w:val="14"/>
              </w:rPr>
            </w:pPr>
            <w:r w:rsidRPr="00D2473C">
              <w:rPr>
                <w:b/>
                <w:sz w:val="14"/>
                <w:szCs w:val="14"/>
              </w:rPr>
              <w:t>10</w:t>
            </w:r>
          </w:p>
        </w:tc>
        <w:tc>
          <w:tcPr>
            <w:tcW w:w="3332" w:type="dxa"/>
          </w:tcPr>
          <w:p w14:paraId="1FBA783F" w14:textId="77777777" w:rsidR="00C95A45" w:rsidRPr="00D2473C" w:rsidRDefault="00C95A45" w:rsidP="00283983">
            <w:pPr>
              <w:spacing w:line="240" w:lineRule="auto"/>
              <w:rPr>
                <w:b/>
                <w:sz w:val="14"/>
                <w:szCs w:val="14"/>
              </w:rPr>
            </w:pPr>
            <w:r w:rsidRPr="00D2473C">
              <w:rPr>
                <w:b/>
                <w:sz w:val="14"/>
                <w:szCs w:val="14"/>
              </w:rPr>
              <w:t>11</w:t>
            </w:r>
          </w:p>
        </w:tc>
        <w:tc>
          <w:tcPr>
            <w:tcW w:w="3047" w:type="dxa"/>
          </w:tcPr>
          <w:p w14:paraId="4FA3DA2F" w14:textId="77777777" w:rsidR="00C95A45" w:rsidRPr="00D2473C" w:rsidRDefault="00C95A45" w:rsidP="00283983">
            <w:pPr>
              <w:spacing w:line="240" w:lineRule="auto"/>
              <w:rPr>
                <w:b/>
                <w:sz w:val="14"/>
                <w:szCs w:val="14"/>
              </w:rPr>
            </w:pPr>
            <w:r w:rsidRPr="00D2473C">
              <w:rPr>
                <w:b/>
                <w:sz w:val="14"/>
                <w:szCs w:val="14"/>
              </w:rPr>
              <w:t>13</w:t>
            </w:r>
          </w:p>
        </w:tc>
      </w:tr>
      <w:tr w:rsidR="00D2473C" w:rsidRPr="00D2473C" w14:paraId="4AB4F673" w14:textId="77777777" w:rsidTr="00CE3D81">
        <w:trPr>
          <w:trHeight w:val="411"/>
        </w:trPr>
        <w:tc>
          <w:tcPr>
            <w:tcW w:w="1418" w:type="dxa"/>
          </w:tcPr>
          <w:p w14:paraId="0B4FBB61" w14:textId="77777777" w:rsidR="00C95A45" w:rsidRPr="00D2473C" w:rsidRDefault="00C95A45" w:rsidP="00F26291">
            <w:pPr>
              <w:rPr>
                <w:b/>
                <w:sz w:val="14"/>
                <w:szCs w:val="14"/>
              </w:rPr>
            </w:pPr>
            <w:r w:rsidRPr="00D2473C">
              <w:rPr>
                <w:b/>
                <w:sz w:val="14"/>
                <w:szCs w:val="14"/>
              </w:rPr>
              <w:t xml:space="preserve">Incremental NPV cost over ten-year period (FY25-34) relative to </w:t>
            </w:r>
            <w:r w:rsidRPr="00D2473C">
              <w:rPr>
                <w:b/>
                <w:bCs/>
                <w:sz w:val="14"/>
                <w:szCs w:val="14"/>
              </w:rPr>
              <w:t>Status Quo</w:t>
            </w:r>
          </w:p>
        </w:tc>
        <w:tc>
          <w:tcPr>
            <w:tcW w:w="1230" w:type="dxa"/>
          </w:tcPr>
          <w:p w14:paraId="0CD4421F" w14:textId="77777777" w:rsidR="00C95A45" w:rsidRPr="00D2473C" w:rsidRDefault="00C95A45" w:rsidP="00F26291">
            <w:pPr>
              <w:rPr>
                <w:sz w:val="14"/>
                <w:szCs w:val="14"/>
              </w:rPr>
            </w:pPr>
          </w:p>
        </w:tc>
        <w:tc>
          <w:tcPr>
            <w:tcW w:w="4440" w:type="dxa"/>
          </w:tcPr>
          <w:p w14:paraId="45F9567C" w14:textId="0AA34FFE" w:rsidR="00C95A45" w:rsidRPr="00D2473C" w:rsidRDefault="00EF3211" w:rsidP="00F26291">
            <w:pPr>
              <w:keepNext/>
              <w:rPr>
                <w:b/>
                <w:sz w:val="14"/>
                <w:szCs w:val="14"/>
              </w:rPr>
            </w:pPr>
            <w:r w:rsidRPr="00EF3211">
              <w:rPr>
                <w:b/>
                <w:sz w:val="14"/>
                <w:szCs w:val="14"/>
              </w:rPr>
              <w:t>$1,317,945</w:t>
            </w:r>
          </w:p>
          <w:p w14:paraId="0977A7DF" w14:textId="77777777" w:rsidR="00C95A45" w:rsidRPr="00D2473C" w:rsidRDefault="00C95A45" w:rsidP="00F26291">
            <w:pPr>
              <w:rPr>
                <w:sz w:val="14"/>
                <w:szCs w:val="14"/>
              </w:rPr>
            </w:pPr>
            <w:r w:rsidRPr="00D2473C">
              <w:rPr>
                <w:sz w:val="14"/>
                <w:szCs w:val="14"/>
              </w:rPr>
              <w:t>(If precedent setting, costs increase per eligible profession which is not included in this estimate. Funding envelope for CPD uplift not included but is a flexible decision for policy-makers).</w:t>
            </w:r>
          </w:p>
        </w:tc>
        <w:tc>
          <w:tcPr>
            <w:tcW w:w="3332" w:type="dxa"/>
          </w:tcPr>
          <w:p w14:paraId="4E6FBACD" w14:textId="36407194" w:rsidR="00C95A45" w:rsidRPr="00D2473C" w:rsidRDefault="001456CF" w:rsidP="00F26291">
            <w:pPr>
              <w:rPr>
                <w:b/>
                <w:sz w:val="14"/>
                <w:szCs w:val="14"/>
              </w:rPr>
            </w:pPr>
            <w:r w:rsidRPr="001456CF">
              <w:rPr>
                <w:b/>
                <w:sz w:val="14"/>
                <w:szCs w:val="14"/>
              </w:rPr>
              <w:t xml:space="preserve">$23,694,654 </w:t>
            </w:r>
          </w:p>
        </w:tc>
        <w:tc>
          <w:tcPr>
            <w:tcW w:w="3047" w:type="dxa"/>
          </w:tcPr>
          <w:p w14:paraId="2F5E2B6E" w14:textId="61521E58" w:rsidR="00C95A45" w:rsidRPr="00D2473C" w:rsidRDefault="008230C7" w:rsidP="00F26291">
            <w:pPr>
              <w:rPr>
                <w:b/>
                <w:sz w:val="14"/>
                <w:szCs w:val="14"/>
              </w:rPr>
            </w:pPr>
            <w:r w:rsidRPr="008230C7">
              <w:rPr>
                <w:b/>
                <w:sz w:val="14"/>
                <w:szCs w:val="14"/>
              </w:rPr>
              <w:t xml:space="preserve">$21,545,567 </w:t>
            </w:r>
          </w:p>
        </w:tc>
      </w:tr>
      <w:tr w:rsidR="00D2473C" w:rsidRPr="00D2473C" w14:paraId="1CAF03AA" w14:textId="77777777" w:rsidTr="00CE3D81">
        <w:trPr>
          <w:trHeight w:val="411"/>
        </w:trPr>
        <w:tc>
          <w:tcPr>
            <w:tcW w:w="1418" w:type="dxa"/>
          </w:tcPr>
          <w:p w14:paraId="1B5F6B4D" w14:textId="77777777" w:rsidR="00C95A45" w:rsidRPr="00D2473C" w:rsidRDefault="00C95A45" w:rsidP="00F26291">
            <w:pPr>
              <w:rPr>
                <w:b/>
                <w:sz w:val="14"/>
                <w:szCs w:val="14"/>
              </w:rPr>
            </w:pPr>
            <w:r w:rsidRPr="00D2473C">
              <w:rPr>
                <w:b/>
                <w:sz w:val="14"/>
                <w:szCs w:val="14"/>
              </w:rPr>
              <w:t>Notes on cost estimates</w:t>
            </w:r>
          </w:p>
        </w:tc>
        <w:tc>
          <w:tcPr>
            <w:tcW w:w="1230" w:type="dxa"/>
          </w:tcPr>
          <w:p w14:paraId="36A4346D" w14:textId="77777777" w:rsidR="00C95A45" w:rsidRPr="00D2473C" w:rsidRDefault="00C95A45" w:rsidP="00F26291">
            <w:pPr>
              <w:rPr>
                <w:sz w:val="14"/>
                <w:szCs w:val="14"/>
              </w:rPr>
            </w:pPr>
          </w:p>
        </w:tc>
        <w:tc>
          <w:tcPr>
            <w:tcW w:w="4440" w:type="dxa"/>
          </w:tcPr>
          <w:p w14:paraId="547C1010" w14:textId="2662FF2C" w:rsidR="00C95A45" w:rsidRPr="00D2473C" w:rsidRDefault="00C95A45" w:rsidP="00F26291">
            <w:pPr>
              <w:keepNext/>
              <w:rPr>
                <w:sz w:val="14"/>
                <w:szCs w:val="14"/>
              </w:rPr>
            </w:pPr>
            <w:r w:rsidRPr="00D2473C">
              <w:rPr>
                <w:sz w:val="14"/>
                <w:szCs w:val="14"/>
              </w:rPr>
              <w:t>Cost estimates assume that public sector health services pay for current clinical certification fees for public sector audiologists. It does not include any fees associated with precedent setting of requiring current clinical certification of other self-regulated professions. These costs would be required to be borne by jurisdictional public sector employers. Preliminary national calculations on two potential eligible professions – speech pathology and dietetics</w:t>
            </w:r>
            <w:r w:rsidR="001254F5">
              <w:rPr>
                <w:sz w:val="14"/>
                <w:szCs w:val="14"/>
              </w:rPr>
              <w:t xml:space="preserve"> </w:t>
            </w:r>
            <w:r w:rsidR="00B87B08">
              <w:rPr>
                <w:sz w:val="14"/>
                <w:szCs w:val="14"/>
              </w:rPr>
              <w:t xml:space="preserve">are of a range between </w:t>
            </w:r>
            <w:r w:rsidR="003432EC">
              <w:rPr>
                <w:sz w:val="14"/>
                <w:szCs w:val="14"/>
              </w:rPr>
              <w:t>$18-$29 million</w:t>
            </w:r>
            <w:r w:rsidR="0085713D">
              <w:rPr>
                <w:sz w:val="14"/>
                <w:szCs w:val="14"/>
              </w:rPr>
              <w:t xml:space="preserve"> N</w:t>
            </w:r>
            <w:r w:rsidR="00D25AD5">
              <w:rPr>
                <w:sz w:val="14"/>
                <w:szCs w:val="14"/>
              </w:rPr>
              <w:t>PV over ten years</w:t>
            </w:r>
            <w:r w:rsidR="003432EC">
              <w:rPr>
                <w:sz w:val="14"/>
                <w:szCs w:val="14"/>
              </w:rPr>
              <w:t xml:space="preserve"> depending on</w:t>
            </w:r>
            <w:r w:rsidR="000E5EB8">
              <w:rPr>
                <w:sz w:val="14"/>
                <w:szCs w:val="14"/>
              </w:rPr>
              <w:t xml:space="preserve"> the timing of jurisdictional enterprise bargaining cycles between FY</w:t>
            </w:r>
            <w:r w:rsidR="00756C26">
              <w:rPr>
                <w:sz w:val="14"/>
                <w:szCs w:val="14"/>
              </w:rPr>
              <w:t>26-FY29.</w:t>
            </w:r>
          </w:p>
        </w:tc>
        <w:tc>
          <w:tcPr>
            <w:tcW w:w="3332" w:type="dxa"/>
          </w:tcPr>
          <w:p w14:paraId="3681272E" w14:textId="77777777" w:rsidR="00C95A45" w:rsidRPr="00D2473C" w:rsidRDefault="00C95A45" w:rsidP="00F26291">
            <w:pPr>
              <w:rPr>
                <w:sz w:val="14"/>
                <w:szCs w:val="14"/>
              </w:rPr>
            </w:pPr>
            <w:r w:rsidRPr="00D2473C">
              <w:rPr>
                <w:sz w:val="14"/>
                <w:szCs w:val="14"/>
              </w:rPr>
              <w:t>Cost estimate assume all jurisdictions would establish a separate Board, sharing fixed costs. If only some jurisdictions establish a Board, costs borne by each individual jurisdiction would be higher.</w:t>
            </w:r>
          </w:p>
        </w:tc>
        <w:tc>
          <w:tcPr>
            <w:tcW w:w="3047" w:type="dxa"/>
          </w:tcPr>
          <w:p w14:paraId="13C8E2BC" w14:textId="77777777" w:rsidR="00C95A45" w:rsidRPr="00D2473C" w:rsidRDefault="00C95A45" w:rsidP="00F26291">
            <w:pPr>
              <w:rPr>
                <w:sz w:val="14"/>
                <w:szCs w:val="14"/>
              </w:rPr>
            </w:pPr>
            <w:r w:rsidRPr="00D2473C">
              <w:rPr>
                <w:sz w:val="14"/>
                <w:szCs w:val="14"/>
              </w:rPr>
              <w:t>The cost estimates are based on a single National Board structure. An alternate Board structure (e.g., National Board with two professions) would be expected to reduce the abovementioned cost.</w:t>
            </w:r>
          </w:p>
        </w:tc>
      </w:tr>
      <w:tr w:rsidR="00D2473C" w:rsidRPr="00D2473C" w14:paraId="45A82EFE" w14:textId="77777777" w:rsidTr="00CE3D81">
        <w:trPr>
          <w:trHeight w:val="411"/>
        </w:trPr>
        <w:tc>
          <w:tcPr>
            <w:tcW w:w="1418" w:type="dxa"/>
          </w:tcPr>
          <w:p w14:paraId="012C6189" w14:textId="77777777" w:rsidR="00C95A45" w:rsidRPr="00D2473C" w:rsidRDefault="00C95A45" w:rsidP="00F26291">
            <w:pPr>
              <w:rPr>
                <w:b/>
                <w:sz w:val="14"/>
                <w:szCs w:val="14"/>
              </w:rPr>
            </w:pPr>
            <w:r w:rsidRPr="00D2473C">
              <w:rPr>
                <w:b/>
                <w:bCs/>
                <w:sz w:val="14"/>
                <w:szCs w:val="14"/>
              </w:rPr>
              <w:t>Competition risks</w:t>
            </w:r>
          </w:p>
        </w:tc>
        <w:tc>
          <w:tcPr>
            <w:tcW w:w="1230" w:type="dxa"/>
          </w:tcPr>
          <w:p w14:paraId="1EA670E8" w14:textId="77777777" w:rsidR="00C95A45" w:rsidRPr="00D2473C" w:rsidRDefault="00C95A45" w:rsidP="00F26291">
            <w:pPr>
              <w:rPr>
                <w:sz w:val="14"/>
                <w:szCs w:val="14"/>
              </w:rPr>
            </w:pPr>
          </w:p>
        </w:tc>
        <w:tc>
          <w:tcPr>
            <w:tcW w:w="4440" w:type="dxa"/>
          </w:tcPr>
          <w:p w14:paraId="7246273B" w14:textId="2C6B46BF" w:rsidR="00C95A45" w:rsidRPr="00D2473C" w:rsidRDefault="00C95A45" w:rsidP="00F26291">
            <w:pPr>
              <w:rPr>
                <w:sz w:val="14"/>
                <w:szCs w:val="14"/>
              </w:rPr>
            </w:pPr>
            <w:r w:rsidRPr="00D2473C">
              <w:rPr>
                <w:sz w:val="14"/>
                <w:szCs w:val="14"/>
              </w:rPr>
              <w:t xml:space="preserve">Given that mandatory current clinical certification under the </w:t>
            </w:r>
            <w:r w:rsidR="00FF2552">
              <w:rPr>
                <w:sz w:val="14"/>
                <w:szCs w:val="14"/>
              </w:rPr>
              <w:t>S</w:t>
            </w:r>
            <w:r w:rsidRPr="00D2473C">
              <w:rPr>
                <w:sz w:val="14"/>
                <w:szCs w:val="14"/>
              </w:rPr>
              <w:t>trengthened Status Quo option only impacts the public sector, it is not expected to lead to any material competition effects relative to the Status Quo.</w:t>
            </w:r>
          </w:p>
        </w:tc>
        <w:tc>
          <w:tcPr>
            <w:tcW w:w="3332" w:type="dxa"/>
          </w:tcPr>
          <w:p w14:paraId="085BFB8F" w14:textId="6AEDFFAF" w:rsidR="00C95A45" w:rsidRPr="00D2473C" w:rsidRDefault="00C95A45" w:rsidP="00F26291">
            <w:pPr>
              <w:rPr>
                <w:sz w:val="14"/>
                <w:szCs w:val="14"/>
              </w:rPr>
            </w:pPr>
            <w:r w:rsidRPr="00D2473C">
              <w:rPr>
                <w:sz w:val="14"/>
                <w:szCs w:val="14"/>
              </w:rPr>
              <w:t xml:space="preserve">Competition impacts and labour shortages may impact small jurisdictions with high registration fees, and providers in regional, </w:t>
            </w:r>
            <w:r w:rsidR="00067438" w:rsidRPr="00D2473C">
              <w:rPr>
                <w:sz w:val="14"/>
                <w:szCs w:val="14"/>
              </w:rPr>
              <w:t>rural</w:t>
            </w:r>
            <w:r w:rsidRPr="00D2473C">
              <w:rPr>
                <w:sz w:val="14"/>
                <w:szCs w:val="14"/>
              </w:rPr>
              <w:t xml:space="preserve"> and remote communities who rely on locum audiologists practicing across jurisdictional boundaries may experience additional frictions due to the second registration fee required.</w:t>
            </w:r>
          </w:p>
        </w:tc>
        <w:tc>
          <w:tcPr>
            <w:tcW w:w="3047" w:type="dxa"/>
          </w:tcPr>
          <w:p w14:paraId="4BCE5538" w14:textId="2A85E0B5" w:rsidR="00C95A45" w:rsidRPr="00D2473C" w:rsidRDefault="00A90F1F" w:rsidP="00F26291">
            <w:pPr>
              <w:rPr>
                <w:sz w:val="14"/>
                <w:szCs w:val="14"/>
              </w:rPr>
            </w:pPr>
            <w:r>
              <w:rPr>
                <w:sz w:val="14"/>
                <w:szCs w:val="14"/>
              </w:rPr>
              <w:t xml:space="preserve">National </w:t>
            </w:r>
            <w:r w:rsidR="002D3DEF">
              <w:rPr>
                <w:sz w:val="14"/>
                <w:szCs w:val="14"/>
              </w:rPr>
              <w:t>R</w:t>
            </w:r>
            <w:r>
              <w:rPr>
                <w:sz w:val="14"/>
                <w:szCs w:val="14"/>
              </w:rPr>
              <w:t>egistration</w:t>
            </w:r>
            <w:r w:rsidR="00C95A45" w:rsidRPr="00D2473C">
              <w:rPr>
                <w:sz w:val="14"/>
                <w:szCs w:val="14"/>
              </w:rPr>
              <w:t xml:space="preserve"> may have some effect on competition and labour market impacts. Stakeholders had significant disagreement as to the direction of these impacts (i.e. whether labour dynamics would prefer audiologists or audiometrists</w:t>
            </w:r>
            <w:r w:rsidR="00067438" w:rsidRPr="00D2473C">
              <w:rPr>
                <w:sz w:val="14"/>
                <w:szCs w:val="14"/>
              </w:rPr>
              <w:t>)</w:t>
            </w:r>
            <w:r w:rsidR="00EB6921">
              <w:rPr>
                <w:sz w:val="14"/>
                <w:szCs w:val="14"/>
              </w:rPr>
              <w:t>.</w:t>
            </w:r>
          </w:p>
        </w:tc>
      </w:tr>
    </w:tbl>
    <w:p w14:paraId="17ECC548" w14:textId="77777777" w:rsidR="00E61B29" w:rsidRDefault="00E61B29" w:rsidP="00702233">
      <w:pPr>
        <w:pStyle w:val="HeadingA"/>
        <w:rPr>
          <w:lang w:val="en-US"/>
        </w:rPr>
        <w:sectPr w:rsidR="00E61B29" w:rsidSect="008C1900">
          <w:pgSz w:w="16838" w:h="11906" w:orient="landscape" w:code="9"/>
          <w:pgMar w:top="1531" w:right="1531" w:bottom="1531" w:left="1531" w:header="709" w:footer="709" w:gutter="0"/>
          <w:cols w:space="708"/>
          <w:docGrid w:linePitch="360"/>
        </w:sectPr>
      </w:pPr>
    </w:p>
    <w:p w14:paraId="096D6ADF" w14:textId="77777777" w:rsidR="007E2B89" w:rsidRPr="00702233" w:rsidRDefault="007E2B89" w:rsidP="00702233">
      <w:pPr>
        <w:pStyle w:val="HeadingA"/>
      </w:pPr>
      <w:r w:rsidRPr="74BF0985">
        <w:rPr>
          <w:lang w:val="en-US"/>
        </w:rPr>
        <w:t>What is the best option from these considered and how will it be implemented?</w:t>
      </w:r>
    </w:p>
    <w:p w14:paraId="6C27DA69" w14:textId="4A1BAE84" w:rsidR="00BA02ED" w:rsidRDefault="007E2B89" w:rsidP="00DB340A">
      <w:pPr>
        <w:pStyle w:val="BodyText"/>
      </w:pPr>
      <w:r>
        <w:t xml:space="preserve">The </w:t>
      </w:r>
      <w:r w:rsidR="00DB340A">
        <w:t xml:space="preserve">summary of the </w:t>
      </w:r>
      <w:r>
        <w:t xml:space="preserve">MCA results </w:t>
      </w:r>
      <w:r w:rsidR="00DB340A">
        <w:t>identified</w:t>
      </w:r>
      <w:r>
        <w:t xml:space="preserve"> </w:t>
      </w:r>
      <w:r w:rsidR="009D65B6">
        <w:t>National Registration</w:t>
      </w:r>
      <w:r>
        <w:t xml:space="preserve"> as the preferred </w:t>
      </w:r>
      <w:r w:rsidR="00DB340A">
        <w:t>approach</w:t>
      </w:r>
      <w:r w:rsidR="00384C92">
        <w:t xml:space="preserve"> with the highest </w:t>
      </w:r>
      <w:r w:rsidR="00DB340A">
        <w:t>qualitative</w:t>
      </w:r>
      <w:r w:rsidR="00384C92">
        <w:t xml:space="preserve"> benefit</w:t>
      </w:r>
      <w:r w:rsidR="00DB340A">
        <w:t xml:space="preserve">. </w:t>
      </w:r>
    </w:p>
    <w:p w14:paraId="54B018D5" w14:textId="51E1BDDF" w:rsidR="00DB340A" w:rsidRDefault="00BA02ED" w:rsidP="00DB340A">
      <w:pPr>
        <w:pStyle w:val="BodyText"/>
      </w:pPr>
      <w:r>
        <w:t xml:space="preserve">The relative ranking of </w:t>
      </w:r>
      <w:r w:rsidR="00D5339F">
        <w:t>the</w:t>
      </w:r>
      <w:r>
        <w:t xml:space="preserve"> incremental cost</w:t>
      </w:r>
      <w:r w:rsidR="00D5339F">
        <w:t>s</w:t>
      </w:r>
      <w:r>
        <w:t xml:space="preserve"> of </w:t>
      </w:r>
      <w:r w:rsidR="009D65B6">
        <w:t>National Registration</w:t>
      </w:r>
      <w:r>
        <w:t xml:space="preserve"> compared to Strengthened Status Quo and </w:t>
      </w:r>
      <w:r w:rsidR="009D65B6">
        <w:t>Jurisdictional Registration</w:t>
      </w:r>
      <w:r>
        <w:t xml:space="preserve"> depends on the individual decision-making of jurisdictions. </w:t>
      </w:r>
      <w:r w:rsidR="00DB340A">
        <w:t xml:space="preserve">Cost considerations are outlined below. </w:t>
      </w:r>
    </w:p>
    <w:p w14:paraId="02B59340" w14:textId="72927079" w:rsidR="00BA02ED" w:rsidRPr="00BA02ED" w:rsidRDefault="00BA02ED" w:rsidP="00BA02ED">
      <w:pPr>
        <w:pStyle w:val="ListBullet"/>
      </w:pPr>
      <w:r w:rsidRPr="00BA02ED">
        <w:t xml:space="preserve">The number of jurisdictions that elect to enact </w:t>
      </w:r>
      <w:r w:rsidR="009D65B6">
        <w:t>Jurisdictional Registration</w:t>
      </w:r>
      <w:r w:rsidRPr="00BA02ED">
        <w:t xml:space="preserve"> determines whether the total cost exceeds </w:t>
      </w:r>
      <w:r w:rsidR="009D65B6">
        <w:t>National Registration</w:t>
      </w:r>
      <w:r w:rsidRPr="00BA02ED">
        <w:t xml:space="preserve">. Nation-wide regulatory coverage is less expensive under the National Scheme than Australian-wide implementation of </w:t>
      </w:r>
      <w:r w:rsidR="009D65B6">
        <w:t>Jurisdictional Registration</w:t>
      </w:r>
      <w:r w:rsidRPr="00BA02ED">
        <w:t xml:space="preserve">. If only certain jurisdictions enact </w:t>
      </w:r>
      <w:r w:rsidR="009D65B6">
        <w:t>Jurisdictional Registration</w:t>
      </w:r>
      <w:r w:rsidRPr="00BA02ED">
        <w:t>, regulatory inconsistency may create issues including workforce supply challenges.</w:t>
      </w:r>
    </w:p>
    <w:p w14:paraId="0ADEB8FF" w14:textId="6F1B5DD4" w:rsidR="00BA02ED" w:rsidRPr="00BA02ED" w:rsidRDefault="00BA02ED" w:rsidP="00BA02ED">
      <w:pPr>
        <w:pStyle w:val="ListBullet"/>
      </w:pPr>
      <w:r w:rsidRPr="00BA02ED">
        <w:t xml:space="preserve">The number of jurisdictions enacting Strengthened Status Quo and the extent of any precedent-setting determines whether the total cost exceeds </w:t>
      </w:r>
      <w:r w:rsidR="009D65B6">
        <w:t>National Registration</w:t>
      </w:r>
      <w:r w:rsidRPr="00BA02ED">
        <w:t xml:space="preserve">. For any jurisdiction that enacts this option, </w:t>
      </w:r>
      <w:r w:rsidR="00D36B84">
        <w:t>any</w:t>
      </w:r>
      <w:r w:rsidR="007E2B89">
        <w:t xml:space="preserve"> other </w:t>
      </w:r>
      <w:r w:rsidRPr="00BA02ED">
        <w:t xml:space="preserve">professions deemed eligible </w:t>
      </w:r>
      <w:r w:rsidR="007F1FD1">
        <w:t>for comparable changes</w:t>
      </w:r>
      <w:r w:rsidR="00D36B84">
        <w:t xml:space="preserve"> will</w:t>
      </w:r>
      <w:r w:rsidRPr="00BA02ED">
        <w:t xml:space="preserve"> increase the cost of this option. </w:t>
      </w:r>
      <w:r w:rsidR="00E64AE3" w:rsidRPr="00E64AE3">
        <w:t xml:space="preserve">Preliminary national calculations on two potential eligible professions – speech pathology and dietetics are of a range between $18-$29 million </w:t>
      </w:r>
      <w:r w:rsidR="00A90794">
        <w:t>NPV over ten years</w:t>
      </w:r>
      <w:r w:rsidR="00E64AE3" w:rsidRPr="00E64AE3">
        <w:t xml:space="preserve"> depending on the timing of jurisdictional enterprise bargaining cycles between FY26-FY29.</w:t>
      </w:r>
    </w:p>
    <w:p w14:paraId="55BB48C2" w14:textId="6E635E10" w:rsidR="00C040C1" w:rsidRDefault="00C040C1" w:rsidP="003653E4">
      <w:pPr>
        <w:pStyle w:val="ListBullet"/>
        <w:numPr>
          <w:ilvl w:val="0"/>
          <w:numId w:val="0"/>
        </w:numPr>
      </w:pPr>
      <w:r>
        <w:t xml:space="preserve">The distribution of regulatory burden under </w:t>
      </w:r>
      <w:r w:rsidR="009D65B6">
        <w:t>National Registration</w:t>
      </w:r>
      <w:r>
        <w:t xml:space="preserve"> primarily falls on audiologists in terms financial burden (compliance fees) and regulatory burden associated with mandatory notifications. However, it also falls on employers in relation to compliance costs, time costs associated with CPD and mandatory notifications. </w:t>
      </w:r>
    </w:p>
    <w:p w14:paraId="19F9F081" w14:textId="552F3D7C" w:rsidR="007E2B89" w:rsidRDefault="007E2B89" w:rsidP="00702233">
      <w:pPr>
        <w:pStyle w:val="BodyText"/>
      </w:pPr>
      <w:r>
        <w:t xml:space="preserve">The following potential unintended consequences on small business and competition are noted and should be monitored in an evaluation in the first few years after </w:t>
      </w:r>
      <w:r w:rsidR="00A2137D">
        <w:t>National Registration</w:t>
      </w:r>
      <w:r>
        <w:t xml:space="preserve"> becomes operational: </w:t>
      </w:r>
    </w:p>
    <w:p w14:paraId="16E3C99F" w14:textId="7ECCC178" w:rsidR="00B1428C" w:rsidRDefault="00395012" w:rsidP="001854B9">
      <w:pPr>
        <w:pStyle w:val="ListBullet"/>
      </w:pPr>
      <w:r>
        <w:t>Increased ongoing regulatory costs lead to workforce substitution of audiologists for audiometrists in private sector adult rehabilitation</w:t>
      </w:r>
      <w:r w:rsidR="0049377D">
        <w:t>.</w:t>
      </w:r>
    </w:p>
    <w:p w14:paraId="3F725EC8" w14:textId="25765B70" w:rsidR="00395012" w:rsidRDefault="00395012" w:rsidP="001854B9">
      <w:pPr>
        <w:pStyle w:val="ListBullet"/>
      </w:pPr>
      <w:r>
        <w:t>Ongoing professional tension between audiologists and audiometrists working in private sector adult rehabilitation leads to reduced consumer confidence in audiometrist services</w:t>
      </w:r>
      <w:r w:rsidR="00237548">
        <w:t>.</w:t>
      </w:r>
    </w:p>
    <w:p w14:paraId="0B1857FE" w14:textId="6D0A58FE" w:rsidR="00E7004F" w:rsidRDefault="00AC3B3A" w:rsidP="006F2D27">
      <w:pPr>
        <w:pStyle w:val="BodyText"/>
      </w:pPr>
      <w:r>
        <w:t xml:space="preserve">In addition, </w:t>
      </w:r>
      <w:r w:rsidR="006F2D27">
        <w:t xml:space="preserve">an </w:t>
      </w:r>
      <w:r w:rsidR="00E7004F">
        <w:t xml:space="preserve">implementation risk associated with </w:t>
      </w:r>
      <w:r w:rsidR="00A2137D">
        <w:t>National Registration</w:t>
      </w:r>
      <w:r w:rsidR="00E7004F">
        <w:t xml:space="preserve"> </w:t>
      </w:r>
      <w:r w:rsidR="00FB77CD">
        <w:t>is l</w:t>
      </w:r>
      <w:r w:rsidR="00AD667E" w:rsidRPr="00AD667E">
        <w:t xml:space="preserve">oss of </w:t>
      </w:r>
      <w:r w:rsidR="00242B0B">
        <w:t>PPB</w:t>
      </w:r>
      <w:r w:rsidR="00AD667E" w:rsidRPr="00AD667E">
        <w:t xml:space="preserve"> revenue lead</w:t>
      </w:r>
      <w:r w:rsidR="00147FCF">
        <w:t xml:space="preserve">ing </w:t>
      </w:r>
      <w:r w:rsidR="00AD667E" w:rsidRPr="00AD667E">
        <w:t>to reduction in profession-level goods</w:t>
      </w:r>
      <w:r w:rsidR="00FB77CD">
        <w:t xml:space="preserve"> (</w:t>
      </w:r>
      <w:r w:rsidR="00871AA7">
        <w:t>e.g., training</w:t>
      </w:r>
      <w:r w:rsidR="00E35A7D">
        <w:t>).</w:t>
      </w:r>
    </w:p>
    <w:p w14:paraId="64982331" w14:textId="5452604A" w:rsidR="00276302" w:rsidRDefault="00276302" w:rsidP="00276302">
      <w:pPr>
        <w:pStyle w:val="HeadingA"/>
      </w:pPr>
      <w:r>
        <w:t>Timing considerations of a final decision</w:t>
      </w:r>
    </w:p>
    <w:p w14:paraId="796C1288" w14:textId="16736937" w:rsidR="007E2B89" w:rsidRDefault="000A498F" w:rsidP="00A03BA3">
      <w:pPr>
        <w:pStyle w:val="BodyText"/>
      </w:pPr>
      <w:r>
        <w:t>The</w:t>
      </w:r>
      <w:r w:rsidR="007E2B89">
        <w:t xml:space="preserve"> following </w:t>
      </w:r>
      <w:r w:rsidR="00554216">
        <w:t>timing considerations</w:t>
      </w:r>
      <w:r w:rsidR="007E2B89">
        <w:t xml:space="preserve"> should be noted</w:t>
      </w:r>
      <w:r w:rsidR="00554216">
        <w:t xml:space="preserve"> regarding </w:t>
      </w:r>
      <w:r w:rsidR="00276302">
        <w:t>making a final decision.</w:t>
      </w:r>
    </w:p>
    <w:p w14:paraId="2AB22427" w14:textId="0EF2C957" w:rsidR="00F26B8B" w:rsidRDefault="00276302" w:rsidP="00F26B8B">
      <w:pPr>
        <w:pStyle w:val="ListBullet"/>
      </w:pPr>
      <w:r>
        <w:t xml:space="preserve">This Decision RIS has analysed a set of options that are considered viable within the current policy settings. </w:t>
      </w:r>
      <w:r w:rsidR="002305A1">
        <w:t>In</w:t>
      </w:r>
      <w:r>
        <w:t xml:space="preserve"> the short-term</w:t>
      </w:r>
      <w:r w:rsidR="002305A1">
        <w:t>,</w:t>
      </w:r>
      <w:r>
        <w:t xml:space="preserve"> the findings of the </w:t>
      </w:r>
      <w:r w:rsidR="008D176D">
        <w:t xml:space="preserve">independent </w:t>
      </w:r>
      <w:r>
        <w:t xml:space="preserve">Complexity Review </w:t>
      </w:r>
      <w:r w:rsidR="0003401F">
        <w:t xml:space="preserve">of the National Registration and Accreditation Scheme </w:t>
      </w:r>
      <w:r w:rsidR="000222B7">
        <w:t>(the Complexity Review)</w:t>
      </w:r>
      <w:r>
        <w:t xml:space="preserve"> may materially change this analysis by introducing a ‘middle-tier’ option for health profession regulation that has a different distribution of costs and benefits for key stakeholders. </w:t>
      </w:r>
      <w:r w:rsidR="007437DB">
        <w:t>Regarding this middle-tier option, i</w:t>
      </w:r>
      <w:r>
        <w:t>n consultation</w:t>
      </w:r>
      <w:r w:rsidR="00C272C0">
        <w:t>:</w:t>
      </w:r>
    </w:p>
    <w:p w14:paraId="2D6B6008" w14:textId="60AD845F" w:rsidR="00F26B8B" w:rsidRDefault="00276302" w:rsidP="00F26B8B">
      <w:pPr>
        <w:pStyle w:val="BulletList2Column"/>
      </w:pPr>
      <w:r>
        <w:t xml:space="preserve">stakeholders that supported </w:t>
      </w:r>
      <w:r w:rsidR="009D65B6">
        <w:t>National Registration</w:t>
      </w:r>
      <w:r>
        <w:t xml:space="preserve"> for audiologists tended to raise concerns with the middle tier of the Complexity Review’s potential three-tier structure</w:t>
      </w:r>
    </w:p>
    <w:p w14:paraId="2CDE9351" w14:textId="7AE84DB4" w:rsidR="00276302" w:rsidRDefault="00276302" w:rsidP="00F26B8B">
      <w:pPr>
        <w:pStyle w:val="BulletList2Column"/>
      </w:pPr>
      <w:r>
        <w:t xml:space="preserve">stakeholders that did not support </w:t>
      </w:r>
      <w:r w:rsidR="009D65B6">
        <w:t>National Registration</w:t>
      </w:r>
      <w:r w:rsidR="00F26B8B">
        <w:t xml:space="preserve"> raised</w:t>
      </w:r>
      <w:r>
        <w:t xml:space="preserve"> benefits of the middle tier approach for audiology</w:t>
      </w:r>
      <w:r w:rsidR="00544878">
        <w:t>.</w:t>
      </w:r>
    </w:p>
    <w:p w14:paraId="71C64E02" w14:textId="77777777" w:rsidR="00276302" w:rsidRDefault="00276302" w:rsidP="00276302">
      <w:pPr>
        <w:pStyle w:val="BodyText"/>
      </w:pPr>
      <w:r>
        <w:t>Broadly however, stakeholders agreed that additional information was required to provide an informed view regarding their overall preference.</w:t>
      </w:r>
    </w:p>
    <w:p w14:paraId="5FAB9CC8" w14:textId="6B4AF9B0" w:rsidR="00276302" w:rsidRDefault="00276302" w:rsidP="00276302">
      <w:pPr>
        <w:pStyle w:val="BodyText"/>
      </w:pPr>
      <w:r>
        <w:t xml:space="preserve">As </w:t>
      </w:r>
      <w:r w:rsidR="00544878">
        <w:t>per recent correspondence</w:t>
      </w:r>
      <w:r>
        <w:t xml:space="preserve">, the </w:t>
      </w:r>
      <w:r w:rsidR="004F320E">
        <w:t xml:space="preserve">Complexity Review </w:t>
      </w:r>
      <w:r w:rsidR="00544878">
        <w:t>is due to</w:t>
      </w:r>
      <w:r>
        <w:t xml:space="preserve"> be completed by </w:t>
      </w:r>
      <w:r w:rsidR="00544878">
        <w:t>July</w:t>
      </w:r>
      <w:r>
        <w:t xml:space="preserve"> 2025</w:t>
      </w:r>
      <w:r w:rsidR="00544878">
        <w:t xml:space="preserve"> (</w:t>
      </w:r>
      <w:r w:rsidR="00D32A18">
        <w:t>two</w:t>
      </w:r>
      <w:r w:rsidR="00625ED6">
        <w:t xml:space="preserve"> </w:t>
      </w:r>
      <w:r w:rsidR="00FE7FDC">
        <w:t>months from writing)</w:t>
      </w:r>
      <w:r>
        <w:t>. If the Complexity Review recommendations are accepted in a manner which creates a viable additional option for regulation of the audiology profession, strong consideration should be given to whether the Decision RIS is amended to include this option. Benefits of this approach would include:</w:t>
      </w:r>
    </w:p>
    <w:p w14:paraId="55AAA0D0" w14:textId="77777777" w:rsidR="00276302" w:rsidRDefault="00276302" w:rsidP="00276302">
      <w:pPr>
        <w:pStyle w:val="ListBullet"/>
      </w:pPr>
      <w:r>
        <w:t>providing stakeholders within the profession with a more complete set of viable options, which may change the benefits and costs among groups</w:t>
      </w:r>
    </w:p>
    <w:p w14:paraId="0DE82495" w14:textId="77777777" w:rsidR="00276302" w:rsidRDefault="00276302" w:rsidP="00276302">
      <w:pPr>
        <w:pStyle w:val="ListBullet"/>
      </w:pPr>
      <w:r>
        <w:t>ensuring audiology’s regulatory approach is considered consistently with other professions moving forward.</w:t>
      </w:r>
    </w:p>
    <w:p w14:paraId="6CF1A17E" w14:textId="5D077584" w:rsidR="00276302" w:rsidRDefault="00276302" w:rsidP="00276302">
      <w:pPr>
        <w:pStyle w:val="ListBullet"/>
        <w:numPr>
          <w:ilvl w:val="0"/>
          <w:numId w:val="0"/>
        </w:numPr>
      </w:pPr>
      <w:r>
        <w:t xml:space="preserve">While recognising the timing considerations of the final decision, </w:t>
      </w:r>
      <w:r w:rsidR="009D65B6">
        <w:t>National Registration</w:t>
      </w:r>
      <w:r>
        <w:t xml:space="preserve"> of the audiology profession is the preferred option of the viable option set at this time. </w:t>
      </w:r>
    </w:p>
    <w:p w14:paraId="14C0992F" w14:textId="5CECE61A" w:rsidR="00341315" w:rsidRDefault="00341315" w:rsidP="00276302">
      <w:pPr>
        <w:pStyle w:val="ListBullet"/>
        <w:numPr>
          <w:ilvl w:val="0"/>
          <w:numId w:val="0"/>
        </w:numPr>
        <w:sectPr w:rsidR="00341315" w:rsidSect="007F4E7D">
          <w:pgSz w:w="11906" w:h="16838" w:code="9"/>
          <w:pgMar w:top="1531" w:right="1531" w:bottom="1531" w:left="1531" w:header="709" w:footer="709" w:gutter="0"/>
          <w:cols w:space="708"/>
          <w:docGrid w:linePitch="360"/>
        </w:sectPr>
      </w:pPr>
    </w:p>
    <w:p w14:paraId="76DB472F" w14:textId="2224A905" w:rsidR="005F3118" w:rsidRDefault="005F3118" w:rsidP="00181227">
      <w:pPr>
        <w:pStyle w:val="Heading1"/>
      </w:pPr>
      <w:bookmarkStart w:id="2" w:name="_Toc198138555"/>
      <w:r w:rsidRPr="00267DA8">
        <w:t>Introduction</w:t>
      </w:r>
      <w:bookmarkEnd w:id="2"/>
      <w:r>
        <w:t xml:space="preserve"> </w:t>
      </w:r>
    </w:p>
    <w:p w14:paraId="1CBC1189" w14:textId="77777777" w:rsidR="008554CF" w:rsidRPr="00187F4E" w:rsidRDefault="008554CF" w:rsidP="000B755D">
      <w:pPr>
        <w:pStyle w:val="Heading2"/>
        <w:rPr>
          <w:b/>
        </w:rPr>
      </w:pPr>
      <w:bookmarkStart w:id="3" w:name="_Toc171324710"/>
      <w:bookmarkStart w:id="4" w:name="_Toc198138556"/>
      <w:r w:rsidRPr="000B755D">
        <w:t>Overview</w:t>
      </w:r>
      <w:bookmarkEnd w:id="3"/>
      <w:bookmarkEnd w:id="4"/>
    </w:p>
    <w:p w14:paraId="6633B195" w14:textId="5B709D2A" w:rsidR="009530C0" w:rsidRDefault="009530C0" w:rsidP="009530C0">
      <w:pPr>
        <w:pStyle w:val="BodyText"/>
      </w:pPr>
      <w:bookmarkStart w:id="5" w:name="_Toc171324713"/>
      <w:r>
        <w:t xml:space="preserve">At the 13 December 2023 Health Ministers’ Meeting (HMM), </w:t>
      </w:r>
      <w:r w:rsidR="00D55509">
        <w:t>State and Territory</w:t>
      </w:r>
      <w:r>
        <w:t xml:space="preserve"> Health Ministers commissioned a Decision Regulatory Impact Statement (Decision RIS) to assess the viability of regulating the audiology profession under the National Registration and Accreditation Scheme</w:t>
      </w:r>
      <w:r w:rsidR="00593559">
        <w:t xml:space="preserve"> (the National Scheme, or NRAS)</w:t>
      </w:r>
      <w:r>
        <w:t xml:space="preserve">. Due to work previously undertaken, a Consultation RIS was not commissioned. </w:t>
      </w:r>
      <w:r w:rsidR="00DE3231">
        <w:t xml:space="preserve">A </w:t>
      </w:r>
      <w:r>
        <w:t xml:space="preserve">Decision RIS </w:t>
      </w:r>
      <w:r w:rsidR="00DE3231">
        <w:t>was</w:t>
      </w:r>
      <w:r>
        <w:t xml:space="preserve"> prepared in accordance with the </w:t>
      </w:r>
      <w:r>
        <w:rPr>
          <w:i/>
          <w:iCs/>
        </w:rPr>
        <w:t>Regulatory Impact Analysis Guide for Ministers’ Meetings and National Standard Setting Bodies June 2023</w:t>
      </w:r>
      <w:r w:rsidRPr="008B4B5C">
        <w:t xml:space="preserve"> (the Guide), </w:t>
      </w:r>
      <w:r>
        <w:t xml:space="preserve">administered by the Office of Impact Analysis (OIA). As per the Guide, it </w:t>
      </w:r>
      <w:r w:rsidR="00040D53">
        <w:t xml:space="preserve">considered </w:t>
      </w:r>
      <w:r>
        <w:t>a range of options for future regulation of the audiology profession, including:</w:t>
      </w:r>
    </w:p>
    <w:p w14:paraId="68309843" w14:textId="77777777" w:rsidR="009530C0" w:rsidRDefault="009530C0" w:rsidP="009530C0">
      <w:pPr>
        <w:pStyle w:val="BodyText"/>
        <w:numPr>
          <w:ilvl w:val="0"/>
          <w:numId w:val="55"/>
        </w:numPr>
      </w:pPr>
      <w:r>
        <w:t>Status Quo (current state)</w:t>
      </w:r>
    </w:p>
    <w:p w14:paraId="2B4E3B33" w14:textId="3659B4C6" w:rsidR="009530C0" w:rsidRDefault="009530C0" w:rsidP="009530C0">
      <w:pPr>
        <w:pStyle w:val="BodyText"/>
        <w:numPr>
          <w:ilvl w:val="0"/>
          <w:numId w:val="55"/>
        </w:numPr>
      </w:pPr>
      <w:r>
        <w:t xml:space="preserve">Strengthened Status Quo (Jurisdictional </w:t>
      </w:r>
      <w:r w:rsidR="00476C9F">
        <w:t xml:space="preserve">mandatory </w:t>
      </w:r>
      <w:r>
        <w:t xml:space="preserve">current clinical certification </w:t>
      </w:r>
      <w:r w:rsidR="00476C9F">
        <w:t xml:space="preserve">of </w:t>
      </w:r>
      <w:r>
        <w:t>public sector audiologists a</w:t>
      </w:r>
      <w:r w:rsidR="0008137E">
        <w:t>n</w:t>
      </w:r>
      <w:r>
        <w:t>d uplift in continuing professional development)</w:t>
      </w:r>
    </w:p>
    <w:p w14:paraId="7341ECD7" w14:textId="40D17654" w:rsidR="009530C0" w:rsidRDefault="009530C0" w:rsidP="009530C0">
      <w:pPr>
        <w:pStyle w:val="BodyText"/>
        <w:numPr>
          <w:ilvl w:val="0"/>
          <w:numId w:val="55"/>
        </w:numPr>
      </w:pPr>
      <w:r>
        <w:t xml:space="preserve">Jurisdictional </w:t>
      </w:r>
      <w:r w:rsidR="00302396">
        <w:t>R</w:t>
      </w:r>
      <w:r w:rsidR="00070C4A">
        <w:t>egistration</w:t>
      </w:r>
    </w:p>
    <w:p w14:paraId="4327E1BA" w14:textId="4EFE6E89" w:rsidR="009530C0" w:rsidRDefault="009530C0" w:rsidP="009530C0">
      <w:pPr>
        <w:pStyle w:val="BodyText"/>
        <w:numPr>
          <w:ilvl w:val="0"/>
          <w:numId w:val="55"/>
        </w:numPr>
      </w:pPr>
      <w:r>
        <w:t xml:space="preserve">National </w:t>
      </w:r>
      <w:r w:rsidR="00302396">
        <w:t>R</w:t>
      </w:r>
      <w:r>
        <w:t xml:space="preserve">egistration under the </w:t>
      </w:r>
      <w:r w:rsidR="00070C4A">
        <w:t>National Scheme</w:t>
      </w:r>
      <w:r>
        <w:t>.</w:t>
      </w:r>
    </w:p>
    <w:p w14:paraId="7E897691" w14:textId="2524B78D" w:rsidR="00946FBF" w:rsidRDefault="007E7616" w:rsidP="007176F0">
      <w:pPr>
        <w:pStyle w:val="BodyText"/>
      </w:pPr>
      <w:r>
        <w:t>The</w:t>
      </w:r>
      <w:r w:rsidR="00946FBF">
        <w:t xml:space="preserve"> </w:t>
      </w:r>
      <w:r w:rsidR="004777AE">
        <w:t xml:space="preserve">Decision RIS was assessed by OIA as </w:t>
      </w:r>
      <w:r w:rsidR="00B861E5">
        <w:t>‘</w:t>
      </w:r>
      <w:r w:rsidR="004777AE">
        <w:t>compliant</w:t>
      </w:r>
      <w:r w:rsidR="00B861E5">
        <w:t>’</w:t>
      </w:r>
      <w:r w:rsidR="004777AE">
        <w:t xml:space="preserve">, and was submitted </w:t>
      </w:r>
      <w:r w:rsidR="003A6D83">
        <w:t xml:space="preserve">for HMM consideration. At the 16 August 2024 HMM, the Ministerial Council </w:t>
      </w:r>
      <w:r w:rsidR="00FE463D">
        <w:t xml:space="preserve">considered </w:t>
      </w:r>
      <w:r>
        <w:t>the</w:t>
      </w:r>
      <w:r w:rsidR="00FE463D">
        <w:t xml:space="preserve"> Decision RIS</w:t>
      </w:r>
      <w:r w:rsidR="004777AE">
        <w:t xml:space="preserve"> </w:t>
      </w:r>
      <w:r w:rsidR="00FE463D">
        <w:t xml:space="preserve">and agreed in-principle to </w:t>
      </w:r>
      <w:r w:rsidR="009D65B6">
        <w:t>National Registration</w:t>
      </w:r>
      <w:r w:rsidR="00216792">
        <w:t xml:space="preserve"> of audiology</w:t>
      </w:r>
      <w:r w:rsidR="002D2508">
        <w:t xml:space="preserve"> under the </w:t>
      </w:r>
      <w:r w:rsidR="00AF3FF7">
        <w:t>National Scheme</w:t>
      </w:r>
      <w:r w:rsidR="002D2508">
        <w:t>, however requested further work to inform a final decision.</w:t>
      </w:r>
      <w:r w:rsidR="007B193F">
        <w:t xml:space="preserve"> F</w:t>
      </w:r>
      <w:r w:rsidR="002D2508">
        <w:t xml:space="preserve">urther work included </w:t>
      </w:r>
      <w:r w:rsidR="005048A4">
        <w:t>targeted consultation with stakeholders to consider issues including</w:t>
      </w:r>
      <w:r w:rsidR="007A5E54">
        <w:t xml:space="preserve"> </w:t>
      </w:r>
      <w:r w:rsidR="005048A4">
        <w:t>costs, implementation, risks and impacts on First Nations communities.</w:t>
      </w:r>
      <w:r w:rsidR="00913028">
        <w:t xml:space="preserve"> Targeted consultation occurred between December 2024 and February 202</w:t>
      </w:r>
      <w:r w:rsidR="003741D5">
        <w:t>5,</w:t>
      </w:r>
      <w:r w:rsidR="005F3CBE">
        <w:t xml:space="preserve"> with </w:t>
      </w:r>
      <w:r w:rsidR="001B0F64">
        <w:t>a</w:t>
      </w:r>
      <w:r w:rsidR="00684A41">
        <w:t xml:space="preserve">n updated </w:t>
      </w:r>
      <w:r w:rsidR="005F3CBE">
        <w:t xml:space="preserve">Decision RIS produced </w:t>
      </w:r>
      <w:r w:rsidR="002D7BF2">
        <w:t>(this document)</w:t>
      </w:r>
      <w:r w:rsidR="003B40CE">
        <w:t>.</w:t>
      </w:r>
      <w:r w:rsidR="00D46B04">
        <w:t xml:space="preserve"> </w:t>
      </w:r>
      <w:r w:rsidR="00270F00">
        <w:t xml:space="preserve">Where material changes </w:t>
      </w:r>
      <w:r w:rsidR="000373A1">
        <w:t xml:space="preserve">to the current state </w:t>
      </w:r>
      <w:r w:rsidR="00F05324">
        <w:t xml:space="preserve">have </w:t>
      </w:r>
      <w:r w:rsidR="000373A1">
        <w:t>occurred since the time of writing</w:t>
      </w:r>
      <w:r w:rsidR="00F05324">
        <w:t xml:space="preserve"> the original Decision RIS</w:t>
      </w:r>
      <w:r w:rsidR="000373A1">
        <w:t xml:space="preserve">, this </w:t>
      </w:r>
      <w:r w:rsidR="00F05324">
        <w:t>has</w:t>
      </w:r>
      <w:r w:rsidR="000373A1">
        <w:t xml:space="preserve"> also </w:t>
      </w:r>
      <w:r w:rsidR="00F05324">
        <w:t xml:space="preserve">been </w:t>
      </w:r>
      <w:r w:rsidR="00923D76">
        <w:t>updated</w:t>
      </w:r>
      <w:r w:rsidR="000373A1">
        <w:t>.</w:t>
      </w:r>
    </w:p>
    <w:p w14:paraId="7A505F38" w14:textId="77777777" w:rsidR="0023419A" w:rsidRDefault="0023419A" w:rsidP="0023419A">
      <w:pPr>
        <w:pStyle w:val="Heading2"/>
        <w:spacing w:after="0" w:line="280" w:lineRule="atLeast"/>
        <w:ind w:left="936" w:hanging="794"/>
        <w:textboxTightWrap w:val="none"/>
      </w:pPr>
      <w:bookmarkStart w:id="6" w:name="_Toc198138557"/>
      <w:r>
        <w:t>Scope of this Decision RIS</w:t>
      </w:r>
      <w:bookmarkEnd w:id="5"/>
      <w:bookmarkEnd w:id="6"/>
    </w:p>
    <w:p w14:paraId="7861D1E4" w14:textId="77777777" w:rsidR="0023419A" w:rsidRDefault="0023419A" w:rsidP="00877CA6">
      <w:pPr>
        <w:pStyle w:val="BodyText"/>
      </w:pPr>
      <w:r>
        <w:t>Scope considerations for this Decision RIS are outlined below.</w:t>
      </w:r>
    </w:p>
    <w:p w14:paraId="5BBDFD0E" w14:textId="77777777" w:rsidR="0023419A" w:rsidRDefault="0023419A" w:rsidP="0023419A">
      <w:pPr>
        <w:pStyle w:val="Heading3"/>
        <w:spacing w:before="0" w:after="0" w:line="240" w:lineRule="atLeast"/>
        <w:ind w:left="1021" w:hanging="1021"/>
        <w:textboxTightWrap w:val="none"/>
      </w:pPr>
      <w:bookmarkStart w:id="7" w:name="_Ref169549650"/>
      <w:bookmarkStart w:id="8" w:name="_Toc171324714"/>
      <w:bookmarkStart w:id="9" w:name="_Toc198138558"/>
      <w:r>
        <w:t>Definition of audiology profession</w:t>
      </w:r>
      <w:bookmarkEnd w:id="7"/>
      <w:bookmarkEnd w:id="8"/>
      <w:bookmarkEnd w:id="9"/>
    </w:p>
    <w:p w14:paraId="22A1EB36" w14:textId="47FC79D3" w:rsidR="0023419A" w:rsidRDefault="0023419A" w:rsidP="00877CA6">
      <w:pPr>
        <w:pStyle w:val="BodyText"/>
      </w:pPr>
      <w:r>
        <w:t xml:space="preserve">This Decision RIS of the audiology profession requested by </w:t>
      </w:r>
      <w:r w:rsidR="0086580C">
        <w:t>HMM (the</w:t>
      </w:r>
      <w:r>
        <w:t xml:space="preserve"> decision-maker</w:t>
      </w:r>
      <w:r w:rsidR="0086580C">
        <w:t>)</w:t>
      </w:r>
      <w:r>
        <w:t xml:space="preserve"> defines the audiology profession as referring to the audiologist workforce, rather than the audiologist and audiometrist workforce. Hence, the following document focusses on options for regulation of audiologists only, </w:t>
      </w:r>
      <w:r w:rsidR="00B933B9">
        <w:t xml:space="preserve">in order to align with the scope </w:t>
      </w:r>
      <w:r w:rsidR="00B65921">
        <w:t>requested</w:t>
      </w:r>
      <w:r w:rsidR="00FB2F73">
        <w:t xml:space="preserve"> by HMM</w:t>
      </w:r>
      <w:r>
        <w:t xml:space="preserve">. </w:t>
      </w:r>
      <w:r w:rsidR="00E10B18">
        <w:t>Stakeholder feedback in rela</w:t>
      </w:r>
      <w:r w:rsidR="008E3F49">
        <w:t xml:space="preserve">tion to </w:t>
      </w:r>
      <w:r w:rsidR="002A672B">
        <w:t xml:space="preserve">the scope of the Decision RIS is provided in Section </w:t>
      </w:r>
      <w:r w:rsidR="00160BB8">
        <w:fldChar w:fldCharType="begin"/>
      </w:r>
      <w:r w:rsidR="00160BB8">
        <w:instrText xml:space="preserve"> REF _Ref193805964 \r \h </w:instrText>
      </w:r>
      <w:r w:rsidR="00160BB8">
        <w:fldChar w:fldCharType="separate"/>
      </w:r>
      <w:r w:rsidR="00F32107">
        <w:t>6.4</w:t>
      </w:r>
      <w:r w:rsidR="00160BB8">
        <w:fldChar w:fldCharType="end"/>
      </w:r>
      <w:r w:rsidR="00E479E7">
        <w:t xml:space="preserve">, alongside a description of how this feedback has </w:t>
      </w:r>
      <w:r w:rsidR="00A9650A">
        <w:t>been incorporated in the development of the document</w:t>
      </w:r>
      <w:r w:rsidR="002A672B">
        <w:t>.</w:t>
      </w:r>
    </w:p>
    <w:p w14:paraId="4E5C70EC" w14:textId="7CA45623" w:rsidR="0023419A" w:rsidRDefault="00F02803" w:rsidP="0023419A">
      <w:pPr>
        <w:pStyle w:val="Heading3"/>
        <w:spacing w:before="0" w:after="0" w:line="240" w:lineRule="atLeast"/>
        <w:ind w:left="1021" w:hanging="1021"/>
        <w:textboxTightWrap w:val="none"/>
      </w:pPr>
      <w:bookmarkStart w:id="10" w:name="_Ref169731205"/>
      <w:bookmarkStart w:id="11" w:name="_Toc171324715"/>
      <w:bookmarkStart w:id="12" w:name="_Toc198138559"/>
      <w:r>
        <w:t>Concurrent</w:t>
      </w:r>
      <w:r w:rsidR="0023419A">
        <w:t xml:space="preserve"> policy workstreams</w:t>
      </w:r>
      <w:bookmarkEnd w:id="10"/>
      <w:bookmarkEnd w:id="11"/>
      <w:bookmarkEnd w:id="12"/>
      <w:r w:rsidR="0023419A">
        <w:t xml:space="preserve"> </w:t>
      </w:r>
    </w:p>
    <w:p w14:paraId="62609C05" w14:textId="34899A6F" w:rsidR="007E5AEB" w:rsidRDefault="0023419A" w:rsidP="00877CA6">
      <w:pPr>
        <w:pStyle w:val="BodyText"/>
      </w:pPr>
      <w:r>
        <w:t xml:space="preserve">This Decision RIS recognises </w:t>
      </w:r>
      <w:r w:rsidR="00203649">
        <w:t>three</w:t>
      </w:r>
      <w:r w:rsidR="00F54C10">
        <w:t xml:space="preserve"> </w:t>
      </w:r>
      <w:r>
        <w:t xml:space="preserve">materially relevant policy workstreams </w:t>
      </w:r>
      <w:r w:rsidR="00C6088B">
        <w:t xml:space="preserve">which have occurred </w:t>
      </w:r>
      <w:r>
        <w:t xml:space="preserve">concurrently </w:t>
      </w:r>
      <w:r w:rsidR="00C6088B">
        <w:t xml:space="preserve">across the </w:t>
      </w:r>
      <w:r w:rsidR="00255836">
        <w:t>duration of</w:t>
      </w:r>
      <w:r w:rsidR="00C6088B">
        <w:t xml:space="preserve"> </w:t>
      </w:r>
      <w:r w:rsidR="00911B6B">
        <w:t>the development of this Decision RIS</w:t>
      </w:r>
      <w:r>
        <w:t xml:space="preserve">. </w:t>
      </w:r>
      <w:r w:rsidR="006C7D22">
        <w:t xml:space="preserve">A timeline of these workstreams </w:t>
      </w:r>
      <w:r w:rsidR="00C15C4A">
        <w:t xml:space="preserve">in relation to the Decision RIS is shown in </w:t>
      </w:r>
      <w:r w:rsidR="00C15C4A">
        <w:fldChar w:fldCharType="begin"/>
      </w:r>
      <w:r w:rsidR="00C15C4A">
        <w:instrText xml:space="preserve"> REF _Ref191046827 \h </w:instrText>
      </w:r>
      <w:r w:rsidR="00C15C4A">
        <w:fldChar w:fldCharType="separate"/>
      </w:r>
      <w:r w:rsidR="00F32107">
        <w:t xml:space="preserve">Figure </w:t>
      </w:r>
      <w:r w:rsidR="00F32107">
        <w:rPr>
          <w:noProof/>
        </w:rPr>
        <w:t>1</w:t>
      </w:r>
      <w:r w:rsidR="00F32107">
        <w:t>.</w:t>
      </w:r>
      <w:r w:rsidR="00F32107">
        <w:rPr>
          <w:noProof/>
        </w:rPr>
        <w:t>1</w:t>
      </w:r>
      <w:r w:rsidR="00C15C4A">
        <w:fldChar w:fldCharType="end"/>
      </w:r>
      <w:r w:rsidR="00C15C4A">
        <w:t xml:space="preserve">. </w:t>
      </w:r>
      <w:r>
        <w:t xml:space="preserve">The </w:t>
      </w:r>
      <w:r w:rsidR="006766E6">
        <w:t>treatment of these</w:t>
      </w:r>
      <w:r>
        <w:t xml:space="preserve"> </w:t>
      </w:r>
      <w:r w:rsidR="00CB6206">
        <w:t>reviews in the</w:t>
      </w:r>
      <w:r>
        <w:t xml:space="preserve"> analysis</w:t>
      </w:r>
      <w:r w:rsidR="00CB6206">
        <w:t xml:space="preserve"> undertaken</w:t>
      </w:r>
      <w:r w:rsidR="009C093F">
        <w:t xml:space="preserve"> for the Decision RIS</w:t>
      </w:r>
      <w:r w:rsidR="00CB6206">
        <w:t xml:space="preserve"> is described below</w:t>
      </w:r>
      <w:r w:rsidR="00F87F6F">
        <w:t>.</w:t>
      </w:r>
      <w:r>
        <w:t xml:space="preserve"> </w:t>
      </w:r>
    </w:p>
    <w:p w14:paraId="1BED7407" w14:textId="71D2A35F" w:rsidR="00C15C4A" w:rsidRDefault="00C15C4A" w:rsidP="007176F0">
      <w:pPr>
        <w:pStyle w:val="Caption"/>
        <w:keepNext/>
      </w:pPr>
      <w:bookmarkStart w:id="13" w:name="_Ref191046827"/>
      <w:r>
        <w:t xml:space="preserve">Figure </w:t>
      </w:r>
      <w:fldSimple w:instr=" STYLEREF 1 \s ">
        <w:r w:rsidR="00F32107">
          <w:rPr>
            <w:noProof/>
          </w:rPr>
          <w:t>1</w:t>
        </w:r>
      </w:fldSimple>
      <w:r w:rsidR="00222D06">
        <w:t>.</w:t>
      </w:r>
      <w:fldSimple w:instr=" SEQ Figure \* ARABIC \s 1 ">
        <w:r w:rsidR="00F32107">
          <w:rPr>
            <w:noProof/>
          </w:rPr>
          <w:t>1</w:t>
        </w:r>
      </w:fldSimple>
      <w:bookmarkEnd w:id="13"/>
      <w:r>
        <w:t xml:space="preserve"> Decision RIS - concurrent policy workstreams</w:t>
      </w:r>
    </w:p>
    <w:p w14:paraId="43E77F03" w14:textId="10CA497D" w:rsidR="007E5AEB" w:rsidRDefault="00D57B4E" w:rsidP="00877CA6">
      <w:pPr>
        <w:pStyle w:val="BodyText"/>
      </w:pPr>
      <w:r w:rsidRPr="00D57B4E">
        <w:t xml:space="preserve"> </w:t>
      </w:r>
      <w:r w:rsidRPr="00D57B4E">
        <w:rPr>
          <w:noProof/>
          <w:lang w:eastAsia="en-AU"/>
        </w:rPr>
        <w:drawing>
          <wp:inline distT="0" distB="0" distL="0" distR="0" wp14:anchorId="0441825F" wp14:editId="3733D859">
            <wp:extent cx="5615940" cy="2313305"/>
            <wp:effectExtent l="0" t="0" r="0" b="0"/>
            <wp:docPr id="63263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940" cy="2313305"/>
                    </a:xfrm>
                    <a:prstGeom prst="rect">
                      <a:avLst/>
                    </a:prstGeom>
                    <a:noFill/>
                    <a:ln>
                      <a:noFill/>
                    </a:ln>
                  </pic:spPr>
                </pic:pic>
              </a:graphicData>
            </a:graphic>
          </wp:inline>
        </w:drawing>
      </w:r>
    </w:p>
    <w:p w14:paraId="060F8233" w14:textId="0128D3F2" w:rsidR="00B30E3B" w:rsidRDefault="00B30E3B" w:rsidP="007176F0">
      <w:pPr>
        <w:pStyle w:val="Source"/>
      </w:pPr>
      <w:r>
        <w:t>Source:</w:t>
      </w:r>
      <w:r w:rsidR="002B71FE">
        <w:t xml:space="preserve"> </w:t>
      </w:r>
      <w:r w:rsidR="000C15EF">
        <w:t>HumanAbi</w:t>
      </w:r>
      <w:r w:rsidR="00AD4E08">
        <w:t>lity and Department of Health and Aged Care.</w:t>
      </w:r>
      <w:r>
        <w:t xml:space="preserve"> </w:t>
      </w:r>
    </w:p>
    <w:p w14:paraId="4C96B22D" w14:textId="77777777" w:rsidR="004E7D3C" w:rsidRDefault="004E7D3C" w:rsidP="004E7D3C">
      <w:pPr>
        <w:pStyle w:val="Heading4"/>
        <w:tabs>
          <w:tab w:val="left" w:pos="340"/>
        </w:tabs>
        <w:spacing w:before="0" w:after="0" w:line="240" w:lineRule="atLeast"/>
        <w:ind w:left="1134" w:hanging="1134"/>
        <w:textboxTightWrap w:val="none"/>
      </w:pPr>
      <w:bookmarkStart w:id="14" w:name="_Ref191559361"/>
      <w:bookmarkStart w:id="15" w:name="_Ref172403415"/>
      <w:r>
        <w:t>Independent complexity review of the National Registration and Accreditation Scheme (the Complexity Review, 2024-25)</w:t>
      </w:r>
      <w:bookmarkEnd w:id="14"/>
    </w:p>
    <w:p w14:paraId="4C3E5777" w14:textId="30384A35" w:rsidR="004E7D3C" w:rsidRDefault="004E7D3C" w:rsidP="004E7D3C">
      <w:pPr>
        <w:pStyle w:val="BodyText"/>
      </w:pPr>
      <w:r>
        <w:t>Audiolog</w:t>
      </w:r>
      <w:r w:rsidR="00B23FCE">
        <w:t xml:space="preserve">ists are </w:t>
      </w:r>
      <w:r>
        <w:t xml:space="preserve">an allied health profession that </w:t>
      </w:r>
      <w:r w:rsidR="00A1052F">
        <w:t>are</w:t>
      </w:r>
      <w:r>
        <w:t xml:space="preserve"> not currently included in the National </w:t>
      </w:r>
      <w:r w:rsidR="00D33EBB">
        <w:t>Scheme</w:t>
      </w:r>
      <w:r>
        <w:t>. One of the options under consideration in this Decision RIS is the inclusion of audiolog</w:t>
      </w:r>
      <w:r w:rsidR="00A1052F">
        <w:t>ists</w:t>
      </w:r>
      <w:r>
        <w:t xml:space="preserve"> in the National Scheme. The Commonwealth, State and Territory </w:t>
      </w:r>
      <w:r w:rsidR="000D20F7">
        <w:t>H</w:t>
      </w:r>
      <w:r>
        <w:t xml:space="preserve">ealth </w:t>
      </w:r>
      <w:r w:rsidR="000D20F7">
        <w:t>M</w:t>
      </w:r>
      <w:r>
        <w:t>inisters are currently conducting an independent review of the National Scheme.</w:t>
      </w:r>
      <w:r>
        <w:rPr>
          <w:rStyle w:val="FootnoteReference"/>
        </w:rPr>
        <w:footnoteReference w:id="2"/>
      </w:r>
      <w:r>
        <w:t xml:space="preserve"> Its objective is to i</w:t>
      </w:r>
      <w:r w:rsidRPr="000E4A53">
        <w:t xml:space="preserve">dentify </w:t>
      </w:r>
      <w:r>
        <w:t>areas of unproductive and unnecessary complexity within the National Scheme and recommend changes that will improve regulatory outcomes for health practitioners and the community.</w:t>
      </w:r>
      <w:r>
        <w:rPr>
          <w:rStyle w:val="FootnoteReference"/>
        </w:rPr>
        <w:footnoteReference w:id="3"/>
      </w:r>
      <w:r>
        <w:t xml:space="preserve"> Term of Reference 5 for the Complexity Review states, ‘</w:t>
      </w:r>
      <w:r w:rsidRPr="007176F0">
        <w:rPr>
          <w:i/>
          <w:iCs/>
        </w:rPr>
        <w:t>Consider whether the National Scheme entry criteria as specified in the Intergovernmental Agreement for a National Registration and Accreditation Scheme for the Health Professions are still fit for purpose, including what mechanisms for admission of future professions and establishment of future Boards will best support further expansion of the National Scheme, particularly in relation to allied health professions</w:t>
      </w:r>
      <w:r>
        <w:t xml:space="preserve">.’ Several Terms of Reference also refer to consideration of changes which may improve efficiency of the National Scheme. The review is expected to be completed by </w:t>
      </w:r>
      <w:r w:rsidR="00AD4832">
        <w:t xml:space="preserve">July </w:t>
      </w:r>
      <w:r>
        <w:t>2025.</w:t>
      </w:r>
    </w:p>
    <w:p w14:paraId="3623DE65" w14:textId="42140932" w:rsidR="004C526F" w:rsidRDefault="004E7D3C" w:rsidP="00E62005">
      <w:pPr>
        <w:pStyle w:val="BodyText"/>
      </w:pPr>
      <w:r>
        <w:rPr>
          <w:b/>
          <w:bCs/>
        </w:rPr>
        <w:t xml:space="preserve">Treatment in this Decision RIS: </w:t>
      </w:r>
      <w:r w:rsidRPr="0072659C">
        <w:rPr>
          <w:i/>
          <w:iCs/>
        </w:rPr>
        <w:t>Consultation Paper 1: Review of Complexity in the National Registration and Accreditation Scheme</w:t>
      </w:r>
      <w:r>
        <w:rPr>
          <w:rStyle w:val="FootnoteReference"/>
          <w:i/>
          <w:iCs/>
        </w:rPr>
        <w:footnoteReference w:id="4"/>
      </w:r>
      <w:r>
        <w:t xml:space="preserve"> was released in September 2024, and included a conceptual design of a three-tier health practitioner model. </w:t>
      </w:r>
      <w:r w:rsidR="004E025C">
        <w:t xml:space="preserve">The Complexity Review’s second </w:t>
      </w:r>
      <w:r w:rsidR="00490F32">
        <w:t>Consultation Paper</w:t>
      </w:r>
      <w:r w:rsidR="004E025C">
        <w:t xml:space="preserve"> </w:t>
      </w:r>
      <w:r w:rsidR="00A711F0">
        <w:t>has</w:t>
      </w:r>
      <w:r w:rsidR="004E025C">
        <w:t xml:space="preserve"> not been released at the time of writing. This paper is expected to provide insight into preferred reform options, which may include further articulation of a proposed three-tiered approach to regulation.</w:t>
      </w:r>
      <w:r w:rsidR="003D3B60">
        <w:t xml:space="preserve"> </w:t>
      </w:r>
      <w:r w:rsidR="00EF03EF">
        <w:t>The</w:t>
      </w:r>
      <w:r w:rsidR="003D3B60">
        <w:t xml:space="preserve"> Decision RIS has treated </w:t>
      </w:r>
      <w:r w:rsidR="005D3B42">
        <w:t>the timing of this</w:t>
      </w:r>
      <w:r w:rsidR="003D3B60">
        <w:t xml:space="preserve"> review as follows</w:t>
      </w:r>
      <w:r w:rsidR="005A29B0">
        <w:t>.</w:t>
      </w:r>
    </w:p>
    <w:p w14:paraId="601A7FD6" w14:textId="36DAC5C8" w:rsidR="005D3B42" w:rsidRDefault="00104639" w:rsidP="005D3B42">
      <w:pPr>
        <w:pStyle w:val="ListBullet"/>
      </w:pPr>
      <w:r>
        <w:t>The three-tier conceptual design</w:t>
      </w:r>
      <w:r w:rsidR="003D3B60">
        <w:t xml:space="preserve"> was included in the Decision RIS’ </w:t>
      </w:r>
      <w:r w:rsidR="003D3B60" w:rsidRPr="007176F0">
        <w:rPr>
          <w:i/>
          <w:iCs/>
        </w:rPr>
        <w:t>Consultation Paper 2</w:t>
      </w:r>
      <w:r w:rsidR="003D3B60">
        <w:t xml:space="preserve">, seeking stakeholders’ preliminary views as it related to audiology. These are discussed in Section </w:t>
      </w:r>
      <w:r w:rsidR="0069087D">
        <w:fldChar w:fldCharType="begin"/>
      </w:r>
      <w:r w:rsidR="0069087D">
        <w:instrText xml:space="preserve"> REF _Ref191576946 \r \h </w:instrText>
      </w:r>
      <w:r w:rsidR="0069087D">
        <w:fldChar w:fldCharType="separate"/>
      </w:r>
      <w:r w:rsidR="00F32107">
        <w:t>9.1.2</w:t>
      </w:r>
      <w:r w:rsidR="0069087D">
        <w:fldChar w:fldCharType="end"/>
      </w:r>
      <w:r w:rsidR="003D3B60">
        <w:t>.</w:t>
      </w:r>
    </w:p>
    <w:p w14:paraId="7D3B2B2F" w14:textId="41D387B1" w:rsidR="004E7D3C" w:rsidRDefault="00DB02B9" w:rsidP="005D3B42">
      <w:pPr>
        <w:pStyle w:val="ListBullet"/>
      </w:pPr>
      <w:r>
        <w:t>With the exception</w:t>
      </w:r>
      <w:r w:rsidR="00096717">
        <w:t xml:space="preserve"> of the activity above, </w:t>
      </w:r>
      <w:r w:rsidR="009233CB">
        <w:t xml:space="preserve">this Decision RIS </w:t>
      </w:r>
      <w:r w:rsidR="00A5096E">
        <w:t>analysis is based on the</w:t>
      </w:r>
      <w:r w:rsidR="00562502">
        <w:t xml:space="preserve"> current policy settings, with </w:t>
      </w:r>
      <w:r w:rsidR="006639A7">
        <w:t>potential reforms out-of-scope</w:t>
      </w:r>
      <w:r w:rsidR="00AD4443">
        <w:t xml:space="preserve">. </w:t>
      </w:r>
      <w:r w:rsidR="00447CA7">
        <w:t xml:space="preserve">A three-tier health practitioner model would be expected to </w:t>
      </w:r>
      <w:r w:rsidR="00B96EB3">
        <w:t xml:space="preserve">materially change the analysis </w:t>
      </w:r>
      <w:r w:rsidR="00AD4443">
        <w:t>presented, in both the description of the</w:t>
      </w:r>
      <w:r w:rsidR="00A20E3C">
        <w:t xml:space="preserve"> current state and </w:t>
      </w:r>
      <w:r w:rsidR="00051342">
        <w:t>viable options for impact analysis</w:t>
      </w:r>
      <w:r w:rsidR="00A20E3C">
        <w:t>.</w:t>
      </w:r>
    </w:p>
    <w:p w14:paraId="44124430" w14:textId="365BDD07" w:rsidR="002B6C73" w:rsidRDefault="002B6C73" w:rsidP="002B6C73">
      <w:pPr>
        <w:pStyle w:val="Heading4"/>
        <w:tabs>
          <w:tab w:val="left" w:pos="340"/>
        </w:tabs>
        <w:spacing w:before="0" w:after="0" w:line="240" w:lineRule="atLeast"/>
        <w:ind w:left="1134" w:hanging="1134"/>
        <w:textboxTightWrap w:val="none"/>
      </w:pPr>
      <w:r>
        <w:t>Unleashing the Potential of our Health Workforce – Scope of Practice Review (2023-2024)</w:t>
      </w:r>
    </w:p>
    <w:p w14:paraId="413A207C" w14:textId="6D8EA91D" w:rsidR="0003046E" w:rsidRDefault="002B6C73" w:rsidP="002B6C73">
      <w:pPr>
        <w:pStyle w:val="BodyText"/>
      </w:pPr>
      <w:r>
        <w:t xml:space="preserve">The independent </w:t>
      </w:r>
      <w:r w:rsidR="007F7A9C" w:rsidRPr="00EE3AA4">
        <w:t xml:space="preserve">Unleashing the Potential of our Health Workforce – </w:t>
      </w:r>
      <w:r w:rsidRPr="00EE3AA4">
        <w:t>Scope of Practice Review</w:t>
      </w:r>
      <w:r>
        <w:t xml:space="preserve"> </w:t>
      </w:r>
      <w:r w:rsidR="00164040">
        <w:t xml:space="preserve">examined the benefits, risks, </w:t>
      </w:r>
      <w:r w:rsidR="007B47E1">
        <w:t xml:space="preserve">and enablers to health professionals working to their full scope of practice </w:t>
      </w:r>
      <w:r w:rsidR="00D71EF4">
        <w:t>within multidisciplinary care teams in primary care</w:t>
      </w:r>
      <w:r>
        <w:t>.</w:t>
      </w:r>
      <w:r w:rsidR="008F7871">
        <w:rPr>
          <w:rStyle w:val="FootnoteReference"/>
        </w:rPr>
        <w:footnoteReference w:id="5"/>
      </w:r>
      <w:r>
        <w:t xml:space="preserve"> Released in November 2024, </w:t>
      </w:r>
      <w:r w:rsidR="00EE56ED">
        <w:t xml:space="preserve">the </w:t>
      </w:r>
      <w:r w:rsidRPr="007176F0">
        <w:rPr>
          <w:i/>
          <w:iCs/>
        </w:rPr>
        <w:t>Scope of Practice Review Final Report</w:t>
      </w:r>
      <w:r>
        <w:rPr>
          <w:i/>
          <w:iCs/>
        </w:rPr>
        <w:t xml:space="preserve"> </w:t>
      </w:r>
      <w:r>
        <w:t>included the following relevant recommendation:</w:t>
      </w:r>
      <w:r w:rsidRPr="007176F0">
        <w:rPr>
          <w:rStyle w:val="FootnoteReference"/>
        </w:rPr>
        <w:footnoteReference w:id="6"/>
      </w:r>
      <w:r w:rsidRPr="00E638E3">
        <w:t xml:space="preserve"> </w:t>
      </w:r>
      <w:r>
        <w:t xml:space="preserve"> </w:t>
      </w:r>
    </w:p>
    <w:p w14:paraId="24CD15D0" w14:textId="306442EA" w:rsidR="00F17835" w:rsidRPr="00AD5021" w:rsidRDefault="002B6C73" w:rsidP="007176F0">
      <w:pPr>
        <w:pStyle w:val="ListBullet"/>
      </w:pPr>
      <w:r w:rsidRPr="007176F0">
        <w:rPr>
          <w:b/>
          <w:bCs/>
        </w:rPr>
        <w:t>Recommendation 8</w:t>
      </w:r>
      <w:r>
        <w:t xml:space="preserve">: </w:t>
      </w:r>
      <w:r w:rsidR="00005078" w:rsidRPr="007176F0">
        <w:rPr>
          <w:i/>
          <w:iCs/>
        </w:rPr>
        <w:t xml:space="preserve">The HMM </w:t>
      </w:r>
      <w:r w:rsidR="00F17835" w:rsidRPr="007176F0">
        <w:rPr>
          <w:i/>
          <w:iCs/>
        </w:rPr>
        <w:t>agree to strengthen and standardise the regulatory model for health professions currently operating outside of the NRAS to:</w:t>
      </w:r>
    </w:p>
    <w:p w14:paraId="0C774A4B" w14:textId="3D823D0B" w:rsidR="002B6C73" w:rsidRPr="00F33C6E" w:rsidRDefault="00F17835" w:rsidP="00F33C6E">
      <w:pPr>
        <w:pStyle w:val="BulletList2Column"/>
        <w:rPr>
          <w:i/>
          <w:iCs/>
        </w:rPr>
      </w:pPr>
      <w:r w:rsidRPr="00F33C6E">
        <w:rPr>
          <w:i/>
          <w:iCs/>
        </w:rPr>
        <w:t>enable the community to access and benefit from all health professionals working to their full scope of practice in multidisciplinary teams in primary care</w:t>
      </w:r>
    </w:p>
    <w:p w14:paraId="1D0A25DE" w14:textId="3AA76818" w:rsidR="00F17835" w:rsidRPr="00F33C6E" w:rsidRDefault="00F17835" w:rsidP="00F33C6E">
      <w:pPr>
        <w:pStyle w:val="BulletList2Column"/>
        <w:rPr>
          <w:i/>
          <w:iCs/>
        </w:rPr>
      </w:pPr>
      <w:r w:rsidRPr="00F33C6E">
        <w:rPr>
          <w:i/>
          <w:iCs/>
        </w:rPr>
        <w:t xml:space="preserve">ensure safety and quality of care delivered by the self-regulated </w:t>
      </w:r>
      <w:r w:rsidR="00DE7A2E" w:rsidRPr="00F33C6E">
        <w:rPr>
          <w:i/>
          <w:iCs/>
        </w:rPr>
        <w:t>health professions.</w:t>
      </w:r>
    </w:p>
    <w:p w14:paraId="00FAFEA7" w14:textId="0987C334" w:rsidR="00DE7A2E" w:rsidRPr="007176F0" w:rsidRDefault="001B7F8E" w:rsidP="007176F0">
      <w:pPr>
        <w:pStyle w:val="ListBullet"/>
        <w:numPr>
          <w:ilvl w:val="0"/>
          <w:numId w:val="0"/>
        </w:numPr>
        <w:ind w:left="360"/>
        <w:rPr>
          <w:i/>
          <w:iCs/>
        </w:rPr>
      </w:pPr>
      <w:r w:rsidRPr="007176F0">
        <w:rPr>
          <w:b/>
          <w:bCs/>
        </w:rPr>
        <w:t xml:space="preserve">Recommendation </w:t>
      </w:r>
      <w:r w:rsidR="00DE7A2E" w:rsidRPr="007176F0">
        <w:rPr>
          <w:b/>
          <w:bCs/>
        </w:rPr>
        <w:t>8.1</w:t>
      </w:r>
      <w:r w:rsidRPr="007176F0">
        <w:rPr>
          <w:i/>
          <w:iCs/>
        </w:rPr>
        <w:t>:</w:t>
      </w:r>
      <w:r w:rsidR="00DE7A2E" w:rsidRPr="007176F0">
        <w:rPr>
          <w:i/>
          <w:iCs/>
        </w:rPr>
        <w:t xml:space="preserve"> HMM agree to commission a rapid impact analysis of the three reform options to determine which option/s meet the criteria defined above and is cost-effective:</w:t>
      </w:r>
    </w:p>
    <w:p w14:paraId="0D8FC6FF" w14:textId="197242D6" w:rsidR="00DE7A2E" w:rsidRPr="00F33C6E" w:rsidRDefault="003D1317" w:rsidP="00F33C6E">
      <w:pPr>
        <w:pStyle w:val="BulletList2Column"/>
        <w:rPr>
          <w:i/>
          <w:iCs/>
        </w:rPr>
      </w:pPr>
      <w:r w:rsidRPr="00F33C6E">
        <w:rPr>
          <w:i/>
          <w:iCs/>
        </w:rPr>
        <w:t xml:space="preserve">Option A – targeted legislative amendments to introduce a pathway into NRAS by introducing an additional criterion, such as a ‘public interest’ criterion, to the NRAS criteria </w:t>
      </w:r>
      <w:r w:rsidR="002418B0" w:rsidRPr="00F33C6E">
        <w:rPr>
          <w:i/>
          <w:iCs/>
        </w:rPr>
        <w:t>for regulatory assessment of the need for statutory registration of a health profession</w:t>
      </w:r>
      <w:r w:rsidR="00287EDC" w:rsidRPr="00E623AA">
        <w:rPr>
          <w:rStyle w:val="FootnoteReference"/>
          <w:i/>
          <w:iCs/>
          <w:sz w:val="19"/>
        </w:rPr>
        <w:footnoteReference w:id="7"/>
      </w:r>
    </w:p>
    <w:p w14:paraId="240D723E" w14:textId="411E16DF" w:rsidR="002418B0" w:rsidRPr="00F33C6E" w:rsidRDefault="002418B0" w:rsidP="00F33C6E">
      <w:pPr>
        <w:pStyle w:val="BulletList2Column"/>
        <w:rPr>
          <w:i/>
          <w:iCs/>
        </w:rPr>
      </w:pPr>
      <w:r w:rsidRPr="00F33C6E">
        <w:rPr>
          <w:i/>
          <w:iCs/>
        </w:rPr>
        <w:t xml:space="preserve">Option B – amended definition of a ‘health profession’ </w:t>
      </w:r>
      <w:r w:rsidR="003D2226" w:rsidRPr="00F33C6E">
        <w:rPr>
          <w:i/>
          <w:iCs/>
        </w:rPr>
        <w:t>by amending the National Law to include additional specified professions in the definition of a ‘health profession’</w:t>
      </w:r>
    </w:p>
    <w:p w14:paraId="43C79967" w14:textId="4136EBC3" w:rsidR="0036166A" w:rsidRPr="00F33C6E" w:rsidRDefault="005773D5" w:rsidP="00F33C6E">
      <w:pPr>
        <w:pStyle w:val="BulletList2Column"/>
        <w:rPr>
          <w:i/>
          <w:iCs/>
        </w:rPr>
      </w:pPr>
      <w:r w:rsidRPr="00F33C6E">
        <w:rPr>
          <w:i/>
          <w:iCs/>
        </w:rPr>
        <w:t xml:space="preserve">Option C – accreditation by the Ahpra </w:t>
      </w:r>
      <w:r w:rsidR="008C1E67" w:rsidRPr="00F33C6E">
        <w:rPr>
          <w:i/>
          <w:iCs/>
        </w:rPr>
        <w:t xml:space="preserve">(or another body) of relevant professional bodies to perform consistent, quality self-regulation functions for professions which are not registered in the NRAS. </w:t>
      </w:r>
    </w:p>
    <w:p w14:paraId="6C4DB525" w14:textId="1167C7A1" w:rsidR="005061BC" w:rsidRDefault="00CF6947" w:rsidP="00E83C34">
      <w:pPr>
        <w:pStyle w:val="BodyText"/>
      </w:pPr>
      <w:r>
        <w:t xml:space="preserve">This recommendation </w:t>
      </w:r>
      <w:r w:rsidR="00E80CD0">
        <w:t>is made in reference</w:t>
      </w:r>
      <w:r w:rsidR="00A43003">
        <w:t xml:space="preserve"> to self-regulating professions, with </w:t>
      </w:r>
      <w:r w:rsidR="00A25C43">
        <w:t xml:space="preserve">audiology </w:t>
      </w:r>
      <w:r w:rsidR="001C274B">
        <w:t xml:space="preserve">as </w:t>
      </w:r>
      <w:r w:rsidR="00106DEA">
        <w:t xml:space="preserve">one of the professions proposed as a starting </w:t>
      </w:r>
      <w:r w:rsidR="009742A0">
        <w:t>point.</w:t>
      </w:r>
    </w:p>
    <w:p w14:paraId="1F029FCE" w14:textId="799E7003" w:rsidR="002B6C73" w:rsidRDefault="0087667B" w:rsidP="00DD4C5C">
      <w:pPr>
        <w:pStyle w:val="BodyText"/>
      </w:pPr>
      <w:r>
        <w:rPr>
          <w:b/>
          <w:bCs/>
        </w:rPr>
        <w:t>Treatment in</w:t>
      </w:r>
      <w:r w:rsidR="002B6C73" w:rsidRPr="005963F3">
        <w:rPr>
          <w:b/>
          <w:bCs/>
        </w:rPr>
        <w:t xml:space="preserve"> the Decision RIS</w:t>
      </w:r>
      <w:r w:rsidR="002B6C73">
        <w:t>: This Decision RIS has been developed with reference to the current state policy settings</w:t>
      </w:r>
      <w:r w:rsidR="00674AB2">
        <w:t xml:space="preserve"> described</w:t>
      </w:r>
      <w:r w:rsidR="00C53F06">
        <w:t xml:space="preserve"> in Chapter 2</w:t>
      </w:r>
      <w:r w:rsidR="002A1575">
        <w:t>. Any</w:t>
      </w:r>
      <w:r w:rsidR="00D970CC">
        <w:t xml:space="preserve"> </w:t>
      </w:r>
      <w:r w:rsidR="00135D51">
        <w:t>future implementation</w:t>
      </w:r>
      <w:r w:rsidR="009442AC">
        <w:t xml:space="preserve"> of </w:t>
      </w:r>
      <w:r w:rsidR="00135D51">
        <w:t xml:space="preserve">Option </w:t>
      </w:r>
      <w:r w:rsidR="00AD3669">
        <w:t>B</w:t>
      </w:r>
      <w:r w:rsidR="009442AC">
        <w:t xml:space="preserve"> or C would </w:t>
      </w:r>
      <w:r w:rsidR="00135D51">
        <w:t xml:space="preserve">likely </w:t>
      </w:r>
      <w:r w:rsidR="009442AC">
        <w:t>materially change the analysis presented in this Decision RIS</w:t>
      </w:r>
      <w:r w:rsidR="002A1575">
        <w:t>, and is thus</w:t>
      </w:r>
      <w:r w:rsidR="00243948">
        <w:t xml:space="preserve"> considered out</w:t>
      </w:r>
      <w:r w:rsidR="00C53F06">
        <w:t>-</w:t>
      </w:r>
      <w:r w:rsidR="00243948">
        <w:t>of</w:t>
      </w:r>
      <w:r w:rsidR="00C53F06">
        <w:t>-</w:t>
      </w:r>
      <w:r w:rsidR="00243948">
        <w:t>scope.</w:t>
      </w:r>
    </w:p>
    <w:bookmarkEnd w:id="15"/>
    <w:p w14:paraId="0013D82D" w14:textId="7E7F57F5" w:rsidR="005963F3" w:rsidRDefault="00EF55D2" w:rsidP="00C658AB">
      <w:pPr>
        <w:pStyle w:val="Heading4"/>
      </w:pPr>
      <w:r>
        <w:t>Audiometry Qualification Review</w:t>
      </w:r>
      <w:r w:rsidR="00161E4D">
        <w:t xml:space="preserve"> (2024</w:t>
      </w:r>
      <w:r w:rsidR="00FE0590">
        <w:t>-25</w:t>
      </w:r>
      <w:r w:rsidR="00161E4D">
        <w:t>)</w:t>
      </w:r>
    </w:p>
    <w:p w14:paraId="7C3CBCF6" w14:textId="1997F7C8" w:rsidR="00375468" w:rsidRDefault="00026768" w:rsidP="00375468">
      <w:pPr>
        <w:pStyle w:val="BodyText"/>
      </w:pPr>
      <w:r>
        <w:t>Led by HumanAbility, the</w:t>
      </w:r>
      <w:r w:rsidR="00494F12">
        <w:t xml:space="preserve"> Audiometry Qualification Review </w:t>
      </w:r>
      <w:r w:rsidR="008D641B">
        <w:t>has been established to</w:t>
      </w:r>
      <w:r w:rsidR="00896263">
        <w:t>,</w:t>
      </w:r>
      <w:r w:rsidR="008D641B">
        <w:t xml:space="preserve"> </w:t>
      </w:r>
      <w:r w:rsidR="00896263">
        <w:t>‘</w:t>
      </w:r>
      <w:r w:rsidR="008D641B" w:rsidRPr="00766C4D">
        <w:rPr>
          <w:i/>
          <w:iCs/>
        </w:rPr>
        <w:t xml:space="preserve">critically evaluate and update the HLT47415 Certificate IV in Audiometry and HLT57415 Diploma of Audiometry qualifications </w:t>
      </w:r>
      <w:r w:rsidR="00766C4D" w:rsidRPr="00766C4D">
        <w:rPr>
          <w:i/>
          <w:iCs/>
        </w:rPr>
        <w:t>to ensure they reflect technological advancements and align with current industry needs and regulatory requirements</w:t>
      </w:r>
      <w:r w:rsidR="00896263">
        <w:t>’</w:t>
      </w:r>
      <w:r w:rsidR="00AC3C63">
        <w:t>.</w:t>
      </w:r>
      <w:r w:rsidR="00AC3C63">
        <w:rPr>
          <w:rStyle w:val="FootnoteReference"/>
        </w:rPr>
        <w:footnoteReference w:id="8"/>
      </w:r>
      <w:r w:rsidR="00766C4D">
        <w:t xml:space="preserve"> </w:t>
      </w:r>
      <w:r w:rsidR="00187608">
        <w:t>As part</w:t>
      </w:r>
      <w:r w:rsidR="00A91AA6">
        <w:t xml:space="preserve"> of this review, </w:t>
      </w:r>
      <w:r w:rsidR="00BF671B">
        <w:t>an overview of the proposed curriculum</w:t>
      </w:r>
      <w:r w:rsidR="00C41BB0">
        <w:t xml:space="preserve"> was released for consultation</w:t>
      </w:r>
      <w:r w:rsidR="00604526">
        <w:t>.</w:t>
      </w:r>
      <w:r w:rsidR="00141613">
        <w:t xml:space="preserve"> Endorsement and implementation of the</w:t>
      </w:r>
      <w:r w:rsidR="00005469">
        <w:t>se qualifications is indicated to occur between March and June 2025.</w:t>
      </w:r>
    </w:p>
    <w:p w14:paraId="3A41BEB5" w14:textId="1DD700C9" w:rsidR="00604526" w:rsidRPr="00375468" w:rsidRDefault="00604526" w:rsidP="00375468">
      <w:pPr>
        <w:pStyle w:val="BodyText"/>
      </w:pPr>
      <w:r w:rsidRPr="00604526">
        <w:rPr>
          <w:b/>
          <w:bCs/>
        </w:rPr>
        <w:t>Treatment in the Decision RIS</w:t>
      </w:r>
      <w:r>
        <w:t xml:space="preserve">: </w:t>
      </w:r>
      <w:r w:rsidR="007347BA">
        <w:t xml:space="preserve">As explained in Section </w:t>
      </w:r>
      <w:r w:rsidR="007347BA">
        <w:fldChar w:fldCharType="begin"/>
      </w:r>
      <w:r w:rsidR="007347BA">
        <w:instrText xml:space="preserve"> REF _Ref169549650 \r \h </w:instrText>
      </w:r>
      <w:r w:rsidR="007347BA">
        <w:fldChar w:fldCharType="separate"/>
      </w:r>
      <w:r w:rsidR="00F32107">
        <w:t>1.2.1</w:t>
      </w:r>
      <w:r w:rsidR="007347BA">
        <w:fldChar w:fldCharType="end"/>
      </w:r>
      <w:r w:rsidR="007347BA">
        <w:t xml:space="preserve">, </w:t>
      </w:r>
      <w:r w:rsidR="008F4A86">
        <w:t xml:space="preserve">it is not within the scope of this Decision RIS to </w:t>
      </w:r>
      <w:r w:rsidR="00992982">
        <w:t xml:space="preserve">consider options for regulation of the audiometry profession. </w:t>
      </w:r>
      <w:r w:rsidR="00005469">
        <w:t xml:space="preserve">However, the scope of practice of audiology and audiometry workforces </w:t>
      </w:r>
      <w:r w:rsidR="00C73626">
        <w:t>is materially relevant to the policy problem</w:t>
      </w:r>
      <w:r w:rsidR="00263F70">
        <w:t>. R</w:t>
      </w:r>
      <w:r w:rsidR="00C73626">
        <w:t xml:space="preserve">eferences to </w:t>
      </w:r>
      <w:r w:rsidR="00193808">
        <w:t>elements of the proposed curriculum</w:t>
      </w:r>
      <w:r w:rsidR="00C73626">
        <w:t xml:space="preserve"> are included in Chapter </w:t>
      </w:r>
      <w:r w:rsidR="00193808">
        <w:t>3</w:t>
      </w:r>
      <w:r w:rsidR="00263F70">
        <w:t>,</w:t>
      </w:r>
      <w:r w:rsidR="0009588B">
        <w:t xml:space="preserve"> with the caveat that </w:t>
      </w:r>
      <w:r w:rsidR="00F910ED">
        <w:t xml:space="preserve">these changes are </w:t>
      </w:r>
      <w:r w:rsidR="00AF2413">
        <w:t>not final.</w:t>
      </w:r>
      <w:r w:rsidR="00C73626">
        <w:t xml:space="preserve"> </w:t>
      </w:r>
    </w:p>
    <w:p w14:paraId="63138C5C" w14:textId="1D30A4D1" w:rsidR="00D93B84" w:rsidRDefault="00D93B84" w:rsidP="00D93B84">
      <w:pPr>
        <w:pStyle w:val="Heading2"/>
        <w:spacing w:after="0" w:line="280" w:lineRule="atLeast"/>
        <w:ind w:left="936" w:hanging="794"/>
        <w:textboxTightWrap w:val="none"/>
      </w:pPr>
      <w:bookmarkStart w:id="16" w:name="_Toc171324716"/>
      <w:bookmarkStart w:id="17" w:name="_Toc198138560"/>
      <w:r>
        <w:t xml:space="preserve">Structure of this </w:t>
      </w:r>
      <w:bookmarkEnd w:id="16"/>
      <w:r w:rsidR="00AF6A88">
        <w:t>document</w:t>
      </w:r>
      <w:bookmarkEnd w:id="17"/>
    </w:p>
    <w:p w14:paraId="7FFCA146" w14:textId="77777777" w:rsidR="00D93B84" w:rsidRDefault="00D93B84" w:rsidP="00877CA6">
      <w:pPr>
        <w:pStyle w:val="BodyText"/>
      </w:pPr>
      <w:r>
        <w:t xml:space="preserve">This Decision RIS is structured to reflect OIA’s seven RIS questions, alongside additional process and context information.  </w:t>
      </w:r>
    </w:p>
    <w:p w14:paraId="19C4044D" w14:textId="2D01563F" w:rsidR="00D93B84" w:rsidRDefault="00D93B84" w:rsidP="00877CA6">
      <w:pPr>
        <w:pStyle w:val="ListBullet"/>
        <w:rPr>
          <w:i/>
          <w:iCs/>
        </w:rPr>
      </w:pPr>
      <w:r w:rsidRPr="0053365D">
        <w:rPr>
          <w:b/>
          <w:bCs/>
        </w:rPr>
        <w:t xml:space="preserve">Chapter 1: </w:t>
      </w:r>
      <w:r w:rsidR="00B429C8">
        <w:rPr>
          <w:b/>
          <w:bCs/>
        </w:rPr>
        <w:t>Introduction</w:t>
      </w:r>
      <w:r>
        <w:t xml:space="preserve">. Describes the </w:t>
      </w:r>
      <w:r w:rsidR="00A21587">
        <w:t>background to the commissioning of the Decision RIS</w:t>
      </w:r>
      <w:r>
        <w:t xml:space="preserve">, </w:t>
      </w:r>
      <w:r w:rsidR="00A21587">
        <w:t>the scope of the Decision RIS</w:t>
      </w:r>
      <w:r w:rsidR="006F0A74">
        <w:t xml:space="preserve"> and the document structure.</w:t>
      </w:r>
    </w:p>
    <w:p w14:paraId="0FE5B9D8" w14:textId="77777777" w:rsidR="00D93B84" w:rsidRPr="009E18E8" w:rsidRDefault="00D93B84" w:rsidP="00877CA6">
      <w:pPr>
        <w:pStyle w:val="ListBullet"/>
        <w:rPr>
          <w:i/>
          <w:iCs/>
        </w:rPr>
      </w:pPr>
      <w:r w:rsidRPr="00E01327">
        <w:rPr>
          <w:b/>
          <w:bCs/>
        </w:rPr>
        <w:t>Chapter 2: The current state</w:t>
      </w:r>
      <w:r>
        <w:t xml:space="preserve">. Describes the current state and provides the reader with contextual information required to understand considerations in later chapters. </w:t>
      </w:r>
    </w:p>
    <w:p w14:paraId="7B174BF6" w14:textId="5C459B30" w:rsidR="00D93B84" w:rsidRPr="00820E41" w:rsidRDefault="00D93B84" w:rsidP="00877CA6">
      <w:pPr>
        <w:pStyle w:val="ListBullet"/>
        <w:rPr>
          <w:b/>
          <w:bCs/>
        </w:rPr>
      </w:pPr>
      <w:r w:rsidRPr="00820E41">
        <w:rPr>
          <w:b/>
          <w:bCs/>
        </w:rPr>
        <w:t xml:space="preserve">Chapter 3: What is the policy problem? </w:t>
      </w:r>
      <w:r>
        <w:t xml:space="preserve">Describes problems currently occurring </w:t>
      </w:r>
      <w:r w:rsidR="00432E84">
        <w:t>within</w:t>
      </w:r>
      <w:r>
        <w:t xml:space="preserve"> the audiology profession.</w:t>
      </w:r>
      <w:r w:rsidR="00541788">
        <w:t xml:space="preserve"> This chapter is </w:t>
      </w:r>
      <w:r w:rsidR="004E14C1">
        <w:t>intended</w:t>
      </w:r>
      <w:r w:rsidR="00541788">
        <w:t xml:space="preserve"> to address RIS Question 1.</w:t>
      </w:r>
    </w:p>
    <w:p w14:paraId="47CA1AEC" w14:textId="4E4A117E" w:rsidR="00D93B84" w:rsidRDefault="00D93B84" w:rsidP="00877CA6">
      <w:pPr>
        <w:pStyle w:val="ListBullet"/>
        <w:rPr>
          <w:b/>
          <w:bCs/>
        </w:rPr>
      </w:pPr>
      <w:r w:rsidRPr="001A002F">
        <w:rPr>
          <w:b/>
          <w:bCs/>
        </w:rPr>
        <w:t>Chapter 4: Why is government action needed?</w:t>
      </w:r>
      <w:r>
        <w:rPr>
          <w:b/>
          <w:bCs/>
        </w:rPr>
        <w:t xml:space="preserve"> </w:t>
      </w:r>
      <w:r>
        <w:t>Describes the rationale and capacity for government intervention, alternatives to government action, objectives of government action, constraints and barriers.</w:t>
      </w:r>
      <w:r w:rsidR="00541788">
        <w:t xml:space="preserve"> This </w:t>
      </w:r>
      <w:r w:rsidR="00F863B8">
        <w:t>chapter</w:t>
      </w:r>
      <w:r w:rsidR="00541788">
        <w:t xml:space="preserve"> is </w:t>
      </w:r>
      <w:r w:rsidR="004E14C1">
        <w:t>intended</w:t>
      </w:r>
      <w:r w:rsidR="00541788">
        <w:t xml:space="preserve"> to address RIS Question 2.</w:t>
      </w:r>
    </w:p>
    <w:p w14:paraId="2F77A1A2" w14:textId="6BAAA8CA" w:rsidR="00D93B84" w:rsidRPr="00CC21D0" w:rsidRDefault="00D93B84" w:rsidP="00877CA6">
      <w:pPr>
        <w:pStyle w:val="ListBullet"/>
        <w:rPr>
          <w:b/>
          <w:bCs/>
        </w:rPr>
      </w:pPr>
      <w:r>
        <w:rPr>
          <w:b/>
          <w:bCs/>
        </w:rPr>
        <w:t xml:space="preserve">Chapter 5: What policy options are to be considered? </w:t>
      </w:r>
      <w:r w:rsidR="00D135FD">
        <w:t>Describes</w:t>
      </w:r>
      <w:r>
        <w:t xml:space="preserve"> the longlist</w:t>
      </w:r>
      <w:r w:rsidR="00A61F23">
        <w:t xml:space="preserve"> of</w:t>
      </w:r>
      <w:r>
        <w:t xml:space="preserve"> options considered</w:t>
      </w:r>
      <w:r w:rsidR="00A61F23">
        <w:t xml:space="preserve"> and the initial shortlisting pro</w:t>
      </w:r>
      <w:r w:rsidR="00D135FD">
        <w:t>cess</w:t>
      </w:r>
      <w:r>
        <w:t>.</w:t>
      </w:r>
      <w:r w:rsidR="00541788">
        <w:t xml:space="preserve"> This chapter </w:t>
      </w:r>
      <w:r w:rsidR="00944F01">
        <w:t xml:space="preserve">(in conjunction with stakeholder feedback </w:t>
      </w:r>
      <w:r w:rsidR="008E59F2">
        <w:t xml:space="preserve">provided in Chapter 6) </w:t>
      </w:r>
      <w:r w:rsidR="00541788">
        <w:t xml:space="preserve">is </w:t>
      </w:r>
      <w:r w:rsidR="004E14C1">
        <w:t>intended</w:t>
      </w:r>
      <w:r w:rsidR="00541788">
        <w:t xml:space="preserve"> to address RIS Question 3.</w:t>
      </w:r>
    </w:p>
    <w:p w14:paraId="7D6CA385" w14:textId="3CE53EC9" w:rsidR="00CC21D0" w:rsidRPr="00CC21D0" w:rsidRDefault="00CC21D0" w:rsidP="00CC21D0">
      <w:pPr>
        <w:pStyle w:val="ListBullet"/>
        <w:rPr>
          <w:b/>
          <w:bCs/>
        </w:rPr>
      </w:pPr>
      <w:r>
        <w:rPr>
          <w:b/>
          <w:bCs/>
        </w:rPr>
        <w:t xml:space="preserve">Chapter 6: Who was consulted and how was their feedback incorporated? </w:t>
      </w:r>
      <w:r w:rsidR="00F4311A">
        <w:t xml:space="preserve">Describes the </w:t>
      </w:r>
      <w:r>
        <w:t>stakeholder consultation process</w:t>
      </w:r>
      <w:r w:rsidR="007912CF">
        <w:t xml:space="preserve"> (including limitations) and the </w:t>
      </w:r>
      <w:r>
        <w:t>treatment of feedback provided</w:t>
      </w:r>
      <w:r w:rsidR="007912CF">
        <w:t>.</w:t>
      </w:r>
      <w:r>
        <w:t xml:space="preserve"> </w:t>
      </w:r>
      <w:r w:rsidR="00D135FD">
        <w:t xml:space="preserve">Additionally, it provides further context for the </w:t>
      </w:r>
      <w:r w:rsidR="00D9053A">
        <w:t xml:space="preserve">eventual </w:t>
      </w:r>
      <w:r w:rsidR="009E5EED">
        <w:t xml:space="preserve">set of </w:t>
      </w:r>
      <w:r w:rsidR="00513015">
        <w:t xml:space="preserve">options </w:t>
      </w:r>
      <w:r w:rsidR="0009419F">
        <w:t xml:space="preserve">carried through to </w:t>
      </w:r>
      <w:r w:rsidR="009E5EED">
        <w:t>the</w:t>
      </w:r>
      <w:r w:rsidR="00CF1F9E">
        <w:t xml:space="preserve"> impact analysis</w:t>
      </w:r>
      <w:r w:rsidR="00B52FDF">
        <w:t xml:space="preserve">. </w:t>
      </w:r>
      <w:r w:rsidR="007912CF">
        <w:t xml:space="preserve">This chapter is </w:t>
      </w:r>
      <w:r w:rsidR="004E14C1">
        <w:t>intended to address RIS Question 5.</w:t>
      </w:r>
      <w:r w:rsidR="007912CF">
        <w:t xml:space="preserve"> </w:t>
      </w:r>
    </w:p>
    <w:p w14:paraId="7D6182E3" w14:textId="6167027D" w:rsidR="000A680B" w:rsidRDefault="00D93B84" w:rsidP="00877CA6">
      <w:pPr>
        <w:pStyle w:val="ListBullet"/>
        <w:rPr>
          <w:b/>
          <w:bCs/>
        </w:rPr>
      </w:pPr>
      <w:r>
        <w:rPr>
          <w:b/>
          <w:bCs/>
        </w:rPr>
        <w:t xml:space="preserve">Chapter </w:t>
      </w:r>
      <w:r w:rsidR="00CC21D0">
        <w:rPr>
          <w:b/>
          <w:bCs/>
        </w:rPr>
        <w:t>7</w:t>
      </w:r>
      <w:r>
        <w:rPr>
          <w:b/>
          <w:bCs/>
        </w:rPr>
        <w:t xml:space="preserve">: </w:t>
      </w:r>
      <w:r w:rsidR="00541788">
        <w:rPr>
          <w:b/>
          <w:bCs/>
        </w:rPr>
        <w:t xml:space="preserve">Methodology </w:t>
      </w:r>
      <w:r w:rsidR="00B52FDF">
        <w:rPr>
          <w:b/>
          <w:bCs/>
        </w:rPr>
        <w:t xml:space="preserve">for assessing the net benefit of each option. </w:t>
      </w:r>
      <w:r w:rsidR="00C35576">
        <w:t xml:space="preserve">Provides an overview of the </w:t>
      </w:r>
      <w:r w:rsidR="00D9719A">
        <w:t>methodology used to assess</w:t>
      </w:r>
      <w:r w:rsidR="00C35576">
        <w:t xml:space="preserve"> net benefit, </w:t>
      </w:r>
      <w:r w:rsidR="00D9719A">
        <w:t xml:space="preserve">as well as describing the theoretical personae-driven </w:t>
      </w:r>
      <w:r w:rsidR="004E4D6C">
        <w:t xml:space="preserve">approach to the benefits of harm minimisation. </w:t>
      </w:r>
      <w:r w:rsidR="000715F4">
        <w:t>Chapter 7 and Chapter 8 are intended to address RIS Question 4.</w:t>
      </w:r>
    </w:p>
    <w:p w14:paraId="1B808BC9" w14:textId="24C99FF4" w:rsidR="00D93B84" w:rsidRDefault="000A680B" w:rsidP="00877CA6">
      <w:pPr>
        <w:pStyle w:val="ListBullet"/>
        <w:rPr>
          <w:b/>
          <w:bCs/>
        </w:rPr>
      </w:pPr>
      <w:r>
        <w:rPr>
          <w:b/>
          <w:bCs/>
        </w:rPr>
        <w:t xml:space="preserve">Chapter 8: </w:t>
      </w:r>
      <w:r w:rsidR="00D93B84">
        <w:rPr>
          <w:b/>
          <w:bCs/>
        </w:rPr>
        <w:t xml:space="preserve">What is the likely net benefit of each option? </w:t>
      </w:r>
      <w:r w:rsidR="00D93B84" w:rsidRPr="00F07321">
        <w:t>This chapter describes the</w:t>
      </w:r>
      <w:r w:rsidR="00D93B84">
        <w:rPr>
          <w:b/>
          <w:bCs/>
        </w:rPr>
        <w:t xml:space="preserve"> </w:t>
      </w:r>
      <w:r w:rsidR="00D93B84">
        <w:t>impact analysis to assess the net benefit of shortlisted options.</w:t>
      </w:r>
    </w:p>
    <w:p w14:paraId="2D7F5FE2" w14:textId="5D7EBA70" w:rsidR="00D93B84" w:rsidRPr="00E71F64" w:rsidRDefault="00D93B84" w:rsidP="00E71F64">
      <w:pPr>
        <w:pStyle w:val="ListBullet"/>
        <w:rPr>
          <w:b/>
          <w:bCs/>
        </w:rPr>
      </w:pPr>
      <w:r>
        <w:rPr>
          <w:b/>
          <w:bCs/>
        </w:rPr>
        <w:t xml:space="preserve">Chapter </w:t>
      </w:r>
      <w:r w:rsidR="000A680B">
        <w:rPr>
          <w:b/>
          <w:bCs/>
        </w:rPr>
        <w:t>9</w:t>
      </w:r>
      <w:r w:rsidRPr="0018004F">
        <w:rPr>
          <w:b/>
          <w:bCs/>
        </w:rPr>
        <w:t>: What is the best option from those considered and how will it be implemented?</w:t>
      </w:r>
      <w:r>
        <w:rPr>
          <w:b/>
          <w:bCs/>
        </w:rPr>
        <w:t xml:space="preserve"> </w:t>
      </w:r>
      <w:r>
        <w:t>This chapter summarises the results of the impact analysis, and identifies the best option from those assessed, alongside implementation considerations.</w:t>
      </w:r>
      <w:r w:rsidR="00E71F64">
        <w:t xml:space="preserve"> This chapter is intended to address RIS Question 6. </w:t>
      </w:r>
    </w:p>
    <w:p w14:paraId="0A8E2DFB" w14:textId="0315CA35" w:rsidR="00D93B84" w:rsidRDefault="00D93B84" w:rsidP="00877CA6">
      <w:pPr>
        <w:pStyle w:val="ListBullet"/>
        <w:rPr>
          <w:b/>
          <w:bCs/>
        </w:rPr>
      </w:pPr>
      <w:r w:rsidRPr="0018004F">
        <w:rPr>
          <w:b/>
          <w:bCs/>
        </w:rPr>
        <w:t xml:space="preserve">Chapter </w:t>
      </w:r>
      <w:r w:rsidR="000A680B">
        <w:rPr>
          <w:b/>
          <w:bCs/>
        </w:rPr>
        <w:t>10</w:t>
      </w:r>
      <w:r w:rsidRPr="0018004F">
        <w:rPr>
          <w:b/>
          <w:bCs/>
        </w:rPr>
        <w:t>: How will the chosen option be evaluated?</w:t>
      </w:r>
      <w:r>
        <w:rPr>
          <w:b/>
          <w:bCs/>
        </w:rPr>
        <w:t xml:space="preserve"> </w:t>
      </w:r>
      <w:r>
        <w:t xml:space="preserve">This chapter outlines considerations associated with monitoring and evaluation of the recommended option against </w:t>
      </w:r>
      <w:r w:rsidR="00F863B8">
        <w:t>its</w:t>
      </w:r>
      <w:r>
        <w:t xml:space="preserve"> objectives. </w:t>
      </w:r>
      <w:r w:rsidR="00930A75">
        <w:t>This chapter is intended to address RIS Question 7.</w:t>
      </w:r>
    </w:p>
    <w:p w14:paraId="7DD23CEC" w14:textId="77777777" w:rsidR="008D6891" w:rsidRDefault="008D6891" w:rsidP="00D93B84">
      <w:pPr>
        <w:sectPr w:rsidR="008D6891" w:rsidSect="007F4E7D">
          <w:pgSz w:w="11906" w:h="16838" w:code="9"/>
          <w:pgMar w:top="1531" w:right="1531" w:bottom="1531" w:left="1531" w:header="709" w:footer="709" w:gutter="0"/>
          <w:cols w:space="708"/>
          <w:docGrid w:linePitch="360"/>
        </w:sectPr>
      </w:pPr>
    </w:p>
    <w:p w14:paraId="3ECA342D" w14:textId="4D4AA33F" w:rsidR="00987774" w:rsidRDefault="00987774" w:rsidP="008D6891">
      <w:pPr>
        <w:pStyle w:val="Heading1"/>
      </w:pPr>
      <w:bookmarkStart w:id="18" w:name="_Ref172794984"/>
      <w:bookmarkStart w:id="19" w:name="_Toc198138561"/>
      <w:bookmarkStart w:id="20" w:name="_Ref169790353"/>
      <w:bookmarkStart w:id="21" w:name="_Toc171324719"/>
      <w:r>
        <w:t xml:space="preserve">The </w:t>
      </w:r>
      <w:r w:rsidRPr="001D6878">
        <w:t>current</w:t>
      </w:r>
      <w:r>
        <w:t xml:space="preserve"> </w:t>
      </w:r>
      <w:r w:rsidRPr="00277B20">
        <w:t>state</w:t>
      </w:r>
      <w:bookmarkEnd w:id="18"/>
      <w:bookmarkEnd w:id="19"/>
    </w:p>
    <w:tbl>
      <w:tblPr>
        <w:tblStyle w:val="TableGrid"/>
        <w:tblW w:w="0" w:type="auto"/>
        <w:tblLook w:val="04A0" w:firstRow="1" w:lastRow="0" w:firstColumn="1" w:lastColumn="0" w:noHBand="0" w:noVBand="1"/>
      </w:tblPr>
      <w:tblGrid>
        <w:gridCol w:w="8834"/>
      </w:tblGrid>
      <w:tr w:rsidR="00837A9B" w14:paraId="0057DD15" w14:textId="77777777" w:rsidTr="00837A9B">
        <w:tc>
          <w:tcPr>
            <w:tcW w:w="8834" w:type="dxa"/>
          </w:tcPr>
          <w:p w14:paraId="194BBBB3" w14:textId="7CB14372" w:rsidR="00837A9B" w:rsidRPr="00837A9B" w:rsidRDefault="00837A9B" w:rsidP="00837A9B">
            <w:pPr>
              <w:pStyle w:val="BodyText"/>
              <w:rPr>
                <w:b/>
                <w:bCs/>
              </w:rPr>
            </w:pPr>
            <w:r w:rsidRPr="00837A9B">
              <w:rPr>
                <w:b/>
                <w:bCs/>
              </w:rPr>
              <w:t xml:space="preserve">Chapter </w:t>
            </w:r>
            <w:r w:rsidR="00C64B11">
              <w:rPr>
                <w:b/>
                <w:bCs/>
              </w:rPr>
              <w:t>s</w:t>
            </w:r>
            <w:r w:rsidRPr="00837A9B">
              <w:rPr>
                <w:b/>
                <w:bCs/>
              </w:rPr>
              <w:t>ummary</w:t>
            </w:r>
          </w:p>
          <w:p w14:paraId="4EF5E6D7" w14:textId="6B6A728F" w:rsidR="00B834CD" w:rsidRDefault="00B834CD" w:rsidP="007176F0">
            <w:pPr>
              <w:pStyle w:val="ListBullet"/>
            </w:pPr>
            <w:r>
              <w:t xml:space="preserve">The purpose of </w:t>
            </w:r>
            <w:r w:rsidR="000C2F1A">
              <w:t>this</w:t>
            </w:r>
            <w:r w:rsidR="00E05011">
              <w:t xml:space="preserve"> chapter is to provide readers with additional context</w:t>
            </w:r>
            <w:r w:rsidR="006C275F">
              <w:t xml:space="preserve">ual information to support the </w:t>
            </w:r>
            <w:r w:rsidR="00E0165C">
              <w:t xml:space="preserve">description of the policy </w:t>
            </w:r>
            <w:r w:rsidR="008A3917">
              <w:t>problem (Chapter 3) and the policy options considered</w:t>
            </w:r>
            <w:r w:rsidR="00DB5EA4">
              <w:t xml:space="preserve"> (Chapter 5)</w:t>
            </w:r>
            <w:r w:rsidR="006C275F">
              <w:t>.</w:t>
            </w:r>
          </w:p>
          <w:p w14:paraId="54D5A2A0" w14:textId="182E9AD0" w:rsidR="00837A9B" w:rsidRDefault="002C3FF6" w:rsidP="007176F0">
            <w:pPr>
              <w:pStyle w:val="ListBullet"/>
            </w:pPr>
            <w:r>
              <w:t>There are three main types of hearing loss, which include conductive, sensorineural and mixed</w:t>
            </w:r>
            <w:r w:rsidR="00022AA8">
              <w:t xml:space="preserve"> (conductive and sensorineural).</w:t>
            </w:r>
          </w:p>
          <w:p w14:paraId="52456B43" w14:textId="092E255C" w:rsidR="00022AA8" w:rsidRDefault="000F4983" w:rsidP="007176F0">
            <w:pPr>
              <w:pStyle w:val="ListBullet"/>
            </w:pPr>
            <w:r>
              <w:t xml:space="preserve">Based on known prevalence </w:t>
            </w:r>
            <w:r w:rsidR="00EF7B04">
              <w:t>rates, i</w:t>
            </w:r>
            <w:r>
              <w:t>n 202</w:t>
            </w:r>
            <w:r w:rsidR="00E91C88">
              <w:t>3</w:t>
            </w:r>
            <w:r w:rsidR="00EF7B04">
              <w:t xml:space="preserve"> </w:t>
            </w:r>
            <w:r>
              <w:t>approximately</w:t>
            </w:r>
            <w:r w:rsidR="00083BE7">
              <w:t xml:space="preserve"> 5</w:t>
            </w:r>
            <w:r w:rsidR="00BC1DC0">
              <w:t>45</w:t>
            </w:r>
            <w:r w:rsidR="00083BE7">
              <w:t xml:space="preserve"> children</w:t>
            </w:r>
            <w:r w:rsidR="00EF7B04">
              <w:t xml:space="preserve"> were born with either unilateral or bilateral permanent childhood hearing impairment. </w:t>
            </w:r>
          </w:p>
          <w:p w14:paraId="706AE585" w14:textId="73450AC2" w:rsidR="00275869" w:rsidRDefault="009E69CF" w:rsidP="007176F0">
            <w:pPr>
              <w:pStyle w:val="ListBullet"/>
            </w:pPr>
            <w:r>
              <w:t xml:space="preserve">Population cohorts with a higher prevalence of hearing loss include </w:t>
            </w:r>
            <w:r w:rsidR="005D7804">
              <w:t>Aboriginal and</w:t>
            </w:r>
            <w:r w:rsidR="00E330A8">
              <w:t>/or</w:t>
            </w:r>
            <w:r w:rsidR="005D7804">
              <w:t xml:space="preserve"> Torres Strait Islander people and veterans.</w:t>
            </w:r>
          </w:p>
          <w:p w14:paraId="77A7D656" w14:textId="1109EC17" w:rsidR="00872B25" w:rsidRDefault="009C727B" w:rsidP="007176F0">
            <w:pPr>
              <w:pStyle w:val="ListBullet"/>
            </w:pPr>
            <w:r>
              <w:t xml:space="preserve">There are two Practitioner Professional Bodies </w:t>
            </w:r>
            <w:r w:rsidR="00F32AB4">
              <w:t xml:space="preserve">(PPBs) </w:t>
            </w:r>
            <w:r>
              <w:t>representing audiologists</w:t>
            </w:r>
            <w:r w:rsidR="007E0FCA">
              <w:t xml:space="preserve">, </w:t>
            </w:r>
            <w:r>
              <w:t xml:space="preserve">Audiology Australia </w:t>
            </w:r>
            <w:r w:rsidR="00E96F44">
              <w:t xml:space="preserve">(AudA) </w:t>
            </w:r>
            <w:r>
              <w:t>and the Australian College of Audiology incorporating Hearing Aid Audiology Society of Australia</w:t>
            </w:r>
            <w:r w:rsidR="00E96F44">
              <w:t xml:space="preserve"> (AcAud inc. HAASA)</w:t>
            </w:r>
            <w:r w:rsidR="007E0FCA">
              <w:t>.</w:t>
            </w:r>
          </w:p>
          <w:p w14:paraId="64A49189" w14:textId="5505124C" w:rsidR="00293B8F" w:rsidRDefault="00293B8F" w:rsidP="007176F0">
            <w:pPr>
              <w:pStyle w:val="ListBullet"/>
            </w:pPr>
            <w:r>
              <w:t>Audiology is a self-regulated profession</w:t>
            </w:r>
            <w:r w:rsidR="00D66869">
              <w:t xml:space="preserve"> (i.e. it is not a registered profession under the National Law). </w:t>
            </w:r>
          </w:p>
          <w:p w14:paraId="52D384E8" w14:textId="3B370DD0" w:rsidR="007E0FCA" w:rsidRDefault="00DA6673" w:rsidP="007176F0">
            <w:pPr>
              <w:pStyle w:val="ListBullet"/>
            </w:pPr>
            <w:r>
              <w:t>As a signal of currency of clinical skills</w:t>
            </w:r>
            <w:r w:rsidR="004F4AEB">
              <w:t xml:space="preserve"> – </w:t>
            </w:r>
            <w:r w:rsidR="007D4905">
              <w:t>holding current clinical certification as an audiologist in</w:t>
            </w:r>
            <w:r w:rsidR="00355C17">
              <w:t xml:space="preserve">cludes </w:t>
            </w:r>
            <w:r w:rsidR="004F4AEB">
              <w:t>the completion of a clinical internship, and ongoi</w:t>
            </w:r>
            <w:r w:rsidR="0032204E">
              <w:t>n</w:t>
            </w:r>
            <w:r w:rsidR="004F4AEB">
              <w:t xml:space="preserve">g compliance with continuing professional development requirements and recency and resumption of practice </w:t>
            </w:r>
            <w:r w:rsidR="00293B8F">
              <w:t xml:space="preserve">requirements. </w:t>
            </w:r>
            <w:r w:rsidR="002E7E2C">
              <w:t xml:space="preserve">Current clinical certification (either with or without </w:t>
            </w:r>
            <w:r w:rsidR="00F32AB4">
              <w:t>PPB membership) is a requirement for audiologists to receive funding under a range of specified programs.</w:t>
            </w:r>
          </w:p>
          <w:p w14:paraId="46E8B673" w14:textId="6983A689" w:rsidR="00982896" w:rsidRDefault="00294D7A" w:rsidP="007176F0">
            <w:pPr>
              <w:pStyle w:val="ListBullet"/>
            </w:pPr>
            <w:r>
              <w:t>In regard to complaints handling</w:t>
            </w:r>
            <w:r w:rsidR="00275357">
              <w:t xml:space="preserve"> of audiologists, the </w:t>
            </w:r>
            <w:r w:rsidR="00E81D7B">
              <w:t>remit</w:t>
            </w:r>
            <w:r w:rsidR="00CC6C69">
              <w:t xml:space="preserve"> of the </w:t>
            </w:r>
            <w:r w:rsidR="00997AA6">
              <w:t>sectoral</w:t>
            </w:r>
            <w:r w:rsidR="00275357">
              <w:t xml:space="preserve"> </w:t>
            </w:r>
            <w:r w:rsidR="00716C35">
              <w:t>Hea</w:t>
            </w:r>
            <w:r w:rsidR="002A4F48">
              <w:t>ring Professional Conduct and Complaints Body’s (HPCCB)</w:t>
            </w:r>
            <w:r w:rsidR="009F363E">
              <w:t xml:space="preserve"> powers is specific</w:t>
            </w:r>
            <w:r w:rsidR="00CC6C69">
              <w:t xml:space="preserve">ally linked to </w:t>
            </w:r>
            <w:r w:rsidR="009F363E">
              <w:t>the membership status and/or clinic</w:t>
            </w:r>
            <w:r w:rsidR="00275357">
              <w:t xml:space="preserve">al certification status of the </w:t>
            </w:r>
            <w:r w:rsidR="00A62086">
              <w:t xml:space="preserve">audiologist involved. The </w:t>
            </w:r>
            <w:r w:rsidR="002A4F48">
              <w:t>HPCCB</w:t>
            </w:r>
            <w:r w:rsidR="00A62086">
              <w:t xml:space="preserve"> is not able to prohibit an audiologist from practising their professio</w:t>
            </w:r>
            <w:r w:rsidR="00486D56">
              <w:t>n</w:t>
            </w:r>
            <w:r w:rsidR="00A62086">
              <w:t xml:space="preserve">. </w:t>
            </w:r>
          </w:p>
          <w:p w14:paraId="2AE07792" w14:textId="3BF2F1F3" w:rsidR="0032204E" w:rsidRDefault="00A62086" w:rsidP="007176F0">
            <w:pPr>
              <w:pStyle w:val="ListBullet"/>
            </w:pPr>
            <w:r>
              <w:t xml:space="preserve">Six of eight </w:t>
            </w:r>
            <w:r w:rsidR="00F863B8">
              <w:t>jurisdictions</w:t>
            </w:r>
            <w:r>
              <w:t xml:space="preserve"> in Australia have enacted the National Code of Conduct for Health Care Worker</w:t>
            </w:r>
            <w:r w:rsidR="00E55F41">
              <w:t>s</w:t>
            </w:r>
            <w:r w:rsidR="007070F0">
              <w:t xml:space="preserve">, which applies to </w:t>
            </w:r>
            <w:r w:rsidR="00206B25">
              <w:t xml:space="preserve">a self-regulated profession such as </w:t>
            </w:r>
            <w:r w:rsidR="007070F0">
              <w:t>audiology</w:t>
            </w:r>
            <w:r w:rsidR="00030800">
              <w:t xml:space="preserve">. In these jurisdictions, </w:t>
            </w:r>
            <w:r w:rsidR="00287010">
              <w:t>un</w:t>
            </w:r>
            <w:r w:rsidR="008A7E6E">
              <w:t xml:space="preserve">der the relevant legislation </w:t>
            </w:r>
            <w:r w:rsidR="00030800">
              <w:t xml:space="preserve">the Health Complaints Entity is able to </w:t>
            </w:r>
            <w:r w:rsidR="00F1413D">
              <w:t xml:space="preserve">issue Interim Prohibition Orders and Prohibition Orders, which prohibit the delivery of part or all of a health service for the period specified, including permanently. There is mutual recognition of </w:t>
            </w:r>
            <w:r w:rsidR="00B834CD">
              <w:t>o</w:t>
            </w:r>
            <w:r w:rsidR="00F1413D">
              <w:t xml:space="preserve">rders made in other </w:t>
            </w:r>
            <w:r w:rsidR="00CE47B9">
              <w:t>s</w:t>
            </w:r>
            <w:r w:rsidR="00F1413D">
              <w:t xml:space="preserve">tates and </w:t>
            </w:r>
            <w:r w:rsidR="00CE47B9">
              <w:t>t</w:t>
            </w:r>
            <w:r w:rsidR="00F1413D">
              <w:t>erritories</w:t>
            </w:r>
            <w:r w:rsidR="00463B03">
              <w:t>. H</w:t>
            </w:r>
            <w:r w:rsidR="009E4A75">
              <w:t>owever</w:t>
            </w:r>
            <w:r w:rsidR="00463B03">
              <w:t>,</w:t>
            </w:r>
            <w:r w:rsidR="009E4A75">
              <w:t xml:space="preserve"> there is no </w:t>
            </w:r>
            <w:r w:rsidR="00E81D7B">
              <w:t>centralised</w:t>
            </w:r>
            <w:r w:rsidR="009E4A75">
              <w:t xml:space="preserve"> </w:t>
            </w:r>
            <w:r w:rsidR="00252428">
              <w:t xml:space="preserve">publicly-available </w:t>
            </w:r>
            <w:r w:rsidR="009E4A75">
              <w:t xml:space="preserve">register of </w:t>
            </w:r>
            <w:r w:rsidR="00252428">
              <w:t xml:space="preserve">health professionals </w:t>
            </w:r>
            <w:r w:rsidR="00A731F5">
              <w:t xml:space="preserve">that are the subject of an </w:t>
            </w:r>
            <w:r w:rsidR="00B834CD">
              <w:t>o</w:t>
            </w:r>
            <w:r w:rsidR="00E81D7B">
              <w:t>rder</w:t>
            </w:r>
            <w:r w:rsidR="00252428">
              <w:t>.</w:t>
            </w:r>
          </w:p>
        </w:tc>
      </w:tr>
    </w:tbl>
    <w:p w14:paraId="459E8A16" w14:textId="77777777" w:rsidR="00083A74" w:rsidRDefault="00083A74" w:rsidP="007176F0">
      <w:pPr>
        <w:pStyle w:val="BodyText"/>
      </w:pPr>
    </w:p>
    <w:p w14:paraId="37F081E7" w14:textId="63B22E13" w:rsidR="00987774" w:rsidRDefault="00987774" w:rsidP="00277B20">
      <w:pPr>
        <w:pStyle w:val="Heading2"/>
      </w:pPr>
      <w:bookmarkStart w:id="22" w:name="_Toc198138562"/>
      <w:r>
        <w:t xml:space="preserve">Overview of </w:t>
      </w:r>
      <w:r w:rsidRPr="00277B20">
        <w:t>hearing</w:t>
      </w:r>
      <w:r>
        <w:t xml:space="preserve"> loss, </w:t>
      </w:r>
      <w:r w:rsidRPr="001D6878">
        <w:t>vestibular</w:t>
      </w:r>
      <w:r>
        <w:t xml:space="preserve"> </w:t>
      </w:r>
      <w:r w:rsidR="001141DF">
        <w:t xml:space="preserve">disorders </w:t>
      </w:r>
      <w:r>
        <w:t>and tinnitus</w:t>
      </w:r>
      <w:bookmarkEnd w:id="20"/>
      <w:bookmarkEnd w:id="21"/>
      <w:bookmarkEnd w:id="22"/>
    </w:p>
    <w:p w14:paraId="20B45A4E" w14:textId="4B2169A4" w:rsidR="00987774" w:rsidRDefault="00987774" w:rsidP="00551E91">
      <w:pPr>
        <w:pStyle w:val="BodyText"/>
      </w:pPr>
      <w:r>
        <w:t xml:space="preserve">This section provides a summary of relevant information in relation to hearing loss, vestibular and balance issues and tinnitus. In relation to hearing loss, additional information is provided regarding neonatal screening and paediatric cochlear implantation. This material is provided for additional context in relation to issues described in </w:t>
      </w:r>
      <w:r w:rsidR="00E97AEB">
        <w:t>Chapter 3</w:t>
      </w:r>
      <w:r>
        <w:t>.</w:t>
      </w:r>
    </w:p>
    <w:p w14:paraId="41F91E94" w14:textId="77777777" w:rsidR="00987774" w:rsidRDefault="00987774" w:rsidP="00952457">
      <w:pPr>
        <w:pStyle w:val="Heading3"/>
      </w:pPr>
      <w:bookmarkStart w:id="23" w:name="_Ref169790204"/>
      <w:bookmarkStart w:id="24" w:name="_Toc171324720"/>
      <w:bookmarkStart w:id="25" w:name="_Toc198138563"/>
      <w:r>
        <w:t xml:space="preserve">Overview of </w:t>
      </w:r>
      <w:r w:rsidRPr="00277B20">
        <w:t>hearing</w:t>
      </w:r>
      <w:r>
        <w:t xml:space="preserve"> </w:t>
      </w:r>
      <w:r w:rsidRPr="000952B0">
        <w:t>loss</w:t>
      </w:r>
      <w:bookmarkEnd w:id="23"/>
      <w:bookmarkEnd w:id="24"/>
      <w:bookmarkEnd w:id="25"/>
    </w:p>
    <w:p w14:paraId="0D16EF1B" w14:textId="77777777" w:rsidR="00987774" w:rsidRDefault="00987774" w:rsidP="00551E91">
      <w:pPr>
        <w:pStyle w:val="BodyText"/>
        <w:rPr>
          <w:iCs/>
        </w:rPr>
      </w:pPr>
      <w:r>
        <w:t>There are three main types of hearing loss, which include:</w:t>
      </w:r>
    </w:p>
    <w:p w14:paraId="43DFA265" w14:textId="77777777" w:rsidR="00987774" w:rsidRDefault="00987774" w:rsidP="00551E91">
      <w:pPr>
        <w:pStyle w:val="ListBullet"/>
      </w:pPr>
      <w:r w:rsidRPr="007A5CF3">
        <w:rPr>
          <w:b/>
        </w:rPr>
        <w:t>Conductive hearing loss</w:t>
      </w:r>
      <w:r>
        <w:rPr>
          <w:b/>
        </w:rPr>
        <w:t xml:space="preserve">. </w:t>
      </w:r>
      <w:r w:rsidRPr="00606271">
        <w:rPr>
          <w:bCs/>
        </w:rPr>
        <w:t>Conductive hearing loss occurs</w:t>
      </w:r>
      <w:r>
        <w:t xml:space="preserve"> when there are </w:t>
      </w:r>
      <w:r w:rsidRPr="0023522E">
        <w:t>problems with the outer and/or middle ear</w:t>
      </w:r>
      <w:r>
        <w:t xml:space="preserve"> which prevent the entire sound signal from reaching the inner ear. Most commonly, this is due to </w:t>
      </w:r>
      <w:r w:rsidRPr="007A5CF3">
        <w:t>fluid in the middle ear (ear infection), a perforated eardrum, wax build up or damage to the bones in the middle ear</w:t>
      </w:r>
      <w:r>
        <w:t>.</w:t>
      </w:r>
      <w:r>
        <w:rPr>
          <w:rStyle w:val="FootnoteReference"/>
        </w:rPr>
        <w:footnoteReference w:id="9"/>
      </w:r>
    </w:p>
    <w:p w14:paraId="7565D062" w14:textId="02DE79EC" w:rsidR="00987774" w:rsidRDefault="00987774" w:rsidP="00551E91">
      <w:pPr>
        <w:pStyle w:val="ListBullet"/>
      </w:pPr>
      <w:r w:rsidRPr="00BF6541">
        <w:rPr>
          <w:b/>
        </w:rPr>
        <w:t>Sensorineural hearing loss</w:t>
      </w:r>
      <w:r>
        <w:rPr>
          <w:b/>
        </w:rPr>
        <w:t xml:space="preserve">. </w:t>
      </w:r>
      <w:r w:rsidRPr="0072255C">
        <w:rPr>
          <w:bCs/>
        </w:rPr>
        <w:t>Sensorineural hearing loss is</w:t>
      </w:r>
      <w:r>
        <w:t xml:space="preserve"> the most common cause of hearing loss and is due to damage to the inner ear. This damage may be to the hair cells of the cochlea or damage to the fibres of the auditory nerve. </w:t>
      </w:r>
      <w:r w:rsidRPr="00BF6541">
        <w:t>This form</w:t>
      </w:r>
      <w:r>
        <w:t xml:space="preserve"> of hearing loss </w:t>
      </w:r>
      <w:r w:rsidRPr="00BF6541">
        <w:t>can be caused by genetics, ageing,</w:t>
      </w:r>
      <w:r>
        <w:t xml:space="preserve"> noise </w:t>
      </w:r>
      <w:r w:rsidRPr="00BF6541">
        <w:t>damage or disease</w:t>
      </w:r>
      <w:r>
        <w:t>.</w:t>
      </w:r>
      <w:r>
        <w:rPr>
          <w:rStyle w:val="FootnoteReference"/>
        </w:rPr>
        <w:footnoteReference w:id="10"/>
      </w:r>
      <w:r>
        <w:t xml:space="preserve"> Generally, sensorineural hearing loss is not medically or surgically treatable, with recommended treatment commonly hearing aids.</w:t>
      </w:r>
      <w:r>
        <w:rPr>
          <w:rStyle w:val="FootnoteReference"/>
        </w:rPr>
        <w:footnoteReference w:id="11"/>
      </w:r>
      <w:r>
        <w:t xml:space="preserve"> People with severe to profound sensorineural hearing loss may also consider treatment with cochlear implants.</w:t>
      </w:r>
      <w:r w:rsidRPr="00BF6541">
        <w:rPr>
          <w:rStyle w:val="FootnoteReference"/>
        </w:rPr>
        <w:t xml:space="preserve"> </w:t>
      </w:r>
      <w:r>
        <w:rPr>
          <w:rStyle w:val="FootnoteReference"/>
        </w:rPr>
        <w:footnoteReference w:id="12"/>
      </w:r>
      <w:r>
        <w:rPr>
          <w:rStyle w:val="FootnoteReference"/>
        </w:rPr>
        <w:t>,</w:t>
      </w:r>
      <w:r>
        <w:rPr>
          <w:rStyle w:val="FootnoteReference"/>
        </w:rPr>
        <w:footnoteReference w:id="13"/>
      </w:r>
    </w:p>
    <w:p w14:paraId="5DF83BAE" w14:textId="77777777" w:rsidR="00987774" w:rsidRDefault="00987774" w:rsidP="00551E91">
      <w:pPr>
        <w:pStyle w:val="ListBullet"/>
      </w:pPr>
      <w:r w:rsidRPr="00C66776">
        <w:rPr>
          <w:b/>
          <w:bCs/>
        </w:rPr>
        <w:t>Mixed hearing loss</w:t>
      </w:r>
      <w:r>
        <w:rPr>
          <w:b/>
          <w:bCs/>
        </w:rPr>
        <w:t xml:space="preserve">. </w:t>
      </w:r>
      <w:r w:rsidRPr="0072255C">
        <w:t>Mixed hearing loss</w:t>
      </w:r>
      <w:r>
        <w:t xml:space="preserve"> occurs when a person has both a conductive hearing loss and a sensorineural hearing loss. The conductive component of the hearing loss may receive medical treatment and resolve, while the remaining sensorineural portion of the hearing loss is treated with hearing aids.</w:t>
      </w:r>
      <w:r>
        <w:rPr>
          <w:rStyle w:val="FootnoteReference"/>
        </w:rPr>
        <w:footnoteReference w:id="14"/>
      </w:r>
    </w:p>
    <w:p w14:paraId="17167AA0" w14:textId="733D97EE" w:rsidR="00987774" w:rsidRPr="00323C20" w:rsidRDefault="00323C20" w:rsidP="00D87B0A">
      <w:pPr>
        <w:pStyle w:val="BodyText"/>
        <w:keepNext/>
      </w:pPr>
      <w:r w:rsidRPr="00323C20">
        <w:fldChar w:fldCharType="begin"/>
      </w:r>
      <w:r w:rsidRPr="00323C20">
        <w:instrText xml:space="preserve"> REF _Ref172038286 \h </w:instrText>
      </w:r>
      <w:r>
        <w:instrText xml:space="preserve"> \* MERGEFORMAT </w:instrText>
      </w:r>
      <w:r w:rsidRPr="00323C20">
        <w:fldChar w:fldCharType="separate"/>
      </w:r>
      <w:r w:rsidR="00F32107">
        <w:t>Table 2.1</w:t>
      </w:r>
      <w:r w:rsidRPr="00323C20">
        <w:fldChar w:fldCharType="end"/>
      </w:r>
      <w:r w:rsidRPr="00323C20">
        <w:t xml:space="preserve"> </w:t>
      </w:r>
      <w:r w:rsidR="00987774" w:rsidRPr="00323C20">
        <w:t>describes the classification of hearing impairment grades used in Australia.</w:t>
      </w:r>
      <w:r w:rsidR="006C7BD2">
        <w:rPr>
          <w:rStyle w:val="FootnoteReference"/>
        </w:rPr>
        <w:footnoteReference w:id="15"/>
      </w:r>
    </w:p>
    <w:p w14:paraId="5A515CF0" w14:textId="3354823D" w:rsidR="00323C20" w:rsidRDefault="00323C20" w:rsidP="00D87B0A">
      <w:pPr>
        <w:pStyle w:val="Caption"/>
        <w:keepNext/>
      </w:pPr>
      <w:bookmarkStart w:id="26" w:name="_Ref172038286"/>
      <w:r>
        <w:t xml:space="preserve">Table </w:t>
      </w:r>
      <w:fldSimple w:instr=" STYLEREF 1 \s ">
        <w:r w:rsidR="00F32107">
          <w:rPr>
            <w:noProof/>
          </w:rPr>
          <w:t>2</w:t>
        </w:r>
      </w:fldSimple>
      <w:r w:rsidR="008944FB">
        <w:t>.</w:t>
      </w:r>
      <w:fldSimple w:instr=" SEQ Table \* ARABIC \s 1 ">
        <w:r w:rsidR="00F32107">
          <w:rPr>
            <w:noProof/>
          </w:rPr>
          <w:t>1</w:t>
        </w:r>
      </w:fldSimple>
      <w:bookmarkEnd w:id="26"/>
      <w:r>
        <w:t xml:space="preserve"> </w:t>
      </w:r>
      <w:r w:rsidR="00AF1C4A">
        <w:t xml:space="preserve">Australian Government </w:t>
      </w:r>
      <w:r>
        <w:t>Department of Health</w:t>
      </w:r>
      <w:r w:rsidR="00AF1C4A">
        <w:t xml:space="preserve"> and Aged Care</w:t>
      </w:r>
      <w:r>
        <w:t xml:space="preserve"> classification of hearing impairment</w:t>
      </w:r>
    </w:p>
    <w:tbl>
      <w:tblPr>
        <w:tblStyle w:val="BodyTable"/>
        <w:tblW w:w="9265" w:type="dxa"/>
        <w:tblLook w:val="0420" w:firstRow="1" w:lastRow="0" w:firstColumn="0" w:lastColumn="0" w:noHBand="0" w:noVBand="1"/>
      </w:tblPr>
      <w:tblGrid>
        <w:gridCol w:w="2977"/>
        <w:gridCol w:w="6288"/>
      </w:tblGrid>
      <w:tr w:rsidR="00980B5B" w:rsidRPr="00D62752" w14:paraId="1659F0F4" w14:textId="77777777" w:rsidTr="00443338">
        <w:trPr>
          <w:cnfStyle w:val="100000000000" w:firstRow="1" w:lastRow="0" w:firstColumn="0" w:lastColumn="0" w:oddVBand="0" w:evenVBand="0" w:oddHBand="0" w:evenHBand="0" w:firstRowFirstColumn="0" w:firstRowLastColumn="0" w:lastRowFirstColumn="0" w:lastRowLastColumn="0"/>
          <w:trHeight w:val="192"/>
        </w:trPr>
        <w:tc>
          <w:tcPr>
            <w:tcW w:w="2977" w:type="dxa"/>
            <w:hideMark/>
          </w:tcPr>
          <w:p w14:paraId="62D73F79" w14:textId="77777777" w:rsidR="00980B5B" w:rsidRPr="00EB13FA" w:rsidRDefault="00980B5B">
            <w:pPr>
              <w:keepNext/>
              <w:rPr>
                <w:rFonts w:eastAsia="Times New Roman" w:cs="Calibri Light"/>
                <w:szCs w:val="20"/>
                <w:lang w:eastAsia="en-AU"/>
              </w:rPr>
            </w:pPr>
            <w:r w:rsidRPr="00EB13FA">
              <w:rPr>
                <w:rFonts w:eastAsia="Calibri" w:cs="Calibri Light"/>
                <w:b/>
                <w:color w:val="000000" w:themeColor="dark1"/>
                <w:kern w:val="24"/>
                <w:szCs w:val="20"/>
                <w:lang w:eastAsia="en-AU"/>
              </w:rPr>
              <w:t>Grade of impairment</w:t>
            </w:r>
          </w:p>
        </w:tc>
        <w:tc>
          <w:tcPr>
            <w:tcW w:w="6288" w:type="dxa"/>
            <w:hideMark/>
          </w:tcPr>
          <w:p w14:paraId="76AAED2E" w14:textId="77777777" w:rsidR="00980B5B" w:rsidRPr="00EB13FA" w:rsidRDefault="00980B5B">
            <w:pPr>
              <w:keepNext/>
              <w:rPr>
                <w:rFonts w:eastAsia="Times New Roman" w:cs="Calibri Light"/>
                <w:szCs w:val="20"/>
                <w:lang w:eastAsia="en-AU"/>
              </w:rPr>
            </w:pPr>
            <w:r w:rsidRPr="00EB13FA">
              <w:rPr>
                <w:rFonts w:eastAsia="Calibri" w:cs="Calibri Light"/>
                <w:b/>
                <w:color w:val="000000" w:themeColor="dark1"/>
                <w:kern w:val="24"/>
                <w:szCs w:val="20"/>
                <w:lang w:eastAsia="en-AU"/>
              </w:rPr>
              <w:t>Definition</w:t>
            </w:r>
          </w:p>
        </w:tc>
      </w:tr>
      <w:tr w:rsidR="00980B5B" w:rsidRPr="00D62752" w14:paraId="7626A1DF" w14:textId="77777777" w:rsidTr="00E95BF0">
        <w:trPr>
          <w:trHeight w:val="337"/>
        </w:trPr>
        <w:tc>
          <w:tcPr>
            <w:tcW w:w="2977" w:type="dxa"/>
            <w:hideMark/>
          </w:tcPr>
          <w:p w14:paraId="137D8235"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 xml:space="preserve">Normal hearing - 0-20 decibels (dB) </w:t>
            </w:r>
          </w:p>
        </w:tc>
        <w:tc>
          <w:tcPr>
            <w:tcW w:w="6288" w:type="dxa"/>
            <w:hideMark/>
          </w:tcPr>
          <w:p w14:paraId="50F8DC42"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No effects in good listening environment</w:t>
            </w:r>
          </w:p>
        </w:tc>
      </w:tr>
      <w:tr w:rsidR="00980B5B" w:rsidRPr="00D62752" w14:paraId="3F439F30" w14:textId="77777777" w:rsidTr="00E95BF0">
        <w:trPr>
          <w:trHeight w:val="337"/>
        </w:trPr>
        <w:tc>
          <w:tcPr>
            <w:tcW w:w="2977" w:type="dxa"/>
            <w:hideMark/>
          </w:tcPr>
          <w:p w14:paraId="431CD64E"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Mild – 21-45 dB</w:t>
            </w:r>
          </w:p>
        </w:tc>
        <w:tc>
          <w:tcPr>
            <w:tcW w:w="6288" w:type="dxa"/>
            <w:hideMark/>
          </w:tcPr>
          <w:p w14:paraId="44565690"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Understanding speech can be difficult especially in a noisy environment</w:t>
            </w:r>
          </w:p>
        </w:tc>
      </w:tr>
      <w:tr w:rsidR="00980B5B" w:rsidRPr="00D62752" w14:paraId="6E90DD48" w14:textId="77777777" w:rsidTr="00E95BF0">
        <w:trPr>
          <w:trHeight w:val="337"/>
        </w:trPr>
        <w:tc>
          <w:tcPr>
            <w:tcW w:w="2977" w:type="dxa"/>
            <w:hideMark/>
          </w:tcPr>
          <w:p w14:paraId="203EDC37"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Moderate - 46-65 dB</w:t>
            </w:r>
          </w:p>
        </w:tc>
        <w:tc>
          <w:tcPr>
            <w:tcW w:w="6288" w:type="dxa"/>
            <w:hideMark/>
          </w:tcPr>
          <w:p w14:paraId="2692F369"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Has trouble hearing and understanding in ideal conditions</w:t>
            </w:r>
          </w:p>
        </w:tc>
      </w:tr>
      <w:tr w:rsidR="00980B5B" w:rsidRPr="00D62752" w14:paraId="2C916D13" w14:textId="77777777" w:rsidTr="00E95BF0">
        <w:trPr>
          <w:trHeight w:val="337"/>
        </w:trPr>
        <w:tc>
          <w:tcPr>
            <w:tcW w:w="2977" w:type="dxa"/>
            <w:hideMark/>
          </w:tcPr>
          <w:p w14:paraId="468600B4"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Severe - 66-90 dB</w:t>
            </w:r>
          </w:p>
        </w:tc>
        <w:tc>
          <w:tcPr>
            <w:tcW w:w="6288" w:type="dxa"/>
            <w:hideMark/>
          </w:tcPr>
          <w:p w14:paraId="1DD5C273"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Unable to hear normal speech, depends on visual clues such as speech reading or sign language</w:t>
            </w:r>
          </w:p>
        </w:tc>
      </w:tr>
      <w:tr w:rsidR="00980B5B" w:rsidRPr="00D62752" w14:paraId="44060C36" w14:textId="77777777" w:rsidTr="00E95BF0">
        <w:trPr>
          <w:trHeight w:val="337"/>
        </w:trPr>
        <w:tc>
          <w:tcPr>
            <w:tcW w:w="2977" w:type="dxa"/>
            <w:hideMark/>
          </w:tcPr>
          <w:p w14:paraId="62124DB0"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Profound - Over 91 dB</w:t>
            </w:r>
          </w:p>
        </w:tc>
        <w:tc>
          <w:tcPr>
            <w:tcW w:w="6288" w:type="dxa"/>
            <w:hideMark/>
          </w:tcPr>
          <w:p w14:paraId="733B4654" w14:textId="77777777" w:rsidR="00980B5B" w:rsidRPr="00EB13FA" w:rsidRDefault="00980B5B">
            <w:pPr>
              <w:keepNext/>
              <w:rPr>
                <w:rFonts w:eastAsia="Times New Roman" w:cs="Calibri Light"/>
                <w:szCs w:val="20"/>
                <w:lang w:eastAsia="en-AU"/>
              </w:rPr>
            </w:pPr>
            <w:r w:rsidRPr="00EB13FA">
              <w:rPr>
                <w:rFonts w:eastAsia="Calibri" w:cs="Calibri Light"/>
                <w:color w:val="000000" w:themeColor="dark1"/>
                <w:kern w:val="24"/>
                <w:szCs w:val="20"/>
                <w:lang w:eastAsia="en-AU"/>
              </w:rPr>
              <w:t>May hear some loud sounds but does not rely on hearing as the primary channel for communication</w:t>
            </w:r>
          </w:p>
        </w:tc>
      </w:tr>
    </w:tbl>
    <w:p w14:paraId="711B698F" w14:textId="290F93C1" w:rsidR="00BC51D7" w:rsidRDefault="00E3631A" w:rsidP="00BC51D7">
      <w:pPr>
        <w:pStyle w:val="BodyText"/>
        <w:rPr>
          <w:color w:val="7F7F7F" w:themeColor="text1" w:themeTint="80"/>
          <w:sz w:val="14"/>
          <w:szCs w:val="14"/>
        </w:rPr>
      </w:pPr>
      <w:r w:rsidRPr="00E3631A">
        <w:rPr>
          <w:color w:val="7F7F7F" w:themeColor="text1" w:themeTint="80"/>
          <w:sz w:val="14"/>
          <w:szCs w:val="14"/>
        </w:rPr>
        <w:t>Source: Department of Health</w:t>
      </w:r>
      <w:r w:rsidR="00AF1C4A">
        <w:rPr>
          <w:color w:val="7F7F7F" w:themeColor="text1" w:themeTint="80"/>
          <w:sz w:val="14"/>
          <w:szCs w:val="14"/>
        </w:rPr>
        <w:t xml:space="preserve"> and Aged Care</w:t>
      </w:r>
    </w:p>
    <w:p w14:paraId="37F0A2FA" w14:textId="77777777" w:rsidR="000A27B7" w:rsidRDefault="000A27B7" w:rsidP="00952457">
      <w:pPr>
        <w:pStyle w:val="Heading4"/>
      </w:pPr>
      <w:r w:rsidRPr="00277B20">
        <w:t>Prevalence</w:t>
      </w:r>
      <w:r>
        <w:t xml:space="preserve"> of hearing loss</w:t>
      </w:r>
    </w:p>
    <w:p w14:paraId="25A91B4D" w14:textId="77777777" w:rsidR="000A27B7" w:rsidRDefault="000A27B7" w:rsidP="000A27B7">
      <w:pPr>
        <w:pStyle w:val="BodyText"/>
      </w:pPr>
      <w:r>
        <w:t>In relation to prevalence of hearing loss in Australia:</w:t>
      </w:r>
    </w:p>
    <w:p w14:paraId="63892194" w14:textId="77777777" w:rsidR="000A27B7" w:rsidRDefault="000A27B7" w:rsidP="0067476B">
      <w:pPr>
        <w:pStyle w:val="ListBullet"/>
      </w:pPr>
      <w:r>
        <w:t>From the National Framework for Neonatal Hearing Screening:</w:t>
      </w:r>
      <w:r>
        <w:rPr>
          <w:rStyle w:val="FootnoteReference"/>
        </w:rPr>
        <w:footnoteReference w:id="16"/>
      </w:r>
    </w:p>
    <w:p w14:paraId="1EDA04FB" w14:textId="77777777" w:rsidR="000A27B7" w:rsidRDefault="000A27B7" w:rsidP="0067476B">
      <w:pPr>
        <w:pStyle w:val="BulletList2Column"/>
      </w:pPr>
      <w:r>
        <w:t>unilateral permanent childhood hearing impairment (PCHI) of moderate to profound severity occurs in 0.6 per 1,000 babies</w:t>
      </w:r>
    </w:p>
    <w:p w14:paraId="2CFDDF56" w14:textId="77777777" w:rsidR="000A27B7" w:rsidRDefault="000A27B7" w:rsidP="0067476B">
      <w:pPr>
        <w:pStyle w:val="BulletList2Column"/>
      </w:pPr>
      <w:r>
        <w:t>bilateral PCHI of moderate to profound severity occurs in 1.3 per 1,000 babies</w:t>
      </w:r>
      <w:r w:rsidRPr="00AC25D1">
        <w:t xml:space="preserve">. </w:t>
      </w:r>
    </w:p>
    <w:p w14:paraId="226DAB07" w14:textId="45537413" w:rsidR="000A27B7" w:rsidRDefault="000A27B7" w:rsidP="0067476B">
      <w:pPr>
        <w:pStyle w:val="ListBullet"/>
      </w:pPr>
      <w:r>
        <w:t xml:space="preserve">With </w:t>
      </w:r>
      <w:r w:rsidR="00360B88">
        <w:t>28</w:t>
      </w:r>
      <w:r w:rsidR="002C60C1">
        <w:t>6,998</w:t>
      </w:r>
      <w:r>
        <w:t xml:space="preserve"> registered births recorded in 202</w:t>
      </w:r>
      <w:r w:rsidR="002C60C1">
        <w:t>3</w:t>
      </w:r>
      <w:r>
        <w:rPr>
          <w:rStyle w:val="FootnoteReference"/>
        </w:rPr>
        <w:footnoteReference w:id="17"/>
      </w:r>
      <w:r>
        <w:t xml:space="preserve">, this equates to approximately </w:t>
      </w:r>
      <w:r w:rsidR="00C95598">
        <w:t xml:space="preserve">545 </w:t>
      </w:r>
      <w:r>
        <w:t>children</w:t>
      </w:r>
      <w:r w:rsidR="00FD08B4">
        <w:t xml:space="preserve"> with </w:t>
      </w:r>
      <w:r w:rsidR="00D83E8E">
        <w:t xml:space="preserve">either </w:t>
      </w:r>
      <w:r w:rsidR="00523129">
        <w:t>unilateral</w:t>
      </w:r>
      <w:r w:rsidR="00D83E8E">
        <w:t xml:space="preserve"> or bilateral PCHI</w:t>
      </w:r>
      <w:r>
        <w:t>.</w:t>
      </w:r>
    </w:p>
    <w:p w14:paraId="6446FBA4" w14:textId="12F28DCA" w:rsidR="000A27B7" w:rsidRDefault="000A27B7" w:rsidP="0067476B">
      <w:pPr>
        <w:pStyle w:val="ListBullet"/>
      </w:pPr>
      <w:r>
        <w:t xml:space="preserve">According to </w:t>
      </w:r>
      <w:r w:rsidRPr="00AC25D1">
        <w:t>First Voice</w:t>
      </w:r>
      <w:r>
        <w:t xml:space="preserve">, </w:t>
      </w:r>
      <w:r w:rsidRPr="00AC25D1">
        <w:t xml:space="preserve">by </w:t>
      </w:r>
      <w:r>
        <w:t>the time of entry into school</w:t>
      </w:r>
      <w:r w:rsidRPr="00AC25D1">
        <w:t xml:space="preserve"> the rate of hearing loss increases to approximately </w:t>
      </w:r>
      <w:r>
        <w:t>3</w:t>
      </w:r>
      <w:r w:rsidRPr="00AC25D1">
        <w:t xml:space="preserve"> in every </w:t>
      </w:r>
      <w:r>
        <w:t>1,000</w:t>
      </w:r>
      <w:r w:rsidRPr="00AC25D1">
        <w:t xml:space="preserve"> childre</w:t>
      </w:r>
      <w:r>
        <w:t>n. This is due</w:t>
      </w:r>
      <w:r w:rsidRPr="00AC25D1">
        <w:t xml:space="preserve"> to a </w:t>
      </w:r>
      <w:r>
        <w:t>range of causes</w:t>
      </w:r>
      <w:r w:rsidRPr="00AC25D1">
        <w:t xml:space="preserve"> including a failure to detect a hearing loss at birth</w:t>
      </w:r>
      <w:r w:rsidR="00246694">
        <w:t>,</w:t>
      </w:r>
      <w:r w:rsidRPr="00AC25D1">
        <w:t xml:space="preserve"> trauma, infections and childhood diseases</w:t>
      </w:r>
      <w:r>
        <w:t>, or</w:t>
      </w:r>
      <w:r w:rsidRPr="00AC25D1">
        <w:t xml:space="preserve"> progressive hearing loss.</w:t>
      </w:r>
      <w:r>
        <w:rPr>
          <w:rStyle w:val="FootnoteReference"/>
        </w:rPr>
        <w:footnoteReference w:id="18"/>
      </w:r>
    </w:p>
    <w:p w14:paraId="1230A317" w14:textId="2D98D9AA" w:rsidR="000A27B7" w:rsidRDefault="000A27B7" w:rsidP="0067476B">
      <w:pPr>
        <w:pStyle w:val="ListBullet"/>
      </w:pPr>
      <w:r>
        <w:t xml:space="preserve">The prevalence of long-term hearing disorders increases with age. There is some discrepancy across literature in relation to prevalence in older populations, however the Australian Institute of Health and Welfare (AIHW) estimates this issue affects </w:t>
      </w:r>
      <w:r w:rsidR="00BA77D1">
        <w:t>50</w:t>
      </w:r>
      <w:r>
        <w:t>% of people aged 75 and over.</w:t>
      </w:r>
      <w:r>
        <w:rPr>
          <w:rStyle w:val="FootnoteReference"/>
        </w:rPr>
        <w:footnoteReference w:id="19"/>
      </w:r>
    </w:p>
    <w:p w14:paraId="6EED5B08" w14:textId="0B060898" w:rsidR="000A27B7" w:rsidRPr="00EA7E2F" w:rsidRDefault="000A27B7" w:rsidP="0067476B">
      <w:pPr>
        <w:pStyle w:val="ListBullet"/>
      </w:pPr>
      <w:r>
        <w:t xml:space="preserve">Population cohorts which have a higher prevalence of </w:t>
      </w:r>
      <w:r w:rsidR="009E69CF">
        <w:t>hearing loss</w:t>
      </w:r>
      <w:r>
        <w:t xml:space="preserve"> include:</w:t>
      </w:r>
    </w:p>
    <w:p w14:paraId="22CA2C28" w14:textId="3FF1BAE8" w:rsidR="000A27B7" w:rsidRDefault="000A27B7" w:rsidP="0067476B">
      <w:pPr>
        <w:pStyle w:val="BulletList2Column"/>
      </w:pPr>
      <w:r w:rsidRPr="00131BF2">
        <w:rPr>
          <w:b/>
        </w:rPr>
        <w:t>Aboriginal and</w:t>
      </w:r>
      <w:r w:rsidR="00B920FC">
        <w:rPr>
          <w:b/>
        </w:rPr>
        <w:t>/or</w:t>
      </w:r>
      <w:r w:rsidRPr="00131BF2">
        <w:rPr>
          <w:b/>
        </w:rPr>
        <w:t xml:space="preserve"> Torres Strait Islander populations</w:t>
      </w:r>
      <w:r>
        <w:t>. Hearing loss is highly prevalent among Aboriginal and</w:t>
      </w:r>
      <w:r w:rsidR="00B920FC">
        <w:t>/or</w:t>
      </w:r>
      <w:r>
        <w:t xml:space="preserve"> Torres Strait Islander people. According </w:t>
      </w:r>
      <w:r w:rsidRPr="00065665">
        <w:t>t</w:t>
      </w:r>
      <w:r>
        <w:t>o the National Aboriginal and Torres Strait Islander Health Survey (NATSIHS) conducted by the Australian Bureau of Statistics (ABS) in 2018-19, 14% of First Nations people self-reported having ear disease or hearing problems. Analysis conducted by AIHW using NATSIHS data found that after adjusting for the different age-structures between Indigenous and non-Indigenous populations, Indigenous people were 1.4 times more likely to self-report long-term ear or hearing problem</w:t>
      </w:r>
      <w:r w:rsidRPr="00065665">
        <w:t>s</w:t>
      </w:r>
      <w:r>
        <w:t>.</w:t>
      </w:r>
      <w:r w:rsidRPr="00065665">
        <w:rPr>
          <w:rStyle w:val="FootnoteReference"/>
        </w:rPr>
        <w:footnoteReference w:id="20"/>
      </w:r>
      <w:r>
        <w:t xml:space="preserve"> However, as part of the survey, a voluntary hearing test was offered to people over seven years without a cochlear implant. From these tests, 43% of Indigenous people aged </w:t>
      </w:r>
      <w:r w:rsidR="005026F9">
        <w:t>seven</w:t>
      </w:r>
      <w:r>
        <w:t xml:space="preserve"> and over were found to have hearing loss in one (20%) or both (23%) ears.</w:t>
      </w:r>
      <w:r>
        <w:rPr>
          <w:rStyle w:val="FootnoteReference"/>
        </w:rPr>
        <w:footnoteReference w:id="21"/>
      </w:r>
      <w:r>
        <w:t xml:space="preserve"> While discrepancies between self-reported rates and measured rates may be caused by the influence of short-term factors (the self-report question is worded as having experienced the condition or are expecting to have the condition for six months or more), an estimate of true prevalence in this population may be higher than known. Otitis media (inflammation of the middle ear), typically caused by bacterial and viral pathogens that also cause common childhood illnesses, is the key condition contributing to hearing loss among Indigenous children.</w:t>
      </w:r>
      <w:r>
        <w:rPr>
          <w:rStyle w:val="FootnoteReference"/>
        </w:rPr>
        <w:footnoteReference w:id="22"/>
      </w:r>
      <w:r>
        <w:t xml:space="preserve"> </w:t>
      </w:r>
    </w:p>
    <w:p w14:paraId="410CC3E3" w14:textId="30D35307" w:rsidR="000A27B7" w:rsidRDefault="000A27B7" w:rsidP="0067476B">
      <w:pPr>
        <w:pStyle w:val="BulletList2Column"/>
      </w:pPr>
      <w:r>
        <w:rPr>
          <w:b/>
        </w:rPr>
        <w:t>Veterans</w:t>
      </w:r>
      <w:r w:rsidRPr="00950FEE">
        <w:t>.</w:t>
      </w:r>
      <w:r>
        <w:t xml:space="preserve"> In the </w:t>
      </w:r>
      <w:r w:rsidRPr="00193816">
        <w:rPr>
          <w:i/>
          <w:iCs/>
        </w:rPr>
        <w:t>Still Waiting To Be Heard…</w:t>
      </w:r>
      <w:r>
        <w:t xml:space="preserve"> report, veterans were identified as an at-risk cohort due to prolonged noise exposure during their service (e.g., machinery or high-intensity impulse munitions). The Department of Veterans’ Affairs stated that for veterans of </w:t>
      </w:r>
      <w:r w:rsidR="003052AD">
        <w:t>Timor-Leste</w:t>
      </w:r>
      <w:r>
        <w:t xml:space="preserve">, Solomon Islands, Afghanistan and Iraq conflicts, tinnitus </w:t>
      </w:r>
      <w:r w:rsidR="00F16590">
        <w:t>wa</w:t>
      </w:r>
      <w:r>
        <w:t>s the second most common accepted health condition with sensorineural hearing loss the third-most common.</w:t>
      </w:r>
      <w:r>
        <w:rPr>
          <w:rStyle w:val="FootnoteReference"/>
        </w:rPr>
        <w:footnoteReference w:id="23"/>
      </w:r>
      <w:r>
        <w:t xml:space="preserve"> </w:t>
      </w:r>
    </w:p>
    <w:p w14:paraId="21C3AEA3" w14:textId="0C467C42" w:rsidR="000A27B7" w:rsidRDefault="000A27B7" w:rsidP="0067476B">
      <w:pPr>
        <w:pStyle w:val="ListBullet"/>
      </w:pPr>
      <w:r>
        <w:t>Due to the ageing of the Australian population</w:t>
      </w:r>
      <w:r w:rsidRPr="00EC28B5">
        <w:t>,</w:t>
      </w:r>
      <w:r>
        <w:t xml:space="preserve"> the </w:t>
      </w:r>
      <w:r w:rsidR="0096393F">
        <w:t xml:space="preserve">Australian Government </w:t>
      </w:r>
      <w:r>
        <w:t>Department of Health and Aged Care expects</w:t>
      </w:r>
      <w:r w:rsidRPr="00EC28B5">
        <w:t xml:space="preserve"> the number of people with a hearing impairment </w:t>
      </w:r>
      <w:r>
        <w:t>will</w:t>
      </w:r>
      <w:r w:rsidRPr="00EC28B5">
        <w:t xml:space="preserve"> double to an estimated 7.8 million people in 2060.</w:t>
      </w:r>
      <w:r>
        <w:rPr>
          <w:rStyle w:val="FootnoteReference"/>
        </w:rPr>
        <w:footnoteReference w:id="24"/>
      </w:r>
    </w:p>
    <w:p w14:paraId="6B0F6E84" w14:textId="77777777" w:rsidR="000A27B7" w:rsidRDefault="000A27B7" w:rsidP="00952457">
      <w:pPr>
        <w:pStyle w:val="Heading4"/>
      </w:pPr>
      <w:r>
        <w:t xml:space="preserve">Neonatal </w:t>
      </w:r>
      <w:r w:rsidRPr="00277B20">
        <w:t>screening</w:t>
      </w:r>
    </w:p>
    <w:p w14:paraId="4A0FACD9" w14:textId="74C1E290" w:rsidR="000A27B7" w:rsidRDefault="000A27B7" w:rsidP="0067476B">
      <w:pPr>
        <w:pStyle w:val="BodyText"/>
      </w:pPr>
      <w:r w:rsidRPr="00B97EE8">
        <w:t xml:space="preserve">All </w:t>
      </w:r>
      <w:r>
        <w:t>jurisdictions</w:t>
      </w:r>
      <w:r w:rsidRPr="00B97EE8">
        <w:t xml:space="preserve"> in Australia have universal neonatal hearing screening.</w:t>
      </w:r>
      <w:r>
        <w:t xml:space="preserve"> </w:t>
      </w:r>
      <w:r w:rsidR="009F075F">
        <w:t>The following information is provided from the</w:t>
      </w:r>
      <w:r>
        <w:t xml:space="preserve"> </w:t>
      </w:r>
      <w:r w:rsidRPr="00CD77F1">
        <w:t>National Framework for Neonatal Hearing Screening</w:t>
      </w:r>
      <w:r>
        <w:t>:</w:t>
      </w:r>
      <w:r>
        <w:rPr>
          <w:rStyle w:val="FootnoteReference"/>
          <w:rFonts w:cstheme="minorHAnsi"/>
        </w:rPr>
        <w:footnoteReference w:id="25"/>
      </w:r>
      <w:r>
        <w:t xml:space="preserve"> </w:t>
      </w:r>
    </w:p>
    <w:p w14:paraId="41E2D589" w14:textId="1347EC24" w:rsidR="000A27B7" w:rsidRPr="008F14EC" w:rsidRDefault="000A27B7" w:rsidP="0067476B">
      <w:pPr>
        <w:pStyle w:val="ListBullet"/>
      </w:pPr>
      <w:r w:rsidRPr="008F14EC">
        <w:t xml:space="preserve">The aim of neonatal hearing screening is for all babies to be screened for </w:t>
      </w:r>
      <w:r w:rsidR="0013451E">
        <w:t>PCHI</w:t>
      </w:r>
      <w:r w:rsidRPr="008F14EC">
        <w:t xml:space="preserve">, and, if necessary, to have access to appropriate intervention to minimise the impact of their hearing impairment. </w:t>
      </w:r>
    </w:p>
    <w:p w14:paraId="3626D38B" w14:textId="19CA956D" w:rsidR="000A27B7" w:rsidRDefault="000A27B7" w:rsidP="0067476B">
      <w:pPr>
        <w:pStyle w:val="ListBullet"/>
      </w:pPr>
      <w:r w:rsidRPr="006D2F0E">
        <w:t>The screening process in neonatal hearing screening is not intended to be diagnostic. Rather, screening aims to identify infants who are more likely to have hearing impairment, and therefore require further investigation from diagnostic tests.</w:t>
      </w:r>
    </w:p>
    <w:p w14:paraId="4182EFBC" w14:textId="74483104" w:rsidR="00FD1166" w:rsidRDefault="00F35874" w:rsidP="0067476B">
      <w:pPr>
        <w:pStyle w:val="ListBullet"/>
      </w:pPr>
      <w:r>
        <w:t>Comprehensive audiological evaluation of babies who are referred from newborn hearing screening should be performed by audiologists experienced in paediatric hearing assessment</w:t>
      </w:r>
      <w:r w:rsidR="00924310">
        <w:t>.</w:t>
      </w:r>
    </w:p>
    <w:p w14:paraId="0A8E4F1F" w14:textId="77777777" w:rsidR="000A27B7" w:rsidRDefault="000A27B7" w:rsidP="00952457">
      <w:pPr>
        <w:pStyle w:val="Heading4"/>
      </w:pPr>
      <w:bookmarkStart w:id="27" w:name="_Ref172469229"/>
      <w:r w:rsidRPr="00277B20">
        <w:t>Paediatric</w:t>
      </w:r>
      <w:r>
        <w:t xml:space="preserve"> cochlear implantation</w:t>
      </w:r>
      <w:bookmarkEnd w:id="27"/>
    </w:p>
    <w:p w14:paraId="107E00A7" w14:textId="77777777" w:rsidR="000A27B7" w:rsidRPr="00FE7BEF" w:rsidRDefault="000A27B7" w:rsidP="0067476B">
      <w:pPr>
        <w:pStyle w:val="BodyText"/>
      </w:pPr>
      <w:r>
        <w:t>In relation to paediatric cochlear implantation:</w:t>
      </w:r>
    </w:p>
    <w:p w14:paraId="4CEBB679" w14:textId="77777777" w:rsidR="000A27B7" w:rsidRPr="00CC0BF0" w:rsidRDefault="000A27B7" w:rsidP="0067476B">
      <w:pPr>
        <w:pStyle w:val="ListBullet"/>
      </w:pPr>
      <w:r w:rsidRPr="00FE7BEF">
        <w:t>Research supports the provision of cochlear implants</w:t>
      </w:r>
      <w:r>
        <w:t xml:space="preserve"> at less than </w:t>
      </w:r>
      <w:r w:rsidRPr="00FE7BEF">
        <w:t>12 months for children with severe to profound hearing loss</w:t>
      </w:r>
      <w:r>
        <w:t>,</w:t>
      </w:r>
      <w:r w:rsidRPr="00FE7BEF">
        <w:t xml:space="preserve"> to optimise speech perception</w:t>
      </w:r>
      <w:r>
        <w:t>,</w:t>
      </w:r>
      <w:r w:rsidRPr="00FE7BEF">
        <w:t xml:space="preserve"> and subsequent language acquisition and speech production accuracy.</w:t>
      </w:r>
      <w:r>
        <w:rPr>
          <w:rStyle w:val="FootnoteReference"/>
          <w:rFonts w:cstheme="minorHAnsi"/>
        </w:rPr>
        <w:footnoteReference w:id="26"/>
      </w:r>
      <w:r>
        <w:t xml:space="preserve"> </w:t>
      </w:r>
    </w:p>
    <w:p w14:paraId="09C41574" w14:textId="7714ED60" w:rsidR="000A27B7" w:rsidRDefault="000A27B7" w:rsidP="0067476B">
      <w:pPr>
        <w:pStyle w:val="ListBullet"/>
      </w:pPr>
      <w:r>
        <w:t>Individualised c</w:t>
      </w:r>
      <w:r w:rsidRPr="00FE7BEF">
        <w:t>ochlear mapping</w:t>
      </w:r>
      <w:r>
        <w:t xml:space="preserve"> (programming) of the device</w:t>
      </w:r>
      <w:r w:rsidRPr="00FE7BEF">
        <w:t xml:space="preserve"> occurs after implantation to </w:t>
      </w:r>
      <w:r>
        <w:t>optimise benefits to the user</w:t>
      </w:r>
      <w:r w:rsidRPr="00FE7BEF">
        <w:t xml:space="preserve">. </w:t>
      </w:r>
    </w:p>
    <w:p w14:paraId="4277C048" w14:textId="77777777" w:rsidR="000A27B7" w:rsidRDefault="000A27B7" w:rsidP="0067476B">
      <w:pPr>
        <w:pStyle w:val="ListBullet"/>
      </w:pPr>
      <w:r w:rsidRPr="00FE7BEF">
        <w:t>The Hearing Australia database indicates that 3,437 children and young adults</w:t>
      </w:r>
      <w:r>
        <w:t xml:space="preserve"> (birth years 1997 to 2022)</w:t>
      </w:r>
      <w:r w:rsidRPr="00FE7BEF">
        <w:t xml:space="preserve"> use a cochlear implant speech processor in one or both ears.</w:t>
      </w:r>
      <w:r>
        <w:rPr>
          <w:rStyle w:val="FootnoteReference"/>
          <w:rFonts w:cstheme="minorHAnsi"/>
        </w:rPr>
        <w:footnoteReference w:id="27"/>
      </w:r>
    </w:p>
    <w:p w14:paraId="07186C64" w14:textId="24EB0FF9" w:rsidR="000A27B7" w:rsidRPr="00C70726" w:rsidRDefault="000A27B7" w:rsidP="0067476B">
      <w:pPr>
        <w:pStyle w:val="ListBullet"/>
      </w:pPr>
      <w:r>
        <w:t>Cochlear implant revision may be required due to failures that are device-related or non-device related</w:t>
      </w:r>
      <w:r w:rsidR="004660EF">
        <w:t>.</w:t>
      </w:r>
      <w:r w:rsidR="000E1955" w:rsidRPr="000E1955">
        <w:t xml:space="preserve"> </w:t>
      </w:r>
      <w:r w:rsidR="000E1955">
        <w:t>Device-related failures can be further divided into hard and soft failures. Revision rates among children range between 3% and 18%.</w:t>
      </w:r>
      <w:r>
        <w:rPr>
          <w:rStyle w:val="FootnoteReference"/>
        </w:rPr>
        <w:footnoteReference w:id="28"/>
      </w:r>
      <w:r>
        <w:t xml:space="preserve"> </w:t>
      </w:r>
    </w:p>
    <w:p w14:paraId="4F02F0D3" w14:textId="77777777" w:rsidR="000A27B7" w:rsidRPr="00421695" w:rsidRDefault="000A27B7" w:rsidP="004B65DA">
      <w:pPr>
        <w:pStyle w:val="Heading3"/>
      </w:pPr>
      <w:bookmarkStart w:id="28" w:name="_Ref169969063"/>
      <w:bookmarkStart w:id="29" w:name="_Toc171324721"/>
      <w:bookmarkStart w:id="30" w:name="_Toc198138564"/>
      <w:r>
        <w:t xml:space="preserve">Other ear health </w:t>
      </w:r>
      <w:r w:rsidRPr="00277B20">
        <w:t>problems</w:t>
      </w:r>
      <w:bookmarkEnd w:id="28"/>
      <w:bookmarkEnd w:id="29"/>
      <w:bookmarkEnd w:id="30"/>
    </w:p>
    <w:p w14:paraId="3EDDA6D8" w14:textId="109EC98B" w:rsidR="000A27B7" w:rsidRPr="00111BCC" w:rsidRDefault="000A27B7" w:rsidP="00E55411">
      <w:pPr>
        <w:pStyle w:val="BodyText"/>
      </w:pPr>
      <w:r>
        <w:t xml:space="preserve">Other relevant conditions for this Decision RIS include vestibular </w:t>
      </w:r>
      <w:r w:rsidR="004B1A25">
        <w:t>disorders</w:t>
      </w:r>
      <w:r>
        <w:t xml:space="preserve"> as well as tinnitus</w:t>
      </w:r>
      <w:r w:rsidRPr="00111BCC">
        <w:t>.</w:t>
      </w:r>
    </w:p>
    <w:p w14:paraId="4C2E8D1E" w14:textId="079FBB0C" w:rsidR="001D642A" w:rsidRDefault="001D642A" w:rsidP="00952457">
      <w:pPr>
        <w:pStyle w:val="Heading4"/>
      </w:pPr>
      <w:r>
        <w:t>Vestibular disorders</w:t>
      </w:r>
    </w:p>
    <w:p w14:paraId="546002B6" w14:textId="0AB709CB" w:rsidR="001D642A" w:rsidRPr="001D642A" w:rsidRDefault="001D642A" w:rsidP="001D642A">
      <w:pPr>
        <w:pStyle w:val="BodyText"/>
      </w:pPr>
      <w:r>
        <w:t>Vestibular dysfunction is a disturbance of the body’s balance organs within the inner ear, central vestibular processing or the integration of information across the senses of vision, balance and body position.</w:t>
      </w:r>
      <w:r>
        <w:rPr>
          <w:rStyle w:val="FootnoteReference"/>
          <w:color w:val="000000" w:themeColor="text1"/>
        </w:rPr>
        <w:footnoteReference w:id="29"/>
      </w:r>
      <w:r>
        <w:t xml:space="preserve"> Symptoms include vertigo, nausea and vomiting, intolerance to head motion, tinnitus, hearing loss, unsteady gait, and instability.</w:t>
      </w:r>
      <w:r>
        <w:rPr>
          <w:rStyle w:val="FootnoteReference"/>
          <w:color w:val="000000" w:themeColor="text1"/>
        </w:rPr>
        <w:footnoteReference w:id="30"/>
      </w:r>
      <w:r>
        <w:t xml:space="preserve"> Vestibular disorders have significant impacts on people’s quality of life and impact people’s ability to engage in day-to-day tasks such as working, household chores, socialising and maintaining relationships with family and friends. This results in increased negative thought, frustration and grief.</w:t>
      </w:r>
      <w:r>
        <w:rPr>
          <w:rStyle w:val="FootnoteReference"/>
          <w:color w:val="000000" w:themeColor="text1"/>
        </w:rPr>
        <w:footnoteReference w:id="31"/>
      </w:r>
      <w:r>
        <w:t xml:space="preserve"> People with vestibular disorders are more likely to experience low mood, anxiety, and panic.</w:t>
      </w:r>
      <w:r>
        <w:rPr>
          <w:rStyle w:val="FootnoteReference"/>
          <w:color w:val="000000" w:themeColor="text1"/>
        </w:rPr>
        <w:footnoteReference w:id="32"/>
      </w:r>
      <w:r>
        <w:t xml:space="preserve"> Additionally, issues with the vestibular system have been shown to be related to cognitive issues related to poorer spatial cognition, attention, memory and executive function.</w:t>
      </w:r>
      <w:r w:rsidRPr="00305C15">
        <w:rPr>
          <w:rStyle w:val="FootnoteReference"/>
          <w:color w:val="000000" w:themeColor="text1"/>
        </w:rPr>
        <w:t xml:space="preserve"> </w:t>
      </w:r>
      <w:r>
        <w:rPr>
          <w:rStyle w:val="FootnoteReference"/>
          <w:color w:val="000000" w:themeColor="text1"/>
        </w:rPr>
        <w:footnoteReference w:id="33"/>
      </w:r>
    </w:p>
    <w:p w14:paraId="3B6F119A" w14:textId="7B321A79" w:rsidR="000A27B7" w:rsidRPr="009F2CD7" w:rsidRDefault="000A27B7" w:rsidP="00952457">
      <w:pPr>
        <w:pStyle w:val="Heading4"/>
      </w:pPr>
      <w:r w:rsidRPr="00277B20">
        <w:t>Tinnitus</w:t>
      </w:r>
    </w:p>
    <w:p w14:paraId="2F030D73" w14:textId="60760FB1" w:rsidR="000A27B7" w:rsidRPr="00ED38FD" w:rsidRDefault="000A27B7" w:rsidP="008C01C8">
      <w:pPr>
        <w:pStyle w:val="BodyText"/>
      </w:pPr>
      <w:r w:rsidRPr="009F2CD7">
        <w:t>Tinnitus is the perception of sound heard in one or both ears or the head, without an external source.</w:t>
      </w:r>
      <w:r>
        <w:rPr>
          <w:rStyle w:val="FootnoteReference"/>
          <w:color w:val="000000" w:themeColor="text1"/>
        </w:rPr>
        <w:footnoteReference w:id="34"/>
      </w:r>
      <w:r w:rsidRPr="009F2CD7">
        <w:t xml:space="preserve"> Tinnitus is not a disease but rather a symptom of </w:t>
      </w:r>
      <w:r>
        <w:t>an issue in a person’s</w:t>
      </w:r>
      <w:r w:rsidRPr="009F2CD7">
        <w:t xml:space="preserve"> auditory system</w:t>
      </w:r>
      <w:r>
        <w:t>.</w:t>
      </w:r>
      <w:r>
        <w:rPr>
          <w:rStyle w:val="FootnoteReference"/>
          <w:color w:val="000000" w:themeColor="text1"/>
        </w:rPr>
        <w:footnoteReference w:id="35"/>
      </w:r>
      <w:r w:rsidRPr="009F2CD7">
        <w:t xml:space="preserve"> Around</w:t>
      </w:r>
      <w:r>
        <w:t xml:space="preserve"> </w:t>
      </w:r>
      <w:r w:rsidRPr="009F2CD7">
        <w:t>1</w:t>
      </w:r>
      <w:r>
        <w:t xml:space="preserve">4 to </w:t>
      </w:r>
      <w:r w:rsidRPr="009F2CD7">
        <w:t>20% of Australians are estimated to experience tinnitus at some point in their life</w:t>
      </w:r>
      <w:r>
        <w:t>.</w:t>
      </w:r>
      <w:r>
        <w:rPr>
          <w:rStyle w:val="FootnoteReference"/>
          <w:color w:val="000000" w:themeColor="text1"/>
        </w:rPr>
        <w:footnoteReference w:id="36"/>
      </w:r>
      <w:r>
        <w:t xml:space="preserve"> While the causes of tinnitus are not fully known, it has been found to be related to noise exposure, stress, hearing loss, medications, ear wax, ear infection, and head or neck injuries.</w:t>
      </w:r>
      <w:r>
        <w:rPr>
          <w:rStyle w:val="FootnoteReference"/>
          <w:color w:val="000000" w:themeColor="text1"/>
        </w:rPr>
        <w:footnoteReference w:id="37"/>
      </w:r>
      <w:r>
        <w:t xml:space="preserve"> Tinnitus can a disrupt sleep, cause communication issues, anxiety, irritability and concentration issues.</w:t>
      </w:r>
      <w:r>
        <w:rPr>
          <w:rStyle w:val="FootnoteReference"/>
          <w:color w:val="000000" w:themeColor="text1"/>
        </w:rPr>
        <w:footnoteReference w:id="38"/>
      </w:r>
      <w:r w:rsidR="000D4C2F">
        <w:t xml:space="preserve"> </w:t>
      </w:r>
    </w:p>
    <w:p w14:paraId="2327B9B7" w14:textId="706A64F4" w:rsidR="000A27B7" w:rsidRDefault="000A27B7" w:rsidP="00277B20">
      <w:pPr>
        <w:pStyle w:val="Heading2"/>
      </w:pPr>
      <w:bookmarkStart w:id="31" w:name="_Toc171324722"/>
      <w:bookmarkStart w:id="32" w:name="_Toc198138565"/>
      <w:r w:rsidRPr="00311176">
        <w:t>Description</w:t>
      </w:r>
      <w:r>
        <w:t xml:space="preserve"> of the </w:t>
      </w:r>
      <w:r w:rsidRPr="00277B20">
        <w:t>audiology</w:t>
      </w:r>
      <w:r>
        <w:t xml:space="preserve"> </w:t>
      </w:r>
      <w:bookmarkEnd w:id="31"/>
      <w:r w:rsidR="00E229E3">
        <w:t>profession</w:t>
      </w:r>
      <w:bookmarkEnd w:id="32"/>
    </w:p>
    <w:p w14:paraId="460C5927" w14:textId="2F91A7B2" w:rsidR="000A27B7" w:rsidRDefault="000A27B7" w:rsidP="00311176">
      <w:pPr>
        <w:pStyle w:val="BodyText"/>
      </w:pPr>
      <w:r>
        <w:t xml:space="preserve">This section outlines the scope of practice of the audiology and audiometry </w:t>
      </w:r>
      <w:r w:rsidR="00E229E3">
        <w:t>professions</w:t>
      </w:r>
      <w:r>
        <w:t xml:space="preserve">, alongside </w:t>
      </w:r>
      <w:r w:rsidR="0064302A">
        <w:t>workforce characteristics</w:t>
      </w:r>
      <w:r>
        <w:t xml:space="preserve"> and the Practitioner Professional Bodies (PPBs) that are currently operating.</w:t>
      </w:r>
    </w:p>
    <w:p w14:paraId="62C5056F" w14:textId="77777777" w:rsidR="000A27B7" w:rsidRPr="00F3437B" w:rsidRDefault="000A27B7" w:rsidP="00952457">
      <w:pPr>
        <w:pStyle w:val="Heading3"/>
      </w:pPr>
      <w:bookmarkStart w:id="33" w:name="_Toc171324723"/>
      <w:bookmarkStart w:id="34" w:name="_Toc198138566"/>
      <w:r>
        <w:t xml:space="preserve">Role of </w:t>
      </w:r>
      <w:r w:rsidRPr="00277B20">
        <w:t>an</w:t>
      </w:r>
      <w:r>
        <w:t xml:space="preserve"> Audiologist</w:t>
      </w:r>
      <w:bookmarkEnd w:id="33"/>
      <w:bookmarkEnd w:id="34"/>
    </w:p>
    <w:p w14:paraId="3B6E4C1D" w14:textId="77777777" w:rsidR="000A27B7" w:rsidRPr="00CA34A4" w:rsidRDefault="000A27B7" w:rsidP="00311176">
      <w:pPr>
        <w:pStyle w:val="BodyText"/>
      </w:pPr>
      <w:r>
        <w:t xml:space="preserve">The </w:t>
      </w:r>
      <w:r w:rsidRPr="00264E98">
        <w:rPr>
          <w:i/>
          <w:iCs/>
        </w:rPr>
        <w:t>Scope of Practice for Audiologists and Audiometrists</w:t>
      </w:r>
      <w:r>
        <w:rPr>
          <w:i/>
          <w:iCs/>
        </w:rPr>
        <w:t xml:space="preserve"> (2016) </w:t>
      </w:r>
      <w:r>
        <w:t>co-published by Audiology Australia, Australian College of Audiology and the Hearing Aid Audiometrist Society of Australia</w:t>
      </w:r>
      <w:r>
        <w:rPr>
          <w:rStyle w:val="FootnoteReference"/>
        </w:rPr>
        <w:footnoteReference w:id="39"/>
      </w:r>
      <w:r w:rsidDel="00465D9C">
        <w:t xml:space="preserve"> </w:t>
      </w:r>
      <w:r>
        <w:t xml:space="preserve">describes the scope of practice of the audiology and audiometry professions as below: </w:t>
      </w:r>
      <w:r>
        <w:rPr>
          <w:rStyle w:val="FootnoteReference"/>
        </w:rPr>
        <w:footnoteReference w:id="40"/>
      </w:r>
      <w:r>
        <w:rPr>
          <w:vertAlign w:val="superscript"/>
        </w:rPr>
        <w:t>,</w:t>
      </w:r>
      <w:r>
        <w:rPr>
          <w:rStyle w:val="FootnoteReference"/>
        </w:rPr>
        <w:footnoteReference w:id="41"/>
      </w:r>
      <w:r>
        <w:t xml:space="preserve"> </w:t>
      </w:r>
    </w:p>
    <w:p w14:paraId="30B01448" w14:textId="51363C12" w:rsidR="004D268A" w:rsidRDefault="004D268A" w:rsidP="007E3BAF">
      <w:pPr>
        <w:pStyle w:val="BodyText"/>
        <w:rPr>
          <w:b/>
          <w:bCs/>
        </w:rPr>
      </w:pPr>
      <w:r>
        <w:rPr>
          <w:b/>
          <w:bCs/>
        </w:rPr>
        <w:t>“</w:t>
      </w:r>
      <w:r w:rsidRPr="007E3BAF">
        <w:rPr>
          <w:i/>
          <w:iCs/>
        </w:rPr>
        <w:t xml:space="preserve">The </w:t>
      </w:r>
      <w:r w:rsidR="007E3BAF" w:rsidRPr="007E3BAF">
        <w:rPr>
          <w:i/>
          <w:iCs/>
        </w:rPr>
        <w:t>Scope of Practice for audiologists and audiometrists provides an overview of the services that may be offered by appropriately qualified and experienced audiologists and audiometrists in Australia. That is, it provides an overview of the scope of practice of the professions of audiology and audiometry. In summary:</w:t>
      </w:r>
    </w:p>
    <w:p w14:paraId="116AD7BE" w14:textId="61E616D0" w:rsidR="000A27B7" w:rsidRDefault="000A27B7" w:rsidP="00D1228B">
      <w:pPr>
        <w:pStyle w:val="BodyText"/>
      </w:pPr>
      <w:r w:rsidRPr="007E3BAF">
        <w:rPr>
          <w:b/>
          <w:bCs/>
          <w:i/>
          <w:iCs/>
        </w:rPr>
        <w:t>Audiologists in Australia</w:t>
      </w:r>
      <w:r w:rsidRPr="00D1228B">
        <w:rPr>
          <w:i/>
          <w:iCs/>
        </w:rPr>
        <w:t xml:space="preserve"> work with clients of all ages – from infants to older adults – and clients with complex needs. They can assess hearing and auditory function, vestibular (balance) function, tinnitus, auditory processing function, and neural function. Audiologists can do this by performing diagnostic tests, including advanced tests using electrophysiological methods. Audiologists provide aural, vestibular (balance) and tinnitus (re)habilitation as well as communication training. They can provide a range of (re)habilitation services including counselling and the prescription and fitting of devices/aids (e.g. bone conduction aids; earplugs (custom noise/swim/musician plugs); FM and other remote sensing systems; hearing aids; and Hearing assistive technology). Audiologists have knowledge of implantable devices (e.g. cochlear implants, middle ear implantable hearing aids, fully implantable hearing aids, bone anchored hearing aids) and collaborate with other professionals in their applications in (re)habilitation.</w:t>
      </w:r>
    </w:p>
    <w:p w14:paraId="4AE35A61" w14:textId="64E9736E" w:rsidR="000A27B7" w:rsidRDefault="000A27B7" w:rsidP="00D1228B">
      <w:pPr>
        <w:pStyle w:val="BodyText"/>
      </w:pPr>
      <w:r w:rsidRPr="00810524">
        <w:rPr>
          <w:b/>
          <w:bCs/>
          <w:i/>
          <w:iCs/>
        </w:rPr>
        <w:t>Audiometrists in Australia</w:t>
      </w:r>
      <w:r w:rsidRPr="00D1228B">
        <w:rPr>
          <w:i/>
          <w:iCs/>
        </w:rPr>
        <w:t xml:space="preserve"> primarily work with adult clients (including older adults) and provide a range of services to school-aged children.  They focus on hearing and auditory function assessment and (re)habilitation. Audiometrists achieve this by applying a range of diagnostic tests and rehabilitation approaches including counselling and the prescription and fitting of non-implantable devices/aids (e.g. bone conduction aids; earplugs (custom noise/swim/musician plugs); FM and other remote sensing systems; hearing aids; and Hearing assistive technology). Audiometrists may also provide rehabilitation for tinnitus using education and hearing aids.”</w:t>
      </w:r>
    </w:p>
    <w:p w14:paraId="358B3B50" w14:textId="4EBCFF19" w:rsidR="0078246A" w:rsidRPr="001B2E1F" w:rsidRDefault="0078246A" w:rsidP="0078246A">
      <w:pPr>
        <w:pStyle w:val="BodyText"/>
      </w:pPr>
      <w:r>
        <w:t>It is noted tha</w:t>
      </w:r>
      <w:r w:rsidR="00CA085D">
        <w:t>t stakeholders had differing opinions in relation to the above role definitions, and scope of practice between the two professions is one of the issues under consideration in this Decision RIS. Please</w:t>
      </w:r>
      <w:r w:rsidRPr="001B2E1F">
        <w:t xml:space="preserve"> refer to Section</w:t>
      </w:r>
      <w:r>
        <w:t xml:space="preserve"> </w:t>
      </w:r>
      <w:r>
        <w:fldChar w:fldCharType="begin"/>
      </w:r>
      <w:r>
        <w:instrText xml:space="preserve"> REF _Ref170200359 \r \h </w:instrText>
      </w:r>
      <w:r>
        <w:fldChar w:fldCharType="separate"/>
      </w:r>
      <w:r w:rsidR="00F32107">
        <w:t>3.1</w:t>
      </w:r>
      <w:r>
        <w:fldChar w:fldCharType="end"/>
      </w:r>
      <w:r w:rsidRPr="001B2E1F">
        <w:t xml:space="preserve"> for further discussion of scope of practice.</w:t>
      </w:r>
    </w:p>
    <w:p w14:paraId="0F0F2A96" w14:textId="5CC0310D" w:rsidR="000A27B7" w:rsidRPr="001B2E1F" w:rsidRDefault="000A27B7" w:rsidP="001B2E1F">
      <w:pPr>
        <w:pStyle w:val="BodyText"/>
      </w:pPr>
      <w:r w:rsidRPr="001B2E1F">
        <w:t xml:space="preserve">Audiologists work </w:t>
      </w:r>
      <w:r w:rsidR="00BB2C23">
        <w:t>with other health professions including</w:t>
      </w:r>
      <w:r w:rsidRPr="001B2E1F">
        <w:t xml:space="preserve"> speech pathologists </w:t>
      </w:r>
      <w:r w:rsidR="00F44038">
        <w:t xml:space="preserve">and </w:t>
      </w:r>
      <w:r w:rsidRPr="001B2E1F">
        <w:t>ear, nose and throat specialists.</w:t>
      </w:r>
      <w:r w:rsidR="00F44038">
        <w:rPr>
          <w:rStyle w:val="FootnoteReference"/>
        </w:rPr>
        <w:footnoteReference w:id="42"/>
      </w:r>
      <w:r w:rsidRPr="001B2E1F">
        <w:t xml:space="preserve"> From 2021 Census data it can be seen that 11% of audiologists work in the public sector (across Federal and State and Territory) and 89% work in the private sector.</w:t>
      </w:r>
      <w:r w:rsidR="00AF51A5">
        <w:rPr>
          <w:rStyle w:val="FootnoteReference"/>
        </w:rPr>
        <w:footnoteReference w:id="43"/>
      </w:r>
      <w:r w:rsidRPr="001B2E1F">
        <w:t xml:space="preserve"> </w:t>
      </w:r>
      <w:r w:rsidR="005D4643">
        <w:t>R</w:t>
      </w:r>
      <w:r w:rsidR="00F73270">
        <w:t>ehabilitation services (</w:t>
      </w:r>
      <w:r w:rsidR="0099112D">
        <w:t xml:space="preserve">primarily </w:t>
      </w:r>
      <w:r w:rsidR="00061D21">
        <w:t xml:space="preserve">focussed on hearing aids) is the largest </w:t>
      </w:r>
      <w:r w:rsidR="005A0710">
        <w:t>segment</w:t>
      </w:r>
      <w:r w:rsidR="00061D21">
        <w:t xml:space="preserve"> of </w:t>
      </w:r>
      <w:r w:rsidR="005D4643">
        <w:t xml:space="preserve">private </w:t>
      </w:r>
      <w:r w:rsidR="00061D21">
        <w:t>sector</w:t>
      </w:r>
      <w:r w:rsidR="00CD2223">
        <w:t xml:space="preserve"> services.</w:t>
      </w:r>
    </w:p>
    <w:p w14:paraId="0A189433" w14:textId="77777777" w:rsidR="000A27B7" w:rsidRDefault="000A27B7" w:rsidP="00952457">
      <w:pPr>
        <w:pStyle w:val="Heading3"/>
      </w:pPr>
      <w:bookmarkStart w:id="35" w:name="_Toc171324724"/>
      <w:bookmarkStart w:id="36" w:name="_Toc198138567"/>
      <w:r>
        <w:t>Practitioner Professional Bodies (PPBs)</w:t>
      </w:r>
      <w:bookmarkEnd w:id="35"/>
      <w:bookmarkEnd w:id="36"/>
    </w:p>
    <w:p w14:paraId="6BFA2F2F" w14:textId="77777777" w:rsidR="000A27B7" w:rsidRDefault="000A27B7" w:rsidP="0024729A">
      <w:pPr>
        <w:pStyle w:val="BodyText"/>
      </w:pPr>
      <w:r>
        <w:t xml:space="preserve">There are two major Practitioner Professional Bodies (PPBs) for audiologists and audiometrists. </w:t>
      </w:r>
    </w:p>
    <w:p w14:paraId="77F102ED" w14:textId="594071B1" w:rsidR="000A27B7" w:rsidRDefault="000A27B7" w:rsidP="0024729A">
      <w:pPr>
        <w:pStyle w:val="ListBullet"/>
      </w:pPr>
      <w:r w:rsidRPr="00BC4117">
        <w:rPr>
          <w:b/>
          <w:bCs/>
        </w:rPr>
        <w:t>Audiology Australia</w:t>
      </w:r>
      <w:r w:rsidR="002C14AE">
        <w:rPr>
          <w:b/>
          <w:bCs/>
        </w:rPr>
        <w:t xml:space="preserve"> (AudA)</w:t>
      </w:r>
      <w:r>
        <w:t xml:space="preserve">: </w:t>
      </w:r>
      <w:r w:rsidR="002C14AE">
        <w:t>AudA</w:t>
      </w:r>
      <w:r>
        <w:t xml:space="preserve"> is a professional body with a membership of </w:t>
      </w:r>
      <w:r w:rsidR="001143AB">
        <w:t xml:space="preserve">over </w:t>
      </w:r>
      <w:r>
        <w:t>3,600 practising audiologists</w:t>
      </w:r>
      <w:r>
        <w:rPr>
          <w:rStyle w:val="FootnoteReference"/>
        </w:rPr>
        <w:footnoteReference w:id="44"/>
      </w:r>
      <w:r>
        <w:t xml:space="preserve"> that “</w:t>
      </w:r>
      <w:r w:rsidRPr="008F2048">
        <w:rPr>
          <w:i/>
          <w:iCs/>
        </w:rPr>
        <w:t>supports audiologists to deliver the highest standards of contemporary hearing health care through accreditation, education and professional development, advocacy, networking and collaboration</w:t>
      </w:r>
      <w:r>
        <w:t>”.</w:t>
      </w:r>
      <w:r>
        <w:rPr>
          <w:rStyle w:val="FootnoteReference"/>
        </w:rPr>
        <w:footnoteReference w:id="45"/>
      </w:r>
      <w:r>
        <w:t xml:space="preserve"> </w:t>
      </w:r>
    </w:p>
    <w:p w14:paraId="17D6762C" w14:textId="611B5249" w:rsidR="004F26D9" w:rsidRDefault="000A27B7" w:rsidP="005917BA">
      <w:pPr>
        <w:pStyle w:val="ListBullet"/>
      </w:pPr>
      <w:r w:rsidRPr="00BC4117">
        <w:rPr>
          <w:b/>
          <w:bCs/>
        </w:rPr>
        <w:t>Australian College of Audiology</w:t>
      </w:r>
      <w:r w:rsidR="0099186B">
        <w:rPr>
          <w:b/>
          <w:bCs/>
        </w:rPr>
        <w:t xml:space="preserve"> incorporating Hearing </w:t>
      </w:r>
      <w:r w:rsidR="002C5333">
        <w:rPr>
          <w:b/>
          <w:bCs/>
        </w:rPr>
        <w:t>Aid Audiology Society of Australia</w:t>
      </w:r>
      <w:r w:rsidR="002C14AE">
        <w:rPr>
          <w:b/>
          <w:bCs/>
        </w:rPr>
        <w:t xml:space="preserve"> (AcAud inc. HAASA)</w:t>
      </w:r>
      <w:r>
        <w:t xml:space="preserve">: </w:t>
      </w:r>
      <w:r w:rsidR="002C14AE" w:rsidRPr="002C14AE">
        <w:t>AcAud inc. HAASA</w:t>
      </w:r>
      <w:r w:rsidR="002C14AE">
        <w:t xml:space="preserve"> </w:t>
      </w:r>
      <w:r>
        <w:t>is a professional body that “</w:t>
      </w:r>
      <w:r w:rsidRPr="00CE7AAC">
        <w:rPr>
          <w:i/>
          <w:iCs/>
        </w:rPr>
        <w:t>promotes and develops the science and practice of hearing care through the certification, education, and support of its professional practice members</w:t>
      </w:r>
      <w:r>
        <w:t>.”</w:t>
      </w:r>
      <w:r>
        <w:rPr>
          <w:rStyle w:val="FootnoteReference"/>
        </w:rPr>
        <w:footnoteReference w:id="46"/>
      </w:r>
      <w:r>
        <w:t xml:space="preserve"> It represents both audiologists and audiometrists. </w:t>
      </w:r>
      <w:r w:rsidR="00CE7AAC">
        <w:t>AcAud</w:t>
      </w:r>
      <w:r>
        <w:t xml:space="preserve"> incorporated </w:t>
      </w:r>
      <w:r w:rsidR="00CE7AAC">
        <w:t>HAASA</w:t>
      </w:r>
      <w:r w:rsidRPr="00885488">
        <w:rPr>
          <w:b/>
          <w:bCs/>
        </w:rPr>
        <w:t xml:space="preserve"> </w:t>
      </w:r>
      <w:r>
        <w:t xml:space="preserve">as of 30 June 2024. </w:t>
      </w:r>
      <w:r w:rsidR="007F0D90">
        <w:t xml:space="preserve">While AcAud previously included audiologist and audiometrist members, </w:t>
      </w:r>
      <w:r>
        <w:t>HAASA’s membership base was audiometrists only.</w:t>
      </w:r>
      <w:bookmarkStart w:id="37" w:name="_Toc171324725"/>
      <w:r w:rsidR="00714BEA">
        <w:t xml:space="preserve"> AcAud inc. HAASA’s membership base includes </w:t>
      </w:r>
      <w:r w:rsidR="00902C23">
        <w:t xml:space="preserve">approximately 250 audiologists and </w:t>
      </w:r>
      <w:r w:rsidR="007F451A">
        <w:t>700 audiometrists including full members, students, affiliates and associates.</w:t>
      </w:r>
    </w:p>
    <w:p w14:paraId="26873DD9" w14:textId="5DA3BFF7" w:rsidR="00650EAE" w:rsidRPr="005917BA" w:rsidRDefault="00650EAE" w:rsidP="00650EAE">
      <w:pPr>
        <w:pStyle w:val="BodyText"/>
      </w:pPr>
      <w:r>
        <w:t xml:space="preserve">Membership with a PPB may offer benefits including continuing professional development </w:t>
      </w:r>
      <w:r w:rsidR="00EF73C7">
        <w:t xml:space="preserve">(CPD) </w:t>
      </w:r>
      <w:r>
        <w:t>activities and events and professional networking opportunities.</w:t>
      </w:r>
      <w:r>
        <w:rPr>
          <w:rStyle w:val="FootnoteReference"/>
        </w:rPr>
        <w:footnoteReference w:id="47"/>
      </w:r>
    </w:p>
    <w:p w14:paraId="45198358" w14:textId="551A23A4" w:rsidR="000A27B7" w:rsidRPr="00277B20" w:rsidRDefault="004D20EC" w:rsidP="00952457">
      <w:pPr>
        <w:pStyle w:val="Heading3"/>
        <w:rPr>
          <w:b/>
        </w:rPr>
      </w:pPr>
      <w:bookmarkStart w:id="38" w:name="_Toc198138568"/>
      <w:bookmarkEnd w:id="37"/>
      <w:r>
        <w:t xml:space="preserve">Audiology workforce </w:t>
      </w:r>
      <w:r w:rsidR="00172010">
        <w:t>size</w:t>
      </w:r>
      <w:bookmarkEnd w:id="38"/>
    </w:p>
    <w:p w14:paraId="7ED0A4B3" w14:textId="4C12C3A9" w:rsidR="000A27B7" w:rsidRDefault="00BB3DA4" w:rsidP="0024729A">
      <w:pPr>
        <w:pStyle w:val="BodyText"/>
      </w:pPr>
      <w:r>
        <w:t xml:space="preserve">There is no single data source which </w:t>
      </w:r>
      <w:r w:rsidR="00DC3FA4">
        <w:t>collects</w:t>
      </w:r>
      <w:r>
        <w:t xml:space="preserve"> the number of </w:t>
      </w:r>
      <w:r w:rsidR="007E0636">
        <w:t xml:space="preserve">audiologists in Australia. </w:t>
      </w:r>
      <w:r w:rsidR="008F7B7E">
        <w:t xml:space="preserve">As explained below, </w:t>
      </w:r>
      <w:r w:rsidR="004A51BE">
        <w:t>PPB</w:t>
      </w:r>
      <w:r w:rsidR="008F7B7E">
        <w:t xml:space="preserve"> membership and the 2021 Census are two </w:t>
      </w:r>
      <w:r w:rsidR="00867ED8">
        <w:t>key data sources which may be used to inform estimates</w:t>
      </w:r>
      <w:r w:rsidR="000A27B7">
        <w:t xml:space="preserve">. </w:t>
      </w:r>
    </w:p>
    <w:p w14:paraId="254B7026" w14:textId="77777777" w:rsidR="000A27B7" w:rsidRDefault="000A27B7" w:rsidP="00952457">
      <w:pPr>
        <w:pStyle w:val="Heading4"/>
      </w:pPr>
      <w:r>
        <w:t xml:space="preserve">Practitioner Professional Body </w:t>
      </w:r>
      <w:r w:rsidRPr="00277B20">
        <w:t>membership</w:t>
      </w:r>
    </w:p>
    <w:p w14:paraId="2644A2DA" w14:textId="7ED80988" w:rsidR="005A112D" w:rsidRDefault="000A27B7" w:rsidP="005A112D">
      <w:pPr>
        <w:pStyle w:val="BodyText"/>
      </w:pPr>
      <w:r>
        <w:t xml:space="preserve">According to </w:t>
      </w:r>
      <w:r w:rsidR="003D50B4">
        <w:t>AudA</w:t>
      </w:r>
      <w:r>
        <w:t xml:space="preserve">, at a membership base of </w:t>
      </w:r>
      <w:r w:rsidR="006F766D">
        <w:t xml:space="preserve">over </w:t>
      </w:r>
      <w:r>
        <w:t xml:space="preserve">3,600 </w:t>
      </w:r>
      <w:r w:rsidR="00E51138">
        <w:t xml:space="preserve">practising audiologists </w:t>
      </w:r>
      <w:r>
        <w:t xml:space="preserve">they represent </w:t>
      </w:r>
      <w:r w:rsidR="008956D6">
        <w:t>approximately 9</w:t>
      </w:r>
      <w:r w:rsidR="00484373">
        <w:t>5</w:t>
      </w:r>
      <w:r>
        <w:t xml:space="preserve">% of </w:t>
      </w:r>
      <w:r w:rsidR="00F74B7E">
        <w:t xml:space="preserve">all </w:t>
      </w:r>
      <w:r w:rsidR="00541DAD">
        <w:t>a</w:t>
      </w:r>
      <w:r w:rsidR="00F74B7E">
        <w:t>udiologists in Australia</w:t>
      </w:r>
      <w:r>
        <w:t>.</w:t>
      </w:r>
      <w:r>
        <w:rPr>
          <w:rStyle w:val="FootnoteReference"/>
        </w:rPr>
        <w:footnoteReference w:id="48"/>
      </w:r>
      <w:r w:rsidR="000A42BC">
        <w:t xml:space="preserve"> </w:t>
      </w:r>
      <w:r w:rsidR="003D50B4">
        <w:t>AcAud inc. HAASA</w:t>
      </w:r>
      <w:r w:rsidR="006E0E60">
        <w:t xml:space="preserve"> has </w:t>
      </w:r>
      <w:r w:rsidR="003A07AA">
        <w:t>2</w:t>
      </w:r>
      <w:r w:rsidR="00BB079A">
        <w:t>5</w:t>
      </w:r>
      <w:r w:rsidR="003A07AA">
        <w:t>0</w:t>
      </w:r>
      <w:r w:rsidR="006E0E60">
        <w:t xml:space="preserve"> audiologist members</w:t>
      </w:r>
      <w:r w:rsidR="00B4493C">
        <w:t>.</w:t>
      </w:r>
      <w:r w:rsidR="00B4493C">
        <w:rPr>
          <w:rStyle w:val="FootnoteReference"/>
        </w:rPr>
        <w:footnoteReference w:id="49"/>
      </w:r>
      <w:r w:rsidR="00B4493C">
        <w:t xml:space="preserve"> </w:t>
      </w:r>
      <w:r w:rsidR="00D54322">
        <w:t>It is not mandatory for audiologists to be members of a PPB</w:t>
      </w:r>
      <w:r w:rsidR="00D44CC4">
        <w:t>. However,</w:t>
      </w:r>
      <w:r w:rsidR="000939FF">
        <w:t xml:space="preserve"> PPB membership figures are</w:t>
      </w:r>
      <w:r w:rsidR="00FF3F90">
        <w:t xml:space="preserve"> important in </w:t>
      </w:r>
      <w:r w:rsidR="006B0E95">
        <w:t>the estimation of the overall workforce size</w:t>
      </w:r>
      <w:r w:rsidR="00D44CC4">
        <w:t xml:space="preserve"> </w:t>
      </w:r>
      <w:r w:rsidR="005F2ECD">
        <w:t>because audiologists in the private sector</w:t>
      </w:r>
      <w:r w:rsidR="00B24F7A">
        <w:t xml:space="preserve"> (the majority of the workforce)</w:t>
      </w:r>
      <w:r w:rsidR="005F2ECD">
        <w:t xml:space="preserve"> </w:t>
      </w:r>
      <w:r w:rsidR="00364F7A">
        <w:t>are required to hold membership</w:t>
      </w:r>
      <w:r w:rsidR="005A112D">
        <w:t xml:space="preserve"> with either of these two bodies in order to</w:t>
      </w:r>
      <w:r w:rsidR="00072F0E">
        <w:t xml:space="preserve"> provide services under </w:t>
      </w:r>
      <w:r w:rsidR="00F56C0C">
        <w:t xml:space="preserve">a range of service delivery programs including the </w:t>
      </w:r>
      <w:r w:rsidR="00072F0E">
        <w:t>Hearing Services Program</w:t>
      </w:r>
      <w:r w:rsidR="006934FE">
        <w:t>.</w:t>
      </w:r>
      <w:r w:rsidR="00072F0E">
        <w:rPr>
          <w:rStyle w:val="FootnoteReference"/>
        </w:rPr>
        <w:footnoteReference w:id="50"/>
      </w:r>
      <w:bookmarkStart w:id="39" w:name="_Ref172383701"/>
    </w:p>
    <w:p w14:paraId="380521EE" w14:textId="34226334" w:rsidR="000A27B7" w:rsidRDefault="000A27B7" w:rsidP="005A112D">
      <w:pPr>
        <w:pStyle w:val="Heading4"/>
      </w:pPr>
      <w:r>
        <w:t xml:space="preserve">ABS Census </w:t>
      </w:r>
      <w:r w:rsidRPr="00277B20">
        <w:t>2021</w:t>
      </w:r>
      <w:bookmarkEnd w:id="39"/>
    </w:p>
    <w:p w14:paraId="37F373AA" w14:textId="14F803D6" w:rsidR="000A27B7" w:rsidRDefault="000A27B7" w:rsidP="0024729A">
      <w:pPr>
        <w:pStyle w:val="BodyText"/>
      </w:pPr>
      <w:r>
        <w:t>The ABS Census has two ANZSCO codes for the audiology occupation, ANZSCO 252711 for Audiologist and ANZSCO 2527 Audiologists and Speech Pathologist / Therapist. As of the 2021 ABS Census Data, there were approximately 2</w:t>
      </w:r>
      <w:r w:rsidR="009425FA">
        <w:t>,</w:t>
      </w:r>
      <w:r>
        <w:t xml:space="preserve">636 </w:t>
      </w:r>
      <w:r w:rsidR="00F8562E">
        <w:t>audiologists by occupation</w:t>
      </w:r>
      <w:r>
        <w:t xml:space="preserve"> </w:t>
      </w:r>
      <w:r w:rsidR="0020440B">
        <w:t xml:space="preserve">and </w:t>
      </w:r>
      <w:r>
        <w:t>15 Audiologists and Speech Pathologist / Therapist.</w:t>
      </w:r>
      <w:r>
        <w:rPr>
          <w:rStyle w:val="FootnoteReference"/>
        </w:rPr>
        <w:footnoteReference w:id="51"/>
      </w:r>
      <w:r>
        <w:t xml:space="preserve"> </w:t>
      </w:r>
    </w:p>
    <w:p w14:paraId="11A9102F" w14:textId="2B2E6F80" w:rsidR="000A27B7" w:rsidRDefault="00956705" w:rsidP="0024729A">
      <w:pPr>
        <w:pStyle w:val="BodyText"/>
      </w:pPr>
      <w:r>
        <w:fldChar w:fldCharType="begin"/>
      </w:r>
      <w:r>
        <w:instrText xml:space="preserve"> REF _Ref172038865 \h </w:instrText>
      </w:r>
      <w:r>
        <w:fldChar w:fldCharType="separate"/>
      </w:r>
      <w:r w:rsidR="00F32107">
        <w:t xml:space="preserve">Table </w:t>
      </w:r>
      <w:r w:rsidR="00F32107">
        <w:rPr>
          <w:noProof/>
        </w:rPr>
        <w:t>2</w:t>
      </w:r>
      <w:r w:rsidR="00F32107">
        <w:t>.</w:t>
      </w:r>
      <w:r w:rsidR="00F32107">
        <w:rPr>
          <w:noProof/>
        </w:rPr>
        <w:t>2</w:t>
      </w:r>
      <w:r>
        <w:fldChar w:fldCharType="end"/>
      </w:r>
      <w:r w:rsidR="000A27B7">
        <w:t xml:space="preserve"> and </w:t>
      </w:r>
      <w:r>
        <w:fldChar w:fldCharType="begin"/>
      </w:r>
      <w:r>
        <w:instrText xml:space="preserve"> REF _Ref172038874 \h </w:instrText>
      </w:r>
      <w:r>
        <w:fldChar w:fldCharType="separate"/>
      </w:r>
      <w:r w:rsidR="00F32107">
        <w:t xml:space="preserve">Table </w:t>
      </w:r>
      <w:r w:rsidR="00F32107">
        <w:rPr>
          <w:noProof/>
        </w:rPr>
        <w:t>2</w:t>
      </w:r>
      <w:r w:rsidR="00F32107">
        <w:t>.</w:t>
      </w:r>
      <w:r w:rsidR="00F32107">
        <w:rPr>
          <w:noProof/>
        </w:rPr>
        <w:t>3</w:t>
      </w:r>
      <w:r>
        <w:fldChar w:fldCharType="end"/>
      </w:r>
      <w:r w:rsidR="000A27B7">
        <w:t xml:space="preserve"> provide workforce information </w:t>
      </w:r>
      <w:r w:rsidR="00D235E9">
        <w:t>for</w:t>
      </w:r>
      <w:r w:rsidR="000A27B7">
        <w:t xml:space="preserve"> audiologists from the 2021 Census.</w:t>
      </w:r>
      <w:r w:rsidR="000A27B7">
        <w:rPr>
          <w:rStyle w:val="FootnoteReference"/>
        </w:rPr>
        <w:footnoteReference w:id="52"/>
      </w:r>
    </w:p>
    <w:p w14:paraId="6B5E6510" w14:textId="3F4A6AFC" w:rsidR="00895A8D" w:rsidRDefault="00895A8D" w:rsidP="00895A8D">
      <w:pPr>
        <w:pStyle w:val="Caption"/>
        <w:keepNext/>
      </w:pPr>
      <w:bookmarkStart w:id="40" w:name="_Ref172038865"/>
      <w:r>
        <w:t xml:space="preserve">Table </w:t>
      </w:r>
      <w:fldSimple w:instr=" STYLEREF 1 \s ">
        <w:r w:rsidR="00F32107">
          <w:rPr>
            <w:noProof/>
          </w:rPr>
          <w:t>2</w:t>
        </w:r>
      </w:fldSimple>
      <w:r w:rsidR="008944FB">
        <w:t>.</w:t>
      </w:r>
      <w:fldSimple w:instr=" SEQ Table \* ARABIC \s 1 ">
        <w:r w:rsidR="00F32107">
          <w:rPr>
            <w:noProof/>
          </w:rPr>
          <w:t>2</w:t>
        </w:r>
      </w:fldSimple>
      <w:bookmarkEnd w:id="40"/>
      <w:r>
        <w:t xml:space="preserve"> Count of audiologists - Australian Census 2021</w:t>
      </w:r>
    </w:p>
    <w:tbl>
      <w:tblPr>
        <w:tblStyle w:val="BodyTable"/>
        <w:tblW w:w="0" w:type="auto"/>
        <w:tblLook w:val="04A0" w:firstRow="1" w:lastRow="0" w:firstColumn="1" w:lastColumn="0" w:noHBand="0" w:noVBand="1"/>
      </w:tblPr>
      <w:tblGrid>
        <w:gridCol w:w="2738"/>
        <w:gridCol w:w="1940"/>
        <w:gridCol w:w="3399"/>
      </w:tblGrid>
      <w:tr w:rsidR="0088585F" w14:paraId="7A92E80F" w14:textId="77777777" w:rsidTr="0088585F">
        <w:trPr>
          <w:cnfStyle w:val="100000000000" w:firstRow="1" w:lastRow="0" w:firstColumn="0" w:lastColumn="0" w:oddVBand="0" w:evenVBand="0" w:oddHBand="0" w:evenHBand="0" w:firstRowFirstColumn="0" w:firstRowLastColumn="0" w:lastRowFirstColumn="0" w:lastRowLastColumn="0"/>
          <w:trHeight w:val="260"/>
        </w:trPr>
        <w:tc>
          <w:tcPr>
            <w:tcW w:w="2738" w:type="dxa"/>
          </w:tcPr>
          <w:p w14:paraId="375EE5C9" w14:textId="77777777" w:rsidR="0088585F" w:rsidRPr="007C066B" w:rsidRDefault="0088585F">
            <w:pPr>
              <w:keepNext/>
              <w:spacing w:line="240" w:lineRule="auto"/>
              <w:rPr>
                <w:b/>
              </w:rPr>
            </w:pPr>
            <w:r w:rsidRPr="007C066B">
              <w:rPr>
                <w:b/>
              </w:rPr>
              <w:t>State</w:t>
            </w:r>
          </w:p>
        </w:tc>
        <w:tc>
          <w:tcPr>
            <w:tcW w:w="1940" w:type="dxa"/>
          </w:tcPr>
          <w:p w14:paraId="4EA22A3C" w14:textId="77777777" w:rsidR="0088585F" w:rsidRPr="007C066B" w:rsidRDefault="0088585F">
            <w:pPr>
              <w:keepNext/>
              <w:spacing w:line="240" w:lineRule="auto"/>
              <w:rPr>
                <w:b/>
              </w:rPr>
            </w:pPr>
            <w:r w:rsidRPr="007C066B">
              <w:rPr>
                <w:b/>
              </w:rPr>
              <w:t>Audiologist (ANZSCO 252711)</w:t>
            </w:r>
          </w:p>
        </w:tc>
        <w:tc>
          <w:tcPr>
            <w:tcW w:w="3399" w:type="dxa"/>
          </w:tcPr>
          <w:p w14:paraId="3E3B0DF3" w14:textId="77777777" w:rsidR="0088585F" w:rsidRPr="007C066B" w:rsidRDefault="0088585F">
            <w:pPr>
              <w:keepNext/>
              <w:spacing w:line="240" w:lineRule="auto"/>
              <w:rPr>
                <w:b/>
              </w:rPr>
            </w:pPr>
            <w:r w:rsidRPr="007C066B">
              <w:rPr>
                <w:b/>
              </w:rPr>
              <w:t>Audiologists and Speech Pathologist / Therapist (ANZSCO 2527)</w:t>
            </w:r>
          </w:p>
        </w:tc>
      </w:tr>
      <w:tr w:rsidR="0088585F" w14:paraId="00A8E958" w14:textId="77777777" w:rsidTr="0088585F">
        <w:trPr>
          <w:trHeight w:val="260"/>
        </w:trPr>
        <w:tc>
          <w:tcPr>
            <w:tcW w:w="2738" w:type="dxa"/>
          </w:tcPr>
          <w:p w14:paraId="70DD7DE8" w14:textId="77777777" w:rsidR="0088585F" w:rsidRDefault="0088585F">
            <w:pPr>
              <w:keepNext/>
              <w:spacing w:line="240" w:lineRule="auto"/>
            </w:pPr>
            <w:r>
              <w:t>New South Wales</w:t>
            </w:r>
          </w:p>
        </w:tc>
        <w:tc>
          <w:tcPr>
            <w:tcW w:w="1940" w:type="dxa"/>
          </w:tcPr>
          <w:p w14:paraId="7C343439" w14:textId="77777777" w:rsidR="0088585F" w:rsidRDefault="0088585F">
            <w:pPr>
              <w:keepNext/>
              <w:spacing w:line="240" w:lineRule="auto"/>
            </w:pPr>
            <w:r>
              <w:t>719</w:t>
            </w:r>
          </w:p>
        </w:tc>
        <w:tc>
          <w:tcPr>
            <w:tcW w:w="3399" w:type="dxa"/>
          </w:tcPr>
          <w:p w14:paraId="79C47427" w14:textId="77777777" w:rsidR="0088585F" w:rsidRDefault="0088585F">
            <w:pPr>
              <w:keepNext/>
              <w:spacing w:line="240" w:lineRule="auto"/>
            </w:pPr>
            <w:r>
              <w:t>4</w:t>
            </w:r>
          </w:p>
        </w:tc>
      </w:tr>
      <w:tr w:rsidR="0088585F" w14:paraId="3CA5DDD2" w14:textId="77777777" w:rsidTr="0088585F">
        <w:trPr>
          <w:trHeight w:val="260"/>
        </w:trPr>
        <w:tc>
          <w:tcPr>
            <w:tcW w:w="2738" w:type="dxa"/>
          </w:tcPr>
          <w:p w14:paraId="6B0C7B1B" w14:textId="77777777" w:rsidR="0088585F" w:rsidRDefault="0088585F">
            <w:pPr>
              <w:keepNext/>
              <w:spacing w:line="240" w:lineRule="auto"/>
            </w:pPr>
            <w:r>
              <w:t>Victoria</w:t>
            </w:r>
          </w:p>
        </w:tc>
        <w:tc>
          <w:tcPr>
            <w:tcW w:w="1940" w:type="dxa"/>
          </w:tcPr>
          <w:p w14:paraId="58DBA61B" w14:textId="77777777" w:rsidR="0088585F" w:rsidRDefault="0088585F">
            <w:pPr>
              <w:keepNext/>
              <w:spacing w:line="240" w:lineRule="auto"/>
            </w:pPr>
            <w:r>
              <w:t>765</w:t>
            </w:r>
          </w:p>
        </w:tc>
        <w:tc>
          <w:tcPr>
            <w:tcW w:w="3399" w:type="dxa"/>
          </w:tcPr>
          <w:p w14:paraId="7D804361" w14:textId="77777777" w:rsidR="0088585F" w:rsidRDefault="0088585F">
            <w:pPr>
              <w:keepNext/>
              <w:spacing w:line="240" w:lineRule="auto"/>
            </w:pPr>
            <w:r>
              <w:t>4</w:t>
            </w:r>
          </w:p>
        </w:tc>
      </w:tr>
      <w:tr w:rsidR="0088585F" w14:paraId="57B09009" w14:textId="77777777" w:rsidTr="0088585F">
        <w:trPr>
          <w:trHeight w:val="260"/>
        </w:trPr>
        <w:tc>
          <w:tcPr>
            <w:tcW w:w="2738" w:type="dxa"/>
          </w:tcPr>
          <w:p w14:paraId="423B8540" w14:textId="77777777" w:rsidR="0088585F" w:rsidRDefault="0088585F">
            <w:pPr>
              <w:keepNext/>
              <w:spacing w:line="240" w:lineRule="auto"/>
            </w:pPr>
            <w:r>
              <w:t>Queensland</w:t>
            </w:r>
          </w:p>
        </w:tc>
        <w:tc>
          <w:tcPr>
            <w:tcW w:w="1940" w:type="dxa"/>
          </w:tcPr>
          <w:p w14:paraId="0073B86D" w14:textId="77777777" w:rsidR="0088585F" w:rsidRDefault="0088585F">
            <w:pPr>
              <w:keepNext/>
              <w:spacing w:line="240" w:lineRule="auto"/>
            </w:pPr>
            <w:r>
              <w:t>549</w:t>
            </w:r>
          </w:p>
        </w:tc>
        <w:tc>
          <w:tcPr>
            <w:tcW w:w="3399" w:type="dxa"/>
          </w:tcPr>
          <w:p w14:paraId="7276EEB5" w14:textId="77777777" w:rsidR="0088585F" w:rsidRDefault="0088585F">
            <w:pPr>
              <w:keepNext/>
              <w:spacing w:line="240" w:lineRule="auto"/>
            </w:pPr>
            <w:r>
              <w:t>5</w:t>
            </w:r>
          </w:p>
        </w:tc>
      </w:tr>
      <w:tr w:rsidR="0088585F" w14:paraId="653A17CA" w14:textId="77777777" w:rsidTr="0088585F">
        <w:trPr>
          <w:trHeight w:val="260"/>
        </w:trPr>
        <w:tc>
          <w:tcPr>
            <w:tcW w:w="2738" w:type="dxa"/>
          </w:tcPr>
          <w:p w14:paraId="2B929F6F" w14:textId="77777777" w:rsidR="0088585F" w:rsidRDefault="0088585F">
            <w:pPr>
              <w:keepNext/>
              <w:spacing w:line="240" w:lineRule="auto"/>
            </w:pPr>
            <w:r>
              <w:t>South Australia</w:t>
            </w:r>
          </w:p>
        </w:tc>
        <w:tc>
          <w:tcPr>
            <w:tcW w:w="1940" w:type="dxa"/>
          </w:tcPr>
          <w:p w14:paraId="32FB29F6" w14:textId="77777777" w:rsidR="0088585F" w:rsidRDefault="0088585F">
            <w:pPr>
              <w:keepNext/>
              <w:spacing w:line="240" w:lineRule="auto"/>
            </w:pPr>
            <w:r>
              <w:t>187</w:t>
            </w:r>
          </w:p>
        </w:tc>
        <w:tc>
          <w:tcPr>
            <w:tcW w:w="3399" w:type="dxa"/>
          </w:tcPr>
          <w:p w14:paraId="68858487" w14:textId="77777777" w:rsidR="0088585F" w:rsidRDefault="0088585F">
            <w:pPr>
              <w:keepNext/>
              <w:spacing w:line="240" w:lineRule="auto"/>
            </w:pPr>
            <w:r>
              <w:t>4</w:t>
            </w:r>
          </w:p>
        </w:tc>
      </w:tr>
      <w:tr w:rsidR="0088585F" w14:paraId="028FF341" w14:textId="77777777" w:rsidTr="0088585F">
        <w:trPr>
          <w:trHeight w:val="260"/>
        </w:trPr>
        <w:tc>
          <w:tcPr>
            <w:tcW w:w="2738" w:type="dxa"/>
          </w:tcPr>
          <w:p w14:paraId="00AF9E0B" w14:textId="77777777" w:rsidR="0088585F" w:rsidRDefault="0088585F">
            <w:pPr>
              <w:keepNext/>
              <w:spacing w:line="240" w:lineRule="auto"/>
            </w:pPr>
            <w:r>
              <w:t>Western Australia</w:t>
            </w:r>
          </w:p>
        </w:tc>
        <w:tc>
          <w:tcPr>
            <w:tcW w:w="1940" w:type="dxa"/>
          </w:tcPr>
          <w:p w14:paraId="6C4EB08F" w14:textId="77777777" w:rsidR="0088585F" w:rsidRDefault="0088585F">
            <w:pPr>
              <w:keepNext/>
              <w:spacing w:line="240" w:lineRule="auto"/>
            </w:pPr>
            <w:r>
              <w:t>283</w:t>
            </w:r>
          </w:p>
        </w:tc>
        <w:tc>
          <w:tcPr>
            <w:tcW w:w="3399" w:type="dxa"/>
          </w:tcPr>
          <w:p w14:paraId="21D8505E" w14:textId="77777777" w:rsidR="0088585F" w:rsidRDefault="0088585F">
            <w:pPr>
              <w:keepNext/>
              <w:spacing w:line="240" w:lineRule="auto"/>
            </w:pPr>
            <w:r>
              <w:t>0</w:t>
            </w:r>
          </w:p>
        </w:tc>
      </w:tr>
      <w:tr w:rsidR="0088585F" w14:paraId="7AA68AD0" w14:textId="77777777" w:rsidTr="0088585F">
        <w:trPr>
          <w:trHeight w:val="260"/>
        </w:trPr>
        <w:tc>
          <w:tcPr>
            <w:tcW w:w="2738" w:type="dxa"/>
          </w:tcPr>
          <w:p w14:paraId="6773B491" w14:textId="77777777" w:rsidR="0088585F" w:rsidRDefault="0088585F">
            <w:pPr>
              <w:keepNext/>
              <w:spacing w:line="240" w:lineRule="auto"/>
            </w:pPr>
            <w:r>
              <w:t>Tasmania</w:t>
            </w:r>
          </w:p>
        </w:tc>
        <w:tc>
          <w:tcPr>
            <w:tcW w:w="1940" w:type="dxa"/>
          </w:tcPr>
          <w:p w14:paraId="5CE3021B" w14:textId="77777777" w:rsidR="0088585F" w:rsidRDefault="0088585F">
            <w:pPr>
              <w:keepNext/>
              <w:spacing w:line="240" w:lineRule="auto"/>
            </w:pPr>
            <w:r>
              <w:t>58</w:t>
            </w:r>
          </w:p>
        </w:tc>
        <w:tc>
          <w:tcPr>
            <w:tcW w:w="3399" w:type="dxa"/>
          </w:tcPr>
          <w:p w14:paraId="0BD4B814" w14:textId="77777777" w:rsidR="0088585F" w:rsidRDefault="0088585F">
            <w:pPr>
              <w:keepNext/>
              <w:spacing w:line="240" w:lineRule="auto"/>
            </w:pPr>
            <w:r>
              <w:t>0</w:t>
            </w:r>
          </w:p>
        </w:tc>
      </w:tr>
      <w:tr w:rsidR="0088585F" w14:paraId="3FC54713" w14:textId="77777777" w:rsidTr="0088585F">
        <w:trPr>
          <w:trHeight w:val="260"/>
        </w:trPr>
        <w:tc>
          <w:tcPr>
            <w:tcW w:w="2738" w:type="dxa"/>
          </w:tcPr>
          <w:p w14:paraId="62284C90" w14:textId="77777777" w:rsidR="0088585F" w:rsidRDefault="0088585F">
            <w:pPr>
              <w:keepNext/>
              <w:spacing w:line="240" w:lineRule="auto"/>
            </w:pPr>
            <w:r>
              <w:t>Northern Territory</w:t>
            </w:r>
          </w:p>
        </w:tc>
        <w:tc>
          <w:tcPr>
            <w:tcW w:w="1940" w:type="dxa"/>
          </w:tcPr>
          <w:p w14:paraId="3F0E2C05" w14:textId="77777777" w:rsidR="0088585F" w:rsidRDefault="0088585F">
            <w:pPr>
              <w:keepNext/>
              <w:spacing w:line="240" w:lineRule="auto"/>
            </w:pPr>
            <w:r>
              <w:t>30</w:t>
            </w:r>
          </w:p>
        </w:tc>
        <w:tc>
          <w:tcPr>
            <w:tcW w:w="3399" w:type="dxa"/>
          </w:tcPr>
          <w:p w14:paraId="1DBB9163" w14:textId="77777777" w:rsidR="0088585F" w:rsidRDefault="0088585F">
            <w:pPr>
              <w:keepNext/>
              <w:spacing w:line="240" w:lineRule="auto"/>
            </w:pPr>
            <w:r>
              <w:t>0</w:t>
            </w:r>
          </w:p>
        </w:tc>
      </w:tr>
      <w:tr w:rsidR="0088585F" w14:paraId="6757FC04" w14:textId="77777777" w:rsidTr="0088585F">
        <w:trPr>
          <w:trHeight w:val="260"/>
        </w:trPr>
        <w:tc>
          <w:tcPr>
            <w:tcW w:w="2738" w:type="dxa"/>
          </w:tcPr>
          <w:p w14:paraId="0E448204" w14:textId="77777777" w:rsidR="0088585F" w:rsidRDefault="0088585F">
            <w:pPr>
              <w:keepNext/>
              <w:spacing w:line="240" w:lineRule="auto"/>
            </w:pPr>
            <w:r>
              <w:t>Australian Capital Territory</w:t>
            </w:r>
          </w:p>
        </w:tc>
        <w:tc>
          <w:tcPr>
            <w:tcW w:w="1940" w:type="dxa"/>
          </w:tcPr>
          <w:p w14:paraId="753C8C52" w14:textId="77777777" w:rsidR="0088585F" w:rsidRDefault="0088585F">
            <w:pPr>
              <w:keepNext/>
              <w:spacing w:line="240" w:lineRule="auto"/>
            </w:pPr>
            <w:r>
              <w:t>48</w:t>
            </w:r>
          </w:p>
        </w:tc>
        <w:tc>
          <w:tcPr>
            <w:tcW w:w="3399" w:type="dxa"/>
          </w:tcPr>
          <w:p w14:paraId="2EE020D3" w14:textId="77777777" w:rsidR="0088585F" w:rsidRDefault="0088585F">
            <w:pPr>
              <w:keepNext/>
              <w:spacing w:line="240" w:lineRule="auto"/>
            </w:pPr>
            <w:r>
              <w:t>0</w:t>
            </w:r>
          </w:p>
        </w:tc>
      </w:tr>
    </w:tbl>
    <w:p w14:paraId="742243D2" w14:textId="73EAE27F" w:rsidR="00E3631A" w:rsidRPr="006D2F28" w:rsidRDefault="00895A8D" w:rsidP="00E3631A">
      <w:pPr>
        <w:pStyle w:val="BodyText"/>
        <w:rPr>
          <w:color w:val="7F7F7F" w:themeColor="text1" w:themeTint="80"/>
          <w:sz w:val="14"/>
          <w:szCs w:val="14"/>
        </w:rPr>
      </w:pPr>
      <w:r w:rsidRPr="006D2F28">
        <w:rPr>
          <w:color w:val="7F7F7F" w:themeColor="text1" w:themeTint="80"/>
          <w:sz w:val="14"/>
          <w:szCs w:val="14"/>
        </w:rPr>
        <w:t xml:space="preserve">Source: ABS </w:t>
      </w:r>
      <w:r w:rsidR="006D2F28" w:rsidRPr="006D2F28">
        <w:rPr>
          <w:color w:val="7F7F7F" w:themeColor="text1" w:themeTint="80"/>
          <w:sz w:val="14"/>
          <w:szCs w:val="14"/>
        </w:rPr>
        <w:t>2021 Census</w:t>
      </w:r>
    </w:p>
    <w:p w14:paraId="0A7FCCAD" w14:textId="3DE8D7D8" w:rsidR="00895A8D" w:rsidRDefault="00895A8D" w:rsidP="00895A8D">
      <w:pPr>
        <w:pStyle w:val="Caption"/>
        <w:keepNext/>
      </w:pPr>
      <w:bookmarkStart w:id="41" w:name="_Ref172038874"/>
      <w:r>
        <w:t xml:space="preserve">Table </w:t>
      </w:r>
      <w:fldSimple w:instr=" STYLEREF 1 \s ">
        <w:r w:rsidR="00F32107">
          <w:rPr>
            <w:noProof/>
          </w:rPr>
          <w:t>2</w:t>
        </w:r>
      </w:fldSimple>
      <w:r w:rsidR="008944FB">
        <w:t>.</w:t>
      </w:r>
      <w:fldSimple w:instr=" SEQ Table \* ARABIC \s 1 ">
        <w:r w:rsidR="00F32107">
          <w:rPr>
            <w:noProof/>
          </w:rPr>
          <w:t>3</w:t>
        </w:r>
      </w:fldSimple>
      <w:bookmarkEnd w:id="41"/>
      <w:r>
        <w:t xml:space="preserve"> Employment of audiologists, by employer type</w:t>
      </w:r>
    </w:p>
    <w:tbl>
      <w:tblPr>
        <w:tblStyle w:val="BodyTable"/>
        <w:tblW w:w="0" w:type="auto"/>
        <w:tblLook w:val="04A0" w:firstRow="1" w:lastRow="0" w:firstColumn="1" w:lastColumn="0" w:noHBand="0" w:noVBand="1"/>
      </w:tblPr>
      <w:tblGrid>
        <w:gridCol w:w="2689"/>
        <w:gridCol w:w="1984"/>
        <w:gridCol w:w="3260"/>
      </w:tblGrid>
      <w:tr w:rsidR="00895A8D" w14:paraId="6BFB8340" w14:textId="77777777" w:rsidTr="00895A8D">
        <w:trPr>
          <w:cnfStyle w:val="100000000000" w:firstRow="1" w:lastRow="0" w:firstColumn="0" w:lastColumn="0" w:oddVBand="0" w:evenVBand="0" w:oddHBand="0" w:evenHBand="0" w:firstRowFirstColumn="0" w:firstRowLastColumn="0" w:lastRowFirstColumn="0" w:lastRowLastColumn="0"/>
          <w:trHeight w:val="464"/>
        </w:trPr>
        <w:tc>
          <w:tcPr>
            <w:tcW w:w="2689" w:type="dxa"/>
          </w:tcPr>
          <w:p w14:paraId="1F921678" w14:textId="77777777" w:rsidR="00895A8D" w:rsidRPr="007C066B" w:rsidRDefault="00895A8D">
            <w:pPr>
              <w:keepNext/>
              <w:spacing w:line="240" w:lineRule="auto"/>
              <w:rPr>
                <w:b/>
              </w:rPr>
            </w:pPr>
            <w:r w:rsidRPr="007C066B">
              <w:rPr>
                <w:b/>
              </w:rPr>
              <w:t>Employment by public/private sector</w:t>
            </w:r>
          </w:p>
        </w:tc>
        <w:tc>
          <w:tcPr>
            <w:tcW w:w="1984" w:type="dxa"/>
          </w:tcPr>
          <w:p w14:paraId="4274C0C7" w14:textId="77777777" w:rsidR="00895A8D" w:rsidRPr="007C066B" w:rsidRDefault="00895A8D">
            <w:pPr>
              <w:keepNext/>
              <w:spacing w:line="240" w:lineRule="auto"/>
              <w:rPr>
                <w:b/>
              </w:rPr>
            </w:pPr>
            <w:r w:rsidRPr="007C066B">
              <w:rPr>
                <w:b/>
              </w:rPr>
              <w:t>Audiologist (ANZSCO 252711)</w:t>
            </w:r>
          </w:p>
        </w:tc>
        <w:tc>
          <w:tcPr>
            <w:tcW w:w="3260" w:type="dxa"/>
          </w:tcPr>
          <w:p w14:paraId="14145B34" w14:textId="2FFB9C6D" w:rsidR="00895A8D" w:rsidRPr="007C066B" w:rsidRDefault="00895A8D">
            <w:pPr>
              <w:keepNext/>
              <w:spacing w:line="240" w:lineRule="auto"/>
              <w:rPr>
                <w:b/>
              </w:rPr>
            </w:pPr>
            <w:r w:rsidRPr="007C066B">
              <w:rPr>
                <w:b/>
              </w:rPr>
              <w:t>Audiologists and Speech Pathologist / Therapist (ANZSCO 2527)</w:t>
            </w:r>
          </w:p>
        </w:tc>
      </w:tr>
      <w:tr w:rsidR="00895A8D" w14:paraId="18C861AB" w14:textId="77777777" w:rsidTr="00895A8D">
        <w:trPr>
          <w:trHeight w:val="26"/>
        </w:trPr>
        <w:tc>
          <w:tcPr>
            <w:tcW w:w="2689" w:type="dxa"/>
          </w:tcPr>
          <w:p w14:paraId="2AE71248" w14:textId="77777777" w:rsidR="00895A8D" w:rsidRDefault="00895A8D">
            <w:pPr>
              <w:keepNext/>
              <w:spacing w:line="240" w:lineRule="auto"/>
            </w:pPr>
            <w:r w:rsidRPr="00E910F5">
              <w:t>National Government</w:t>
            </w:r>
          </w:p>
        </w:tc>
        <w:tc>
          <w:tcPr>
            <w:tcW w:w="1984" w:type="dxa"/>
          </w:tcPr>
          <w:p w14:paraId="7DB51A83" w14:textId="77777777" w:rsidR="00895A8D" w:rsidRDefault="00895A8D">
            <w:pPr>
              <w:keepNext/>
              <w:spacing w:line="240" w:lineRule="auto"/>
            </w:pPr>
            <w:r w:rsidRPr="00221BBD">
              <w:t>49</w:t>
            </w:r>
          </w:p>
        </w:tc>
        <w:tc>
          <w:tcPr>
            <w:tcW w:w="3260" w:type="dxa"/>
          </w:tcPr>
          <w:p w14:paraId="27C702EF" w14:textId="77777777" w:rsidR="00895A8D" w:rsidRPr="00221BBD" w:rsidRDefault="00895A8D">
            <w:pPr>
              <w:keepNext/>
              <w:spacing w:line="240" w:lineRule="auto"/>
            </w:pPr>
            <w:r>
              <w:t>0</w:t>
            </w:r>
          </w:p>
        </w:tc>
      </w:tr>
      <w:tr w:rsidR="00895A8D" w14:paraId="4D8D3CBA" w14:textId="77777777" w:rsidTr="00895A8D">
        <w:trPr>
          <w:trHeight w:val="50"/>
        </w:trPr>
        <w:tc>
          <w:tcPr>
            <w:tcW w:w="2689" w:type="dxa"/>
          </w:tcPr>
          <w:p w14:paraId="5A57A49A" w14:textId="77777777" w:rsidR="00895A8D" w:rsidRDefault="00895A8D">
            <w:pPr>
              <w:keepNext/>
              <w:spacing w:line="240" w:lineRule="auto"/>
            </w:pPr>
            <w:r w:rsidRPr="00E910F5">
              <w:t>State/Territory Government</w:t>
            </w:r>
          </w:p>
        </w:tc>
        <w:tc>
          <w:tcPr>
            <w:tcW w:w="1984" w:type="dxa"/>
          </w:tcPr>
          <w:p w14:paraId="6F528CB9" w14:textId="77777777" w:rsidR="00895A8D" w:rsidRDefault="00895A8D">
            <w:pPr>
              <w:keepNext/>
              <w:spacing w:line="240" w:lineRule="auto"/>
            </w:pPr>
            <w:r w:rsidRPr="00221BBD">
              <w:t>232</w:t>
            </w:r>
          </w:p>
        </w:tc>
        <w:tc>
          <w:tcPr>
            <w:tcW w:w="3260" w:type="dxa"/>
          </w:tcPr>
          <w:p w14:paraId="4CED7ACF" w14:textId="77777777" w:rsidR="00895A8D" w:rsidRPr="00221BBD" w:rsidRDefault="00895A8D">
            <w:pPr>
              <w:keepNext/>
              <w:spacing w:line="240" w:lineRule="auto"/>
            </w:pPr>
            <w:r>
              <w:t>0</w:t>
            </w:r>
          </w:p>
        </w:tc>
      </w:tr>
      <w:tr w:rsidR="00895A8D" w14:paraId="5F979B6C" w14:textId="77777777" w:rsidTr="00895A8D">
        <w:trPr>
          <w:trHeight w:val="26"/>
        </w:trPr>
        <w:tc>
          <w:tcPr>
            <w:tcW w:w="2689" w:type="dxa"/>
          </w:tcPr>
          <w:p w14:paraId="3E5F8A21" w14:textId="77777777" w:rsidR="00895A8D" w:rsidRDefault="00895A8D">
            <w:pPr>
              <w:keepNext/>
              <w:spacing w:line="240" w:lineRule="auto"/>
            </w:pPr>
            <w:r w:rsidRPr="00E910F5">
              <w:t>Local Government</w:t>
            </w:r>
          </w:p>
        </w:tc>
        <w:tc>
          <w:tcPr>
            <w:tcW w:w="1984" w:type="dxa"/>
          </w:tcPr>
          <w:p w14:paraId="7242F6AB" w14:textId="77777777" w:rsidR="00895A8D" w:rsidRDefault="00895A8D">
            <w:pPr>
              <w:keepNext/>
              <w:spacing w:line="240" w:lineRule="auto"/>
            </w:pPr>
            <w:r w:rsidRPr="00221BBD">
              <w:t>0</w:t>
            </w:r>
          </w:p>
        </w:tc>
        <w:tc>
          <w:tcPr>
            <w:tcW w:w="3260" w:type="dxa"/>
          </w:tcPr>
          <w:p w14:paraId="0DFDE06E" w14:textId="77777777" w:rsidR="00895A8D" w:rsidRPr="00221BBD" w:rsidRDefault="00895A8D">
            <w:pPr>
              <w:keepNext/>
              <w:spacing w:line="240" w:lineRule="auto"/>
            </w:pPr>
            <w:r>
              <w:t>0</w:t>
            </w:r>
          </w:p>
        </w:tc>
      </w:tr>
      <w:tr w:rsidR="00895A8D" w14:paraId="704D142C" w14:textId="77777777" w:rsidTr="00895A8D">
        <w:trPr>
          <w:trHeight w:val="26"/>
        </w:trPr>
        <w:tc>
          <w:tcPr>
            <w:tcW w:w="2689" w:type="dxa"/>
          </w:tcPr>
          <w:p w14:paraId="563278AB" w14:textId="77777777" w:rsidR="00895A8D" w:rsidRDefault="00895A8D">
            <w:pPr>
              <w:keepNext/>
              <w:spacing w:line="240" w:lineRule="auto"/>
            </w:pPr>
            <w:r w:rsidRPr="00E910F5">
              <w:t>Private sector</w:t>
            </w:r>
          </w:p>
        </w:tc>
        <w:tc>
          <w:tcPr>
            <w:tcW w:w="1984" w:type="dxa"/>
          </w:tcPr>
          <w:p w14:paraId="694C0A51" w14:textId="77777777" w:rsidR="00895A8D" w:rsidRDefault="00895A8D">
            <w:pPr>
              <w:keepNext/>
              <w:spacing w:line="240" w:lineRule="auto"/>
            </w:pPr>
            <w:r w:rsidRPr="00221BBD">
              <w:t>2344</w:t>
            </w:r>
          </w:p>
        </w:tc>
        <w:tc>
          <w:tcPr>
            <w:tcW w:w="3260" w:type="dxa"/>
          </w:tcPr>
          <w:p w14:paraId="2534A93B" w14:textId="77777777" w:rsidR="00895A8D" w:rsidRPr="00221BBD" w:rsidRDefault="00895A8D">
            <w:pPr>
              <w:keepNext/>
              <w:spacing w:line="240" w:lineRule="auto"/>
            </w:pPr>
            <w:r>
              <w:t>14</w:t>
            </w:r>
          </w:p>
        </w:tc>
      </w:tr>
      <w:tr w:rsidR="00895A8D" w14:paraId="71EEED4B" w14:textId="77777777" w:rsidTr="00895A8D">
        <w:trPr>
          <w:trHeight w:val="26"/>
        </w:trPr>
        <w:tc>
          <w:tcPr>
            <w:tcW w:w="2689" w:type="dxa"/>
          </w:tcPr>
          <w:p w14:paraId="580BD0B9" w14:textId="77777777" w:rsidR="00895A8D" w:rsidRDefault="00895A8D">
            <w:pPr>
              <w:keepNext/>
              <w:spacing w:line="240" w:lineRule="auto"/>
            </w:pPr>
            <w:r w:rsidRPr="00E910F5">
              <w:t>Not stated</w:t>
            </w:r>
          </w:p>
        </w:tc>
        <w:tc>
          <w:tcPr>
            <w:tcW w:w="1984" w:type="dxa"/>
          </w:tcPr>
          <w:p w14:paraId="5853230B" w14:textId="77777777" w:rsidR="00895A8D" w:rsidRDefault="00895A8D">
            <w:pPr>
              <w:keepNext/>
              <w:spacing w:line="240" w:lineRule="auto"/>
            </w:pPr>
            <w:r w:rsidRPr="00221BBD">
              <w:t>10</w:t>
            </w:r>
          </w:p>
        </w:tc>
        <w:tc>
          <w:tcPr>
            <w:tcW w:w="3260" w:type="dxa"/>
          </w:tcPr>
          <w:p w14:paraId="08745509" w14:textId="77777777" w:rsidR="00895A8D" w:rsidRPr="00221BBD" w:rsidRDefault="00895A8D">
            <w:pPr>
              <w:keepNext/>
              <w:spacing w:line="240" w:lineRule="auto"/>
            </w:pPr>
            <w:r>
              <w:t>0</w:t>
            </w:r>
          </w:p>
        </w:tc>
      </w:tr>
    </w:tbl>
    <w:p w14:paraId="025E9620" w14:textId="6B060932" w:rsidR="0088585F" w:rsidRDefault="006D2F28" w:rsidP="00E3631A">
      <w:pPr>
        <w:pStyle w:val="BodyText"/>
        <w:rPr>
          <w:color w:val="7F7F7F" w:themeColor="text1" w:themeTint="80"/>
          <w:sz w:val="14"/>
          <w:szCs w:val="14"/>
        </w:rPr>
      </w:pPr>
      <w:r w:rsidRPr="006D2F28">
        <w:rPr>
          <w:color w:val="7F7F7F" w:themeColor="text1" w:themeTint="80"/>
          <w:sz w:val="14"/>
          <w:szCs w:val="14"/>
        </w:rPr>
        <w:t>Source: ABS 2021 Census</w:t>
      </w:r>
    </w:p>
    <w:p w14:paraId="7FC98295" w14:textId="17827B3E" w:rsidR="009E40A7" w:rsidRDefault="00B21F02" w:rsidP="009466BC">
      <w:pPr>
        <w:pStyle w:val="BodyText"/>
      </w:pPr>
      <w:r>
        <w:t>In the absence of further information, it has been assumed</w:t>
      </w:r>
      <w:r w:rsidR="009E40A7">
        <w:t xml:space="preserve"> that the main difference between PPB membership numbers and ABS Census figures (after accounting for three years of net workforce growth) is audiologists holding </w:t>
      </w:r>
      <w:r w:rsidR="00935C2D">
        <w:t xml:space="preserve">PPB </w:t>
      </w:r>
      <w:r w:rsidR="009E40A7">
        <w:t>membership but having a different occupation (i.e. holding an administrative or managerial role).</w:t>
      </w:r>
    </w:p>
    <w:p w14:paraId="70A37A2C" w14:textId="1CBE35DA" w:rsidR="009E40A7" w:rsidRPr="006B6DB1" w:rsidRDefault="009E40A7" w:rsidP="009466BC">
      <w:pPr>
        <w:pStyle w:val="BodyText"/>
      </w:pPr>
      <w:r>
        <w:t xml:space="preserve">Audiometrists are classified under ANZSCO code 311299 </w:t>
      </w:r>
      <w:r w:rsidR="006B6DB1">
        <w:t>‘</w:t>
      </w:r>
      <w:r>
        <w:t>Medical Technicians</w:t>
      </w:r>
      <w:r w:rsidR="003305A8">
        <w:t xml:space="preserve"> (not elsewhere classified)</w:t>
      </w:r>
      <w:r w:rsidR="006B6DB1">
        <w:t>’</w:t>
      </w:r>
      <w:r>
        <w:t>, which is a broad category that includes other occupations including dialysis technician</w:t>
      </w:r>
      <w:r w:rsidR="00210DE0">
        <w:t>s</w:t>
      </w:r>
      <w:r w:rsidR="00130FA7">
        <w:t xml:space="preserve"> and</w:t>
      </w:r>
      <w:r>
        <w:t xml:space="preserve"> mortuary technician</w:t>
      </w:r>
      <w:r w:rsidR="00210DE0">
        <w:t>s</w:t>
      </w:r>
      <w:r>
        <w:t>.</w:t>
      </w:r>
      <w:r w:rsidR="00700EF6">
        <w:rPr>
          <w:rStyle w:val="FootnoteReference"/>
        </w:rPr>
        <w:footnoteReference w:id="53"/>
      </w:r>
      <w:r>
        <w:t xml:space="preserve"> Due to the categorisation of other occupations in the same occupation code, it is difficult to discern the number of practising audiometrists in Australia from Census data. However, </w:t>
      </w:r>
      <w:r w:rsidR="00B132F8">
        <w:t xml:space="preserve">in 2024 </w:t>
      </w:r>
      <w:r>
        <w:t xml:space="preserve">there </w:t>
      </w:r>
      <w:r w:rsidR="00397272">
        <w:t xml:space="preserve">were </w:t>
      </w:r>
      <w:r>
        <w:t xml:space="preserve">approximately 700 active audiometrist members of </w:t>
      </w:r>
      <w:r w:rsidR="00236817">
        <w:t>AcAud inc. HAASA</w:t>
      </w:r>
      <w:r w:rsidR="006D2607">
        <w:t xml:space="preserve"> </w:t>
      </w:r>
      <w:r w:rsidR="00CC75E3">
        <w:t>(across full members, associates, students and affiliates)</w:t>
      </w:r>
      <w:r>
        <w:t>.</w:t>
      </w:r>
      <w:r>
        <w:rPr>
          <w:rStyle w:val="FootnoteReference"/>
        </w:rPr>
        <w:footnoteReference w:id="54"/>
      </w:r>
      <w:r w:rsidR="00260A84">
        <w:rPr>
          <w:vertAlign w:val="superscript"/>
        </w:rPr>
        <w:t>,</w:t>
      </w:r>
      <w:r w:rsidR="00260A84">
        <w:rPr>
          <w:rStyle w:val="FootnoteReference"/>
        </w:rPr>
        <w:footnoteReference w:id="55"/>
      </w:r>
      <w:r w:rsidR="008869B0">
        <w:rPr>
          <w:vertAlign w:val="superscript"/>
        </w:rPr>
        <w:t xml:space="preserve"> </w:t>
      </w:r>
      <w:r w:rsidR="006B6DB1">
        <w:rPr>
          <w:vertAlign w:val="superscript"/>
        </w:rPr>
        <w:t xml:space="preserve"> </w:t>
      </w:r>
    </w:p>
    <w:p w14:paraId="24ADD9EA" w14:textId="45495B90" w:rsidR="001969A5" w:rsidRDefault="004D20EC" w:rsidP="001969A5">
      <w:pPr>
        <w:pStyle w:val="Heading3"/>
      </w:pPr>
      <w:bookmarkStart w:id="42" w:name="_Ref172827092"/>
      <w:bookmarkStart w:id="43" w:name="_Toc198138569"/>
      <w:r>
        <w:t>Audiology w</w:t>
      </w:r>
      <w:r w:rsidR="001969A5" w:rsidRPr="005917BA">
        <w:t>orkforce demographics and location</w:t>
      </w:r>
      <w:bookmarkEnd w:id="42"/>
      <w:bookmarkEnd w:id="43"/>
    </w:p>
    <w:p w14:paraId="3C8DB7C1" w14:textId="64492E94" w:rsidR="001969A5" w:rsidRDefault="001969A5" w:rsidP="001969A5">
      <w:pPr>
        <w:pStyle w:val="BodyText"/>
        <w:rPr>
          <w:lang w:eastAsia="en-AU"/>
        </w:rPr>
      </w:pPr>
      <w:r>
        <w:rPr>
          <w:lang w:eastAsia="en-AU"/>
        </w:rPr>
        <w:t xml:space="preserve">A key source of recent audiology workforce information is the </w:t>
      </w:r>
      <w:r w:rsidRPr="004F26D9">
        <w:rPr>
          <w:i/>
          <w:iCs/>
          <w:lang w:eastAsia="en-AU"/>
        </w:rPr>
        <w:t>Hearing Health Workforce Audit 2021</w:t>
      </w:r>
      <w:r>
        <w:rPr>
          <w:lang w:eastAsia="en-AU"/>
        </w:rPr>
        <w:t xml:space="preserve">, which </w:t>
      </w:r>
      <w:r w:rsidR="00660BA1">
        <w:rPr>
          <w:lang w:eastAsia="en-AU"/>
        </w:rPr>
        <w:t>AudA</w:t>
      </w:r>
      <w:r>
        <w:rPr>
          <w:lang w:eastAsia="en-AU"/>
        </w:rPr>
        <w:t xml:space="preserve"> was commissioned to develop. As part of this report, a survey was distributed to the hearing health workforce, and a sample size of 244 audiologists provided a response. </w:t>
      </w:r>
      <w:r w:rsidR="00397C95">
        <w:rPr>
          <w:lang w:eastAsia="en-AU"/>
        </w:rPr>
        <w:t xml:space="preserve">The </w:t>
      </w:r>
      <w:r w:rsidR="000F1D7E">
        <w:rPr>
          <w:lang w:eastAsia="en-AU"/>
        </w:rPr>
        <w:t xml:space="preserve">following </w:t>
      </w:r>
      <w:r w:rsidR="00F42FEA">
        <w:rPr>
          <w:lang w:eastAsia="en-AU"/>
        </w:rPr>
        <w:t>information</w:t>
      </w:r>
      <w:r w:rsidR="002352F7">
        <w:rPr>
          <w:lang w:eastAsia="en-AU"/>
        </w:rPr>
        <w:t xml:space="preserve"> about the audiologist workforce is sourced from this audit</w:t>
      </w:r>
      <w:r w:rsidR="005715B8">
        <w:rPr>
          <w:lang w:eastAsia="en-AU"/>
        </w:rPr>
        <w:t xml:space="preserve"> report</w:t>
      </w:r>
      <w:r w:rsidR="00F42FEA">
        <w:rPr>
          <w:lang w:eastAsia="en-AU"/>
        </w:rPr>
        <w:t>:</w:t>
      </w:r>
      <w:r w:rsidR="005E2A0D">
        <w:rPr>
          <w:rStyle w:val="FootnoteReference"/>
          <w:lang w:eastAsia="en-AU"/>
        </w:rPr>
        <w:footnoteReference w:id="56"/>
      </w:r>
    </w:p>
    <w:p w14:paraId="0FA2F3B8" w14:textId="7694F3CE" w:rsidR="002352F7" w:rsidRDefault="002352F7" w:rsidP="0041445E">
      <w:pPr>
        <w:pStyle w:val="ListBullet"/>
      </w:pPr>
      <w:r>
        <w:t>78 per cent of respondents were female</w:t>
      </w:r>
    </w:p>
    <w:p w14:paraId="0E18D96D" w14:textId="297445A6" w:rsidR="00F42FEA" w:rsidRDefault="00956141" w:rsidP="0041445E">
      <w:pPr>
        <w:pStyle w:val="ListBullet"/>
      </w:pPr>
      <w:r>
        <w:t>6</w:t>
      </w:r>
      <w:r w:rsidR="00D721FE">
        <w:t xml:space="preserve">0 per cent of </w:t>
      </w:r>
      <w:r w:rsidR="002352F7">
        <w:t>respondents were</w:t>
      </w:r>
      <w:r w:rsidR="00D721FE">
        <w:t xml:space="preserve"> aged </w:t>
      </w:r>
      <w:r>
        <w:t>4</w:t>
      </w:r>
      <w:r w:rsidR="008A0BD2">
        <w:t xml:space="preserve">0 and over (with 10 per cent aged </w:t>
      </w:r>
      <w:r w:rsidR="00605005">
        <w:t>over 60)</w:t>
      </w:r>
    </w:p>
    <w:p w14:paraId="228916FE" w14:textId="39F9877F" w:rsidR="00CE0835" w:rsidRDefault="00CE0835" w:rsidP="0041445E">
      <w:pPr>
        <w:pStyle w:val="ListBullet"/>
      </w:pPr>
      <w:r>
        <w:t xml:space="preserve">33 per cent </w:t>
      </w:r>
      <w:r w:rsidR="00F92997">
        <w:t xml:space="preserve">of respondents </w:t>
      </w:r>
      <w:r>
        <w:t>work</w:t>
      </w:r>
      <w:r w:rsidR="00F92997">
        <w:t>ed</w:t>
      </w:r>
      <w:r>
        <w:t xml:space="preserve"> part-time</w:t>
      </w:r>
    </w:p>
    <w:p w14:paraId="78F8A105" w14:textId="77777777" w:rsidR="0041445E" w:rsidRDefault="0041445E" w:rsidP="0041445E">
      <w:pPr>
        <w:pStyle w:val="ListBullet"/>
      </w:pPr>
      <w:r>
        <w:t>In relation to geographic location:</w:t>
      </w:r>
    </w:p>
    <w:p w14:paraId="07459E91" w14:textId="15DBCEFF" w:rsidR="0041445E" w:rsidRDefault="000A229E" w:rsidP="0041445E">
      <w:pPr>
        <w:pStyle w:val="BulletList2Column"/>
      </w:pPr>
      <w:r>
        <w:t>Close to</w:t>
      </w:r>
      <w:r w:rsidR="007948E8">
        <w:t xml:space="preserve"> </w:t>
      </w:r>
      <w:r w:rsidR="00C94660">
        <w:t xml:space="preserve">65 per cent of respondents </w:t>
      </w:r>
      <w:r w:rsidR="00834E05">
        <w:t xml:space="preserve">lived in areas classified as MM1 </w:t>
      </w:r>
      <w:r w:rsidR="007A1F10">
        <w:t>(</w:t>
      </w:r>
      <w:r w:rsidR="00B715F8">
        <w:t>compared to 70 per cent of the Australian population)</w:t>
      </w:r>
    </w:p>
    <w:p w14:paraId="278ED3B6" w14:textId="781FDABF" w:rsidR="000A229E" w:rsidRDefault="00973AC1" w:rsidP="0041445E">
      <w:pPr>
        <w:pStyle w:val="BulletList2Column"/>
      </w:pPr>
      <w:r>
        <w:t>Close to</w:t>
      </w:r>
      <w:r w:rsidR="009830CC">
        <w:t xml:space="preserve"> 20 per cent of respondents lived in areas classified as MM2 (compared to </w:t>
      </w:r>
      <w:r w:rsidR="002951D3">
        <w:t>approximately 10 per cent of the Australian population</w:t>
      </w:r>
      <w:r w:rsidR="000A229E">
        <w:t>)</w:t>
      </w:r>
    </w:p>
    <w:p w14:paraId="2F009B4A" w14:textId="37DCBC4A" w:rsidR="00DA57DF" w:rsidRDefault="00B715F8" w:rsidP="0041445E">
      <w:pPr>
        <w:pStyle w:val="BulletList2Column"/>
      </w:pPr>
      <w:r>
        <w:t xml:space="preserve"> </w:t>
      </w:r>
      <w:r w:rsidR="00DA57DF">
        <w:t xml:space="preserve">19 per cent </w:t>
      </w:r>
      <w:r w:rsidR="00F92997">
        <w:t xml:space="preserve">of respondents </w:t>
      </w:r>
      <w:r w:rsidR="00DA57DF">
        <w:t>live</w:t>
      </w:r>
      <w:r w:rsidR="00F92997">
        <w:t>d</w:t>
      </w:r>
      <w:r w:rsidR="00DA57DF">
        <w:t xml:space="preserve"> in areas classified as Modified Monash Model 3-7</w:t>
      </w:r>
      <w:r w:rsidR="00106C2B">
        <w:rPr>
          <w:rStyle w:val="FootnoteReference"/>
        </w:rPr>
        <w:footnoteReference w:id="57"/>
      </w:r>
    </w:p>
    <w:p w14:paraId="79533A28" w14:textId="077805F4" w:rsidR="00363DC4" w:rsidRDefault="00363DC4" w:rsidP="0041445E">
      <w:pPr>
        <w:pStyle w:val="ListBullet"/>
      </w:pPr>
      <w:r>
        <w:t>85 per cent of respondents trained in Australia</w:t>
      </w:r>
    </w:p>
    <w:p w14:paraId="0C9C9E78" w14:textId="279F6081" w:rsidR="001969A5" w:rsidRPr="00FB57A3" w:rsidRDefault="009A020D" w:rsidP="009466BC">
      <w:pPr>
        <w:pStyle w:val="ListBullet"/>
      </w:pPr>
      <w:r>
        <w:t xml:space="preserve">Less than 1 per cent of respondents </w:t>
      </w:r>
      <w:r w:rsidR="0071587F">
        <w:t>identified as</w:t>
      </w:r>
      <w:r>
        <w:t xml:space="preserve"> </w:t>
      </w:r>
      <w:r w:rsidR="00782E57">
        <w:t>Aboriginal and/or Torres Strait Islander</w:t>
      </w:r>
      <w:r w:rsidR="005E2A0D">
        <w:t>.</w:t>
      </w:r>
    </w:p>
    <w:p w14:paraId="4A92E77D" w14:textId="77777777" w:rsidR="009E40A7" w:rsidRDefault="009E40A7" w:rsidP="00BF3B92">
      <w:pPr>
        <w:pStyle w:val="Heading2"/>
      </w:pPr>
      <w:bookmarkStart w:id="44" w:name="_Ref169430078"/>
      <w:bookmarkStart w:id="45" w:name="_Toc171324726"/>
      <w:bookmarkStart w:id="46" w:name="_Toc198138570"/>
      <w:r>
        <w:t xml:space="preserve">Education and </w:t>
      </w:r>
      <w:r w:rsidRPr="00277B20">
        <w:t>training</w:t>
      </w:r>
      <w:bookmarkEnd w:id="44"/>
      <w:bookmarkEnd w:id="45"/>
      <w:bookmarkEnd w:id="46"/>
    </w:p>
    <w:p w14:paraId="00C789D8" w14:textId="3C89566B" w:rsidR="009E40A7" w:rsidRPr="00290C41" w:rsidRDefault="009E40A7" w:rsidP="009466BC">
      <w:pPr>
        <w:pStyle w:val="BodyText"/>
      </w:pPr>
      <w:r>
        <w:t>The following section outlines major elements of the education and training landscape for audiologists, including university qualification</w:t>
      </w:r>
      <w:r w:rsidR="00795201">
        <w:t>s</w:t>
      </w:r>
      <w:r>
        <w:t>, clinical certification and ongoing recency of practice and continuing professional development requirements.</w:t>
      </w:r>
    </w:p>
    <w:p w14:paraId="01FFD85F" w14:textId="77777777" w:rsidR="009E40A7" w:rsidRPr="00C65A67" w:rsidRDefault="009E40A7" w:rsidP="00277B20">
      <w:pPr>
        <w:pStyle w:val="Heading3"/>
      </w:pPr>
      <w:bookmarkStart w:id="47" w:name="_Toc171324727"/>
      <w:bookmarkStart w:id="48" w:name="_Ref172366991"/>
      <w:bookmarkStart w:id="49" w:name="_Ref172473854"/>
      <w:bookmarkStart w:id="50" w:name="_Toc198138571"/>
      <w:r w:rsidRPr="00277B20">
        <w:t>University</w:t>
      </w:r>
      <w:r>
        <w:t xml:space="preserve"> education</w:t>
      </w:r>
      <w:bookmarkEnd w:id="47"/>
      <w:bookmarkEnd w:id="48"/>
      <w:bookmarkEnd w:id="49"/>
      <w:bookmarkEnd w:id="50"/>
    </w:p>
    <w:p w14:paraId="5C8C001E" w14:textId="3F697B41" w:rsidR="00205A1A" w:rsidRDefault="009E40A7" w:rsidP="009466BC">
      <w:pPr>
        <w:pStyle w:val="BodyText"/>
      </w:pPr>
      <w:r>
        <w:t>Australian training requirements for audiology have changed over the past several decades, with advancing technology noted as a key causal factor.</w:t>
      </w:r>
      <w:r>
        <w:rPr>
          <w:rStyle w:val="FootnoteReference"/>
        </w:rPr>
        <w:footnoteReference w:id="58"/>
      </w:r>
      <w:r>
        <w:t xml:space="preserve"> Of relevance to the current practising workforce, prior to 2000 audiology was primarily studied at a Graduate Diploma level.</w:t>
      </w:r>
      <w:r>
        <w:rPr>
          <w:rStyle w:val="FootnoteReference"/>
        </w:rPr>
        <w:footnoteReference w:id="59"/>
      </w:r>
      <w:r>
        <w:t xml:space="preserve"> However, it later shifted to a two-year Masters-level program which is the current requirement. At the time of writing, there are seven audiology programs operating in Australia which are accredited by Audiology Australia (</w:t>
      </w:r>
      <w:r w:rsidR="00FC13A2">
        <w:fldChar w:fldCharType="begin"/>
      </w:r>
      <w:r w:rsidR="00FC13A2">
        <w:instrText xml:space="preserve"> REF _Ref172793630 \h </w:instrText>
      </w:r>
      <w:r w:rsidR="00FC13A2">
        <w:fldChar w:fldCharType="separate"/>
      </w:r>
      <w:r w:rsidR="00F32107">
        <w:t xml:space="preserve">Table </w:t>
      </w:r>
      <w:r w:rsidR="00F32107">
        <w:rPr>
          <w:noProof/>
        </w:rPr>
        <w:t>2</w:t>
      </w:r>
      <w:r w:rsidR="00F32107">
        <w:t>.</w:t>
      </w:r>
      <w:r w:rsidR="00F32107">
        <w:rPr>
          <w:noProof/>
        </w:rPr>
        <w:t>4</w:t>
      </w:r>
      <w:r w:rsidR="00FC13A2">
        <w:fldChar w:fldCharType="end"/>
      </w:r>
      <w:r>
        <w:t>).</w:t>
      </w:r>
      <w:r>
        <w:rPr>
          <w:rStyle w:val="FootnoteReference"/>
        </w:rPr>
        <w:footnoteReference w:id="60"/>
      </w:r>
      <w:r>
        <w:t xml:space="preserve"> Courses are quota limited (e.g., Charles Dawin University accepts approximately 24 students per annual cohort).</w:t>
      </w:r>
      <w:r>
        <w:rPr>
          <w:rStyle w:val="FootnoteReference"/>
        </w:rPr>
        <w:footnoteReference w:id="61"/>
      </w:r>
    </w:p>
    <w:p w14:paraId="3E8FCE83" w14:textId="6FED927B" w:rsidR="00205A1A" w:rsidRDefault="00205A1A" w:rsidP="00205A1A">
      <w:pPr>
        <w:pStyle w:val="Caption"/>
        <w:keepNext/>
      </w:pPr>
      <w:bookmarkStart w:id="51" w:name="_Ref172793630"/>
      <w:r>
        <w:t xml:space="preserve">Table </w:t>
      </w:r>
      <w:fldSimple w:instr=" STYLEREF 1 \s ">
        <w:r w:rsidR="00F32107">
          <w:rPr>
            <w:noProof/>
          </w:rPr>
          <w:t>2</w:t>
        </w:r>
      </w:fldSimple>
      <w:r w:rsidR="008944FB">
        <w:t>.</w:t>
      </w:r>
      <w:fldSimple w:instr=" SEQ Table \* ARABIC \s 1 ">
        <w:r w:rsidR="00F32107">
          <w:rPr>
            <w:noProof/>
          </w:rPr>
          <w:t>4</w:t>
        </w:r>
      </w:fldSimple>
      <w:bookmarkEnd w:id="51"/>
      <w:r>
        <w:t xml:space="preserve"> Accredited audiology programs</w:t>
      </w:r>
    </w:p>
    <w:tbl>
      <w:tblPr>
        <w:tblStyle w:val="BodyTable"/>
        <w:tblW w:w="0" w:type="auto"/>
        <w:tblLook w:val="04A0" w:firstRow="1" w:lastRow="0" w:firstColumn="1" w:lastColumn="0" w:noHBand="0" w:noVBand="1"/>
      </w:tblPr>
      <w:tblGrid>
        <w:gridCol w:w="1887"/>
        <w:gridCol w:w="2399"/>
        <w:gridCol w:w="4558"/>
      </w:tblGrid>
      <w:tr w:rsidR="00C24FD1" w14:paraId="722C20BA" w14:textId="77777777" w:rsidTr="00205A1A">
        <w:trPr>
          <w:cnfStyle w:val="100000000000" w:firstRow="1" w:lastRow="0" w:firstColumn="0" w:lastColumn="0" w:oddVBand="0" w:evenVBand="0" w:oddHBand="0" w:evenHBand="0" w:firstRowFirstColumn="0" w:firstRowLastColumn="0" w:lastRowFirstColumn="0" w:lastRowLastColumn="0"/>
          <w:trHeight w:val="303"/>
        </w:trPr>
        <w:tc>
          <w:tcPr>
            <w:tcW w:w="1887" w:type="dxa"/>
          </w:tcPr>
          <w:p w14:paraId="21794A70" w14:textId="77777777" w:rsidR="00C24FD1" w:rsidRPr="007C066B" w:rsidRDefault="00C24FD1">
            <w:pPr>
              <w:keepNext/>
              <w:spacing w:line="240" w:lineRule="auto"/>
              <w:rPr>
                <w:b/>
              </w:rPr>
            </w:pPr>
            <w:r w:rsidRPr="007C066B">
              <w:rPr>
                <w:b/>
              </w:rPr>
              <w:t>State</w:t>
            </w:r>
          </w:p>
        </w:tc>
        <w:tc>
          <w:tcPr>
            <w:tcW w:w="2399" w:type="dxa"/>
          </w:tcPr>
          <w:p w14:paraId="45296728" w14:textId="77777777" w:rsidR="00C24FD1" w:rsidRPr="007C066B" w:rsidRDefault="00C24FD1">
            <w:pPr>
              <w:keepNext/>
              <w:spacing w:line="240" w:lineRule="auto"/>
              <w:rPr>
                <w:b/>
              </w:rPr>
            </w:pPr>
            <w:r w:rsidRPr="007C066B">
              <w:rPr>
                <w:b/>
              </w:rPr>
              <w:t>Program Name</w:t>
            </w:r>
          </w:p>
        </w:tc>
        <w:tc>
          <w:tcPr>
            <w:tcW w:w="4558" w:type="dxa"/>
          </w:tcPr>
          <w:p w14:paraId="60673369" w14:textId="77777777" w:rsidR="00C24FD1" w:rsidRPr="007C066B" w:rsidRDefault="00C24FD1">
            <w:pPr>
              <w:keepNext/>
              <w:spacing w:line="240" w:lineRule="auto"/>
              <w:rPr>
                <w:b/>
              </w:rPr>
            </w:pPr>
            <w:r w:rsidRPr="007C066B">
              <w:rPr>
                <w:b/>
              </w:rPr>
              <w:t>University</w:t>
            </w:r>
          </w:p>
        </w:tc>
      </w:tr>
      <w:tr w:rsidR="00C24FD1" w14:paraId="1EEB6CE2" w14:textId="77777777" w:rsidTr="00205A1A">
        <w:trPr>
          <w:trHeight w:val="240"/>
        </w:trPr>
        <w:tc>
          <w:tcPr>
            <w:tcW w:w="1887" w:type="dxa"/>
          </w:tcPr>
          <w:p w14:paraId="21F07AC1" w14:textId="77777777" w:rsidR="00C24FD1" w:rsidRDefault="00C24FD1">
            <w:pPr>
              <w:keepNext/>
              <w:spacing w:line="240" w:lineRule="auto"/>
            </w:pPr>
            <w:r>
              <w:t>Queensland</w:t>
            </w:r>
          </w:p>
        </w:tc>
        <w:tc>
          <w:tcPr>
            <w:tcW w:w="2399" w:type="dxa"/>
          </w:tcPr>
          <w:p w14:paraId="21A20945" w14:textId="77777777" w:rsidR="00C24FD1" w:rsidRDefault="00C24FD1">
            <w:pPr>
              <w:keepNext/>
              <w:spacing w:line="240" w:lineRule="auto"/>
            </w:pPr>
            <w:r w:rsidRPr="00105CA1">
              <w:t>Master of Audiology Studies</w:t>
            </w:r>
          </w:p>
        </w:tc>
        <w:tc>
          <w:tcPr>
            <w:tcW w:w="4558" w:type="dxa"/>
          </w:tcPr>
          <w:p w14:paraId="604A56A9" w14:textId="77777777" w:rsidR="00C24FD1" w:rsidRDefault="00C24FD1">
            <w:r>
              <w:t>The University of Queensland</w:t>
            </w:r>
          </w:p>
        </w:tc>
      </w:tr>
      <w:tr w:rsidR="00C24FD1" w14:paraId="4DFE80CD" w14:textId="77777777" w:rsidTr="00205A1A">
        <w:trPr>
          <w:trHeight w:val="177"/>
        </w:trPr>
        <w:tc>
          <w:tcPr>
            <w:tcW w:w="1887" w:type="dxa"/>
          </w:tcPr>
          <w:p w14:paraId="48BCEBA0" w14:textId="77777777" w:rsidR="00C24FD1" w:rsidRDefault="00C24FD1">
            <w:pPr>
              <w:keepNext/>
              <w:spacing w:line="240" w:lineRule="auto"/>
            </w:pPr>
            <w:r>
              <w:t>New South Wales</w:t>
            </w:r>
          </w:p>
        </w:tc>
        <w:tc>
          <w:tcPr>
            <w:tcW w:w="2399" w:type="dxa"/>
          </w:tcPr>
          <w:p w14:paraId="12A82495" w14:textId="77777777" w:rsidR="00C24FD1" w:rsidRDefault="00C24FD1">
            <w:pPr>
              <w:keepNext/>
              <w:spacing w:line="240" w:lineRule="auto"/>
            </w:pPr>
            <w:r>
              <w:t>Master of Clinical Audiology</w:t>
            </w:r>
          </w:p>
        </w:tc>
        <w:tc>
          <w:tcPr>
            <w:tcW w:w="4558" w:type="dxa"/>
          </w:tcPr>
          <w:p w14:paraId="5790183B" w14:textId="77777777" w:rsidR="00C24FD1" w:rsidRDefault="00C24FD1">
            <w:pPr>
              <w:keepNext/>
              <w:spacing w:line="240" w:lineRule="auto"/>
            </w:pPr>
            <w:r>
              <w:t>Macquarie University</w:t>
            </w:r>
          </w:p>
        </w:tc>
      </w:tr>
      <w:tr w:rsidR="00C24FD1" w14:paraId="266B94B6" w14:textId="77777777" w:rsidTr="00205A1A">
        <w:trPr>
          <w:trHeight w:val="183"/>
        </w:trPr>
        <w:tc>
          <w:tcPr>
            <w:tcW w:w="1887" w:type="dxa"/>
          </w:tcPr>
          <w:p w14:paraId="37A00B7E" w14:textId="77777777" w:rsidR="00C24FD1" w:rsidRDefault="00C24FD1">
            <w:pPr>
              <w:keepNext/>
              <w:spacing w:line="240" w:lineRule="auto"/>
            </w:pPr>
            <w:r>
              <w:t>Victoria</w:t>
            </w:r>
          </w:p>
        </w:tc>
        <w:tc>
          <w:tcPr>
            <w:tcW w:w="2399" w:type="dxa"/>
          </w:tcPr>
          <w:p w14:paraId="11E5C482" w14:textId="77777777" w:rsidR="00C24FD1" w:rsidRDefault="00C24FD1">
            <w:pPr>
              <w:keepNext/>
              <w:spacing w:line="240" w:lineRule="auto"/>
            </w:pPr>
            <w:r>
              <w:t>Master of Clinical Audiology</w:t>
            </w:r>
          </w:p>
        </w:tc>
        <w:tc>
          <w:tcPr>
            <w:tcW w:w="4558" w:type="dxa"/>
          </w:tcPr>
          <w:p w14:paraId="36B059A3" w14:textId="77777777" w:rsidR="00C24FD1" w:rsidRDefault="00C24FD1">
            <w:pPr>
              <w:keepNext/>
              <w:spacing w:line="240" w:lineRule="auto"/>
            </w:pPr>
            <w:r>
              <w:t>The University of Melbourne</w:t>
            </w:r>
          </w:p>
        </w:tc>
      </w:tr>
      <w:tr w:rsidR="00C24FD1" w14:paraId="1925E61E" w14:textId="77777777" w:rsidTr="0044586C">
        <w:trPr>
          <w:trHeight w:val="215"/>
        </w:trPr>
        <w:tc>
          <w:tcPr>
            <w:tcW w:w="1887" w:type="dxa"/>
          </w:tcPr>
          <w:p w14:paraId="0834E36F" w14:textId="77777777" w:rsidR="00C24FD1" w:rsidRDefault="00C24FD1">
            <w:pPr>
              <w:keepNext/>
              <w:spacing w:line="240" w:lineRule="auto"/>
            </w:pPr>
            <w:r>
              <w:t>Victoria</w:t>
            </w:r>
          </w:p>
        </w:tc>
        <w:tc>
          <w:tcPr>
            <w:tcW w:w="2399" w:type="dxa"/>
          </w:tcPr>
          <w:p w14:paraId="7005E094" w14:textId="77777777" w:rsidR="00C24FD1" w:rsidRDefault="00C24FD1">
            <w:pPr>
              <w:keepNext/>
              <w:spacing w:line="240" w:lineRule="auto"/>
            </w:pPr>
            <w:r>
              <w:t>Master of Clinical Audiology</w:t>
            </w:r>
          </w:p>
        </w:tc>
        <w:tc>
          <w:tcPr>
            <w:tcW w:w="4558" w:type="dxa"/>
          </w:tcPr>
          <w:p w14:paraId="2C858401" w14:textId="77777777" w:rsidR="00C24FD1" w:rsidRDefault="00C24FD1">
            <w:pPr>
              <w:keepNext/>
              <w:spacing w:line="240" w:lineRule="auto"/>
            </w:pPr>
            <w:r>
              <w:t>La Trobe University</w:t>
            </w:r>
          </w:p>
        </w:tc>
      </w:tr>
      <w:tr w:rsidR="00C24FD1" w14:paraId="0FF36FC8" w14:textId="77777777" w:rsidTr="00141D89">
        <w:trPr>
          <w:trHeight w:val="237"/>
        </w:trPr>
        <w:tc>
          <w:tcPr>
            <w:tcW w:w="1887" w:type="dxa"/>
          </w:tcPr>
          <w:p w14:paraId="5DF9D8E0" w14:textId="77777777" w:rsidR="00C24FD1" w:rsidRDefault="00C24FD1">
            <w:pPr>
              <w:keepNext/>
              <w:spacing w:line="240" w:lineRule="auto"/>
            </w:pPr>
            <w:r>
              <w:t>South Australia</w:t>
            </w:r>
          </w:p>
        </w:tc>
        <w:tc>
          <w:tcPr>
            <w:tcW w:w="2399" w:type="dxa"/>
          </w:tcPr>
          <w:p w14:paraId="5501EA42" w14:textId="77777777" w:rsidR="00C24FD1" w:rsidRDefault="00C24FD1">
            <w:pPr>
              <w:keepNext/>
              <w:spacing w:line="240" w:lineRule="auto"/>
            </w:pPr>
            <w:r>
              <w:t>Master of Audiology</w:t>
            </w:r>
          </w:p>
        </w:tc>
        <w:tc>
          <w:tcPr>
            <w:tcW w:w="4558" w:type="dxa"/>
          </w:tcPr>
          <w:p w14:paraId="4584BA7F" w14:textId="77777777" w:rsidR="00C24FD1" w:rsidRDefault="00C24FD1">
            <w:pPr>
              <w:keepNext/>
              <w:spacing w:line="240" w:lineRule="auto"/>
            </w:pPr>
            <w:r>
              <w:t>Flinders University</w:t>
            </w:r>
          </w:p>
        </w:tc>
      </w:tr>
      <w:tr w:rsidR="00C24FD1" w14:paraId="12D07724" w14:textId="77777777" w:rsidTr="00205A1A">
        <w:trPr>
          <w:trHeight w:val="170"/>
        </w:trPr>
        <w:tc>
          <w:tcPr>
            <w:tcW w:w="1887" w:type="dxa"/>
          </w:tcPr>
          <w:p w14:paraId="091416BD" w14:textId="77777777" w:rsidR="00C24FD1" w:rsidRDefault="00C24FD1">
            <w:pPr>
              <w:keepNext/>
              <w:spacing w:line="240" w:lineRule="auto"/>
            </w:pPr>
            <w:r>
              <w:t>Western Australia</w:t>
            </w:r>
          </w:p>
        </w:tc>
        <w:tc>
          <w:tcPr>
            <w:tcW w:w="2399" w:type="dxa"/>
          </w:tcPr>
          <w:p w14:paraId="62B90449" w14:textId="77777777" w:rsidR="00C24FD1" w:rsidRDefault="00C24FD1">
            <w:pPr>
              <w:keepNext/>
              <w:spacing w:line="240" w:lineRule="auto"/>
            </w:pPr>
            <w:r>
              <w:t>Master of Clinical Audiology</w:t>
            </w:r>
          </w:p>
        </w:tc>
        <w:tc>
          <w:tcPr>
            <w:tcW w:w="4558" w:type="dxa"/>
          </w:tcPr>
          <w:p w14:paraId="6EE64420" w14:textId="77777777" w:rsidR="00C24FD1" w:rsidRDefault="00C24FD1">
            <w:pPr>
              <w:keepNext/>
              <w:spacing w:line="240" w:lineRule="auto"/>
            </w:pPr>
            <w:r>
              <w:t>The University of Western Australia</w:t>
            </w:r>
          </w:p>
        </w:tc>
      </w:tr>
      <w:tr w:rsidR="00C24FD1" w14:paraId="26E5B02D" w14:textId="77777777" w:rsidTr="0044586C">
        <w:trPr>
          <w:trHeight w:val="245"/>
        </w:trPr>
        <w:tc>
          <w:tcPr>
            <w:tcW w:w="1887" w:type="dxa"/>
          </w:tcPr>
          <w:p w14:paraId="627748C3" w14:textId="77777777" w:rsidR="00C24FD1" w:rsidRDefault="00C24FD1">
            <w:pPr>
              <w:keepNext/>
              <w:spacing w:line="240" w:lineRule="auto"/>
            </w:pPr>
            <w:r>
              <w:t>Northern Territory</w:t>
            </w:r>
          </w:p>
        </w:tc>
        <w:tc>
          <w:tcPr>
            <w:tcW w:w="2399" w:type="dxa"/>
          </w:tcPr>
          <w:p w14:paraId="152F52E2" w14:textId="77777777" w:rsidR="00C24FD1" w:rsidRDefault="00C24FD1">
            <w:pPr>
              <w:keepNext/>
              <w:spacing w:line="240" w:lineRule="auto"/>
            </w:pPr>
            <w:r>
              <w:t>Master of Clinical Audiology</w:t>
            </w:r>
          </w:p>
        </w:tc>
        <w:tc>
          <w:tcPr>
            <w:tcW w:w="4558" w:type="dxa"/>
          </w:tcPr>
          <w:p w14:paraId="538B6D1C" w14:textId="77777777" w:rsidR="00C24FD1" w:rsidRDefault="00C24FD1">
            <w:pPr>
              <w:keepNext/>
              <w:spacing w:line="240" w:lineRule="auto"/>
            </w:pPr>
            <w:r>
              <w:t>Charles Darwin University</w:t>
            </w:r>
          </w:p>
        </w:tc>
      </w:tr>
    </w:tbl>
    <w:p w14:paraId="54A4827E" w14:textId="0B8EB0B2" w:rsidR="00C24FD1" w:rsidRPr="00205A1A" w:rsidRDefault="00C24FD1" w:rsidP="00205A1A">
      <w:pPr>
        <w:pStyle w:val="BodyText"/>
        <w:rPr>
          <w:color w:val="7F7F7F" w:themeColor="text1" w:themeTint="80"/>
          <w:sz w:val="14"/>
          <w:szCs w:val="14"/>
        </w:rPr>
      </w:pPr>
      <w:r w:rsidRPr="00205A1A">
        <w:rPr>
          <w:color w:val="7F7F7F" w:themeColor="text1" w:themeTint="80"/>
          <w:sz w:val="14"/>
          <w:szCs w:val="14"/>
        </w:rPr>
        <w:t xml:space="preserve">Source: </w:t>
      </w:r>
      <w:r w:rsidR="00141D89">
        <w:rPr>
          <w:color w:val="7F7F7F" w:themeColor="text1" w:themeTint="80"/>
          <w:sz w:val="14"/>
          <w:szCs w:val="14"/>
        </w:rPr>
        <w:t>AudA</w:t>
      </w:r>
      <w:r w:rsidRPr="00205A1A">
        <w:rPr>
          <w:color w:val="7F7F7F" w:themeColor="text1" w:themeTint="80"/>
          <w:sz w:val="14"/>
          <w:szCs w:val="14"/>
        </w:rPr>
        <w:t xml:space="preserve"> website.</w:t>
      </w:r>
    </w:p>
    <w:p w14:paraId="1C8C9387" w14:textId="77777777" w:rsidR="00F93C5C" w:rsidRDefault="00C24FD1" w:rsidP="009466BC">
      <w:pPr>
        <w:pStyle w:val="BodyText"/>
      </w:pPr>
      <w:r>
        <w:t>For the process of program accreditation, universities are assessed against Aud</w:t>
      </w:r>
      <w:r w:rsidR="00834647">
        <w:t>A</w:t>
      </w:r>
      <w:r>
        <w:t>’s Accreditation Standards for Audiology Programs (hereafter referred to as the Accreditation Standards).</w:t>
      </w:r>
      <w:r>
        <w:rPr>
          <w:rStyle w:val="FootnoteReference"/>
        </w:rPr>
        <w:footnoteReference w:id="62"/>
      </w:r>
      <w:r>
        <w:t xml:space="preserve"> The Accreditation Standards are designed to ensure that students graduate demonstrating the </w:t>
      </w:r>
      <w:r w:rsidRPr="00EC5A45">
        <w:rPr>
          <w:i/>
          <w:iCs/>
        </w:rPr>
        <w:t>Graduate Competencies for Audiology Programs</w:t>
      </w:r>
      <w:r>
        <w:t xml:space="preserve"> (knowledge, skills and attributes).</w:t>
      </w:r>
      <w:r>
        <w:rPr>
          <w:rStyle w:val="FootnoteReference"/>
        </w:rPr>
        <w:footnoteReference w:id="63"/>
      </w:r>
      <w:r>
        <w:t xml:space="preserve"> The six domains of graduate competences are listed in Appendix A</w:t>
      </w:r>
      <w:r w:rsidR="00FD7C7A">
        <w:t xml:space="preserve"> and </w:t>
      </w:r>
      <w:r w:rsidR="00F4149A">
        <w:t>a description of the accreditation process is provided in Appendix B</w:t>
      </w:r>
      <w:r>
        <w:t xml:space="preserve">. The latest Accreditation Standards came into effect on 1 January 2023, and universities have a five-year accreditation cycle. </w:t>
      </w:r>
    </w:p>
    <w:p w14:paraId="50387611" w14:textId="29F1CE1D" w:rsidR="008E7B91" w:rsidRDefault="008E7B91" w:rsidP="0075193D">
      <w:pPr>
        <w:pStyle w:val="BodyText"/>
      </w:pPr>
      <w:r>
        <w:t>For students, as a Masters-level program the majority of individuals pay full course fees (though a small number of Commonwealth Supported Places are available</w:t>
      </w:r>
      <w:r>
        <w:rPr>
          <w:rStyle w:val="FootnoteReference"/>
        </w:rPr>
        <w:footnoteReference w:id="64"/>
      </w:r>
      <w:r>
        <w:t>). Annual course fees in 202</w:t>
      </w:r>
      <w:r w:rsidR="00616953">
        <w:t>5</w:t>
      </w:r>
      <w:r>
        <w:t xml:space="preserve"> for a domestic full-fee paying student were approximately $3</w:t>
      </w:r>
      <w:r w:rsidR="00616953">
        <w:t>5,</w:t>
      </w:r>
      <w:r>
        <w:t>000.</w:t>
      </w:r>
      <w:r>
        <w:rPr>
          <w:rStyle w:val="FootnoteReference"/>
        </w:rPr>
        <w:footnoteReference w:id="65"/>
      </w:r>
      <w:r>
        <w:t xml:space="preserve"> Students are charged an annual course fee for both their first and second year of the program. Graduates of university programs are able to practise independently upon graduation for private sector full-fee paying clients, however without current clinical certification they are unable to provide services under a range of government-funded health service schemes (e.g., the Hearing Services Program)</w:t>
      </w:r>
      <w:r w:rsidR="007E6E7B">
        <w:t>.</w:t>
      </w:r>
    </w:p>
    <w:p w14:paraId="2116419F" w14:textId="77777777" w:rsidR="008E7B91" w:rsidRPr="00B01BA5" w:rsidRDefault="008E7B91" w:rsidP="0075193D">
      <w:pPr>
        <w:pStyle w:val="BodyText"/>
        <w:rPr>
          <w:i/>
          <w:iCs/>
        </w:rPr>
      </w:pPr>
      <w:r w:rsidRPr="00B01BA5">
        <w:rPr>
          <w:i/>
          <w:iCs/>
        </w:rPr>
        <w:t xml:space="preserve">Please note – in order to avoid confusion relating to terminology between the PPBs, throughout the remainder of this document the </w:t>
      </w:r>
      <w:r>
        <w:rPr>
          <w:i/>
          <w:iCs/>
        </w:rPr>
        <w:t xml:space="preserve">successful </w:t>
      </w:r>
      <w:r w:rsidRPr="00B01BA5">
        <w:rPr>
          <w:i/>
          <w:iCs/>
        </w:rPr>
        <w:t>completion of a clinical internship</w:t>
      </w:r>
      <w:r>
        <w:rPr>
          <w:i/>
          <w:iCs/>
        </w:rPr>
        <w:t xml:space="preserve"> (and ongoing compliance with CPD and recency of practice requirements)</w:t>
      </w:r>
      <w:r w:rsidRPr="00B01BA5">
        <w:rPr>
          <w:i/>
          <w:iCs/>
        </w:rPr>
        <w:t xml:space="preserve"> is referred to as ‘</w:t>
      </w:r>
      <w:r>
        <w:rPr>
          <w:i/>
          <w:iCs/>
        </w:rPr>
        <w:t xml:space="preserve">current </w:t>
      </w:r>
      <w:r w:rsidRPr="00B01BA5">
        <w:rPr>
          <w:i/>
          <w:iCs/>
        </w:rPr>
        <w:t>clinical certification’ rather than accreditation.</w:t>
      </w:r>
    </w:p>
    <w:p w14:paraId="6DE02343" w14:textId="77777777" w:rsidR="008E7B91" w:rsidRDefault="008E7B91" w:rsidP="00952457">
      <w:pPr>
        <w:pStyle w:val="Heading3"/>
      </w:pPr>
      <w:bookmarkStart w:id="52" w:name="_Ref170130804"/>
      <w:bookmarkStart w:id="53" w:name="_Toc171324728"/>
      <w:bookmarkStart w:id="54" w:name="_Toc198138572"/>
      <w:r>
        <w:t>Clinical internship</w:t>
      </w:r>
      <w:bookmarkEnd w:id="52"/>
      <w:bookmarkEnd w:id="53"/>
      <w:bookmarkEnd w:id="54"/>
    </w:p>
    <w:p w14:paraId="32EE1C6D" w14:textId="4A1791A0" w:rsidR="00B03435" w:rsidRDefault="008E7B91" w:rsidP="0075193D">
      <w:pPr>
        <w:pStyle w:val="BodyText"/>
        <w:sectPr w:rsidR="00B03435" w:rsidSect="007F4E7D">
          <w:pgSz w:w="11906" w:h="16838" w:code="9"/>
          <w:pgMar w:top="1531" w:right="1531" w:bottom="1531" w:left="1531" w:header="709" w:footer="709" w:gutter="0"/>
          <w:cols w:space="708"/>
          <w:docGrid w:linePitch="360"/>
        </w:sectPr>
      </w:pPr>
      <w:r>
        <w:t xml:space="preserve">Clinical internship programs are offered by both </w:t>
      </w:r>
      <w:r w:rsidR="00B30993">
        <w:t>AudA</w:t>
      </w:r>
      <w:r>
        <w:t xml:space="preserve"> and </w:t>
      </w:r>
      <w:r w:rsidR="00B30993">
        <w:t>AcAud inc. HAASA</w:t>
      </w:r>
      <w:r w:rsidR="00C36D9F">
        <w:t xml:space="preserve">. </w:t>
      </w:r>
      <w:r w:rsidR="009C0471">
        <w:t xml:space="preserve">The internship process is summarised in </w:t>
      </w:r>
      <w:r w:rsidR="009C0471">
        <w:fldChar w:fldCharType="begin"/>
      </w:r>
      <w:r w:rsidR="009C0471">
        <w:instrText xml:space="preserve"> REF _Ref172394957 \h </w:instrText>
      </w:r>
      <w:r w:rsidR="009C0471">
        <w:fldChar w:fldCharType="separate"/>
      </w:r>
      <w:r w:rsidR="00F32107">
        <w:t xml:space="preserve">Table </w:t>
      </w:r>
      <w:r w:rsidR="00F32107">
        <w:rPr>
          <w:noProof/>
        </w:rPr>
        <w:t>2</w:t>
      </w:r>
      <w:r w:rsidR="00F32107">
        <w:t>.</w:t>
      </w:r>
      <w:r w:rsidR="00F32107">
        <w:rPr>
          <w:noProof/>
        </w:rPr>
        <w:t>5</w:t>
      </w:r>
      <w:r w:rsidR="009C0471">
        <w:fldChar w:fldCharType="end"/>
      </w:r>
      <w:r w:rsidR="00B2544B">
        <w:t>.</w:t>
      </w:r>
    </w:p>
    <w:p w14:paraId="75E57129" w14:textId="77777777" w:rsidR="00455D81" w:rsidRDefault="00455D81" w:rsidP="0075193D">
      <w:pPr>
        <w:pStyle w:val="BodyText"/>
      </w:pPr>
    </w:p>
    <w:p w14:paraId="60EE8BCA" w14:textId="04553CDA" w:rsidR="006933AA" w:rsidRDefault="006933AA" w:rsidP="006933AA">
      <w:pPr>
        <w:pStyle w:val="Caption"/>
        <w:keepNext/>
      </w:pPr>
      <w:bookmarkStart w:id="55" w:name="_Ref172394957"/>
      <w:r>
        <w:t xml:space="preserve">Table </w:t>
      </w:r>
      <w:fldSimple w:instr=" STYLEREF 1 \s ">
        <w:r w:rsidR="00F32107">
          <w:rPr>
            <w:noProof/>
          </w:rPr>
          <w:t>2</w:t>
        </w:r>
      </w:fldSimple>
      <w:r w:rsidR="008944FB">
        <w:t>.</w:t>
      </w:r>
      <w:fldSimple w:instr=" SEQ Table \* ARABIC \s 1 ">
        <w:r w:rsidR="00F32107">
          <w:rPr>
            <w:noProof/>
          </w:rPr>
          <w:t>5</w:t>
        </w:r>
      </w:fldSimple>
      <w:bookmarkEnd w:id="55"/>
      <w:r>
        <w:t xml:space="preserve"> Audiology clinical internships</w:t>
      </w:r>
    </w:p>
    <w:tbl>
      <w:tblPr>
        <w:tblStyle w:val="BodyTable"/>
        <w:tblW w:w="0" w:type="auto"/>
        <w:tblLook w:val="04A0" w:firstRow="1" w:lastRow="0" w:firstColumn="1" w:lastColumn="0" w:noHBand="0" w:noVBand="1"/>
      </w:tblPr>
      <w:tblGrid>
        <w:gridCol w:w="1254"/>
        <w:gridCol w:w="2428"/>
        <w:gridCol w:w="2567"/>
        <w:gridCol w:w="2595"/>
      </w:tblGrid>
      <w:tr w:rsidR="00782374" w14:paraId="68C6D6AA" w14:textId="505D6D61" w:rsidTr="00492CF4">
        <w:trPr>
          <w:cnfStyle w:val="100000000000" w:firstRow="1" w:lastRow="0" w:firstColumn="0" w:lastColumn="0" w:oddVBand="0" w:evenVBand="0" w:oddHBand="0" w:evenHBand="0" w:firstRowFirstColumn="0" w:firstRowLastColumn="0" w:lastRowFirstColumn="0" w:lastRowLastColumn="0"/>
        </w:trPr>
        <w:tc>
          <w:tcPr>
            <w:tcW w:w="1493" w:type="dxa"/>
          </w:tcPr>
          <w:p w14:paraId="75487B30" w14:textId="77777777" w:rsidR="00782374" w:rsidRPr="00E92047" w:rsidRDefault="00782374" w:rsidP="00492CF4">
            <w:pPr>
              <w:pStyle w:val="BodyText"/>
              <w:spacing w:before="0" w:after="0"/>
              <w:rPr>
                <w:sz w:val="16"/>
                <w:szCs w:val="16"/>
              </w:rPr>
            </w:pPr>
          </w:p>
        </w:tc>
        <w:tc>
          <w:tcPr>
            <w:tcW w:w="3747" w:type="dxa"/>
          </w:tcPr>
          <w:p w14:paraId="78AADE9D" w14:textId="584EDD27" w:rsidR="00782374" w:rsidRPr="00E92047" w:rsidRDefault="00782374" w:rsidP="00492CF4">
            <w:pPr>
              <w:pStyle w:val="BodyText"/>
              <w:spacing w:before="0" w:after="0"/>
              <w:rPr>
                <w:b/>
                <w:bCs/>
                <w:sz w:val="16"/>
                <w:szCs w:val="16"/>
              </w:rPr>
            </w:pPr>
            <w:r w:rsidRPr="00E92047">
              <w:rPr>
                <w:b/>
                <w:bCs/>
                <w:sz w:val="16"/>
                <w:szCs w:val="16"/>
              </w:rPr>
              <w:t>Audiology Australia</w:t>
            </w:r>
            <w:r w:rsidR="00141954" w:rsidRPr="00E92047">
              <w:rPr>
                <w:rStyle w:val="FootnoteReference"/>
                <w:b/>
                <w:bCs/>
                <w:sz w:val="16"/>
                <w:szCs w:val="16"/>
              </w:rPr>
              <w:footnoteReference w:id="66"/>
            </w:r>
          </w:p>
        </w:tc>
        <w:tc>
          <w:tcPr>
            <w:tcW w:w="3969" w:type="dxa"/>
          </w:tcPr>
          <w:p w14:paraId="4E2B28BE" w14:textId="1704669A" w:rsidR="00782374" w:rsidRPr="00E92047" w:rsidRDefault="00FA6B9D" w:rsidP="00492CF4">
            <w:pPr>
              <w:pStyle w:val="BodyText"/>
              <w:spacing w:before="0" w:after="0"/>
              <w:rPr>
                <w:b/>
                <w:bCs/>
                <w:sz w:val="16"/>
                <w:szCs w:val="16"/>
              </w:rPr>
            </w:pPr>
            <w:r>
              <w:rPr>
                <w:b/>
                <w:bCs/>
                <w:sz w:val="16"/>
                <w:szCs w:val="16"/>
              </w:rPr>
              <w:t>AcAud</w:t>
            </w:r>
            <w:r w:rsidR="0079067B" w:rsidRPr="00E92047">
              <w:rPr>
                <w:b/>
                <w:bCs/>
                <w:sz w:val="16"/>
                <w:szCs w:val="16"/>
              </w:rPr>
              <w:t xml:space="preserve"> </w:t>
            </w:r>
            <w:r w:rsidR="00782374" w:rsidRPr="00E92047">
              <w:rPr>
                <w:b/>
                <w:bCs/>
                <w:sz w:val="16"/>
                <w:szCs w:val="16"/>
              </w:rPr>
              <w:t>(pre- 1 July 2024)</w:t>
            </w:r>
            <w:r w:rsidR="00674C01" w:rsidRPr="00E92047">
              <w:rPr>
                <w:rStyle w:val="FootnoteReference"/>
                <w:b/>
                <w:bCs/>
                <w:sz w:val="16"/>
                <w:szCs w:val="16"/>
              </w:rPr>
              <w:footnoteReference w:id="67"/>
            </w:r>
          </w:p>
        </w:tc>
        <w:tc>
          <w:tcPr>
            <w:tcW w:w="4150" w:type="dxa"/>
          </w:tcPr>
          <w:p w14:paraId="2B3A0E49" w14:textId="220D46CC" w:rsidR="00782374" w:rsidRPr="00E92047" w:rsidRDefault="00FA6B9D" w:rsidP="00492CF4">
            <w:pPr>
              <w:pStyle w:val="BodyText"/>
              <w:spacing w:before="0" w:after="0"/>
              <w:rPr>
                <w:b/>
                <w:bCs/>
                <w:sz w:val="16"/>
                <w:szCs w:val="16"/>
              </w:rPr>
            </w:pPr>
            <w:r>
              <w:rPr>
                <w:b/>
                <w:bCs/>
                <w:sz w:val="16"/>
                <w:szCs w:val="16"/>
              </w:rPr>
              <w:t>Ac</w:t>
            </w:r>
            <w:r w:rsidR="00E41025">
              <w:rPr>
                <w:b/>
                <w:bCs/>
                <w:sz w:val="16"/>
                <w:szCs w:val="16"/>
              </w:rPr>
              <w:t>Aud inc. HAASA</w:t>
            </w:r>
            <w:r w:rsidR="00782374" w:rsidRPr="00E92047">
              <w:rPr>
                <w:b/>
                <w:bCs/>
                <w:sz w:val="16"/>
                <w:szCs w:val="16"/>
              </w:rPr>
              <w:t xml:space="preserve"> </w:t>
            </w:r>
            <w:r w:rsidR="00E41025">
              <w:rPr>
                <w:b/>
                <w:bCs/>
                <w:sz w:val="16"/>
                <w:szCs w:val="16"/>
              </w:rPr>
              <w:t xml:space="preserve">                 </w:t>
            </w:r>
            <w:r w:rsidR="001C1B25">
              <w:rPr>
                <w:b/>
                <w:bCs/>
                <w:sz w:val="16"/>
                <w:szCs w:val="16"/>
              </w:rPr>
              <w:t xml:space="preserve">   </w:t>
            </w:r>
            <w:r w:rsidR="00E41025">
              <w:rPr>
                <w:b/>
                <w:bCs/>
                <w:sz w:val="16"/>
                <w:szCs w:val="16"/>
              </w:rPr>
              <w:t xml:space="preserve"> </w:t>
            </w:r>
            <w:r w:rsidR="00782374" w:rsidRPr="00E92047">
              <w:rPr>
                <w:b/>
                <w:bCs/>
                <w:sz w:val="16"/>
                <w:szCs w:val="16"/>
              </w:rPr>
              <w:t>(</w:t>
            </w:r>
            <w:r w:rsidR="00DA3A3A" w:rsidRPr="00E92047">
              <w:rPr>
                <w:b/>
                <w:bCs/>
                <w:sz w:val="16"/>
                <w:szCs w:val="16"/>
              </w:rPr>
              <w:t>post</w:t>
            </w:r>
            <w:r w:rsidR="00782374" w:rsidRPr="00E92047">
              <w:rPr>
                <w:b/>
                <w:bCs/>
                <w:sz w:val="16"/>
                <w:szCs w:val="16"/>
              </w:rPr>
              <w:t>- 1 July 2024)</w:t>
            </w:r>
            <w:r w:rsidR="00F57733" w:rsidRPr="00E92047">
              <w:rPr>
                <w:rStyle w:val="FootnoteReference"/>
                <w:b/>
                <w:bCs/>
                <w:sz w:val="16"/>
                <w:szCs w:val="16"/>
              </w:rPr>
              <w:footnoteReference w:id="68"/>
            </w:r>
          </w:p>
        </w:tc>
      </w:tr>
      <w:tr w:rsidR="00782374" w14:paraId="3BACCB76" w14:textId="512AE943" w:rsidTr="00805CE8">
        <w:tc>
          <w:tcPr>
            <w:tcW w:w="1493" w:type="dxa"/>
            <w:shd w:val="clear" w:color="auto" w:fill="F2F2F2" w:themeFill="background1" w:themeFillShade="F2"/>
          </w:tcPr>
          <w:p w14:paraId="2F262933" w14:textId="084FECC8" w:rsidR="00782374" w:rsidRPr="00E92047" w:rsidRDefault="00782374" w:rsidP="00492CF4">
            <w:pPr>
              <w:pStyle w:val="BodyText"/>
              <w:spacing w:before="0" w:after="0"/>
              <w:rPr>
                <w:b/>
                <w:bCs/>
                <w:sz w:val="16"/>
                <w:szCs w:val="16"/>
              </w:rPr>
            </w:pPr>
            <w:r w:rsidRPr="00E92047">
              <w:rPr>
                <w:b/>
                <w:bCs/>
                <w:sz w:val="16"/>
                <w:szCs w:val="16"/>
              </w:rPr>
              <w:t>Eligibility</w:t>
            </w:r>
          </w:p>
        </w:tc>
        <w:tc>
          <w:tcPr>
            <w:tcW w:w="3747" w:type="dxa"/>
            <w:shd w:val="clear" w:color="auto" w:fill="F2F2F2" w:themeFill="background1" w:themeFillShade="F2"/>
          </w:tcPr>
          <w:p w14:paraId="66076384" w14:textId="7E53D289" w:rsidR="00782374" w:rsidRPr="00E92047" w:rsidRDefault="00782374" w:rsidP="00492CF4">
            <w:pPr>
              <w:pStyle w:val="ListBullet"/>
              <w:numPr>
                <w:ilvl w:val="0"/>
                <w:numId w:val="0"/>
              </w:numPr>
              <w:spacing w:after="0"/>
              <w:ind w:left="360"/>
              <w:rPr>
                <w:sz w:val="16"/>
                <w:szCs w:val="16"/>
              </w:rPr>
            </w:pPr>
          </w:p>
        </w:tc>
        <w:tc>
          <w:tcPr>
            <w:tcW w:w="3969" w:type="dxa"/>
            <w:shd w:val="clear" w:color="auto" w:fill="F2F2F2" w:themeFill="background1" w:themeFillShade="F2"/>
          </w:tcPr>
          <w:p w14:paraId="44819E90" w14:textId="77777777" w:rsidR="00782374" w:rsidRPr="00E92047" w:rsidRDefault="00782374" w:rsidP="00492CF4">
            <w:pPr>
              <w:pStyle w:val="ListBullet"/>
              <w:numPr>
                <w:ilvl w:val="0"/>
                <w:numId w:val="0"/>
              </w:numPr>
              <w:spacing w:after="0"/>
              <w:ind w:left="360"/>
              <w:rPr>
                <w:sz w:val="16"/>
                <w:szCs w:val="16"/>
              </w:rPr>
            </w:pPr>
          </w:p>
        </w:tc>
        <w:tc>
          <w:tcPr>
            <w:tcW w:w="4150" w:type="dxa"/>
            <w:shd w:val="clear" w:color="auto" w:fill="F2F2F2" w:themeFill="background1" w:themeFillShade="F2"/>
          </w:tcPr>
          <w:p w14:paraId="764395B0" w14:textId="5C1576D8" w:rsidR="00782374" w:rsidRPr="00E92047" w:rsidRDefault="00782374" w:rsidP="00492CF4">
            <w:pPr>
              <w:pStyle w:val="ListBullet"/>
              <w:numPr>
                <w:ilvl w:val="0"/>
                <w:numId w:val="0"/>
              </w:numPr>
              <w:spacing w:after="0"/>
              <w:ind w:left="360"/>
              <w:rPr>
                <w:sz w:val="16"/>
                <w:szCs w:val="16"/>
              </w:rPr>
            </w:pPr>
          </w:p>
        </w:tc>
      </w:tr>
      <w:tr w:rsidR="00F34F65" w14:paraId="2D42F4FA" w14:textId="77777777" w:rsidTr="00492CF4">
        <w:tc>
          <w:tcPr>
            <w:tcW w:w="1493" w:type="dxa"/>
          </w:tcPr>
          <w:p w14:paraId="0A46A857" w14:textId="218B7D2A" w:rsidR="00F34F65" w:rsidRPr="00E92047" w:rsidRDefault="00FE6B76" w:rsidP="00492CF4">
            <w:pPr>
              <w:pStyle w:val="BodyText"/>
              <w:spacing w:before="0" w:after="0"/>
              <w:rPr>
                <w:sz w:val="16"/>
                <w:szCs w:val="16"/>
              </w:rPr>
            </w:pPr>
            <w:r w:rsidRPr="00E92047">
              <w:rPr>
                <w:sz w:val="16"/>
                <w:szCs w:val="16"/>
              </w:rPr>
              <w:t>Degree requirements</w:t>
            </w:r>
          </w:p>
        </w:tc>
        <w:tc>
          <w:tcPr>
            <w:tcW w:w="3747" w:type="dxa"/>
          </w:tcPr>
          <w:p w14:paraId="54C41B18" w14:textId="77777777" w:rsidR="00FE6B76" w:rsidRPr="00E92047" w:rsidRDefault="00FE6B76" w:rsidP="00492CF4">
            <w:pPr>
              <w:pStyle w:val="ListBullet"/>
              <w:numPr>
                <w:ilvl w:val="0"/>
                <w:numId w:val="0"/>
              </w:numPr>
              <w:spacing w:after="80"/>
              <w:rPr>
                <w:sz w:val="16"/>
                <w:szCs w:val="16"/>
              </w:rPr>
            </w:pPr>
            <w:r w:rsidRPr="00E92047">
              <w:rPr>
                <w:sz w:val="16"/>
                <w:szCs w:val="16"/>
              </w:rPr>
              <w:t>Graduation from an accredited Australian Masters of Clinical Audiology university program; or</w:t>
            </w:r>
          </w:p>
          <w:p w14:paraId="53B4D9C3" w14:textId="35D92BD6" w:rsidR="00F34F65" w:rsidRPr="00E92047" w:rsidRDefault="00FE6B76" w:rsidP="00492CF4">
            <w:pPr>
              <w:pStyle w:val="ListBullet"/>
              <w:numPr>
                <w:ilvl w:val="0"/>
                <w:numId w:val="0"/>
              </w:numPr>
              <w:spacing w:after="80"/>
              <w:rPr>
                <w:sz w:val="16"/>
                <w:szCs w:val="16"/>
              </w:rPr>
            </w:pPr>
            <w:r w:rsidRPr="00E92047">
              <w:rPr>
                <w:sz w:val="16"/>
                <w:szCs w:val="16"/>
              </w:rPr>
              <w:t>Masters in Audiology from the University of Auckland or the University of Canterbury</w:t>
            </w:r>
            <w:r w:rsidR="001348C0" w:rsidRPr="00E92047">
              <w:rPr>
                <w:sz w:val="16"/>
                <w:szCs w:val="16"/>
              </w:rPr>
              <w:t>.</w:t>
            </w:r>
          </w:p>
        </w:tc>
        <w:tc>
          <w:tcPr>
            <w:tcW w:w="3969" w:type="dxa"/>
          </w:tcPr>
          <w:p w14:paraId="5C12E49B" w14:textId="3B6B503E" w:rsidR="00F34F65" w:rsidRPr="00E92047" w:rsidRDefault="001348C0" w:rsidP="00492CF4">
            <w:pPr>
              <w:pStyle w:val="ListBullet"/>
              <w:numPr>
                <w:ilvl w:val="0"/>
                <w:numId w:val="0"/>
              </w:numPr>
              <w:spacing w:after="80"/>
              <w:rPr>
                <w:sz w:val="16"/>
                <w:szCs w:val="16"/>
              </w:rPr>
            </w:pPr>
            <w:r w:rsidRPr="00E92047">
              <w:rPr>
                <w:sz w:val="16"/>
                <w:szCs w:val="16"/>
              </w:rPr>
              <w:t>Must hold a minimum Masters of Audiology from an Australian university.</w:t>
            </w:r>
          </w:p>
        </w:tc>
        <w:tc>
          <w:tcPr>
            <w:tcW w:w="4150" w:type="dxa"/>
          </w:tcPr>
          <w:p w14:paraId="5BD8F52F" w14:textId="20A65FDB" w:rsidR="00F34F65" w:rsidRPr="00E92047" w:rsidRDefault="00A40F69" w:rsidP="00492CF4">
            <w:pPr>
              <w:pStyle w:val="ListBullet"/>
              <w:numPr>
                <w:ilvl w:val="0"/>
                <w:numId w:val="0"/>
              </w:numPr>
              <w:spacing w:after="80"/>
              <w:rPr>
                <w:sz w:val="16"/>
                <w:szCs w:val="16"/>
              </w:rPr>
            </w:pPr>
            <w:r w:rsidRPr="00E92047">
              <w:rPr>
                <w:sz w:val="16"/>
                <w:szCs w:val="16"/>
              </w:rPr>
              <w:t>Nil change (as known at time of writing this Decision RIS)</w:t>
            </w:r>
          </w:p>
        </w:tc>
      </w:tr>
      <w:tr w:rsidR="00FE6B76" w14:paraId="65D903F7" w14:textId="77777777" w:rsidTr="00492CF4">
        <w:tc>
          <w:tcPr>
            <w:tcW w:w="1493" w:type="dxa"/>
          </w:tcPr>
          <w:p w14:paraId="3D317304" w14:textId="44E0EF16" w:rsidR="00FE6B76" w:rsidRPr="00E92047" w:rsidRDefault="00FE6B76" w:rsidP="00492CF4">
            <w:pPr>
              <w:pStyle w:val="BodyText"/>
              <w:spacing w:before="0" w:after="0"/>
              <w:rPr>
                <w:sz w:val="16"/>
                <w:szCs w:val="16"/>
              </w:rPr>
            </w:pPr>
            <w:r w:rsidRPr="00E92047">
              <w:rPr>
                <w:sz w:val="16"/>
                <w:szCs w:val="16"/>
              </w:rPr>
              <w:t>Overseas-trained pathway</w:t>
            </w:r>
          </w:p>
        </w:tc>
        <w:tc>
          <w:tcPr>
            <w:tcW w:w="3747" w:type="dxa"/>
          </w:tcPr>
          <w:p w14:paraId="2D162769" w14:textId="01259415" w:rsidR="00FE6B76" w:rsidRPr="00E92047" w:rsidRDefault="008B345A" w:rsidP="00492CF4">
            <w:pPr>
              <w:pStyle w:val="ListBullet"/>
              <w:numPr>
                <w:ilvl w:val="0"/>
                <w:numId w:val="0"/>
              </w:numPr>
              <w:spacing w:after="80"/>
              <w:rPr>
                <w:sz w:val="16"/>
                <w:szCs w:val="16"/>
              </w:rPr>
            </w:pPr>
            <w:r w:rsidRPr="00E92047">
              <w:rPr>
                <w:sz w:val="16"/>
                <w:szCs w:val="16"/>
              </w:rPr>
              <w:t>R</w:t>
            </w:r>
            <w:r w:rsidR="00FE6B76" w:rsidRPr="00E92047">
              <w:rPr>
                <w:sz w:val="16"/>
                <w:szCs w:val="16"/>
              </w:rPr>
              <w:t>ecognition of qualifications and successful completion of the Audiology Australia overseas exam prior to commencing an internship.</w:t>
            </w:r>
            <w:r w:rsidR="00FE6B76" w:rsidRPr="00E92047">
              <w:rPr>
                <w:rStyle w:val="FootnoteReference"/>
                <w:sz w:val="16"/>
                <w:szCs w:val="16"/>
              </w:rPr>
              <w:footnoteReference w:id="69"/>
            </w:r>
            <w:r w:rsidR="00FE6B76" w:rsidRPr="00E92047">
              <w:rPr>
                <w:rStyle w:val="FootnoteReference"/>
                <w:sz w:val="16"/>
                <w:szCs w:val="16"/>
              </w:rPr>
              <w:footnoteReference w:id="70"/>
            </w:r>
          </w:p>
        </w:tc>
        <w:tc>
          <w:tcPr>
            <w:tcW w:w="3969" w:type="dxa"/>
          </w:tcPr>
          <w:p w14:paraId="45F2C182" w14:textId="6B098D98" w:rsidR="00FE6B76" w:rsidRPr="00E92047" w:rsidRDefault="00F32D98" w:rsidP="00492CF4">
            <w:pPr>
              <w:pStyle w:val="ListBullet"/>
              <w:numPr>
                <w:ilvl w:val="0"/>
                <w:numId w:val="0"/>
              </w:numPr>
              <w:spacing w:after="80"/>
              <w:rPr>
                <w:sz w:val="16"/>
                <w:szCs w:val="16"/>
              </w:rPr>
            </w:pPr>
            <w:r w:rsidRPr="00E92047">
              <w:rPr>
                <w:sz w:val="16"/>
                <w:szCs w:val="16"/>
              </w:rPr>
              <w:t>R</w:t>
            </w:r>
            <w:r w:rsidR="001348C0" w:rsidRPr="00E92047">
              <w:rPr>
                <w:sz w:val="16"/>
                <w:szCs w:val="16"/>
              </w:rPr>
              <w:t>ecognition of qualifications</w:t>
            </w:r>
            <w:r w:rsidR="001348C0" w:rsidRPr="00E92047">
              <w:rPr>
                <w:rStyle w:val="FootnoteReference"/>
                <w:sz w:val="16"/>
                <w:szCs w:val="16"/>
              </w:rPr>
              <w:footnoteReference w:id="71"/>
            </w:r>
            <w:r w:rsidR="001348C0" w:rsidRPr="00E92047">
              <w:rPr>
                <w:sz w:val="16"/>
                <w:szCs w:val="16"/>
              </w:rPr>
              <w:t xml:space="preserve"> and successful completion of the overseas exam. This exam can be undertaken at any stage </w:t>
            </w:r>
            <w:r w:rsidRPr="00E92047">
              <w:rPr>
                <w:sz w:val="16"/>
                <w:szCs w:val="16"/>
              </w:rPr>
              <w:t xml:space="preserve">during </w:t>
            </w:r>
            <w:r w:rsidR="001348C0" w:rsidRPr="00E92047">
              <w:rPr>
                <w:sz w:val="16"/>
                <w:szCs w:val="16"/>
              </w:rPr>
              <w:t xml:space="preserve">or </w:t>
            </w:r>
            <w:r w:rsidR="002753D3">
              <w:rPr>
                <w:sz w:val="16"/>
                <w:szCs w:val="16"/>
              </w:rPr>
              <w:t xml:space="preserve">at </w:t>
            </w:r>
            <w:r w:rsidR="001348C0" w:rsidRPr="00E92047">
              <w:rPr>
                <w:sz w:val="16"/>
                <w:szCs w:val="16"/>
              </w:rPr>
              <w:t xml:space="preserve">the completion of the internship program. </w:t>
            </w:r>
          </w:p>
        </w:tc>
        <w:tc>
          <w:tcPr>
            <w:tcW w:w="4150" w:type="dxa"/>
          </w:tcPr>
          <w:p w14:paraId="0CF67451" w14:textId="3E7D1B1B" w:rsidR="00FE6B76" w:rsidRPr="00E92047" w:rsidRDefault="001348C0" w:rsidP="00492CF4">
            <w:pPr>
              <w:pStyle w:val="ListBullet"/>
              <w:numPr>
                <w:ilvl w:val="0"/>
                <w:numId w:val="0"/>
              </w:numPr>
              <w:spacing w:after="80"/>
              <w:rPr>
                <w:sz w:val="16"/>
                <w:szCs w:val="16"/>
              </w:rPr>
            </w:pPr>
            <w:r w:rsidRPr="00E92047">
              <w:rPr>
                <w:sz w:val="16"/>
                <w:szCs w:val="16"/>
              </w:rPr>
              <w:t>For overseas audiologists – recognition of qualifications and successful completion of the overseas exam prior to commencing an internship.</w:t>
            </w:r>
          </w:p>
        </w:tc>
      </w:tr>
      <w:tr w:rsidR="00782374" w14:paraId="214A7C9B" w14:textId="48600B3B" w:rsidTr="00805CE8">
        <w:tc>
          <w:tcPr>
            <w:tcW w:w="1493" w:type="dxa"/>
            <w:shd w:val="clear" w:color="auto" w:fill="F2F2F2" w:themeFill="background1" w:themeFillShade="F2"/>
          </w:tcPr>
          <w:p w14:paraId="6F063CD7" w14:textId="76287D7A" w:rsidR="00782374" w:rsidRPr="00E92047" w:rsidRDefault="00415E41" w:rsidP="00492CF4">
            <w:pPr>
              <w:pStyle w:val="BodyText"/>
              <w:spacing w:before="0" w:after="0"/>
              <w:rPr>
                <w:b/>
                <w:bCs/>
                <w:sz w:val="16"/>
                <w:szCs w:val="16"/>
              </w:rPr>
            </w:pPr>
            <w:r w:rsidRPr="00E92047">
              <w:rPr>
                <w:b/>
                <w:bCs/>
                <w:sz w:val="16"/>
                <w:szCs w:val="16"/>
              </w:rPr>
              <w:t>Process</w:t>
            </w:r>
          </w:p>
        </w:tc>
        <w:tc>
          <w:tcPr>
            <w:tcW w:w="3747" w:type="dxa"/>
            <w:shd w:val="clear" w:color="auto" w:fill="F2F2F2" w:themeFill="background1" w:themeFillShade="F2"/>
          </w:tcPr>
          <w:p w14:paraId="5D58EF2D" w14:textId="77777777" w:rsidR="00782374" w:rsidRPr="00E92047" w:rsidRDefault="00782374" w:rsidP="00492CF4">
            <w:pPr>
              <w:pStyle w:val="ListBullet"/>
              <w:numPr>
                <w:ilvl w:val="0"/>
                <w:numId w:val="0"/>
              </w:numPr>
              <w:spacing w:after="80"/>
              <w:rPr>
                <w:sz w:val="16"/>
                <w:szCs w:val="16"/>
              </w:rPr>
            </w:pPr>
          </w:p>
        </w:tc>
        <w:tc>
          <w:tcPr>
            <w:tcW w:w="3969" w:type="dxa"/>
            <w:shd w:val="clear" w:color="auto" w:fill="F2F2F2" w:themeFill="background1" w:themeFillShade="F2"/>
          </w:tcPr>
          <w:p w14:paraId="37DC80EB" w14:textId="77777777" w:rsidR="00782374" w:rsidRPr="00E92047" w:rsidRDefault="00782374" w:rsidP="00492CF4">
            <w:pPr>
              <w:pStyle w:val="BodyText"/>
              <w:spacing w:before="0" w:after="80"/>
              <w:rPr>
                <w:sz w:val="16"/>
                <w:szCs w:val="16"/>
              </w:rPr>
            </w:pPr>
          </w:p>
        </w:tc>
        <w:tc>
          <w:tcPr>
            <w:tcW w:w="4150" w:type="dxa"/>
            <w:shd w:val="clear" w:color="auto" w:fill="F2F2F2" w:themeFill="background1" w:themeFillShade="F2"/>
          </w:tcPr>
          <w:p w14:paraId="279BB7C4" w14:textId="77777777" w:rsidR="00782374" w:rsidRPr="00E92047" w:rsidRDefault="00782374" w:rsidP="00492CF4">
            <w:pPr>
              <w:pStyle w:val="BodyText"/>
              <w:spacing w:before="0" w:after="80"/>
              <w:rPr>
                <w:sz w:val="16"/>
                <w:szCs w:val="16"/>
              </w:rPr>
            </w:pPr>
          </w:p>
        </w:tc>
      </w:tr>
      <w:tr w:rsidR="007D56F3" w14:paraId="4293E889" w14:textId="77777777" w:rsidTr="00492CF4">
        <w:tc>
          <w:tcPr>
            <w:tcW w:w="1493" w:type="dxa"/>
          </w:tcPr>
          <w:p w14:paraId="712C2670" w14:textId="65BF3F05" w:rsidR="007D56F3" w:rsidRPr="00E92047" w:rsidRDefault="007D56F3" w:rsidP="00492CF4">
            <w:pPr>
              <w:pStyle w:val="BodyText"/>
              <w:spacing w:before="0" w:after="0"/>
              <w:rPr>
                <w:sz w:val="16"/>
                <w:szCs w:val="16"/>
              </w:rPr>
            </w:pPr>
            <w:r w:rsidRPr="00E92047">
              <w:rPr>
                <w:sz w:val="16"/>
                <w:szCs w:val="16"/>
              </w:rPr>
              <w:t>Timeframe</w:t>
            </w:r>
          </w:p>
        </w:tc>
        <w:tc>
          <w:tcPr>
            <w:tcW w:w="3747" w:type="dxa"/>
          </w:tcPr>
          <w:p w14:paraId="45CB9132" w14:textId="26A92BDF" w:rsidR="007D56F3" w:rsidRPr="00E92047" w:rsidRDefault="00DB6505" w:rsidP="00492CF4">
            <w:pPr>
              <w:pStyle w:val="ListBullet"/>
              <w:numPr>
                <w:ilvl w:val="0"/>
                <w:numId w:val="0"/>
              </w:numPr>
              <w:spacing w:after="80"/>
              <w:rPr>
                <w:sz w:val="16"/>
                <w:szCs w:val="16"/>
              </w:rPr>
            </w:pPr>
            <w:r w:rsidRPr="00E92047">
              <w:rPr>
                <w:sz w:val="16"/>
                <w:szCs w:val="16"/>
              </w:rPr>
              <w:t>A</w:t>
            </w:r>
            <w:r w:rsidR="007D56F3" w:rsidRPr="00E92047">
              <w:rPr>
                <w:sz w:val="16"/>
                <w:szCs w:val="16"/>
              </w:rPr>
              <w:t xml:space="preserve"> 12-month or Equivalent Full-Time timeframe (may be extended to allow interns to successfully meet all competencies)</w:t>
            </w:r>
          </w:p>
        </w:tc>
        <w:tc>
          <w:tcPr>
            <w:tcW w:w="3969" w:type="dxa"/>
          </w:tcPr>
          <w:p w14:paraId="2D8E0468" w14:textId="1813E6A5" w:rsidR="007D56F3" w:rsidRPr="00E92047" w:rsidRDefault="0052443A" w:rsidP="00492CF4">
            <w:pPr>
              <w:pStyle w:val="ListBullet"/>
              <w:numPr>
                <w:ilvl w:val="0"/>
                <w:numId w:val="0"/>
              </w:numPr>
              <w:spacing w:after="80"/>
              <w:rPr>
                <w:sz w:val="16"/>
                <w:szCs w:val="16"/>
              </w:rPr>
            </w:pPr>
            <w:r w:rsidRPr="00E92047">
              <w:rPr>
                <w:sz w:val="16"/>
                <w:szCs w:val="16"/>
              </w:rPr>
              <w:t>A minimum six</w:t>
            </w:r>
            <w:r w:rsidR="00152E84" w:rsidRPr="00E92047">
              <w:rPr>
                <w:sz w:val="16"/>
                <w:szCs w:val="16"/>
              </w:rPr>
              <w:t>-month supervision program</w:t>
            </w:r>
          </w:p>
        </w:tc>
        <w:tc>
          <w:tcPr>
            <w:tcW w:w="4150" w:type="dxa"/>
          </w:tcPr>
          <w:p w14:paraId="3C4BCA12" w14:textId="13A4F737" w:rsidR="007D56F3" w:rsidRPr="00E92047" w:rsidRDefault="004526AD" w:rsidP="00492CF4">
            <w:pPr>
              <w:pStyle w:val="ListBullet"/>
              <w:numPr>
                <w:ilvl w:val="0"/>
                <w:numId w:val="0"/>
              </w:numPr>
              <w:spacing w:after="80"/>
              <w:rPr>
                <w:sz w:val="16"/>
                <w:szCs w:val="16"/>
              </w:rPr>
            </w:pPr>
            <w:r w:rsidRPr="00E92047">
              <w:rPr>
                <w:sz w:val="16"/>
                <w:szCs w:val="16"/>
              </w:rPr>
              <w:t>A m</w:t>
            </w:r>
            <w:r w:rsidR="001B1983" w:rsidRPr="00E92047">
              <w:rPr>
                <w:sz w:val="16"/>
                <w:szCs w:val="16"/>
              </w:rPr>
              <w:t>inimum 12 month</w:t>
            </w:r>
            <w:r w:rsidRPr="00E92047">
              <w:rPr>
                <w:sz w:val="16"/>
                <w:szCs w:val="16"/>
              </w:rPr>
              <w:t xml:space="preserve"> supervision program</w:t>
            </w:r>
            <w:r w:rsidR="001B1983" w:rsidRPr="00E92047">
              <w:rPr>
                <w:sz w:val="16"/>
                <w:szCs w:val="16"/>
              </w:rPr>
              <w:t xml:space="preserve"> - aligned</w:t>
            </w:r>
            <w:r w:rsidR="00152E84" w:rsidRPr="00E92047">
              <w:rPr>
                <w:sz w:val="16"/>
                <w:szCs w:val="16"/>
              </w:rPr>
              <w:t xml:space="preserve"> to Audiology Australia</w:t>
            </w:r>
          </w:p>
        </w:tc>
      </w:tr>
      <w:tr w:rsidR="00281B89" w14:paraId="179ABD1E" w14:textId="77777777" w:rsidTr="00492CF4">
        <w:tc>
          <w:tcPr>
            <w:tcW w:w="1493" w:type="dxa"/>
          </w:tcPr>
          <w:p w14:paraId="3A6A25DE" w14:textId="4EE914C6" w:rsidR="00281B89" w:rsidRPr="00E92047" w:rsidRDefault="00DB6505" w:rsidP="00492CF4">
            <w:pPr>
              <w:pStyle w:val="BodyText"/>
              <w:spacing w:before="0" w:after="0"/>
              <w:rPr>
                <w:sz w:val="16"/>
                <w:szCs w:val="16"/>
              </w:rPr>
            </w:pPr>
            <w:r w:rsidRPr="00E92047">
              <w:rPr>
                <w:sz w:val="16"/>
                <w:szCs w:val="16"/>
              </w:rPr>
              <w:t>Supervisor requirements</w:t>
            </w:r>
          </w:p>
        </w:tc>
        <w:tc>
          <w:tcPr>
            <w:tcW w:w="3747" w:type="dxa"/>
          </w:tcPr>
          <w:p w14:paraId="1BA374FE" w14:textId="77777777" w:rsidR="00E02F51" w:rsidRPr="00E92047" w:rsidRDefault="006C61D0" w:rsidP="00492CF4">
            <w:pPr>
              <w:pStyle w:val="ListBullet"/>
              <w:numPr>
                <w:ilvl w:val="0"/>
                <w:numId w:val="0"/>
              </w:numPr>
              <w:spacing w:after="80"/>
              <w:rPr>
                <w:sz w:val="16"/>
                <w:szCs w:val="16"/>
              </w:rPr>
            </w:pPr>
            <w:r w:rsidRPr="00E92047">
              <w:rPr>
                <w:sz w:val="16"/>
                <w:szCs w:val="16"/>
              </w:rPr>
              <w:t>Minimum six-months as an Audiology Australia Accredited Audiologist</w:t>
            </w:r>
          </w:p>
          <w:p w14:paraId="581BDA4E" w14:textId="77777777" w:rsidR="00281B89" w:rsidRPr="00E92047" w:rsidRDefault="002357F2" w:rsidP="00492CF4">
            <w:pPr>
              <w:pStyle w:val="ListBullet"/>
              <w:numPr>
                <w:ilvl w:val="0"/>
                <w:numId w:val="0"/>
              </w:numPr>
              <w:spacing w:after="80"/>
              <w:rPr>
                <w:sz w:val="16"/>
                <w:szCs w:val="16"/>
              </w:rPr>
            </w:pPr>
            <w:r w:rsidRPr="00E92047">
              <w:rPr>
                <w:sz w:val="16"/>
                <w:szCs w:val="16"/>
              </w:rPr>
              <w:t xml:space="preserve">Completes </w:t>
            </w:r>
            <w:r w:rsidR="006C61D0" w:rsidRPr="00E92047">
              <w:rPr>
                <w:sz w:val="16"/>
                <w:szCs w:val="16"/>
              </w:rPr>
              <w:t>Audiology Australia Supervisor Training</w:t>
            </w:r>
          </w:p>
          <w:p w14:paraId="153B7664" w14:textId="38CBB01B" w:rsidR="002357F2" w:rsidRPr="00E92047" w:rsidRDefault="002357F2" w:rsidP="00492CF4">
            <w:pPr>
              <w:pStyle w:val="ListBullet"/>
              <w:numPr>
                <w:ilvl w:val="0"/>
                <w:numId w:val="0"/>
              </w:numPr>
              <w:spacing w:after="80"/>
              <w:rPr>
                <w:sz w:val="16"/>
                <w:szCs w:val="16"/>
              </w:rPr>
            </w:pPr>
            <w:r w:rsidRPr="00E92047">
              <w:rPr>
                <w:sz w:val="16"/>
                <w:szCs w:val="16"/>
              </w:rPr>
              <w:t>Abides by Audiology Australia Supervisor Conflict of Interest Policy</w:t>
            </w:r>
          </w:p>
        </w:tc>
        <w:tc>
          <w:tcPr>
            <w:tcW w:w="3969" w:type="dxa"/>
          </w:tcPr>
          <w:p w14:paraId="25398B68" w14:textId="141DBCD3" w:rsidR="00281B89" w:rsidRPr="00E92047" w:rsidRDefault="001E0E9B" w:rsidP="00492CF4">
            <w:pPr>
              <w:pStyle w:val="ListBullet"/>
              <w:numPr>
                <w:ilvl w:val="0"/>
                <w:numId w:val="0"/>
              </w:numPr>
              <w:spacing w:after="80"/>
              <w:rPr>
                <w:sz w:val="16"/>
                <w:szCs w:val="16"/>
              </w:rPr>
            </w:pPr>
            <w:r w:rsidRPr="00E92047">
              <w:rPr>
                <w:sz w:val="16"/>
                <w:szCs w:val="16"/>
              </w:rPr>
              <w:t>Primary supervisor must have held Full Membership with a PPB for a minimum of three years</w:t>
            </w:r>
          </w:p>
        </w:tc>
        <w:tc>
          <w:tcPr>
            <w:tcW w:w="4150" w:type="dxa"/>
          </w:tcPr>
          <w:p w14:paraId="2BA5EDA6" w14:textId="72DA5216" w:rsidR="00281B89" w:rsidRPr="00E92047" w:rsidRDefault="009B1319" w:rsidP="00492CF4">
            <w:pPr>
              <w:pStyle w:val="ListBullet"/>
              <w:numPr>
                <w:ilvl w:val="0"/>
                <w:numId w:val="0"/>
              </w:numPr>
              <w:spacing w:after="80"/>
              <w:rPr>
                <w:sz w:val="16"/>
                <w:szCs w:val="16"/>
              </w:rPr>
            </w:pPr>
            <w:r w:rsidRPr="00E92047">
              <w:rPr>
                <w:sz w:val="16"/>
                <w:szCs w:val="16"/>
              </w:rPr>
              <w:t xml:space="preserve">Nil change </w:t>
            </w:r>
            <w:r w:rsidR="00C15426" w:rsidRPr="00E92047">
              <w:rPr>
                <w:sz w:val="16"/>
                <w:szCs w:val="16"/>
              </w:rPr>
              <w:t>(as known at time of writing this Decision RIS)</w:t>
            </w:r>
          </w:p>
        </w:tc>
      </w:tr>
      <w:tr w:rsidR="00782374" w14:paraId="019A3B64" w14:textId="196FB13F" w:rsidTr="00492CF4">
        <w:tc>
          <w:tcPr>
            <w:tcW w:w="1493" w:type="dxa"/>
          </w:tcPr>
          <w:p w14:paraId="419B19DB" w14:textId="106B4CFB" w:rsidR="00782374" w:rsidRPr="00E92047" w:rsidRDefault="008A5FA9" w:rsidP="00492CF4">
            <w:pPr>
              <w:pStyle w:val="BodyText"/>
              <w:spacing w:before="0" w:after="0"/>
              <w:rPr>
                <w:sz w:val="16"/>
                <w:szCs w:val="16"/>
              </w:rPr>
            </w:pPr>
            <w:r w:rsidRPr="00E92047">
              <w:rPr>
                <w:sz w:val="16"/>
                <w:szCs w:val="16"/>
              </w:rPr>
              <w:t>Referenced Standards</w:t>
            </w:r>
          </w:p>
        </w:tc>
        <w:tc>
          <w:tcPr>
            <w:tcW w:w="3747" w:type="dxa"/>
          </w:tcPr>
          <w:p w14:paraId="763BAE56" w14:textId="3F290CD7" w:rsidR="00782374" w:rsidRPr="00E92047" w:rsidRDefault="0019343E" w:rsidP="00492CF4">
            <w:pPr>
              <w:pStyle w:val="ListBullet"/>
              <w:numPr>
                <w:ilvl w:val="0"/>
                <w:numId w:val="0"/>
              </w:numPr>
              <w:spacing w:after="80"/>
              <w:rPr>
                <w:sz w:val="16"/>
                <w:szCs w:val="16"/>
              </w:rPr>
            </w:pPr>
            <w:r w:rsidRPr="00E92047">
              <w:rPr>
                <w:sz w:val="16"/>
                <w:szCs w:val="16"/>
              </w:rPr>
              <w:t>National Competency Standards</w:t>
            </w:r>
          </w:p>
        </w:tc>
        <w:tc>
          <w:tcPr>
            <w:tcW w:w="3969" w:type="dxa"/>
          </w:tcPr>
          <w:p w14:paraId="30D4F109" w14:textId="77777777" w:rsidR="00105E76" w:rsidRPr="00684CBC" w:rsidRDefault="00105E76" w:rsidP="00492CF4">
            <w:pPr>
              <w:pStyle w:val="ListBullet"/>
              <w:numPr>
                <w:ilvl w:val="0"/>
                <w:numId w:val="0"/>
              </w:numPr>
              <w:spacing w:after="80"/>
              <w:rPr>
                <w:sz w:val="16"/>
                <w:szCs w:val="16"/>
              </w:rPr>
            </w:pPr>
            <w:r w:rsidRPr="00E92047">
              <w:rPr>
                <w:sz w:val="16"/>
                <w:szCs w:val="16"/>
              </w:rPr>
              <w:t>C</w:t>
            </w:r>
            <w:r w:rsidR="000C7F9E" w:rsidRPr="00E92047">
              <w:rPr>
                <w:sz w:val="16"/>
                <w:szCs w:val="16"/>
              </w:rPr>
              <w:t xml:space="preserve">linical competencies assessed against the Australian College of Audiology’s </w:t>
            </w:r>
            <w:r w:rsidR="000C7F9E" w:rsidRPr="00E92047">
              <w:rPr>
                <w:i/>
                <w:iCs/>
                <w:sz w:val="16"/>
                <w:szCs w:val="16"/>
              </w:rPr>
              <w:t>By-Law 97-5 Professional Competency Standards for Hearing Care Professionals in Australia</w:t>
            </w:r>
            <w:r w:rsidR="000C1E9A" w:rsidRPr="00E92047">
              <w:rPr>
                <w:i/>
                <w:iCs/>
                <w:sz w:val="16"/>
                <w:szCs w:val="16"/>
              </w:rPr>
              <w:t xml:space="preserve"> and Requirements for Recognition of Specific Competencies</w:t>
            </w:r>
            <w:r w:rsidR="00DC6376" w:rsidRPr="00E92047">
              <w:rPr>
                <w:rStyle w:val="FootnoteReference"/>
                <w:i/>
                <w:iCs/>
                <w:sz w:val="16"/>
                <w:szCs w:val="16"/>
              </w:rPr>
              <w:footnoteReference w:id="72"/>
            </w:r>
          </w:p>
          <w:p w14:paraId="6A9C19E4" w14:textId="06BCD96A" w:rsidR="00684CBC" w:rsidRPr="00E92047" w:rsidRDefault="00684CBC" w:rsidP="00492CF4">
            <w:pPr>
              <w:pStyle w:val="ListBullet"/>
              <w:numPr>
                <w:ilvl w:val="0"/>
                <w:numId w:val="0"/>
              </w:numPr>
              <w:spacing w:after="80"/>
              <w:rPr>
                <w:sz w:val="16"/>
                <w:szCs w:val="16"/>
              </w:rPr>
            </w:pPr>
            <w:r>
              <w:rPr>
                <w:sz w:val="16"/>
                <w:szCs w:val="16"/>
              </w:rPr>
              <w:t>Non-</w:t>
            </w:r>
            <w:r w:rsidR="00F62133">
              <w:rPr>
                <w:sz w:val="16"/>
                <w:szCs w:val="16"/>
              </w:rPr>
              <w:t>clinical competencies aligned to National Competency Standards</w:t>
            </w:r>
          </w:p>
        </w:tc>
        <w:tc>
          <w:tcPr>
            <w:tcW w:w="4150" w:type="dxa"/>
          </w:tcPr>
          <w:p w14:paraId="6CEF82BE" w14:textId="34B86735" w:rsidR="00782374" w:rsidRPr="00E92047" w:rsidRDefault="004700E4" w:rsidP="00492CF4">
            <w:pPr>
              <w:pStyle w:val="ListBullet"/>
              <w:numPr>
                <w:ilvl w:val="0"/>
                <w:numId w:val="0"/>
              </w:numPr>
              <w:spacing w:after="80"/>
              <w:rPr>
                <w:sz w:val="16"/>
                <w:szCs w:val="16"/>
              </w:rPr>
            </w:pPr>
            <w:r w:rsidRPr="00E92047">
              <w:rPr>
                <w:sz w:val="16"/>
                <w:szCs w:val="16"/>
              </w:rPr>
              <w:t>National Competency Standards – aligned to Audiology Australia</w:t>
            </w:r>
          </w:p>
        </w:tc>
      </w:tr>
      <w:tr w:rsidR="00782374" w14:paraId="2ACAE080" w14:textId="50408933" w:rsidTr="00805CE8">
        <w:tc>
          <w:tcPr>
            <w:tcW w:w="1493" w:type="dxa"/>
            <w:shd w:val="clear" w:color="auto" w:fill="F2F2F2" w:themeFill="background1" w:themeFillShade="F2"/>
          </w:tcPr>
          <w:p w14:paraId="14E50C99" w14:textId="070E102B" w:rsidR="00782374" w:rsidRPr="00F019E5" w:rsidRDefault="00D02D76" w:rsidP="00492CF4">
            <w:pPr>
              <w:pStyle w:val="BodyText"/>
              <w:spacing w:before="0" w:after="0"/>
              <w:rPr>
                <w:b/>
                <w:bCs/>
                <w:sz w:val="16"/>
                <w:szCs w:val="16"/>
              </w:rPr>
            </w:pPr>
            <w:r w:rsidRPr="00F019E5">
              <w:rPr>
                <w:b/>
                <w:bCs/>
                <w:sz w:val="16"/>
                <w:szCs w:val="16"/>
              </w:rPr>
              <w:t>Outcome</w:t>
            </w:r>
          </w:p>
        </w:tc>
        <w:tc>
          <w:tcPr>
            <w:tcW w:w="3747" w:type="dxa"/>
            <w:shd w:val="clear" w:color="auto" w:fill="F2F2F2" w:themeFill="background1" w:themeFillShade="F2"/>
          </w:tcPr>
          <w:p w14:paraId="322115F0" w14:textId="77777777" w:rsidR="00782374" w:rsidRPr="00E92047" w:rsidRDefault="00782374" w:rsidP="00492CF4">
            <w:pPr>
              <w:pStyle w:val="BodyText"/>
              <w:spacing w:before="0" w:after="80"/>
              <w:rPr>
                <w:sz w:val="16"/>
                <w:szCs w:val="16"/>
              </w:rPr>
            </w:pPr>
          </w:p>
        </w:tc>
        <w:tc>
          <w:tcPr>
            <w:tcW w:w="3969" w:type="dxa"/>
            <w:shd w:val="clear" w:color="auto" w:fill="F2F2F2" w:themeFill="background1" w:themeFillShade="F2"/>
          </w:tcPr>
          <w:p w14:paraId="3A535AB0" w14:textId="77777777" w:rsidR="00782374" w:rsidRPr="00E92047" w:rsidRDefault="00782374" w:rsidP="00492CF4">
            <w:pPr>
              <w:pStyle w:val="BodyText"/>
              <w:spacing w:before="0" w:after="80"/>
              <w:rPr>
                <w:sz w:val="16"/>
                <w:szCs w:val="16"/>
              </w:rPr>
            </w:pPr>
          </w:p>
        </w:tc>
        <w:tc>
          <w:tcPr>
            <w:tcW w:w="4150" w:type="dxa"/>
            <w:shd w:val="clear" w:color="auto" w:fill="F2F2F2" w:themeFill="background1" w:themeFillShade="F2"/>
          </w:tcPr>
          <w:p w14:paraId="56DC4829" w14:textId="77777777" w:rsidR="00782374" w:rsidRPr="00E92047" w:rsidRDefault="00782374" w:rsidP="00492CF4">
            <w:pPr>
              <w:pStyle w:val="BodyText"/>
              <w:spacing w:before="0" w:after="80"/>
              <w:rPr>
                <w:sz w:val="16"/>
                <w:szCs w:val="16"/>
              </w:rPr>
            </w:pPr>
          </w:p>
        </w:tc>
      </w:tr>
      <w:tr w:rsidR="00782374" w14:paraId="1553683C" w14:textId="5EAA0969" w:rsidTr="00492CF4">
        <w:tc>
          <w:tcPr>
            <w:tcW w:w="1493" w:type="dxa"/>
          </w:tcPr>
          <w:p w14:paraId="44136677" w14:textId="6E804DCB" w:rsidR="00782374" w:rsidRPr="00E92047" w:rsidRDefault="00D02D76" w:rsidP="00492CF4">
            <w:pPr>
              <w:pStyle w:val="BodyText"/>
              <w:spacing w:before="0" w:after="0"/>
              <w:rPr>
                <w:sz w:val="16"/>
                <w:szCs w:val="16"/>
              </w:rPr>
            </w:pPr>
            <w:r w:rsidRPr="00E92047">
              <w:rPr>
                <w:sz w:val="16"/>
                <w:szCs w:val="16"/>
              </w:rPr>
              <w:t>Certification</w:t>
            </w:r>
          </w:p>
        </w:tc>
        <w:tc>
          <w:tcPr>
            <w:tcW w:w="3747" w:type="dxa"/>
          </w:tcPr>
          <w:p w14:paraId="374EC683" w14:textId="3D739FF4" w:rsidR="00782374" w:rsidRPr="00E92047" w:rsidRDefault="00D02D76" w:rsidP="00492CF4">
            <w:pPr>
              <w:pStyle w:val="ListBullet"/>
              <w:numPr>
                <w:ilvl w:val="0"/>
                <w:numId w:val="0"/>
              </w:numPr>
              <w:spacing w:after="80"/>
              <w:rPr>
                <w:sz w:val="16"/>
                <w:szCs w:val="16"/>
              </w:rPr>
            </w:pPr>
            <w:r w:rsidRPr="00E92047">
              <w:rPr>
                <w:sz w:val="16"/>
                <w:szCs w:val="16"/>
              </w:rPr>
              <w:t xml:space="preserve">Clinical certification as </w:t>
            </w:r>
            <w:r w:rsidR="008B1375" w:rsidRPr="00E92047">
              <w:rPr>
                <w:sz w:val="16"/>
                <w:szCs w:val="16"/>
              </w:rPr>
              <w:t>th</w:t>
            </w:r>
            <w:r w:rsidR="00B757E6" w:rsidRPr="00E92047">
              <w:rPr>
                <w:sz w:val="16"/>
                <w:szCs w:val="16"/>
              </w:rPr>
              <w:t>e trademarked</w:t>
            </w:r>
            <w:r w:rsidRPr="00E92047">
              <w:rPr>
                <w:sz w:val="16"/>
                <w:szCs w:val="16"/>
              </w:rPr>
              <w:t xml:space="preserve"> Audiology Australia Accredited Audiologist </w:t>
            </w:r>
          </w:p>
        </w:tc>
        <w:tc>
          <w:tcPr>
            <w:tcW w:w="3969" w:type="dxa"/>
          </w:tcPr>
          <w:p w14:paraId="64225CEA" w14:textId="70A9A203" w:rsidR="00782374" w:rsidRPr="00E92047" w:rsidRDefault="00250852" w:rsidP="00492CF4">
            <w:pPr>
              <w:pStyle w:val="ListBullet"/>
              <w:numPr>
                <w:ilvl w:val="0"/>
                <w:numId w:val="0"/>
              </w:numPr>
              <w:spacing w:after="80"/>
              <w:rPr>
                <w:sz w:val="16"/>
                <w:szCs w:val="16"/>
              </w:rPr>
            </w:pPr>
            <w:r w:rsidRPr="00E92047">
              <w:rPr>
                <w:sz w:val="16"/>
                <w:szCs w:val="16"/>
              </w:rPr>
              <w:t>Clinical certification as a Full/Ordinary Member of the Australian College of Audiology with a certificate of competency for Hearing Rehabilitation Specialist and Diagnostic Rehabilitation Specialist.</w:t>
            </w:r>
            <w:r w:rsidRPr="00E92047">
              <w:rPr>
                <w:rStyle w:val="FootnoteReference"/>
                <w:sz w:val="16"/>
                <w:szCs w:val="16"/>
              </w:rPr>
              <w:footnoteReference w:id="73"/>
            </w:r>
            <w:r w:rsidRPr="00E92047">
              <w:rPr>
                <w:sz w:val="16"/>
                <w:szCs w:val="16"/>
                <w:vertAlign w:val="superscript"/>
              </w:rPr>
              <w:t>,</w:t>
            </w:r>
            <w:r w:rsidRPr="00E92047">
              <w:rPr>
                <w:sz w:val="16"/>
                <w:szCs w:val="16"/>
              </w:rPr>
              <w:t xml:space="preserve"> </w:t>
            </w:r>
          </w:p>
        </w:tc>
        <w:tc>
          <w:tcPr>
            <w:tcW w:w="4150" w:type="dxa"/>
          </w:tcPr>
          <w:p w14:paraId="3C37F80E" w14:textId="50C510AA" w:rsidR="00782374" w:rsidRPr="00E92047" w:rsidRDefault="00582D6C" w:rsidP="00492CF4">
            <w:pPr>
              <w:pStyle w:val="ListBullet"/>
              <w:numPr>
                <w:ilvl w:val="0"/>
                <w:numId w:val="0"/>
              </w:numPr>
              <w:spacing w:after="80"/>
              <w:rPr>
                <w:sz w:val="16"/>
                <w:szCs w:val="16"/>
              </w:rPr>
            </w:pPr>
            <w:r w:rsidRPr="00E92047">
              <w:rPr>
                <w:sz w:val="16"/>
                <w:szCs w:val="16"/>
              </w:rPr>
              <w:t>Clinical certification (</w:t>
            </w:r>
            <w:r w:rsidR="004B3F0F">
              <w:rPr>
                <w:sz w:val="16"/>
                <w:szCs w:val="16"/>
              </w:rPr>
              <w:t>associated title</w:t>
            </w:r>
            <w:r w:rsidR="00C07260" w:rsidRPr="00E92047">
              <w:rPr>
                <w:sz w:val="16"/>
                <w:szCs w:val="16"/>
              </w:rPr>
              <w:t xml:space="preserve"> not known at time of writing</w:t>
            </w:r>
            <w:r w:rsidR="0083046F">
              <w:rPr>
                <w:sz w:val="16"/>
                <w:szCs w:val="16"/>
              </w:rPr>
              <w:t xml:space="preserve"> this Decision RIS</w:t>
            </w:r>
            <w:r w:rsidR="00C07260" w:rsidRPr="00E92047">
              <w:rPr>
                <w:sz w:val="16"/>
                <w:szCs w:val="16"/>
              </w:rPr>
              <w:t xml:space="preserve">). </w:t>
            </w:r>
          </w:p>
        </w:tc>
      </w:tr>
    </w:tbl>
    <w:p w14:paraId="56854F0A" w14:textId="77777777" w:rsidR="00782374" w:rsidRDefault="00782374" w:rsidP="0075193D">
      <w:pPr>
        <w:pStyle w:val="BodyText"/>
        <w:sectPr w:rsidR="00782374" w:rsidSect="00FA6B9D">
          <w:pgSz w:w="11906" w:h="16838" w:code="9"/>
          <w:pgMar w:top="1531" w:right="1531" w:bottom="1531" w:left="1531" w:header="709" w:footer="709" w:gutter="0"/>
          <w:cols w:space="708"/>
          <w:docGrid w:linePitch="360"/>
        </w:sectPr>
      </w:pPr>
    </w:p>
    <w:p w14:paraId="06738582" w14:textId="51C8BD1B" w:rsidR="008E7B91" w:rsidRDefault="00793A25" w:rsidP="00952457">
      <w:pPr>
        <w:pStyle w:val="Heading3"/>
      </w:pPr>
      <w:bookmarkStart w:id="56" w:name="_Ref172650802"/>
      <w:bookmarkStart w:id="57" w:name="_Toc198138573"/>
      <w:r>
        <w:t xml:space="preserve">Ongoing </w:t>
      </w:r>
      <w:r w:rsidR="00474F5E">
        <w:t>continual professional development and recency of practice</w:t>
      </w:r>
      <w:bookmarkEnd w:id="56"/>
      <w:bookmarkEnd w:id="57"/>
    </w:p>
    <w:p w14:paraId="18D587DF" w14:textId="178FF286" w:rsidR="008E7B91" w:rsidRDefault="00474F5E" w:rsidP="00AD55B0">
      <w:pPr>
        <w:pStyle w:val="BodyText"/>
      </w:pPr>
      <w:r>
        <w:t>As</w:t>
      </w:r>
      <w:r w:rsidR="009F0777">
        <w:t xml:space="preserve"> a signal of currency of skills, </w:t>
      </w:r>
      <w:r w:rsidR="009A7906">
        <w:t xml:space="preserve">ongoing </w:t>
      </w:r>
      <w:r w:rsidR="0086650D">
        <w:t>continual professional development</w:t>
      </w:r>
      <w:r w:rsidR="009C51CD">
        <w:t xml:space="preserve"> </w:t>
      </w:r>
      <w:r w:rsidR="0086650D">
        <w:t>(</w:t>
      </w:r>
      <w:r w:rsidR="009C51CD">
        <w:t>CPD</w:t>
      </w:r>
      <w:r w:rsidR="0086650D">
        <w:t>) and</w:t>
      </w:r>
      <w:r w:rsidR="009C51CD">
        <w:t xml:space="preserve"> </w:t>
      </w:r>
      <w:r w:rsidR="008E7B91">
        <w:t>recency of practice requirements are reflected in the</w:t>
      </w:r>
      <w:r w:rsidR="00BB2114">
        <w:t xml:space="preserve"> </w:t>
      </w:r>
      <w:r w:rsidR="008E7B91">
        <w:t>current clinical certification requirements of the PPBs as outlined below.</w:t>
      </w:r>
      <w:r w:rsidR="00BF6FE5">
        <w:t xml:space="preserve"> </w:t>
      </w:r>
    </w:p>
    <w:p w14:paraId="52CA3FF7" w14:textId="6EF286B7" w:rsidR="008E7B91" w:rsidRDefault="00543A02" w:rsidP="00952457">
      <w:pPr>
        <w:pStyle w:val="Heading4"/>
      </w:pPr>
      <w:r>
        <w:t>AudA</w:t>
      </w:r>
    </w:p>
    <w:p w14:paraId="3404CB49" w14:textId="7541EB37" w:rsidR="008E7B91" w:rsidRDefault="002308A5" w:rsidP="00AD55B0">
      <w:pPr>
        <w:pStyle w:val="BodyText"/>
      </w:pPr>
      <w:r w:rsidRPr="00972F5E">
        <w:t xml:space="preserve">Audiologists </w:t>
      </w:r>
      <w:r>
        <w:t xml:space="preserve">that are currently clinically certified with </w:t>
      </w:r>
      <w:r w:rsidR="0017294E">
        <w:t>AudA</w:t>
      </w:r>
      <w:r>
        <w:t xml:space="preserve"> may refer to themselves as the trademarked term Audiology Australia Accredited Audiologist. </w:t>
      </w:r>
      <w:r w:rsidR="00DE590A">
        <w:t>I</w:t>
      </w:r>
      <w:r w:rsidR="008E7B91">
        <w:t>n order to annually renew clinical certification, individuals are required to:</w:t>
      </w:r>
      <w:r w:rsidR="008E7B91">
        <w:rPr>
          <w:rStyle w:val="FootnoteReference"/>
        </w:rPr>
        <w:footnoteReference w:id="74"/>
      </w:r>
    </w:p>
    <w:p w14:paraId="36F78038" w14:textId="77777777" w:rsidR="008E7B91" w:rsidRDefault="008E7B91" w:rsidP="00AD55B0">
      <w:pPr>
        <w:pStyle w:val="ListBullet"/>
      </w:pPr>
      <w:r>
        <w:t xml:space="preserve">practise 200 hours in the past 12 months or 1000 hours over the past 5 years (or have a Resumption of Practice Plan in place in accordance with Audiology Australia’s </w:t>
      </w:r>
      <w:r w:rsidRPr="000600A1">
        <w:rPr>
          <w:i/>
          <w:iCs/>
        </w:rPr>
        <w:t>Recency and Resumption of Practice Policy</w:t>
      </w:r>
      <w:r>
        <w:t>)</w:t>
      </w:r>
    </w:p>
    <w:p w14:paraId="4FFEAFDF" w14:textId="77777777" w:rsidR="008E7B91" w:rsidRDefault="008E7B91" w:rsidP="00AD55B0">
      <w:pPr>
        <w:pStyle w:val="ListBullet"/>
      </w:pPr>
      <w:r>
        <w:t xml:space="preserve">complete a minimum of 20 CPD points (or pro-rata equivalent) in accordance with the requirements of Audiology Australia’s </w:t>
      </w:r>
      <w:r w:rsidRPr="00100C7B">
        <w:rPr>
          <w:i/>
          <w:iCs/>
        </w:rPr>
        <w:t>CPD Policy and Procedure for Participants</w:t>
      </w:r>
      <w:r>
        <w:t xml:space="preserve">. </w:t>
      </w:r>
    </w:p>
    <w:p w14:paraId="78ADDB72" w14:textId="25041399" w:rsidR="008E7B91" w:rsidRPr="00972F5E" w:rsidRDefault="007A77FE" w:rsidP="00AD55B0">
      <w:pPr>
        <w:pStyle w:val="BodyText"/>
        <w:rPr>
          <w:vertAlign w:val="superscript"/>
        </w:rPr>
      </w:pPr>
      <w:r>
        <w:t>AudA</w:t>
      </w:r>
      <w:r w:rsidR="008E7B91">
        <w:t xml:space="preserve"> states that 5% of </w:t>
      </w:r>
      <w:r w:rsidR="00673DBE">
        <w:t xml:space="preserve">audiologists with current </w:t>
      </w:r>
      <w:r w:rsidR="00D8066B">
        <w:t>clinical</w:t>
      </w:r>
      <w:r w:rsidR="00673DBE">
        <w:t xml:space="preserve"> certification</w:t>
      </w:r>
      <w:r w:rsidR="008E7B91">
        <w:t xml:space="preserve"> are audited with respect to CPD each year.</w:t>
      </w:r>
      <w:r w:rsidR="008E7B91">
        <w:rPr>
          <w:rStyle w:val="FootnoteReference"/>
        </w:rPr>
        <w:footnoteReference w:id="75"/>
      </w:r>
      <w:r w:rsidR="00020F93">
        <w:t xml:space="preserve"> </w:t>
      </w:r>
      <w:r w:rsidR="00836D5C">
        <w:t xml:space="preserve">Audiologists with current clinical certification may </w:t>
      </w:r>
      <w:r w:rsidR="003F2894">
        <w:t>hold membership with A</w:t>
      </w:r>
      <w:r w:rsidR="00D97877">
        <w:t xml:space="preserve">udA, or </w:t>
      </w:r>
      <w:r w:rsidR="003E4970">
        <w:t>choose to be a Non-Member Audiology Australia Accredited Audiologist.</w:t>
      </w:r>
      <w:r w:rsidR="006F2401">
        <w:rPr>
          <w:rStyle w:val="FootnoteReference"/>
        </w:rPr>
        <w:footnoteReference w:id="76"/>
      </w:r>
      <w:r w:rsidR="004C4390">
        <w:rPr>
          <w:vertAlign w:val="superscript"/>
        </w:rPr>
        <w:t>,</w:t>
      </w:r>
      <w:r w:rsidR="004C4390">
        <w:rPr>
          <w:rStyle w:val="FootnoteReference"/>
        </w:rPr>
        <w:footnoteReference w:id="77"/>
      </w:r>
    </w:p>
    <w:p w14:paraId="40C891A9" w14:textId="1D37A0E2" w:rsidR="008E7B91" w:rsidRDefault="00543A02" w:rsidP="00952457">
      <w:pPr>
        <w:pStyle w:val="Heading4"/>
      </w:pPr>
      <w:r>
        <w:t>AcAud inc. HAASA</w:t>
      </w:r>
    </w:p>
    <w:p w14:paraId="6988D3F0" w14:textId="2870891C" w:rsidR="008E7B91" w:rsidRDefault="008E7B91" w:rsidP="00277B20">
      <w:pPr>
        <w:pStyle w:val="BodyText"/>
      </w:pPr>
      <w:r w:rsidRPr="00D745DB">
        <w:t>Prior to 1 July 202</w:t>
      </w:r>
      <w:r w:rsidR="00E975AD">
        <w:t>4</w:t>
      </w:r>
      <w:r w:rsidRPr="00D745DB">
        <w:t xml:space="preserve">, to be a Full/Ordinary/ Fellow member of </w:t>
      </w:r>
      <w:r w:rsidR="00125764">
        <w:t>AcAud</w:t>
      </w:r>
      <w:r w:rsidRPr="00D745DB">
        <w:t xml:space="preserve">, members must have current clinical certification, which includes CPD and compliance with resumption of practice requirements. </w:t>
      </w:r>
      <w:r w:rsidR="002D1EED">
        <w:t>AcAud had a</w:t>
      </w:r>
      <w:r w:rsidRPr="00D745DB">
        <w:t xml:space="preserve"> two-year CPD cycle </w:t>
      </w:r>
      <w:r>
        <w:t>where a</w:t>
      </w:r>
      <w:r w:rsidRPr="00D745DB">
        <w:t xml:space="preserve">udiologists </w:t>
      </w:r>
      <w:r w:rsidR="0084409A">
        <w:t>were</w:t>
      </w:r>
      <w:r w:rsidRPr="00D745DB">
        <w:t xml:space="preserve"> required to complete 50 CPD points </w:t>
      </w:r>
      <w:r>
        <w:t>over</w:t>
      </w:r>
      <w:r w:rsidRPr="00D745DB">
        <w:t xml:space="preserve"> two years. </w:t>
      </w:r>
      <w:r w:rsidR="0084409A">
        <w:t>Since</w:t>
      </w:r>
      <w:r w:rsidR="00CB42C7">
        <w:t xml:space="preserve"> 1 July 2024, audiologists </w:t>
      </w:r>
      <w:r w:rsidR="0084409A">
        <w:t>are</w:t>
      </w:r>
      <w:r w:rsidR="00CB42C7">
        <w:t xml:space="preserve"> able to apply for current clinical certification separate to membership. </w:t>
      </w:r>
      <w:r w:rsidRPr="00D745DB">
        <w:t>From 1 July 2025, consistent with Audiology Australia, audiologists will be required to complete 20 CPD points annually, with an annual audit cycle.</w:t>
      </w:r>
      <w:r>
        <w:rPr>
          <w:rStyle w:val="FootnoteReference"/>
        </w:rPr>
        <w:footnoteReference w:id="78"/>
      </w:r>
    </w:p>
    <w:p w14:paraId="79DE0B21" w14:textId="77777777" w:rsidR="008E7B91" w:rsidRDefault="008E7B91" w:rsidP="00952457">
      <w:pPr>
        <w:pStyle w:val="Heading2"/>
      </w:pPr>
      <w:bookmarkStart w:id="58" w:name="_Toc171324731"/>
      <w:bookmarkStart w:id="59" w:name="_Toc198138574"/>
      <w:r w:rsidRPr="00756F98">
        <w:t>Regulatory</w:t>
      </w:r>
      <w:r>
        <w:t xml:space="preserve"> arrangements for audiologists in </w:t>
      </w:r>
      <w:r w:rsidRPr="00DF3B36">
        <w:t>Australia</w:t>
      </w:r>
      <w:bookmarkEnd w:id="58"/>
      <w:bookmarkEnd w:id="59"/>
    </w:p>
    <w:p w14:paraId="565DDAC9" w14:textId="77777777" w:rsidR="008E7B91" w:rsidRDefault="008E7B91" w:rsidP="00DF3B36">
      <w:pPr>
        <w:pStyle w:val="BodyText"/>
      </w:pPr>
      <w:r>
        <w:t xml:space="preserve">The following regulatory arrangements are described in this section: </w:t>
      </w:r>
    </w:p>
    <w:p w14:paraId="699F3D24" w14:textId="3B94457F" w:rsidR="008E7B91" w:rsidRDefault="008E7B91" w:rsidP="00F32A57">
      <w:pPr>
        <w:pStyle w:val="ListBullet"/>
      </w:pPr>
      <w:r>
        <w:t xml:space="preserve">Audiology’s self-regulation model (Section </w:t>
      </w:r>
      <w:r>
        <w:fldChar w:fldCharType="begin"/>
      </w:r>
      <w:r>
        <w:instrText xml:space="preserve"> REF _Ref167637196 \r \h </w:instrText>
      </w:r>
      <w:r w:rsidR="00F32A57">
        <w:instrText xml:space="preserve"> \* MERGEFORMAT </w:instrText>
      </w:r>
      <w:r>
        <w:fldChar w:fldCharType="separate"/>
      </w:r>
      <w:r w:rsidR="00F32107">
        <w:t>2.4.1</w:t>
      </w:r>
      <w:r>
        <w:fldChar w:fldCharType="end"/>
      </w:r>
      <w:r>
        <w:t>)</w:t>
      </w:r>
    </w:p>
    <w:p w14:paraId="1CF96C0A" w14:textId="77777777" w:rsidR="008E7B91" w:rsidRDefault="008E7B91" w:rsidP="00F32A57">
      <w:pPr>
        <w:pStyle w:val="ListBullet"/>
      </w:pPr>
      <w:r>
        <w:t>Other relevant regulation for the Decision RIS:</w:t>
      </w:r>
    </w:p>
    <w:p w14:paraId="27B28CEF" w14:textId="67ED507E" w:rsidR="008E7B91" w:rsidRPr="00AA5550" w:rsidRDefault="008E7B91" w:rsidP="00F32A57">
      <w:pPr>
        <w:pStyle w:val="BulletList2Column"/>
        <w:rPr>
          <w:b/>
          <w:bCs/>
        </w:rPr>
      </w:pPr>
      <w:r>
        <w:rPr>
          <w:b/>
          <w:bCs/>
        </w:rPr>
        <w:t>The National Code of Conduct for Health Care Workers (hereafter, the National Code)</w:t>
      </w:r>
      <w:r>
        <w:t xml:space="preserve">: The National Code currently applies to the audiology profession, however only six out of eight Australian jurisdictions have implemented this legislation. Please refer to Section </w:t>
      </w:r>
      <w:r>
        <w:rPr>
          <w:highlight w:val="yellow"/>
        </w:rPr>
        <w:fldChar w:fldCharType="begin"/>
      </w:r>
      <w:r>
        <w:instrText xml:space="preserve"> REF _Ref164271611 \r \h </w:instrText>
      </w:r>
      <w:r w:rsidR="00F32A57">
        <w:rPr>
          <w:highlight w:val="yellow"/>
        </w:rPr>
        <w:instrText xml:space="preserve"> \* MERGEFORMAT </w:instrText>
      </w:r>
      <w:r>
        <w:rPr>
          <w:highlight w:val="yellow"/>
        </w:rPr>
      </w:r>
      <w:r>
        <w:rPr>
          <w:highlight w:val="yellow"/>
        </w:rPr>
        <w:fldChar w:fldCharType="separate"/>
      </w:r>
      <w:r w:rsidR="00F32107">
        <w:t>2.4.2</w:t>
      </w:r>
      <w:r>
        <w:rPr>
          <w:highlight w:val="yellow"/>
        </w:rPr>
        <w:fldChar w:fldCharType="end"/>
      </w:r>
      <w:r>
        <w:t>.</w:t>
      </w:r>
    </w:p>
    <w:p w14:paraId="07D56360" w14:textId="2E0C9B71" w:rsidR="008E7B91" w:rsidRDefault="008E7B91" w:rsidP="00F32A57">
      <w:pPr>
        <w:pStyle w:val="BulletList2Column"/>
      </w:pPr>
      <w:r w:rsidRPr="00137F58">
        <w:rPr>
          <w:b/>
          <w:bCs/>
        </w:rPr>
        <w:t>The Health Practitioner Regulation National Law (hereafter</w:t>
      </w:r>
      <w:r>
        <w:rPr>
          <w:b/>
          <w:bCs/>
        </w:rPr>
        <w:t>,</w:t>
      </w:r>
      <w:r w:rsidRPr="00137F58">
        <w:rPr>
          <w:b/>
          <w:bCs/>
        </w:rPr>
        <w:t xml:space="preserve"> the National Law)</w:t>
      </w:r>
      <w:r>
        <w:t xml:space="preserve">: The National Law does not currently apply to the audiology profession. However, one of the options under consideration in the Decision RIS is for this to change and for the National Law to apply to the audiology profession. Please refer to Section </w:t>
      </w:r>
      <w:r>
        <w:rPr>
          <w:highlight w:val="yellow"/>
        </w:rPr>
        <w:fldChar w:fldCharType="begin"/>
      </w:r>
      <w:r>
        <w:instrText xml:space="preserve"> REF _Ref167710190 \r \h </w:instrText>
      </w:r>
      <w:r w:rsidR="00F32A57">
        <w:rPr>
          <w:highlight w:val="yellow"/>
        </w:rPr>
        <w:instrText xml:space="preserve"> \* MERGEFORMAT </w:instrText>
      </w:r>
      <w:r>
        <w:rPr>
          <w:highlight w:val="yellow"/>
        </w:rPr>
      </w:r>
      <w:r>
        <w:rPr>
          <w:highlight w:val="yellow"/>
        </w:rPr>
        <w:fldChar w:fldCharType="separate"/>
      </w:r>
      <w:r w:rsidR="00F32107">
        <w:t>2.4.3</w:t>
      </w:r>
      <w:r>
        <w:rPr>
          <w:highlight w:val="yellow"/>
        </w:rPr>
        <w:fldChar w:fldCharType="end"/>
      </w:r>
      <w:r>
        <w:t xml:space="preserve">. </w:t>
      </w:r>
    </w:p>
    <w:p w14:paraId="20521658" w14:textId="77777777" w:rsidR="008E7B91" w:rsidRDefault="008E7B91" w:rsidP="00952457">
      <w:pPr>
        <w:pStyle w:val="Heading3"/>
      </w:pPr>
      <w:bookmarkStart w:id="60" w:name="_Ref167637196"/>
      <w:bookmarkStart w:id="61" w:name="_Toc171324732"/>
      <w:bookmarkStart w:id="62" w:name="_Toc198138575"/>
      <w:r>
        <w:t>Self-</w:t>
      </w:r>
      <w:r w:rsidRPr="00F32A57">
        <w:t>regulation</w:t>
      </w:r>
      <w:r>
        <w:t xml:space="preserve"> of audiology</w:t>
      </w:r>
      <w:bookmarkEnd w:id="60"/>
      <w:bookmarkEnd w:id="61"/>
      <w:bookmarkEnd w:id="62"/>
    </w:p>
    <w:p w14:paraId="33441D6B" w14:textId="29B81419" w:rsidR="008E7B91" w:rsidRDefault="008E7B91" w:rsidP="00F653D9">
      <w:pPr>
        <w:pStyle w:val="BodyText"/>
      </w:pPr>
      <w:r>
        <w:t>Audiology is a self-regulated allied health profession.</w:t>
      </w:r>
      <w:r w:rsidDel="00CB61D0">
        <w:t xml:space="preserve"> </w:t>
      </w:r>
      <w:r>
        <w:t xml:space="preserve">Self-regulation </w:t>
      </w:r>
      <w:r w:rsidR="00A41556">
        <w:t xml:space="preserve">involves </w:t>
      </w:r>
      <w:r w:rsidR="00192A77">
        <w:t xml:space="preserve">professional peers </w:t>
      </w:r>
      <w:r w:rsidR="00A41556">
        <w:t>establishing and monitoring professional standards</w:t>
      </w:r>
      <w:r w:rsidR="00816A7F">
        <w:t>.</w:t>
      </w:r>
      <w:r w:rsidR="00816A7F">
        <w:rPr>
          <w:rStyle w:val="FootnoteReference"/>
        </w:rPr>
        <w:footnoteReference w:id="79"/>
      </w:r>
      <w:r w:rsidR="005D5D6D">
        <w:t xml:space="preserve"> </w:t>
      </w:r>
      <w:r w:rsidR="005B5A5C">
        <w:t xml:space="preserve">The following information is provided about the National Alliance of Self-Regulating Health Professionals </w:t>
      </w:r>
      <w:r w:rsidR="00834C58">
        <w:t xml:space="preserve">(NASRHP), the </w:t>
      </w:r>
      <w:r w:rsidR="008E264D">
        <w:t>HPCCB</w:t>
      </w:r>
      <w:r w:rsidR="00834C58">
        <w:t>, and requirements to receive payments for specified health services</w:t>
      </w:r>
      <w:r w:rsidR="00772E7B">
        <w:t xml:space="preserve">, </w:t>
      </w:r>
      <w:r w:rsidR="00AF3CDA">
        <w:t>for readers to have the necessary context for the policy problem described in Chapter 3.</w:t>
      </w:r>
      <w:r w:rsidR="00F52F19">
        <w:t xml:space="preserve"> </w:t>
      </w:r>
    </w:p>
    <w:p w14:paraId="572966B0" w14:textId="1821A4B8" w:rsidR="008E7B91" w:rsidRDefault="00F646B4" w:rsidP="00952457">
      <w:pPr>
        <w:pStyle w:val="Heading4"/>
      </w:pPr>
      <w:r>
        <w:t>National Alliance of Self-</w:t>
      </w:r>
      <w:r w:rsidR="002479A3">
        <w:t>Regulating</w:t>
      </w:r>
      <w:r>
        <w:t xml:space="preserve"> Health Professionals (NASRHP)</w:t>
      </w:r>
    </w:p>
    <w:p w14:paraId="6A555F74" w14:textId="627C4B7A" w:rsidR="008E7B91" w:rsidRDefault="008E7B91" w:rsidP="00F653D9">
      <w:pPr>
        <w:pStyle w:val="BodyText"/>
      </w:pPr>
      <w:r>
        <w:t>As part of the broader landscape of self-regulating health professions, NASRHP is a self-organised independent body that provides a quality framework for self-regulating health professions.</w:t>
      </w:r>
      <w:r>
        <w:rPr>
          <w:rStyle w:val="FootnoteReference"/>
        </w:rPr>
        <w:footnoteReference w:id="80"/>
      </w:r>
      <w:r>
        <w:t xml:space="preserve"> It’s decision-making powers are related to its membership. PPBs that seek membership with NASRHP are required to meet benchmark standards for regulation and accreditation of practitioners, including the following eleven standards:</w:t>
      </w:r>
      <w:r>
        <w:rPr>
          <w:rStyle w:val="FootnoteReference"/>
        </w:rPr>
        <w:footnoteReference w:id="81"/>
      </w:r>
      <w:r>
        <w:t xml:space="preserve"> </w:t>
      </w:r>
    </w:p>
    <w:p w14:paraId="683BC619" w14:textId="77777777" w:rsidR="008E7B91" w:rsidRDefault="008E7B91" w:rsidP="00F24996">
      <w:pPr>
        <w:pStyle w:val="List"/>
        <w:numPr>
          <w:ilvl w:val="0"/>
          <w:numId w:val="12"/>
        </w:numPr>
      </w:pPr>
      <w:r>
        <w:t>Scope (Areas) of Practice</w:t>
      </w:r>
    </w:p>
    <w:p w14:paraId="582B8891" w14:textId="77777777" w:rsidR="008E7B91" w:rsidRDefault="008E7B91" w:rsidP="00F24996">
      <w:pPr>
        <w:pStyle w:val="List"/>
        <w:numPr>
          <w:ilvl w:val="0"/>
          <w:numId w:val="12"/>
        </w:numPr>
      </w:pPr>
      <w:r>
        <w:t>Code of Ethics/Practice and/or Professional Conduct</w:t>
      </w:r>
    </w:p>
    <w:p w14:paraId="19231A90" w14:textId="77777777" w:rsidR="008E7B91" w:rsidRDefault="008E7B91" w:rsidP="00F24996">
      <w:pPr>
        <w:pStyle w:val="List"/>
        <w:numPr>
          <w:ilvl w:val="0"/>
          <w:numId w:val="12"/>
        </w:numPr>
      </w:pPr>
      <w:r>
        <w:t>Complaints Procedure</w:t>
      </w:r>
    </w:p>
    <w:p w14:paraId="72BED1C3" w14:textId="77777777" w:rsidR="008E7B91" w:rsidRDefault="008E7B91" w:rsidP="00F24996">
      <w:pPr>
        <w:pStyle w:val="List"/>
        <w:numPr>
          <w:ilvl w:val="0"/>
          <w:numId w:val="12"/>
        </w:numPr>
      </w:pPr>
      <w:r>
        <w:t>Competency Standards</w:t>
      </w:r>
    </w:p>
    <w:p w14:paraId="1D8222AC" w14:textId="77777777" w:rsidR="008E7B91" w:rsidRDefault="008E7B91" w:rsidP="00F24996">
      <w:pPr>
        <w:pStyle w:val="List"/>
        <w:numPr>
          <w:ilvl w:val="0"/>
          <w:numId w:val="12"/>
        </w:numPr>
      </w:pPr>
      <w:r>
        <w:t>Course Accreditation</w:t>
      </w:r>
    </w:p>
    <w:p w14:paraId="2478EBA4" w14:textId="77777777" w:rsidR="008E7B91" w:rsidRDefault="008E7B91" w:rsidP="00F24996">
      <w:pPr>
        <w:pStyle w:val="List"/>
        <w:numPr>
          <w:ilvl w:val="0"/>
          <w:numId w:val="12"/>
        </w:numPr>
      </w:pPr>
      <w:r>
        <w:t>Continuing Professional Development</w:t>
      </w:r>
    </w:p>
    <w:p w14:paraId="4DF4AD2C" w14:textId="77777777" w:rsidR="008E7B91" w:rsidRDefault="008E7B91" w:rsidP="00F24996">
      <w:pPr>
        <w:pStyle w:val="List"/>
        <w:numPr>
          <w:ilvl w:val="0"/>
          <w:numId w:val="12"/>
        </w:numPr>
      </w:pPr>
      <w:r>
        <w:t>English Language Requirements</w:t>
      </w:r>
    </w:p>
    <w:p w14:paraId="3EA44C79" w14:textId="77777777" w:rsidR="008E7B91" w:rsidRDefault="008E7B91" w:rsidP="00F24996">
      <w:pPr>
        <w:pStyle w:val="List"/>
        <w:numPr>
          <w:ilvl w:val="0"/>
          <w:numId w:val="12"/>
        </w:numPr>
      </w:pPr>
      <w:r>
        <w:t>Mandatory Declarations</w:t>
      </w:r>
    </w:p>
    <w:p w14:paraId="40168F7B" w14:textId="77777777" w:rsidR="008E7B91" w:rsidRDefault="008E7B91" w:rsidP="00F24996">
      <w:pPr>
        <w:pStyle w:val="List"/>
        <w:numPr>
          <w:ilvl w:val="0"/>
          <w:numId w:val="12"/>
        </w:numPr>
      </w:pPr>
      <w:r>
        <w:t>Professional Indemnity Insurance</w:t>
      </w:r>
    </w:p>
    <w:p w14:paraId="3C8B2D23" w14:textId="77777777" w:rsidR="008E7B91" w:rsidRDefault="008E7B91" w:rsidP="00F24996">
      <w:pPr>
        <w:pStyle w:val="List"/>
        <w:numPr>
          <w:ilvl w:val="0"/>
          <w:numId w:val="12"/>
        </w:numPr>
      </w:pPr>
      <w:r>
        <w:t>Practitioner Certification Requirements</w:t>
      </w:r>
    </w:p>
    <w:p w14:paraId="424F6E2F" w14:textId="77777777" w:rsidR="008E7B91" w:rsidRDefault="008E7B91" w:rsidP="00F24996">
      <w:pPr>
        <w:pStyle w:val="List"/>
        <w:numPr>
          <w:ilvl w:val="0"/>
          <w:numId w:val="12"/>
        </w:numPr>
      </w:pPr>
      <w:r>
        <w:t>Recency and Resumption of Practice Requirements.</w:t>
      </w:r>
    </w:p>
    <w:p w14:paraId="203A9793" w14:textId="46C57702" w:rsidR="00F31277" w:rsidRDefault="00F31277" w:rsidP="00F653D9">
      <w:pPr>
        <w:pStyle w:val="BodyText"/>
      </w:pPr>
      <w:r>
        <w:t xml:space="preserve">As part of practitioner certification requirements, </w:t>
      </w:r>
      <w:r w:rsidR="002564F4">
        <w:t xml:space="preserve">NASRHP’s </w:t>
      </w:r>
      <w:r w:rsidR="00A41088" w:rsidRPr="00972F5E">
        <w:rPr>
          <w:i/>
          <w:iCs/>
        </w:rPr>
        <w:t>Self Regulating Health Profession Peak Bodies Membership Standards</w:t>
      </w:r>
      <w:r w:rsidR="00A41088">
        <w:t xml:space="preserve"> state that</w:t>
      </w:r>
      <w:r w:rsidR="001E3484">
        <w:t xml:space="preserve"> certification</w:t>
      </w:r>
      <w:r w:rsidR="00711FAC">
        <w:t>,</w:t>
      </w:r>
      <w:r w:rsidR="001E3484">
        <w:t xml:space="preserve"> “</w:t>
      </w:r>
      <w:r w:rsidR="001E3484" w:rsidRPr="00972F5E">
        <w:rPr>
          <w:i/>
          <w:iCs/>
        </w:rPr>
        <w:t>must be separate and not linked to organisation membership, such that a practitioner is not required to hold organisation membership in order to obtain certification status</w:t>
      </w:r>
      <w:r w:rsidR="001E3484">
        <w:t>”.</w:t>
      </w:r>
      <w:r w:rsidR="001E3484">
        <w:rPr>
          <w:rStyle w:val="FootnoteReference"/>
        </w:rPr>
        <w:footnoteReference w:id="82"/>
      </w:r>
      <w:r w:rsidR="001E3484">
        <w:t xml:space="preserve"> </w:t>
      </w:r>
    </w:p>
    <w:p w14:paraId="7C42CC13" w14:textId="20BCF7CB" w:rsidR="008E7B91" w:rsidRDefault="00045BFD" w:rsidP="00F653D9">
      <w:pPr>
        <w:pStyle w:val="BodyText"/>
      </w:pPr>
      <w:r>
        <w:t>AudA</w:t>
      </w:r>
      <w:r w:rsidR="00BB011D">
        <w:t xml:space="preserve"> is a Full Member of NASRHP. </w:t>
      </w:r>
      <w:r>
        <w:t>AcAud inc. HAASA</w:t>
      </w:r>
      <w:r w:rsidR="00BB011D">
        <w:t xml:space="preserve"> state</w:t>
      </w:r>
      <w:r w:rsidR="00077429">
        <w:t>d in Consultation Phase 1</w:t>
      </w:r>
      <w:r w:rsidR="00BB011D">
        <w:t xml:space="preserve"> that they have completed the necessary actions to comply with Full Membership, envisioning acceptance within 12 months.</w:t>
      </w:r>
      <w:r w:rsidR="00BB011D">
        <w:rPr>
          <w:rStyle w:val="FootnoteReference"/>
        </w:rPr>
        <w:footnoteReference w:id="83"/>
      </w:r>
      <w:r w:rsidR="00BB011D">
        <w:t xml:space="preserve"> </w:t>
      </w:r>
    </w:p>
    <w:p w14:paraId="1456ACD6" w14:textId="4D58ED17" w:rsidR="00016460" w:rsidRDefault="003C36D7" w:rsidP="00016460">
      <w:pPr>
        <w:pStyle w:val="Heading4"/>
      </w:pPr>
      <w:bookmarkStart w:id="63" w:name="_Ref191663109"/>
      <w:r>
        <w:t>HPCCB</w:t>
      </w:r>
      <w:bookmarkEnd w:id="63"/>
    </w:p>
    <w:p w14:paraId="5B0F6855" w14:textId="5F795463" w:rsidR="00AA5B90" w:rsidRDefault="00C94E2C" w:rsidP="00CB1D82">
      <w:pPr>
        <w:pStyle w:val="BodyText"/>
      </w:pPr>
      <w:r>
        <w:t>The H</w:t>
      </w:r>
      <w:r w:rsidR="00D232CA">
        <w:t xml:space="preserve">earing Professional Conduct and Complaints Body </w:t>
      </w:r>
      <w:r w:rsidR="008862E6">
        <w:t xml:space="preserve">Ltd </w:t>
      </w:r>
      <w:r w:rsidR="00A244C2">
        <w:t xml:space="preserve">was established </w:t>
      </w:r>
      <w:r w:rsidR="00CB1D82">
        <w:t>in October 2024, replacing the</w:t>
      </w:r>
      <w:r w:rsidR="00522C7F">
        <w:t xml:space="preserve"> former </w:t>
      </w:r>
      <w:r w:rsidR="00A8047F">
        <w:t xml:space="preserve">AudA and AcAud inc. HAASA </w:t>
      </w:r>
      <w:r w:rsidR="00522C7F">
        <w:t>Ethics Review Committee</w:t>
      </w:r>
      <w:r w:rsidR="00A8047F">
        <w:t>s</w:t>
      </w:r>
      <w:r w:rsidR="00522C7F">
        <w:t xml:space="preserve">. </w:t>
      </w:r>
      <w:r w:rsidR="00E061D3">
        <w:t xml:space="preserve">The HPCCB is </w:t>
      </w:r>
      <w:r w:rsidR="0065260E">
        <w:t>a company limited by guarant</w:t>
      </w:r>
      <w:r w:rsidR="00606D06">
        <w:t>ee with two members (</w:t>
      </w:r>
      <w:r w:rsidR="00B5300B">
        <w:t>AudA and AcAud inc. HAASA</w:t>
      </w:r>
      <w:r w:rsidR="00606D06">
        <w:t xml:space="preserve">). </w:t>
      </w:r>
      <w:r w:rsidR="007D153A">
        <w:t xml:space="preserve">AudA and AcAud inc. HAASA </w:t>
      </w:r>
      <w:r w:rsidR="0000750E">
        <w:t xml:space="preserve">agreed to jointly fund </w:t>
      </w:r>
      <w:r w:rsidR="004057B9">
        <w:t>its</w:t>
      </w:r>
      <w:r w:rsidR="0000750E">
        <w:t xml:space="preserve"> establishment, and support through ongoing membership.</w:t>
      </w:r>
      <w:r w:rsidR="00330829">
        <w:t xml:space="preserve"> </w:t>
      </w:r>
      <w:r w:rsidR="00AA5B90">
        <w:t>The purpose</w:t>
      </w:r>
      <w:r w:rsidR="00B1117B">
        <w:t>s of the HPCCB are to advance health through:</w:t>
      </w:r>
      <w:r w:rsidR="00530DCC">
        <w:rPr>
          <w:rStyle w:val="FootnoteReference"/>
        </w:rPr>
        <w:footnoteReference w:id="84"/>
      </w:r>
    </w:p>
    <w:p w14:paraId="15BE5D75" w14:textId="3D7403B8" w:rsidR="00B1117B" w:rsidRDefault="00530DCC" w:rsidP="00B1117B">
      <w:pPr>
        <w:pStyle w:val="ListBullet"/>
      </w:pPr>
      <w:r>
        <w:t>promoting ethical hearing service practice to audiologists, audiometrists, members of the public and others</w:t>
      </w:r>
    </w:p>
    <w:p w14:paraId="0F9318E7" w14:textId="23B43377" w:rsidR="00AA5B90" w:rsidRDefault="00530DCC" w:rsidP="007176F0">
      <w:pPr>
        <w:pStyle w:val="ListBullet"/>
      </w:pPr>
      <w:r>
        <w:t>handling complaints regarding the provision of hearing services by audiologists and audiometrists who are members and/or clinically certified by AudA and AcAud inc. HAASA.</w:t>
      </w:r>
    </w:p>
    <w:p w14:paraId="5E114A3F" w14:textId="232BDE13" w:rsidR="008E7B91" w:rsidRDefault="000D3269" w:rsidP="007176F0">
      <w:pPr>
        <w:pStyle w:val="BodyText"/>
      </w:pPr>
      <w:r>
        <w:t>A key document</w:t>
      </w:r>
      <w:r w:rsidR="00F17DB8">
        <w:t xml:space="preserve"> for the HPCCB</w:t>
      </w:r>
      <w:r>
        <w:t xml:space="preserve"> is the sectoral </w:t>
      </w:r>
      <w:r w:rsidRPr="009A53BE">
        <w:rPr>
          <w:i/>
          <w:iCs/>
        </w:rPr>
        <w:t>Code of Conduct</w:t>
      </w:r>
      <w:r>
        <w:rPr>
          <w:i/>
          <w:iCs/>
        </w:rPr>
        <w:t xml:space="preserve"> for audiologists and audiometrists by-law</w:t>
      </w:r>
      <w:r>
        <w:rPr>
          <w:rStyle w:val="FootnoteReference"/>
        </w:rPr>
        <w:footnoteReference w:id="85"/>
      </w:r>
      <w:r>
        <w:rPr>
          <w:i/>
          <w:iCs/>
        </w:rPr>
        <w:t xml:space="preserve"> </w:t>
      </w:r>
      <w:r>
        <w:t xml:space="preserve"> which is stated to be in line with the National Code</w:t>
      </w:r>
      <w:r w:rsidR="00F17DB8">
        <w:t xml:space="preserve"> of Conduct for Health Care Workers</w:t>
      </w:r>
      <w:r>
        <w:t xml:space="preserve">. A person or entity is able to make a complaint against an individual audiologist in reference to this </w:t>
      </w:r>
      <w:r w:rsidRPr="00F00F77">
        <w:rPr>
          <w:i/>
          <w:iCs/>
        </w:rPr>
        <w:t>Code of Conduct</w:t>
      </w:r>
      <w:r>
        <w:t>. Complaints against audiologists are handled as per below.</w:t>
      </w:r>
    </w:p>
    <w:p w14:paraId="17E70752" w14:textId="05893E8C" w:rsidR="00933E8A" w:rsidRDefault="008213FC" w:rsidP="00933E8A">
      <w:pPr>
        <w:pStyle w:val="ListBullet"/>
      </w:pPr>
      <w:r w:rsidRPr="000D18B8">
        <w:rPr>
          <w:b/>
          <w:bCs/>
        </w:rPr>
        <w:t>Remit</w:t>
      </w:r>
      <w:r w:rsidR="000D18B8" w:rsidRPr="000D18B8">
        <w:rPr>
          <w:b/>
          <w:bCs/>
        </w:rPr>
        <w:t xml:space="preserve"> of the </w:t>
      </w:r>
      <w:r w:rsidR="00494252">
        <w:rPr>
          <w:b/>
          <w:bCs/>
        </w:rPr>
        <w:t>HPCCB</w:t>
      </w:r>
      <w:r w:rsidR="000D18B8">
        <w:t xml:space="preserve">: </w:t>
      </w:r>
      <w:r w:rsidR="00933E8A">
        <w:t>Complaints may be made in relation to:</w:t>
      </w:r>
    </w:p>
    <w:p w14:paraId="15109B60" w14:textId="7D313D66" w:rsidR="00933E8A" w:rsidRDefault="00933E8A" w:rsidP="00933E8A">
      <w:pPr>
        <w:pStyle w:val="BulletList2Column"/>
      </w:pPr>
      <w:r>
        <w:t xml:space="preserve">a person who is a current member and/or certified practitioner of </w:t>
      </w:r>
      <w:r w:rsidR="003A102C">
        <w:t>AudA and/or AcAud inc. HAASA</w:t>
      </w:r>
      <w:r>
        <w:t>;</w:t>
      </w:r>
    </w:p>
    <w:p w14:paraId="39256966" w14:textId="650D6943" w:rsidR="00933E8A" w:rsidRDefault="00933E8A" w:rsidP="00933E8A">
      <w:pPr>
        <w:pStyle w:val="BulletList2Column"/>
      </w:pPr>
      <w:r>
        <w:t xml:space="preserve">a person who is not a current member and/or certified practitioner of </w:t>
      </w:r>
      <w:r w:rsidR="003A102C">
        <w:t>AudA and/or AcAud inc. HAASA</w:t>
      </w:r>
      <w:r w:rsidR="003A102C" w:rsidDel="003A102C">
        <w:t xml:space="preserve"> </w:t>
      </w:r>
      <w:r>
        <w:t>but the issue or incident being complained about occurred during a period when the person was a member and/or certified practitioner;</w:t>
      </w:r>
      <w:r w:rsidR="006F6203">
        <w:t xml:space="preserve"> or</w:t>
      </w:r>
    </w:p>
    <w:p w14:paraId="6B493862" w14:textId="72FD39AF" w:rsidR="00933E8A" w:rsidRDefault="00933E8A" w:rsidP="00933E8A">
      <w:pPr>
        <w:pStyle w:val="BulletList2Column"/>
      </w:pPr>
      <w:r>
        <w:t xml:space="preserve">a person who is a current member and/or certified practitioner of </w:t>
      </w:r>
      <w:r w:rsidR="006F6203">
        <w:t>AudA and/or AcAud inc. HAASA</w:t>
      </w:r>
      <w:r>
        <w:t xml:space="preserve"> and the issue or incident being complained about occurred during a period when the person was not a member and/or certified practitioner.</w:t>
      </w:r>
    </w:p>
    <w:p w14:paraId="4A9D8095" w14:textId="48AB1B3F" w:rsidR="00C70E07" w:rsidRPr="00B86C21" w:rsidRDefault="00933E8A" w:rsidP="00B86C21">
      <w:pPr>
        <w:pStyle w:val="ListBullet"/>
        <w:numPr>
          <w:ilvl w:val="0"/>
          <w:numId w:val="0"/>
        </w:numPr>
        <w:ind w:left="360"/>
      </w:pPr>
      <w:r>
        <w:t xml:space="preserve">As per the Complaints Procedure, </w:t>
      </w:r>
      <w:r w:rsidR="00CC0B92">
        <w:t>‘</w:t>
      </w:r>
      <w:r w:rsidRPr="00D37951">
        <w:rPr>
          <w:i/>
          <w:iCs/>
        </w:rPr>
        <w:t xml:space="preserve">Other than in the circumstances described above, </w:t>
      </w:r>
      <w:r w:rsidR="004B4D55">
        <w:rPr>
          <w:i/>
          <w:iCs/>
        </w:rPr>
        <w:t>the HPCCB</w:t>
      </w:r>
      <w:r w:rsidRPr="00D37951">
        <w:rPr>
          <w:i/>
          <w:iCs/>
        </w:rPr>
        <w:t xml:space="preserve"> will generally not investigate a complaint regarding, and this Complaints Procedure does not apply to, any person who is not a member and/or certified practitioner </w:t>
      </w:r>
      <w:r w:rsidRPr="00D74A30">
        <w:rPr>
          <w:i/>
          <w:iCs/>
        </w:rPr>
        <w:t xml:space="preserve">of </w:t>
      </w:r>
      <w:r w:rsidR="00D74A30" w:rsidRPr="007176F0">
        <w:rPr>
          <w:i/>
          <w:iCs/>
        </w:rPr>
        <w:t>AudA and/or AcAud inc. HAASA</w:t>
      </w:r>
      <w:r>
        <w:t>.</w:t>
      </w:r>
      <w:r w:rsidR="00CC0B92">
        <w:t>’</w:t>
      </w:r>
      <w:r w:rsidR="00550F76">
        <w:rPr>
          <w:rStyle w:val="FootnoteReference"/>
        </w:rPr>
        <w:footnoteReference w:id="86"/>
      </w:r>
      <w:r w:rsidR="00601F1F">
        <w:t xml:space="preserve"> </w:t>
      </w:r>
      <w:r w:rsidR="007A5465" w:rsidRPr="000D18B8">
        <w:t xml:space="preserve">Hence, </w:t>
      </w:r>
      <w:r w:rsidR="003273C6" w:rsidRPr="000D18B8">
        <w:t xml:space="preserve">audiologists that do not meet the abovementioned </w:t>
      </w:r>
      <w:r w:rsidR="00085020" w:rsidRPr="000D18B8">
        <w:t xml:space="preserve">criteria are not within the remit of the </w:t>
      </w:r>
      <w:r w:rsidR="001169A5">
        <w:t>HPCCB’s</w:t>
      </w:r>
      <w:r w:rsidR="00085020" w:rsidRPr="000D18B8">
        <w:t xml:space="preserve"> powers.</w:t>
      </w:r>
    </w:p>
    <w:p w14:paraId="585A4A06" w14:textId="663B55CC" w:rsidR="008E7B91" w:rsidRPr="00A31DB4" w:rsidRDefault="001452E6" w:rsidP="008B4418">
      <w:pPr>
        <w:pStyle w:val="ListBullet"/>
        <w:rPr>
          <w:vertAlign w:val="subscript"/>
        </w:rPr>
      </w:pPr>
      <w:r w:rsidRPr="00644B62">
        <w:rPr>
          <w:b/>
          <w:bCs/>
        </w:rPr>
        <w:t>Governance</w:t>
      </w:r>
      <w:r>
        <w:t xml:space="preserve">: </w:t>
      </w:r>
      <w:r w:rsidR="008E7B91">
        <w:t xml:space="preserve">The </w:t>
      </w:r>
      <w:r w:rsidR="008E7B91" w:rsidRPr="004532BD">
        <w:t>following</w:t>
      </w:r>
      <w:r w:rsidR="008E7B91">
        <w:t xml:space="preserve"> governance notes are provided in relation to complaints handling:</w:t>
      </w:r>
      <w:r w:rsidR="008E7B91">
        <w:rPr>
          <w:rStyle w:val="FootnoteReference"/>
        </w:rPr>
        <w:footnoteReference w:id="87"/>
      </w:r>
    </w:p>
    <w:p w14:paraId="35F8B82A" w14:textId="0DFB1EA3" w:rsidR="008E7B91" w:rsidRPr="00F72AAB" w:rsidRDefault="008E7B91" w:rsidP="00F72AAB">
      <w:pPr>
        <w:pStyle w:val="BulletList2Column"/>
      </w:pPr>
      <w:r w:rsidRPr="00F72AAB">
        <w:t xml:space="preserve">The Board of Directors of </w:t>
      </w:r>
      <w:r w:rsidR="00FB6398">
        <w:t>AudA and AcAud inc. HAASA</w:t>
      </w:r>
      <w:r w:rsidR="00FB6398" w:rsidRPr="00F72AAB" w:rsidDel="00FB6398">
        <w:t xml:space="preserve"> </w:t>
      </w:r>
      <w:r w:rsidRPr="00F72AAB">
        <w:t xml:space="preserve">have authorised responsibility regarding the </w:t>
      </w:r>
      <w:r w:rsidR="00203692">
        <w:t xml:space="preserve">formal </w:t>
      </w:r>
      <w:r w:rsidRPr="00F72AAB">
        <w:t xml:space="preserve">investigation, hearing and making of recommendations regarding complaints to </w:t>
      </w:r>
      <w:r w:rsidR="00203692">
        <w:t>the HPCCB</w:t>
      </w:r>
      <w:r w:rsidRPr="00F72AAB">
        <w:t xml:space="preserve">. </w:t>
      </w:r>
    </w:p>
    <w:p w14:paraId="0214A980" w14:textId="754608DD" w:rsidR="00C2688D" w:rsidRDefault="008E7B91" w:rsidP="00F72AAB">
      <w:pPr>
        <w:pStyle w:val="BulletList2Column"/>
      </w:pPr>
      <w:r w:rsidRPr="00F72AAB">
        <w:t xml:space="preserve">The </w:t>
      </w:r>
      <w:r w:rsidR="00094240">
        <w:t>HPCCB Board</w:t>
      </w:r>
      <w:r w:rsidRPr="00F72AAB">
        <w:t xml:space="preserve"> </w:t>
      </w:r>
      <w:r w:rsidR="00087817">
        <w:t>must have</w:t>
      </w:r>
      <w:r w:rsidR="00BE2374">
        <w:t xml:space="preserve"> at least five and no more than nine directors</w:t>
      </w:r>
      <w:r w:rsidR="00867866">
        <w:t xml:space="preserve"> comprising</w:t>
      </w:r>
      <w:r w:rsidR="00013F72">
        <w:t>:</w:t>
      </w:r>
    </w:p>
    <w:p w14:paraId="08C0F269" w14:textId="5A231057" w:rsidR="00C2688D" w:rsidRDefault="00C2688D" w:rsidP="007176F0">
      <w:pPr>
        <w:pStyle w:val="BulletList2Column"/>
        <w:numPr>
          <w:ilvl w:val="2"/>
          <w:numId w:val="5"/>
        </w:numPr>
      </w:pPr>
      <w:r w:rsidRPr="007176F0">
        <w:rPr>
          <w:b/>
          <w:bCs/>
        </w:rPr>
        <w:t>The appointed chairperson</w:t>
      </w:r>
      <w:r>
        <w:t>, a senior, independent, experienced chair who is neither a current nor past member and/or certified practitioner of A</w:t>
      </w:r>
      <w:r w:rsidR="00516961">
        <w:t>c</w:t>
      </w:r>
      <w:r>
        <w:t xml:space="preserve">Aud </w:t>
      </w:r>
      <w:r w:rsidR="00516961">
        <w:t>i</w:t>
      </w:r>
      <w:r>
        <w:t xml:space="preserve">nc. HAASA or AudA, nor a current employee of </w:t>
      </w:r>
      <w:r w:rsidR="00516961">
        <w:t xml:space="preserve">AcAud inc. HAASA </w:t>
      </w:r>
      <w:r>
        <w:t xml:space="preserve">or AudA. </w:t>
      </w:r>
    </w:p>
    <w:p w14:paraId="5E3F27DF" w14:textId="3847AEA7" w:rsidR="00C2688D" w:rsidRDefault="00C2688D" w:rsidP="007176F0">
      <w:pPr>
        <w:pStyle w:val="BulletList2Column"/>
        <w:numPr>
          <w:ilvl w:val="2"/>
          <w:numId w:val="5"/>
        </w:numPr>
      </w:pPr>
      <w:r w:rsidRPr="007176F0">
        <w:rPr>
          <w:b/>
          <w:bCs/>
        </w:rPr>
        <w:t xml:space="preserve">Three nominees of AudA and three nominees of </w:t>
      </w:r>
      <w:r w:rsidR="00516961" w:rsidRPr="007176F0">
        <w:rPr>
          <w:b/>
          <w:bCs/>
        </w:rPr>
        <w:t>AcAud inc. HAASA</w:t>
      </w:r>
      <w:r>
        <w:t>, each of whom has at least</w:t>
      </w:r>
      <w:r w:rsidR="006B759B">
        <w:t xml:space="preserve"> five years’ </w:t>
      </w:r>
      <w:r>
        <w:t xml:space="preserve">experience in relation to the practice of audiology or audiometry, but who is not a current director on the Board of </w:t>
      </w:r>
      <w:r w:rsidR="00516961">
        <w:t xml:space="preserve">AcAud inc. HAASA </w:t>
      </w:r>
      <w:r>
        <w:t xml:space="preserve">or AudA or a current employee of </w:t>
      </w:r>
      <w:r w:rsidR="00516961">
        <w:t xml:space="preserve">AcAud inc. HAASA </w:t>
      </w:r>
      <w:r>
        <w:t>or AudA</w:t>
      </w:r>
      <w:r w:rsidR="00516961">
        <w:t>.</w:t>
      </w:r>
      <w:r>
        <w:t xml:space="preserve"> </w:t>
      </w:r>
    </w:p>
    <w:p w14:paraId="5E05309E" w14:textId="6B67CD6D" w:rsidR="00C2688D" w:rsidRDefault="00C2688D" w:rsidP="007176F0">
      <w:pPr>
        <w:pStyle w:val="BulletList2Column"/>
        <w:numPr>
          <w:ilvl w:val="2"/>
          <w:numId w:val="5"/>
        </w:numPr>
      </w:pPr>
      <w:r w:rsidRPr="007176F0">
        <w:rPr>
          <w:b/>
          <w:bCs/>
        </w:rPr>
        <w:t>Two lay or community persons</w:t>
      </w:r>
      <w:r>
        <w:t xml:space="preserve">, who must not have practised audiology or audiometry or be a past or present member and/or certified practitioner, Board member or employee of </w:t>
      </w:r>
      <w:r w:rsidR="00516961">
        <w:t xml:space="preserve">AcAud inc. HAASA </w:t>
      </w:r>
      <w:r>
        <w:t xml:space="preserve">or AudA, or have any financial or other interest in relation to </w:t>
      </w:r>
      <w:r w:rsidR="00516961">
        <w:t xml:space="preserve">AcAud inc. HAASA </w:t>
      </w:r>
      <w:r>
        <w:t>or AudA. The lay or community representative members must be persons who can fairly and accurately represent the views and perspectives of the community.</w:t>
      </w:r>
    </w:p>
    <w:p w14:paraId="0DDA99D4" w14:textId="1ACEF58E" w:rsidR="008E7B91" w:rsidRPr="00F72AAB" w:rsidRDefault="00087817" w:rsidP="00F72AAB">
      <w:pPr>
        <w:pStyle w:val="BulletList2Column"/>
      </w:pPr>
      <w:r>
        <w:t xml:space="preserve">The HPCCB Board </w:t>
      </w:r>
      <w:r w:rsidRPr="00F72AAB">
        <w:t xml:space="preserve">is responsible for hearing, investigating, reviewing and making recommendations to the </w:t>
      </w:r>
      <w:r>
        <w:t>AudA and AcAud inc. HAASA</w:t>
      </w:r>
      <w:r w:rsidRPr="00F72AAB" w:rsidDel="00094240">
        <w:t xml:space="preserve"> </w:t>
      </w:r>
      <w:r>
        <w:t>b</w:t>
      </w:r>
      <w:r w:rsidRPr="00F72AAB">
        <w:t>oard</w:t>
      </w:r>
      <w:r>
        <w:t>s</w:t>
      </w:r>
      <w:r w:rsidRPr="00F72AAB">
        <w:t xml:space="preserve"> in relation to complaints about its members and/or certified practitioners. </w:t>
      </w:r>
      <w:r w:rsidR="008E7B91" w:rsidRPr="00F72AAB">
        <w:t xml:space="preserve">The </w:t>
      </w:r>
      <w:r w:rsidR="001924C3">
        <w:t>HPCCB Board</w:t>
      </w:r>
      <w:r w:rsidR="001924C3" w:rsidRPr="00F72AAB">
        <w:t xml:space="preserve"> </w:t>
      </w:r>
      <w:r w:rsidR="008E7B91" w:rsidRPr="00F72AAB">
        <w:t>may appoint a Hearing and Investigation Panel</w:t>
      </w:r>
      <w:r w:rsidR="00FA76F4">
        <w:rPr>
          <w:rStyle w:val="FootnoteReference"/>
        </w:rPr>
        <w:footnoteReference w:id="88"/>
      </w:r>
      <w:r w:rsidR="008E7B91" w:rsidRPr="00F72AAB">
        <w:t xml:space="preserve"> or Appeals Panel to assist in this process.</w:t>
      </w:r>
    </w:p>
    <w:p w14:paraId="3A022AAE" w14:textId="19BF5C5C" w:rsidR="00B73C82" w:rsidRPr="00F72AAB" w:rsidRDefault="008E7B91" w:rsidP="007176F0">
      <w:pPr>
        <w:pStyle w:val="BulletList2Column"/>
      </w:pPr>
      <w:r w:rsidRPr="00F72AAB">
        <w:t>Hearing and Investigation Panel members are drawn from a Pool of Assessors</w:t>
      </w:r>
      <w:r w:rsidR="00256FE7">
        <w:t>.</w:t>
      </w:r>
      <w:r w:rsidR="005C275F">
        <w:t xml:space="preserve"> The AudA and AcAud inc. HAASA members </w:t>
      </w:r>
      <w:r w:rsidR="00E50772">
        <w:t xml:space="preserve">in the Pool of Assessors </w:t>
      </w:r>
      <w:r w:rsidRPr="00F72AAB">
        <w:t xml:space="preserve">are nominated by </w:t>
      </w:r>
      <w:r w:rsidR="00E50772">
        <w:t>their respective Board</w:t>
      </w:r>
      <w:r w:rsidR="001855BF">
        <w:t xml:space="preserve"> according to the Selection Criteria for the Pool of Assessors</w:t>
      </w:r>
      <w:r w:rsidRPr="00F72AAB">
        <w:t>.</w:t>
      </w:r>
      <w:r w:rsidR="009E3FD4">
        <w:t xml:space="preserve"> The lay and community representatives in the Pool of Assessors are nominated by the HPCCB Board following a joint recruitment and selection process.</w:t>
      </w:r>
    </w:p>
    <w:p w14:paraId="024C02CE" w14:textId="0326AB55" w:rsidR="008E7B91" w:rsidRDefault="001452E6" w:rsidP="008B4418">
      <w:pPr>
        <w:pStyle w:val="ListBullet"/>
      </w:pPr>
      <w:r w:rsidRPr="008B4418">
        <w:rPr>
          <w:b/>
          <w:bCs/>
        </w:rPr>
        <w:t>Process</w:t>
      </w:r>
      <w:r>
        <w:t xml:space="preserve">: </w:t>
      </w:r>
      <w:r w:rsidR="008E7B91">
        <w:t>The following procedural notes are provided in relation to complaints handling:</w:t>
      </w:r>
      <w:r w:rsidR="00011B62">
        <w:rPr>
          <w:rStyle w:val="FootnoteReference"/>
        </w:rPr>
        <w:footnoteReference w:id="89"/>
      </w:r>
      <w:r w:rsidR="008E7B91">
        <w:t xml:space="preserve"> </w:t>
      </w:r>
    </w:p>
    <w:p w14:paraId="7192F13B" w14:textId="64CD6B36" w:rsidR="008E7B91" w:rsidRDefault="008E7B91" w:rsidP="006006C7">
      <w:pPr>
        <w:pStyle w:val="BulletList2Column"/>
      </w:pPr>
      <w:r>
        <w:t xml:space="preserve">In reference to the nature of complaints, </w:t>
      </w:r>
      <w:r w:rsidR="00C6230A">
        <w:t>‘</w:t>
      </w:r>
      <w:r w:rsidRPr="00F72AAB">
        <w:rPr>
          <w:i/>
          <w:iCs/>
        </w:rPr>
        <w:t>A complaint may relate to any one or more possible breaches of the Code of Conduct. In line with the Code of Conduct, a complaint may relate to the conduct of a</w:t>
      </w:r>
      <w:r w:rsidR="0070565F">
        <w:rPr>
          <w:i/>
          <w:iCs/>
        </w:rPr>
        <w:t xml:space="preserve"> </w:t>
      </w:r>
      <w:r w:rsidRPr="00F72AAB">
        <w:rPr>
          <w:i/>
          <w:iCs/>
        </w:rPr>
        <w:t xml:space="preserve">member and/or certified practitioner if the conduct has not occurred in the course of the practice of audiology </w:t>
      </w:r>
      <w:r w:rsidR="00247AF4">
        <w:rPr>
          <w:i/>
          <w:iCs/>
        </w:rPr>
        <w:t xml:space="preserve">or audiometry </w:t>
      </w:r>
      <w:r w:rsidRPr="00F72AAB">
        <w:rPr>
          <w:i/>
          <w:iCs/>
        </w:rPr>
        <w:t>but might otherwise bring the profession</w:t>
      </w:r>
      <w:r w:rsidR="00855C71">
        <w:rPr>
          <w:i/>
          <w:iCs/>
        </w:rPr>
        <w:t>s</w:t>
      </w:r>
      <w:r w:rsidRPr="00F72AAB">
        <w:rPr>
          <w:i/>
          <w:iCs/>
        </w:rPr>
        <w:t xml:space="preserve"> of audiology</w:t>
      </w:r>
      <w:r w:rsidR="00855C71">
        <w:rPr>
          <w:i/>
          <w:iCs/>
        </w:rPr>
        <w:t xml:space="preserve"> and/or audiometry</w:t>
      </w:r>
      <w:r w:rsidRPr="00F72AAB">
        <w:rPr>
          <w:i/>
          <w:iCs/>
        </w:rPr>
        <w:t xml:space="preserve"> into disrepute</w:t>
      </w:r>
      <w:r>
        <w:t>.”</w:t>
      </w:r>
    </w:p>
    <w:p w14:paraId="25B82512" w14:textId="061B4B40" w:rsidR="008E7B91" w:rsidRDefault="008E7B91" w:rsidP="006006C7">
      <w:pPr>
        <w:pStyle w:val="BulletList2Column"/>
      </w:pPr>
      <w:r>
        <w:t xml:space="preserve">As stated on the </w:t>
      </w:r>
      <w:r w:rsidR="00696C8C">
        <w:t xml:space="preserve">HPCCB </w:t>
      </w:r>
      <w:r>
        <w:t xml:space="preserve">website, </w:t>
      </w:r>
      <w:r w:rsidR="00E70DC2">
        <w:t>‘</w:t>
      </w:r>
      <w:r w:rsidRPr="00D94B26">
        <w:rPr>
          <w:i/>
          <w:iCs/>
        </w:rPr>
        <w:t xml:space="preserve">Wherever possible, the Ethics Officer handles complaints informally through dialogue between the complainant, respondent and any other involved parties, with input from the </w:t>
      </w:r>
      <w:r w:rsidR="00A02950">
        <w:rPr>
          <w:i/>
          <w:iCs/>
        </w:rPr>
        <w:t>HPCCB Board</w:t>
      </w:r>
      <w:r w:rsidR="00A02950" w:rsidRPr="00D94B26">
        <w:rPr>
          <w:i/>
          <w:iCs/>
        </w:rPr>
        <w:t xml:space="preserve"> </w:t>
      </w:r>
      <w:r w:rsidRPr="00D94B26">
        <w:rPr>
          <w:i/>
          <w:iCs/>
        </w:rPr>
        <w:t xml:space="preserve">where needed. However, it may be necessary for an </w:t>
      </w:r>
      <w:r w:rsidR="00A02950">
        <w:rPr>
          <w:i/>
          <w:iCs/>
        </w:rPr>
        <w:t>HPCCB</w:t>
      </w:r>
      <w:r w:rsidR="00A02950" w:rsidRPr="00D94B26">
        <w:rPr>
          <w:i/>
          <w:iCs/>
        </w:rPr>
        <w:t xml:space="preserve"> </w:t>
      </w:r>
      <w:r w:rsidRPr="00D94B26">
        <w:rPr>
          <w:i/>
          <w:iCs/>
        </w:rPr>
        <w:t xml:space="preserve">to proceed with mediation or a formal investigation and hearing according to the Complaints Management and Resolution Procedure. The </w:t>
      </w:r>
      <w:r w:rsidR="00CB6323">
        <w:rPr>
          <w:i/>
          <w:iCs/>
        </w:rPr>
        <w:t xml:space="preserve">HPCCB Board </w:t>
      </w:r>
      <w:r w:rsidRPr="00D94B26">
        <w:rPr>
          <w:i/>
          <w:iCs/>
        </w:rPr>
        <w:t xml:space="preserve">may then make recommendations to the relevant </w:t>
      </w:r>
      <w:r w:rsidR="00CB6323">
        <w:rPr>
          <w:i/>
          <w:iCs/>
        </w:rPr>
        <w:t xml:space="preserve">AudA or AcAud inc. HAASA </w:t>
      </w:r>
      <w:r w:rsidRPr="00D94B26">
        <w:rPr>
          <w:i/>
          <w:iCs/>
        </w:rPr>
        <w:t>Board regarding appropriate sanctions</w:t>
      </w:r>
      <w:r>
        <w:t>.</w:t>
      </w:r>
      <w:r w:rsidR="00DC4BC1">
        <w:t>’</w:t>
      </w:r>
      <w:r>
        <w:rPr>
          <w:rStyle w:val="FootnoteReference"/>
        </w:rPr>
        <w:footnoteReference w:id="90"/>
      </w:r>
    </w:p>
    <w:p w14:paraId="1E527973" w14:textId="77777777" w:rsidR="008E7B91" w:rsidRDefault="008E7B91" w:rsidP="006006C7">
      <w:pPr>
        <w:pStyle w:val="BulletList2Column"/>
      </w:pPr>
      <w:r>
        <w:t xml:space="preserve">An Appeals Process is outlined in the </w:t>
      </w:r>
      <w:r w:rsidRPr="00FD705D">
        <w:rPr>
          <w:i/>
          <w:iCs/>
        </w:rPr>
        <w:t>Complaints Procedure</w:t>
      </w:r>
      <w:r>
        <w:t xml:space="preserve">. </w:t>
      </w:r>
    </w:p>
    <w:p w14:paraId="3FF114E1" w14:textId="35C97E7C" w:rsidR="00662120" w:rsidRDefault="00662120" w:rsidP="00662120">
      <w:pPr>
        <w:pStyle w:val="BulletList2Column"/>
      </w:pPr>
      <w:r>
        <w:t xml:space="preserve">The </w:t>
      </w:r>
      <w:r w:rsidR="00EF1AFF">
        <w:t>HPCCB</w:t>
      </w:r>
      <w:r>
        <w:t xml:space="preserve"> has separate statutes of limitation for incidents which occur to a person aged under 18 versus over 18.</w:t>
      </w:r>
    </w:p>
    <w:p w14:paraId="5924BD57" w14:textId="7F3D20EC" w:rsidR="00C12258" w:rsidRDefault="00E300E9" w:rsidP="00E300E9">
      <w:pPr>
        <w:pStyle w:val="ListBullet"/>
      </w:pPr>
      <w:r w:rsidRPr="00E300E9">
        <w:rPr>
          <w:b/>
          <w:bCs/>
        </w:rPr>
        <w:t>Sanctions</w:t>
      </w:r>
      <w:r>
        <w:t xml:space="preserve">: </w:t>
      </w:r>
      <w:r w:rsidR="00C12258">
        <w:t xml:space="preserve">If the Hearing and Investigation Panel and/or any Appeals Panel makes a finding that the respondent has breached any of the principles of the </w:t>
      </w:r>
      <w:r w:rsidR="00C12258" w:rsidRPr="00E300E9">
        <w:rPr>
          <w:i/>
        </w:rPr>
        <w:t>Code of Conduct</w:t>
      </w:r>
      <w:r w:rsidR="00C12258">
        <w:t xml:space="preserve">, the </w:t>
      </w:r>
      <w:r w:rsidR="00453547">
        <w:t>HPCCB Board</w:t>
      </w:r>
      <w:r w:rsidR="00C12258">
        <w:t xml:space="preserve"> may recommend any one or more of the following sanctions:</w:t>
      </w:r>
      <w:r w:rsidR="00453547">
        <w:rPr>
          <w:rStyle w:val="FootnoteReference"/>
        </w:rPr>
        <w:footnoteReference w:id="91"/>
      </w:r>
      <w:r w:rsidR="00C12258">
        <w:t xml:space="preserve"> </w:t>
      </w:r>
    </w:p>
    <w:p w14:paraId="71808E04" w14:textId="77777777" w:rsidR="00C12258" w:rsidRDefault="00C12258" w:rsidP="00C12258">
      <w:pPr>
        <w:pStyle w:val="BulletList2Column"/>
      </w:pPr>
      <w:r>
        <w:t xml:space="preserve">The respondent is formally warned and reprimanded; </w:t>
      </w:r>
    </w:p>
    <w:p w14:paraId="6BD5205E" w14:textId="77777777" w:rsidR="00C12258" w:rsidRDefault="00C12258" w:rsidP="00C12258">
      <w:pPr>
        <w:pStyle w:val="BulletList2Column"/>
      </w:pPr>
      <w:r>
        <w:t xml:space="preserve">The respondent is required to undergo mediation, counselling or further education or training in relation to a particular issue or area; </w:t>
      </w:r>
    </w:p>
    <w:p w14:paraId="6A47AC29" w14:textId="77777777" w:rsidR="00C12258" w:rsidRDefault="00C12258" w:rsidP="00C12258">
      <w:pPr>
        <w:pStyle w:val="BulletList2Column"/>
      </w:pPr>
      <w:r>
        <w:t xml:space="preserve">The respondent is placed on probation for a specified period of time which may include a period of supervised practice and/or a restriction on the practice areas or types of clients the respondent is permitted to provide services to; </w:t>
      </w:r>
    </w:p>
    <w:p w14:paraId="5AA47E07" w14:textId="439F360E" w:rsidR="00C12258" w:rsidRDefault="00C12258" w:rsidP="00C12258">
      <w:pPr>
        <w:pStyle w:val="BulletList2Column"/>
      </w:pPr>
      <w:r>
        <w:t xml:space="preserve">The respondent’s membership and/or practitioner certification is suspended for a specified period of time in accordance with the Constitution of </w:t>
      </w:r>
      <w:r w:rsidR="00DC4794">
        <w:t>AudA and/or AcAud inc. HAASA</w:t>
      </w:r>
      <w:r>
        <w:t xml:space="preserve">; </w:t>
      </w:r>
    </w:p>
    <w:p w14:paraId="7383CA47" w14:textId="3815524C" w:rsidR="00C12258" w:rsidRDefault="00C12258" w:rsidP="00C12258">
      <w:pPr>
        <w:pStyle w:val="BulletList2Column"/>
      </w:pPr>
      <w:r>
        <w:t xml:space="preserve">The respondent’s membership and/or practitioner certification and/or eligibility for membership and/or clinical certification is terminated or cancelled in accordance with the Constitution of </w:t>
      </w:r>
      <w:r w:rsidR="008E31CF">
        <w:t>AudA and/or AcAud inc. HAASA</w:t>
      </w:r>
      <w:r>
        <w:t xml:space="preserve">; or </w:t>
      </w:r>
    </w:p>
    <w:p w14:paraId="21F3E9AD" w14:textId="51D0366F" w:rsidR="00C12258" w:rsidRDefault="00C12258" w:rsidP="00C12258">
      <w:pPr>
        <w:pStyle w:val="BulletList2Column"/>
      </w:pPr>
      <w:r>
        <w:t xml:space="preserve">Another specific sanction or directive approved by the </w:t>
      </w:r>
      <w:r w:rsidR="008E31CF">
        <w:t>AudA and/or AcAud inc. HAASA</w:t>
      </w:r>
      <w:r w:rsidR="008E31CF" w:rsidDel="008E31CF">
        <w:t xml:space="preserve"> </w:t>
      </w:r>
      <w:r>
        <w:t>Board.</w:t>
      </w:r>
    </w:p>
    <w:p w14:paraId="10BFE810" w14:textId="5FF4BD59" w:rsidR="00337759" w:rsidRDefault="00FC2A7C" w:rsidP="00A529E4">
      <w:pPr>
        <w:pStyle w:val="ListBullet"/>
        <w:numPr>
          <w:ilvl w:val="0"/>
          <w:numId w:val="0"/>
        </w:numPr>
        <w:ind w:left="360"/>
      </w:pPr>
      <w:r>
        <w:t>Audiologists are required to hold membership and/or current clinical certification in order to claim for services provided under a range of government funded programs. Hence, a sanction which affects this ability was considered by stakeholders to be financially prohibitive for private sector practi</w:t>
      </w:r>
      <w:r w:rsidR="008630C9">
        <w:t>c</w:t>
      </w:r>
      <w:r>
        <w:t xml:space="preserve">e. </w:t>
      </w:r>
      <w:r w:rsidR="00337759">
        <w:t xml:space="preserve">It is noted that the </w:t>
      </w:r>
      <w:r w:rsidR="008E31CF">
        <w:t xml:space="preserve">HPCCB </w:t>
      </w:r>
      <w:r w:rsidR="00337759">
        <w:t xml:space="preserve">does not have the </w:t>
      </w:r>
      <w:r w:rsidR="00016B86">
        <w:t>power</w:t>
      </w:r>
      <w:r w:rsidR="00337759">
        <w:t xml:space="preserve"> to </w:t>
      </w:r>
      <w:r w:rsidR="00016B86">
        <w:t>prohibit</w:t>
      </w:r>
      <w:r w:rsidR="00337759">
        <w:t xml:space="preserve"> an audiologist from practising their profession</w:t>
      </w:r>
      <w:r w:rsidR="00A9420F">
        <w:t>.</w:t>
      </w:r>
    </w:p>
    <w:p w14:paraId="19C8E01C" w14:textId="2D627801" w:rsidR="00A00F96" w:rsidRPr="00A00F96" w:rsidRDefault="00940F75" w:rsidP="007176F0">
      <w:pPr>
        <w:pStyle w:val="ListBullet"/>
      </w:pPr>
      <w:r w:rsidRPr="007176F0">
        <w:rPr>
          <w:b/>
          <w:bCs/>
        </w:rPr>
        <w:t>Mutual notification</w:t>
      </w:r>
      <w:r w:rsidR="00A529E4">
        <w:rPr>
          <w:b/>
          <w:bCs/>
        </w:rPr>
        <w:t xml:space="preserve">s and </w:t>
      </w:r>
      <w:r w:rsidR="00DF16BA">
        <w:rPr>
          <w:b/>
          <w:bCs/>
        </w:rPr>
        <w:t>publicly available register</w:t>
      </w:r>
      <w:r w:rsidR="00996E8E">
        <w:t xml:space="preserve">: </w:t>
      </w:r>
      <w:r w:rsidR="00876B76">
        <w:t>There is a mutual notification of sanctions arrangement between AudA and AcAud inc. HAASA</w:t>
      </w:r>
      <w:r w:rsidR="00C12258">
        <w:t xml:space="preserve">. The </w:t>
      </w:r>
      <w:r w:rsidR="00B047F7">
        <w:t xml:space="preserve">HPCCB </w:t>
      </w:r>
      <w:r w:rsidR="00C12258">
        <w:t xml:space="preserve">may publish information about a decision made under the Complaints Procedure that results in a sanction </w:t>
      </w:r>
      <w:r w:rsidR="00B047F7">
        <w:t xml:space="preserve">by AudA and/or AcAud inc. HAASA </w:t>
      </w:r>
      <w:r w:rsidR="00C12258">
        <w:t>in the form of probation, suspension, cancellation or termination of membership and/or practitioner certification on their website or elsewhere.</w:t>
      </w:r>
      <w:r w:rsidR="004E77D8">
        <w:t xml:space="preserve"> </w:t>
      </w:r>
    </w:p>
    <w:p w14:paraId="124D310B" w14:textId="4F750DCF" w:rsidR="001B5E57" w:rsidRPr="001B5E57" w:rsidRDefault="006006C7" w:rsidP="001B5E57">
      <w:pPr>
        <w:pStyle w:val="ListBullet"/>
      </w:pPr>
      <w:r w:rsidRPr="006006C7">
        <w:rPr>
          <w:b/>
          <w:bCs/>
        </w:rPr>
        <w:t>External referral of complaints</w:t>
      </w:r>
      <w:r>
        <w:t xml:space="preserve">: </w:t>
      </w:r>
      <w:r w:rsidR="00FF695C">
        <w:t xml:space="preserve">In relation to external referrals of </w:t>
      </w:r>
      <w:r w:rsidR="00C613C5">
        <w:t>complaints</w:t>
      </w:r>
      <w:r w:rsidR="008E7B91">
        <w:t xml:space="preserve">, </w:t>
      </w:r>
      <w:r w:rsidR="006B7FD2">
        <w:t>‘</w:t>
      </w:r>
      <w:r w:rsidR="008E7B91" w:rsidRPr="00950C5B">
        <w:rPr>
          <w:i/>
          <w:iCs/>
        </w:rPr>
        <w:t xml:space="preserve">The Ethics Officer may also refer any complaint regarding </w:t>
      </w:r>
      <w:r w:rsidR="008E7B91" w:rsidRPr="003A0C76">
        <w:rPr>
          <w:i/>
          <w:iCs/>
        </w:rPr>
        <w:t>a</w:t>
      </w:r>
      <w:r w:rsidR="003A0C76" w:rsidRPr="003A0C76">
        <w:rPr>
          <w:i/>
          <w:iCs/>
        </w:rPr>
        <w:t>n</w:t>
      </w:r>
      <w:r w:rsidR="008E7B91" w:rsidRPr="003A0C76">
        <w:rPr>
          <w:i/>
          <w:iCs/>
        </w:rPr>
        <w:t xml:space="preserve"> </w:t>
      </w:r>
      <w:r w:rsidR="003A0C76" w:rsidRPr="007176F0">
        <w:rPr>
          <w:i/>
          <w:iCs/>
        </w:rPr>
        <w:t>AudA and</w:t>
      </w:r>
      <w:r w:rsidR="00095DB0">
        <w:rPr>
          <w:i/>
          <w:iCs/>
        </w:rPr>
        <w:t>/or</w:t>
      </w:r>
      <w:r w:rsidR="003A0C76" w:rsidRPr="007176F0">
        <w:rPr>
          <w:i/>
          <w:iCs/>
        </w:rPr>
        <w:t xml:space="preserve"> AcAud inc. HAASA</w:t>
      </w:r>
      <w:r w:rsidR="003A0C76" w:rsidDel="003A0C76">
        <w:rPr>
          <w:i/>
          <w:iCs/>
        </w:rPr>
        <w:t xml:space="preserve"> </w:t>
      </w:r>
      <w:r w:rsidR="008E7B91" w:rsidRPr="00950C5B">
        <w:rPr>
          <w:i/>
          <w:iCs/>
        </w:rPr>
        <w:t xml:space="preserve">member </w:t>
      </w:r>
      <w:r w:rsidR="00095DB0">
        <w:rPr>
          <w:i/>
          <w:iCs/>
        </w:rPr>
        <w:t>and/</w:t>
      </w:r>
      <w:r w:rsidR="008E7B91" w:rsidRPr="00950C5B">
        <w:rPr>
          <w:i/>
          <w:iCs/>
        </w:rPr>
        <w:t>or certified practitioner, or other hearing healthcare professional raised by a person or of which he or she becomes aware to any agency, health care complaint entity, other professional association or any other regulatory or government body, that has a direct interest in, or jurisdiction over, the matter. If the complaint involves a possible breach of the criminal law, the Ethics Officer may refer it to an appropriate law enforcement body</w:t>
      </w:r>
      <w:r w:rsidR="008E7B91">
        <w:t>.</w:t>
      </w:r>
      <w:r w:rsidR="00C13A75">
        <w:t>’</w:t>
      </w:r>
      <w:r w:rsidR="008E7B91">
        <w:rPr>
          <w:rStyle w:val="FootnoteReference"/>
        </w:rPr>
        <w:footnoteReference w:id="92"/>
      </w:r>
    </w:p>
    <w:p w14:paraId="5647D33D" w14:textId="77777777" w:rsidR="008E7B91" w:rsidRDefault="008E7B91" w:rsidP="00952457">
      <w:pPr>
        <w:pStyle w:val="Heading3"/>
      </w:pPr>
      <w:bookmarkStart w:id="64" w:name="_Ref164271611"/>
      <w:bookmarkStart w:id="65" w:name="_Toc171324733"/>
      <w:bookmarkStart w:id="66" w:name="_Toc198138576"/>
      <w:r>
        <w:t>The National Code of Conduct for Health Care Workers</w:t>
      </w:r>
      <w:bookmarkEnd w:id="64"/>
      <w:bookmarkEnd w:id="65"/>
      <w:bookmarkEnd w:id="66"/>
    </w:p>
    <w:p w14:paraId="65854D03" w14:textId="191267B3" w:rsidR="006B6606" w:rsidRDefault="008E7B91" w:rsidP="006B6606">
      <w:pPr>
        <w:pStyle w:val="BodyText"/>
      </w:pPr>
      <w:r>
        <w:t>The National Code sets a minimum standard of conduct for public and private health care sector workers providing a health service</w:t>
      </w:r>
      <w:r w:rsidRPr="003921F5">
        <w:t>.</w:t>
      </w:r>
      <w:r w:rsidRPr="003921F5">
        <w:rPr>
          <w:rStyle w:val="FootnoteReference"/>
        </w:rPr>
        <w:footnoteReference w:id="93"/>
      </w:r>
      <w:r>
        <w:t xml:space="preserve"> It has been enacted in six of Australia’s eight jurisdictions (see </w:t>
      </w:r>
      <w:r w:rsidR="00D7681B">
        <w:fldChar w:fldCharType="begin"/>
      </w:r>
      <w:r w:rsidR="00D7681B">
        <w:instrText xml:space="preserve"> REF _Ref172042084 \h </w:instrText>
      </w:r>
      <w:r w:rsidR="00D7681B">
        <w:fldChar w:fldCharType="separate"/>
      </w:r>
      <w:r w:rsidR="00F32107">
        <w:t xml:space="preserve">Figure </w:t>
      </w:r>
      <w:r w:rsidR="00F32107">
        <w:rPr>
          <w:noProof/>
        </w:rPr>
        <w:t>2</w:t>
      </w:r>
      <w:r w:rsidR="00F32107">
        <w:t>.</w:t>
      </w:r>
      <w:r w:rsidR="00F32107">
        <w:rPr>
          <w:noProof/>
        </w:rPr>
        <w:t>1</w:t>
      </w:r>
      <w:r w:rsidR="00D7681B">
        <w:fldChar w:fldCharType="end"/>
      </w:r>
      <w:r>
        <w:t>), and audiologists are subject to regulation under this mechanism.</w:t>
      </w:r>
      <w:bookmarkStart w:id="67" w:name="_Ref171192322"/>
    </w:p>
    <w:p w14:paraId="22D6120B" w14:textId="4A816449" w:rsidR="006B6606" w:rsidRDefault="00D7681B" w:rsidP="00D7681B">
      <w:pPr>
        <w:pStyle w:val="Caption"/>
        <w:keepNext/>
      </w:pPr>
      <w:bookmarkStart w:id="68" w:name="_Ref172042084"/>
      <w:bookmarkEnd w:id="67"/>
      <w:r>
        <w:t xml:space="preserve">Figure </w:t>
      </w:r>
      <w:fldSimple w:instr=" STYLEREF 1 \s ">
        <w:r w:rsidR="00F32107">
          <w:rPr>
            <w:noProof/>
          </w:rPr>
          <w:t>2</w:t>
        </w:r>
      </w:fldSimple>
      <w:r w:rsidR="00222D06">
        <w:t>.</w:t>
      </w:r>
      <w:fldSimple w:instr=" SEQ Figure \* ARABIC \s 1 ">
        <w:r w:rsidR="00F32107">
          <w:rPr>
            <w:noProof/>
          </w:rPr>
          <w:t>1</w:t>
        </w:r>
      </w:fldSimple>
      <w:bookmarkEnd w:id="68"/>
      <w:r>
        <w:t xml:space="preserve"> </w:t>
      </w:r>
      <w:r w:rsidR="006B6606">
        <w:t>Jurisdictions which have enacted National Code regulation</w:t>
      </w:r>
    </w:p>
    <w:p w14:paraId="215F76F1" w14:textId="77777777" w:rsidR="008E7B91" w:rsidRDefault="008E7B91" w:rsidP="008E7B91">
      <w:pPr>
        <w:keepNext/>
      </w:pPr>
      <w:r>
        <w:rPr>
          <w:noProof/>
          <w:lang w:val="en-AU" w:eastAsia="en-AU"/>
        </w:rPr>
        <w:drawing>
          <wp:inline distT="0" distB="0" distL="0" distR="0" wp14:anchorId="3E8B422B" wp14:editId="7F762E27">
            <wp:extent cx="5954406" cy="279440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1941" cy="2816714"/>
                    </a:xfrm>
                    <a:prstGeom prst="rect">
                      <a:avLst/>
                    </a:prstGeom>
                    <a:noFill/>
                  </pic:spPr>
                </pic:pic>
              </a:graphicData>
            </a:graphic>
          </wp:inline>
        </w:drawing>
      </w:r>
    </w:p>
    <w:p w14:paraId="76C12498" w14:textId="2E93C9AC" w:rsidR="008E7B91" w:rsidRPr="00A34041" w:rsidRDefault="008E7B91" w:rsidP="00FE3CA7">
      <w:pPr>
        <w:pStyle w:val="BodyText"/>
      </w:pPr>
      <w:r>
        <w:t xml:space="preserve">For jurisdictions with the National Code enacted, their health complaints entity (HCE) is able to issue Interim Prohibition Orders and Prohibition Orders against audiologists if they believe that there has been a breach to the code, and there is a serious risk to the public. </w:t>
      </w:r>
      <w:r w:rsidR="003C6B65">
        <w:t>These o</w:t>
      </w:r>
      <w:r>
        <w:t xml:space="preserve">rders prohibit the delivery of part or all of a health service for the period specified, including permanently. There is mutual recognition of orders made in other </w:t>
      </w:r>
      <w:r w:rsidR="00647432">
        <w:t xml:space="preserve">states and territories, however </w:t>
      </w:r>
      <w:r w:rsidR="009140C6">
        <w:t>members of the public and employers are required to search individual jurisdictional websites</w:t>
      </w:r>
      <w:r w:rsidR="009C2BFA">
        <w:t xml:space="preserve"> to </w:t>
      </w:r>
      <w:r w:rsidR="00856149">
        <w:t>obtain this information.</w:t>
      </w:r>
    </w:p>
    <w:p w14:paraId="6AA5D8A5" w14:textId="3BFB5277" w:rsidR="008E7B91" w:rsidRDefault="008E7B91" w:rsidP="00952457">
      <w:pPr>
        <w:pStyle w:val="Heading3"/>
      </w:pPr>
      <w:bookmarkStart w:id="69" w:name="_Ref167710190"/>
      <w:bookmarkStart w:id="70" w:name="_Toc171324734"/>
      <w:bookmarkStart w:id="71" w:name="_Toc198138577"/>
      <w:r>
        <w:t xml:space="preserve">The National </w:t>
      </w:r>
      <w:bookmarkEnd w:id="69"/>
      <w:bookmarkEnd w:id="70"/>
      <w:r w:rsidR="00F72637">
        <w:t>Scheme</w:t>
      </w:r>
      <w:bookmarkEnd w:id="71"/>
    </w:p>
    <w:p w14:paraId="53D04770" w14:textId="43457657" w:rsidR="00F72637" w:rsidRPr="00F72637" w:rsidRDefault="00957D2F" w:rsidP="00F72637">
      <w:pPr>
        <w:pStyle w:val="BodyText"/>
        <w:rPr>
          <w:lang w:eastAsia="en-AU"/>
        </w:rPr>
      </w:pPr>
      <w:r>
        <w:rPr>
          <w:lang w:eastAsia="en-AU"/>
        </w:rPr>
        <w:t xml:space="preserve">As stated in Section </w:t>
      </w:r>
      <w:r w:rsidR="00D62565">
        <w:rPr>
          <w:lang w:eastAsia="en-AU"/>
        </w:rPr>
        <w:fldChar w:fldCharType="begin"/>
      </w:r>
      <w:r w:rsidR="00D62565">
        <w:rPr>
          <w:lang w:eastAsia="en-AU"/>
        </w:rPr>
        <w:instrText xml:space="preserve"> REF _Ref172403415 \r \h </w:instrText>
      </w:r>
      <w:r w:rsidR="00D62565">
        <w:rPr>
          <w:lang w:eastAsia="en-AU"/>
        </w:rPr>
      </w:r>
      <w:r w:rsidR="00D62565">
        <w:rPr>
          <w:lang w:eastAsia="en-AU"/>
        </w:rPr>
        <w:fldChar w:fldCharType="separate"/>
      </w:r>
      <w:r w:rsidR="00F32107">
        <w:rPr>
          <w:lang w:eastAsia="en-AU"/>
        </w:rPr>
        <w:t>1.2.2.1</w:t>
      </w:r>
      <w:r w:rsidR="00D62565">
        <w:rPr>
          <w:lang w:eastAsia="en-AU"/>
        </w:rPr>
        <w:fldChar w:fldCharType="end"/>
      </w:r>
      <w:r>
        <w:rPr>
          <w:lang w:eastAsia="en-AU"/>
        </w:rPr>
        <w:t xml:space="preserve">, the audiology profession is not currently included in the National Scheme. </w:t>
      </w:r>
      <w:r w:rsidR="00F72637">
        <w:rPr>
          <w:lang w:eastAsia="en-AU"/>
        </w:rPr>
        <w:t xml:space="preserve">One of the options under consideration in this Decision RIS is for the audiology profession to be included in the National Scheme. </w:t>
      </w:r>
      <w:r w:rsidR="00D62565">
        <w:rPr>
          <w:lang w:eastAsia="en-AU"/>
        </w:rPr>
        <w:t xml:space="preserve">The following contextual information is provided below in relation to the </w:t>
      </w:r>
      <w:r w:rsidR="00A674E0">
        <w:rPr>
          <w:lang w:eastAsia="en-AU"/>
        </w:rPr>
        <w:t>National Law and the National Scheme.</w:t>
      </w:r>
    </w:p>
    <w:p w14:paraId="777534D7" w14:textId="3BCCB47E" w:rsidR="008E7B91" w:rsidRDefault="008E7B91" w:rsidP="00FE3CA7">
      <w:pPr>
        <w:pStyle w:val="BodyText"/>
      </w:pPr>
      <w:r>
        <w:t xml:space="preserve">The National Law is a nationally consistent law passed in each </w:t>
      </w:r>
      <w:r w:rsidR="00D55509">
        <w:t>State and Territory</w:t>
      </w:r>
      <w:r>
        <w:t xml:space="preserve">: </w:t>
      </w:r>
    </w:p>
    <w:p w14:paraId="66790275" w14:textId="77777777" w:rsidR="008E7B91" w:rsidRPr="00FE3CA7" w:rsidRDefault="008E7B91" w:rsidP="00FE3CA7">
      <w:pPr>
        <w:pStyle w:val="ListBullet"/>
        <w:rPr>
          <w:i/>
          <w:iCs/>
        </w:rPr>
      </w:pPr>
      <w:r>
        <w:t xml:space="preserve">National: </w:t>
      </w:r>
      <w:r w:rsidRPr="00FE3CA7">
        <w:rPr>
          <w:i/>
          <w:iCs/>
        </w:rPr>
        <w:t>Health Practitioner Regulation National Law Act 2009</w:t>
      </w:r>
    </w:p>
    <w:p w14:paraId="4B602123" w14:textId="77777777" w:rsidR="008E7B91" w:rsidRDefault="008E7B91" w:rsidP="00FE3CA7">
      <w:pPr>
        <w:pStyle w:val="ListBullet"/>
      </w:pPr>
      <w:r>
        <w:t xml:space="preserve">Queensland: </w:t>
      </w:r>
      <w:r w:rsidRPr="00FE3CA7">
        <w:rPr>
          <w:i/>
          <w:iCs/>
        </w:rPr>
        <w:t>Health Practitioner Regulation National Law (Queensland) Health Ombudsman Act 2013</w:t>
      </w:r>
    </w:p>
    <w:p w14:paraId="41E4255D" w14:textId="77777777" w:rsidR="008E7B91" w:rsidRPr="00FE3CA7" w:rsidRDefault="008E7B91" w:rsidP="00FE3CA7">
      <w:pPr>
        <w:pStyle w:val="ListBullet"/>
        <w:rPr>
          <w:i/>
          <w:iCs/>
        </w:rPr>
      </w:pPr>
      <w:r>
        <w:t xml:space="preserve">New South Wales: </w:t>
      </w:r>
      <w:r w:rsidRPr="00FE3CA7">
        <w:rPr>
          <w:i/>
          <w:iCs/>
        </w:rPr>
        <w:t>Health Practitioner Regulation National Law (NSW) No 86a</w:t>
      </w:r>
    </w:p>
    <w:p w14:paraId="687A3EF8" w14:textId="77777777" w:rsidR="008E7B91" w:rsidRDefault="008E7B91" w:rsidP="00FE3CA7">
      <w:pPr>
        <w:pStyle w:val="ListBullet"/>
      </w:pPr>
      <w:r>
        <w:t xml:space="preserve">Australian Capital Territory: </w:t>
      </w:r>
      <w:r w:rsidRPr="00FE3CA7">
        <w:rPr>
          <w:i/>
          <w:iCs/>
        </w:rPr>
        <w:t>Health Practitioner Regulation National Law (ACT) Act 2010</w:t>
      </w:r>
    </w:p>
    <w:p w14:paraId="34CE964C" w14:textId="77777777" w:rsidR="008E7B91" w:rsidRPr="00BA76A5" w:rsidRDefault="008E7B91" w:rsidP="00FE3CA7">
      <w:pPr>
        <w:pStyle w:val="ListBullet"/>
      </w:pPr>
      <w:r>
        <w:t xml:space="preserve">Victoria: </w:t>
      </w:r>
      <w:r w:rsidRPr="00FE3CA7">
        <w:rPr>
          <w:i/>
          <w:iCs/>
        </w:rPr>
        <w:t>Health Practitioner Regulation National Law (Victoria) Act 2009</w:t>
      </w:r>
    </w:p>
    <w:p w14:paraId="7468B228" w14:textId="77777777" w:rsidR="008E7B91" w:rsidRDefault="008E7B91" w:rsidP="00FE3CA7">
      <w:pPr>
        <w:pStyle w:val="ListBullet"/>
      </w:pPr>
      <w:r>
        <w:t xml:space="preserve">Tasmania: </w:t>
      </w:r>
      <w:r w:rsidRPr="00FE3CA7">
        <w:rPr>
          <w:i/>
          <w:iCs/>
        </w:rPr>
        <w:t>Health Practitioner Regulation National Law (Tasmania) Act 2010</w:t>
      </w:r>
    </w:p>
    <w:p w14:paraId="6F878C7C" w14:textId="77777777" w:rsidR="008E7B91" w:rsidRPr="00FE3CA7" w:rsidRDefault="008E7B91" w:rsidP="00FE3CA7">
      <w:pPr>
        <w:pStyle w:val="ListBullet"/>
        <w:rPr>
          <w:i/>
          <w:iCs/>
        </w:rPr>
      </w:pPr>
      <w:r>
        <w:t xml:space="preserve">South Australia: </w:t>
      </w:r>
      <w:r w:rsidRPr="00FE3CA7">
        <w:rPr>
          <w:i/>
          <w:iCs/>
        </w:rPr>
        <w:t>Health Practitioner Regulation National Law (South Australia) Act 2010</w:t>
      </w:r>
    </w:p>
    <w:p w14:paraId="3E2556E0" w14:textId="77777777" w:rsidR="008E7B91" w:rsidRDefault="008E7B91" w:rsidP="00FE3CA7">
      <w:pPr>
        <w:pStyle w:val="ListBullet"/>
      </w:pPr>
      <w:r>
        <w:t xml:space="preserve">Western Australia: </w:t>
      </w:r>
      <w:r w:rsidRPr="00FE3CA7">
        <w:rPr>
          <w:i/>
          <w:iCs/>
        </w:rPr>
        <w:t>Health Practitioner Regulation National Law (WA) Act 2010</w:t>
      </w:r>
    </w:p>
    <w:p w14:paraId="3982A385" w14:textId="77777777" w:rsidR="008E7B91" w:rsidRPr="00F03EFA" w:rsidRDefault="008E7B91" w:rsidP="00FE3CA7">
      <w:pPr>
        <w:pStyle w:val="ListBullet"/>
      </w:pPr>
      <w:r>
        <w:t xml:space="preserve">Northern Territory: </w:t>
      </w:r>
      <w:r w:rsidRPr="00FE3CA7">
        <w:rPr>
          <w:i/>
          <w:iCs/>
        </w:rPr>
        <w:t>Health Practitioner Regulation (National Uniform Legislation) Act 2010</w:t>
      </w:r>
    </w:p>
    <w:p w14:paraId="63C7FE7B" w14:textId="6D0CF555" w:rsidR="008E7B91" w:rsidRDefault="008E7B91" w:rsidP="001D5D24">
      <w:pPr>
        <w:pStyle w:val="BodyText"/>
      </w:pPr>
      <w:r>
        <w:t xml:space="preserve">The goal of the National Law was to create a National Registration and Accreditation Scheme for health practitioners practising in specified health </w:t>
      </w:r>
      <w:r w:rsidRPr="007A06C8">
        <w:t>professions.</w:t>
      </w:r>
      <w:r>
        <w:t xml:space="preserve"> Health professions that are included in the </w:t>
      </w:r>
      <w:r w:rsidR="00963542">
        <w:t>National Scheme</w:t>
      </w:r>
      <w:r>
        <w:t xml:space="preserve"> are commonly referred to as ‘registered’ health professions, whereas health professions that are not included in the </w:t>
      </w:r>
      <w:r w:rsidR="00963542">
        <w:t>National Scheme</w:t>
      </w:r>
      <w:r>
        <w:t xml:space="preserve"> are referred to as ‘unregistered’ health </w:t>
      </w:r>
      <w:r w:rsidR="007E6FF3">
        <w:t>professions. The</w:t>
      </w:r>
      <w:r>
        <w:t xml:space="preserve"> National Law establishes:</w:t>
      </w:r>
    </w:p>
    <w:p w14:paraId="0A7A945F" w14:textId="252CA355" w:rsidR="008E7B91" w:rsidRDefault="008E7B91" w:rsidP="001D5D24">
      <w:pPr>
        <w:pStyle w:val="ListBullet"/>
      </w:pPr>
      <w:r>
        <w:t>the Australian Health Practitioner Regulation Agency (</w:t>
      </w:r>
      <w:r w:rsidR="001358EA">
        <w:t>Ahpra</w:t>
      </w:r>
      <w:r>
        <w:t>)</w:t>
      </w:r>
    </w:p>
    <w:p w14:paraId="1B9AB244" w14:textId="33BF7F93" w:rsidR="008E7B91" w:rsidRDefault="008E7B91" w:rsidP="001D5D24">
      <w:pPr>
        <w:pStyle w:val="ListBullet"/>
      </w:pPr>
      <w:r>
        <w:t xml:space="preserve">a framework for the National Health Practitioner Boards (hereafter, the National Boards) for each health profession included in the </w:t>
      </w:r>
      <w:r w:rsidR="00963542">
        <w:t>National Scheme</w:t>
      </w:r>
      <w:r>
        <w:t xml:space="preserve"> </w:t>
      </w:r>
    </w:p>
    <w:p w14:paraId="18B5A58F" w14:textId="77777777" w:rsidR="008E7B91" w:rsidRDefault="008E7B91" w:rsidP="001D5D24">
      <w:pPr>
        <w:pStyle w:val="ListBullet"/>
      </w:pPr>
      <w:r>
        <w:t>the role of the Ombudsman and Commissioner.</w:t>
      </w:r>
    </w:p>
    <w:p w14:paraId="0B9D2409" w14:textId="3C82CB9F" w:rsidR="008E7B91" w:rsidRPr="00552EAC" w:rsidRDefault="008E7B91" w:rsidP="00952457">
      <w:pPr>
        <w:pStyle w:val="Heading4"/>
      </w:pPr>
      <w:r>
        <w:t>Australian Health Practitioner Regulation Agency (</w:t>
      </w:r>
      <w:r w:rsidR="001358EA">
        <w:t>Ahpra</w:t>
      </w:r>
      <w:r>
        <w:t>)</w:t>
      </w:r>
    </w:p>
    <w:p w14:paraId="267C32E1" w14:textId="6EFD5567" w:rsidR="008E7B91" w:rsidRDefault="001358EA" w:rsidP="001D5D24">
      <w:pPr>
        <w:pStyle w:val="BodyText"/>
      </w:pPr>
      <w:r>
        <w:t>Ahpra</w:t>
      </w:r>
      <w:r w:rsidR="008E7B91">
        <w:t>’s primary function is to provide administrative support and assistance to the National Boards and the National Board’s committees in the exercise of their functions.</w:t>
      </w:r>
      <w:r w:rsidR="008E7B91">
        <w:rPr>
          <w:rStyle w:val="FootnoteReference"/>
        </w:rPr>
        <w:footnoteReference w:id="94"/>
      </w:r>
      <w:r w:rsidR="008E7B91">
        <w:t xml:space="preserve"> The core regulatory functions of </w:t>
      </w:r>
      <w:r>
        <w:t>Ahpra</w:t>
      </w:r>
      <w:r w:rsidR="008E7B91">
        <w:t xml:space="preserve"> include:</w:t>
      </w:r>
      <w:r w:rsidR="008E7B91">
        <w:rPr>
          <w:rStyle w:val="FootnoteReference"/>
        </w:rPr>
        <w:footnoteReference w:id="95"/>
      </w:r>
    </w:p>
    <w:p w14:paraId="05B8B1C4" w14:textId="07C23A85" w:rsidR="008E7B91" w:rsidRDefault="008E7B91" w:rsidP="001D5D24">
      <w:pPr>
        <w:pStyle w:val="ListBullet"/>
      </w:pPr>
      <w:r w:rsidRPr="004707F7">
        <w:rPr>
          <w:b/>
          <w:bCs/>
        </w:rPr>
        <w:t>Professional standards</w:t>
      </w:r>
      <w:r>
        <w:t xml:space="preserve">: </w:t>
      </w:r>
      <w:r w:rsidR="001358EA">
        <w:t>Ahpra</w:t>
      </w:r>
      <w:r>
        <w:t xml:space="preserve"> provides advice to the National Boards for each profession about registration standards, codes and guidelines for health practitioners.</w:t>
      </w:r>
    </w:p>
    <w:p w14:paraId="19885F62" w14:textId="1322E30E" w:rsidR="008E7B91" w:rsidRDefault="008E7B91" w:rsidP="001D5D24">
      <w:pPr>
        <w:pStyle w:val="ListBullet"/>
      </w:pPr>
      <w:r w:rsidRPr="004707F7">
        <w:rPr>
          <w:b/>
          <w:bCs/>
        </w:rPr>
        <w:t>Registration</w:t>
      </w:r>
      <w:r>
        <w:t xml:space="preserve">: In partnership with National Boards, </w:t>
      </w:r>
      <w:r w:rsidR="001358EA">
        <w:t>Ahpra</w:t>
      </w:r>
      <w:r>
        <w:t xml:space="preserve"> ensures that only health practitioners with skills and qualifications to provide competent and ethical care are registered to practise. In addition, </w:t>
      </w:r>
      <w:r w:rsidR="001358EA">
        <w:t>Ahpra</w:t>
      </w:r>
      <w:r>
        <w:t xml:space="preserve"> </w:t>
      </w:r>
      <w:r w:rsidRPr="00866EC8">
        <w:t>manage</w:t>
      </w:r>
      <w:r>
        <w:t>s</w:t>
      </w:r>
      <w:r w:rsidRPr="00866EC8">
        <w:t xml:space="preserve"> registration and renewal processes for local and overseas qualified health practitioners and manage student registration.</w:t>
      </w:r>
    </w:p>
    <w:p w14:paraId="1FBFE867" w14:textId="1E83E9CD" w:rsidR="008E7B91" w:rsidRDefault="008E7B91" w:rsidP="001D5D24">
      <w:pPr>
        <w:pStyle w:val="ListBullet"/>
      </w:pPr>
      <w:r w:rsidRPr="004707F7">
        <w:rPr>
          <w:b/>
          <w:bCs/>
        </w:rPr>
        <w:t>Notifications</w:t>
      </w:r>
      <w:r>
        <w:t xml:space="preserve">: </w:t>
      </w:r>
      <w:r w:rsidR="001358EA">
        <w:t>Ahpra</w:t>
      </w:r>
      <w:r>
        <w:t xml:space="preserve"> manages concerns and complaints raised about individual health practitioners in relation to their health, performance and conduct on behalf of the National Boards, except in Queensland and New South Wales where </w:t>
      </w:r>
      <w:r w:rsidR="001358EA">
        <w:t>Ahpra</w:t>
      </w:r>
      <w:r>
        <w:t xml:space="preserve"> manages only notifications referred to </w:t>
      </w:r>
      <w:r w:rsidR="001358EA">
        <w:t>Ahpra</w:t>
      </w:r>
      <w:r>
        <w:t xml:space="preserve">. </w:t>
      </w:r>
      <w:r w:rsidR="001358EA">
        <w:t>Ahpra</w:t>
      </w:r>
      <w:r>
        <w:t xml:space="preserve"> works with jurisdictional HCEs to have community concerns about health practitioners managed by the appropriate organisation.</w:t>
      </w:r>
    </w:p>
    <w:p w14:paraId="20437AEE" w14:textId="45AD2EEB" w:rsidR="008E7B91" w:rsidRDefault="008E7B91" w:rsidP="001D5D24">
      <w:pPr>
        <w:pStyle w:val="ListBullet"/>
      </w:pPr>
      <w:r>
        <w:rPr>
          <w:b/>
          <w:bCs/>
        </w:rPr>
        <w:t>Compliance</w:t>
      </w:r>
      <w:r w:rsidRPr="00776BB8">
        <w:t>:</w:t>
      </w:r>
      <w:r>
        <w:t xml:space="preserve"> </w:t>
      </w:r>
      <w:r w:rsidR="001358EA">
        <w:t>Ahpra</w:t>
      </w:r>
      <w:r>
        <w:t xml:space="preserve"> performs monitoring and audit activities to ensure that registered health practitioners are complying with Board requirements. </w:t>
      </w:r>
    </w:p>
    <w:p w14:paraId="57CFC930" w14:textId="1FEDD839" w:rsidR="008E7B91" w:rsidRDefault="008E7B91" w:rsidP="001D5D24">
      <w:pPr>
        <w:pStyle w:val="ListBullet"/>
      </w:pPr>
      <w:r>
        <w:rPr>
          <w:b/>
          <w:bCs/>
        </w:rPr>
        <w:t>Accreditation</w:t>
      </w:r>
      <w:r w:rsidRPr="002C310F">
        <w:t>:</w:t>
      </w:r>
      <w:r>
        <w:t xml:space="preserve"> </w:t>
      </w:r>
      <w:r w:rsidR="001358EA">
        <w:t>Ahpra</w:t>
      </w:r>
      <w:r>
        <w:t xml:space="preserve"> works with accreditation authorities and committees to ensure graduating students are suitably qualified and skilled to apply to register as a health practitioner.</w:t>
      </w:r>
    </w:p>
    <w:p w14:paraId="59661046" w14:textId="77777777" w:rsidR="008E7B91" w:rsidRDefault="008E7B91" w:rsidP="00952457">
      <w:pPr>
        <w:pStyle w:val="Heading4"/>
      </w:pPr>
      <w:r w:rsidRPr="006B344F">
        <w:t xml:space="preserve">National </w:t>
      </w:r>
      <w:r w:rsidRPr="001D5D24">
        <w:t>Boards</w:t>
      </w:r>
    </w:p>
    <w:p w14:paraId="3B8B4577" w14:textId="77777777" w:rsidR="008E7B91" w:rsidRDefault="008E7B91" w:rsidP="001D5D24">
      <w:pPr>
        <w:pStyle w:val="BodyText"/>
      </w:pPr>
      <w:r>
        <w:t>Each National Board administers the National Law for their profession, with a primary function of the protection of the public. Their role includes:</w:t>
      </w:r>
    </w:p>
    <w:p w14:paraId="68F4BF9E" w14:textId="77777777" w:rsidR="008E7B91" w:rsidRDefault="008E7B91" w:rsidP="001D5D24">
      <w:pPr>
        <w:pStyle w:val="ListBullet"/>
      </w:pPr>
      <w:r>
        <w:rPr>
          <w:b/>
          <w:bCs/>
        </w:rPr>
        <w:t>Registration Standards</w:t>
      </w:r>
      <w:r>
        <w:t>: The National Board sets registration standards that practitioners must meet in order to register.</w:t>
      </w:r>
    </w:p>
    <w:p w14:paraId="106804FD" w14:textId="77777777" w:rsidR="008E7B91" w:rsidRDefault="008E7B91" w:rsidP="001D5D24">
      <w:pPr>
        <w:pStyle w:val="ListBullet"/>
      </w:pPr>
      <w:r>
        <w:rPr>
          <w:b/>
          <w:bCs/>
        </w:rPr>
        <w:t xml:space="preserve">Accreditation Standards: </w:t>
      </w:r>
      <w:r w:rsidRPr="009C1262">
        <w:t>The National Board approves accreditation standards and accredited courses</w:t>
      </w:r>
      <w:r>
        <w:t xml:space="preserve"> as providing qualifications for registration. It also determines if a practitioner with overseas qualifications qualifies for registration. The National Board also decides on an accreditation authority (either a committee or external entity) which performs roles including developing accreditation standards and assessing programs of study.</w:t>
      </w:r>
      <w:r>
        <w:rPr>
          <w:rStyle w:val="FootnoteReference"/>
        </w:rPr>
        <w:footnoteReference w:id="96"/>
      </w:r>
    </w:p>
    <w:p w14:paraId="019429AB" w14:textId="6EA2B52F" w:rsidR="008E7B91" w:rsidRDefault="008E7B91" w:rsidP="001D5D24">
      <w:pPr>
        <w:pStyle w:val="ListBullet"/>
      </w:pPr>
      <w:r>
        <w:rPr>
          <w:b/>
          <w:bCs/>
        </w:rPr>
        <w:t>Regulatory Processes including Complaints Management:</w:t>
      </w:r>
      <w:r>
        <w:t xml:space="preserve"> The National Board is involved in regulatory processes including the conduction of hearing panels and referring relevant matters to tribunals.</w:t>
      </w:r>
      <w:r>
        <w:rPr>
          <w:rStyle w:val="FootnoteReference"/>
        </w:rPr>
        <w:footnoteReference w:id="97"/>
      </w:r>
      <w:r>
        <w:t xml:space="preserve"> See Section </w:t>
      </w:r>
      <w:r>
        <w:fldChar w:fldCharType="begin"/>
      </w:r>
      <w:r>
        <w:instrText xml:space="preserve"> REF _Ref167799573 \r \h </w:instrText>
      </w:r>
      <w:r w:rsidR="001D5D24">
        <w:instrText xml:space="preserve"> \* MERGEFORMAT </w:instrText>
      </w:r>
      <w:r>
        <w:fldChar w:fldCharType="separate"/>
      </w:r>
      <w:r w:rsidR="00F32107">
        <w:t>2.4.3.4</w:t>
      </w:r>
      <w:r>
        <w:fldChar w:fldCharType="end"/>
      </w:r>
      <w:r>
        <w:t>.</w:t>
      </w:r>
    </w:p>
    <w:p w14:paraId="2C0F2ABD" w14:textId="1C9EF650" w:rsidR="008E7B91" w:rsidRDefault="008E7B91" w:rsidP="00D7681B">
      <w:pPr>
        <w:pStyle w:val="BodyText"/>
      </w:pPr>
      <w:r>
        <w:t xml:space="preserve">The National Boards can delegate certain decision-making powers to </w:t>
      </w:r>
      <w:r w:rsidR="00D55509">
        <w:t>State and Territory</w:t>
      </w:r>
      <w:r>
        <w:t xml:space="preserve"> Boards, national committees or to </w:t>
      </w:r>
      <w:r w:rsidR="001358EA">
        <w:t>Ahpra</w:t>
      </w:r>
      <w:r>
        <w:t>.</w:t>
      </w:r>
      <w:r>
        <w:rPr>
          <w:rStyle w:val="FootnoteReference"/>
        </w:rPr>
        <w:footnoteReference w:id="98"/>
      </w:r>
    </w:p>
    <w:p w14:paraId="5E437297" w14:textId="6652537C" w:rsidR="00B73DC3" w:rsidRPr="00B73DC3" w:rsidRDefault="00F67B35" w:rsidP="00F67B35">
      <w:pPr>
        <w:pStyle w:val="Heading4"/>
      </w:pPr>
      <w:r>
        <w:t xml:space="preserve">Area of </w:t>
      </w:r>
      <w:r w:rsidR="000B27F8">
        <w:t>p</w:t>
      </w:r>
      <w:r>
        <w:t xml:space="preserve">ractice </w:t>
      </w:r>
      <w:r w:rsidR="000B27F8">
        <w:t>e</w:t>
      </w:r>
      <w:r>
        <w:t>ndorsements and specialist registration</w:t>
      </w:r>
    </w:p>
    <w:p w14:paraId="08BA8A33" w14:textId="30691208" w:rsidR="00A8575F" w:rsidRDefault="0073761D" w:rsidP="00A8575F">
      <w:pPr>
        <w:pStyle w:val="BodyText"/>
      </w:pPr>
      <w:r>
        <w:t xml:space="preserve">Area of practice endorsements (AoPE) and </w:t>
      </w:r>
      <w:r w:rsidR="00626CBD">
        <w:t>specialist registration are mechanisms</w:t>
      </w:r>
      <w:r w:rsidR="007C5C8D">
        <w:t xml:space="preserve"> available</w:t>
      </w:r>
      <w:r w:rsidR="00626CBD">
        <w:t xml:space="preserve"> under the National Law to identify practitioners that have undertaken additional qualifications.</w:t>
      </w:r>
      <w:r w:rsidR="001D63DA">
        <w:t xml:space="preserve"> </w:t>
      </w:r>
      <w:r w:rsidR="00324347">
        <w:t>The Ministerial Council is responsible for approving specialties</w:t>
      </w:r>
      <w:r w:rsidR="007D0F33">
        <w:t xml:space="preserve"> and</w:t>
      </w:r>
      <w:r w:rsidR="00324347">
        <w:t xml:space="preserve"> protected specialist titles</w:t>
      </w:r>
      <w:r w:rsidR="007D0F33">
        <w:t>,</w:t>
      </w:r>
      <w:r w:rsidR="00324347">
        <w:t xml:space="preserve"> </w:t>
      </w:r>
      <w:r w:rsidR="007D0F33">
        <w:t>or for</w:t>
      </w:r>
      <w:r w:rsidR="007023EA">
        <w:t xml:space="preserve"> approving areas of practice for endorsement</w:t>
      </w:r>
      <w:r w:rsidR="007D0F33">
        <w:t xml:space="preserve">. </w:t>
      </w:r>
      <w:r w:rsidR="00357722">
        <w:t xml:space="preserve">Commonly, a National Board will develop a registration standard </w:t>
      </w:r>
      <w:r w:rsidR="00ED2BF9">
        <w:t>fo</w:t>
      </w:r>
      <w:r w:rsidR="003E418C">
        <w:t>r AoPE</w:t>
      </w:r>
      <w:r w:rsidR="001770BB">
        <w:t>s</w:t>
      </w:r>
      <w:r w:rsidR="003E418C">
        <w:t xml:space="preserve"> </w:t>
      </w:r>
      <w:r w:rsidR="00470639">
        <w:t>or specialist registration that is submitted for Ministerial approval</w:t>
      </w:r>
      <w:r w:rsidR="00AD7BE6">
        <w:t xml:space="preserve">. Hence, these mechanisms require time to consult and develop </w:t>
      </w:r>
      <w:r w:rsidR="00945DC9">
        <w:t>a proposal for recommendation</w:t>
      </w:r>
      <w:r w:rsidR="006F4FDF">
        <w:t>. Differences between AoPE and specialist registration are summarised below.</w:t>
      </w:r>
      <w:r w:rsidR="001770BB">
        <w:rPr>
          <w:rStyle w:val="FootnoteReference"/>
        </w:rPr>
        <w:footnoteReference w:id="99"/>
      </w:r>
    </w:p>
    <w:p w14:paraId="63A2815E" w14:textId="50D41C15" w:rsidR="00064540" w:rsidRDefault="006F4FDF" w:rsidP="00064540">
      <w:pPr>
        <w:pStyle w:val="ListBullet"/>
      </w:pPr>
      <w:r>
        <w:t>AoPE</w:t>
      </w:r>
      <w:r w:rsidR="00653E89">
        <w:t xml:space="preserve"> </w:t>
      </w:r>
      <w:r w:rsidR="00626E2C">
        <w:t xml:space="preserve">indicate advanced training/qualifications/expertise in the profession and appear as a notation on the general register. </w:t>
      </w:r>
      <w:r w:rsidR="00467C8A">
        <w:t>It is</w:t>
      </w:r>
      <w:r w:rsidR="008B3B18">
        <w:t xml:space="preserve"> distinguished from an ‘area of professional interest’ by whether it meets the threshold for requiring more regulatory oversight</w:t>
      </w:r>
      <w:r w:rsidR="00EF1E39">
        <w:t>. An AoPE</w:t>
      </w:r>
      <w:r w:rsidR="0075672D">
        <w:t xml:space="preserve"> enable</w:t>
      </w:r>
      <w:r w:rsidR="00EF1E39">
        <w:t>s</w:t>
      </w:r>
      <w:r w:rsidR="0075672D">
        <w:t xml:space="preserve"> t</w:t>
      </w:r>
      <w:r w:rsidR="00215D0E">
        <w:t xml:space="preserve">he practitioner to </w:t>
      </w:r>
      <w:r w:rsidR="00333FB1">
        <w:t>safely and competently work to a wider scope than other registrants</w:t>
      </w:r>
      <w:r w:rsidR="00EF1E39">
        <w:t xml:space="preserve">, and a practitioner may </w:t>
      </w:r>
      <w:r w:rsidR="008312B7">
        <w:t>hold</w:t>
      </w:r>
      <w:r w:rsidR="00EF1E39">
        <w:t xml:space="preserve"> multiple AoPEs</w:t>
      </w:r>
      <w:r w:rsidR="00333FB1">
        <w:t xml:space="preserve">. </w:t>
      </w:r>
      <w:r w:rsidR="00153866">
        <w:t>Practitioners</w:t>
      </w:r>
      <w:r w:rsidR="00064540">
        <w:t xml:space="preserve"> are responsible for paying a fee</w:t>
      </w:r>
      <w:r w:rsidR="00003DE1">
        <w:t xml:space="preserve"> to apply </w:t>
      </w:r>
      <w:r w:rsidR="00153866">
        <w:t xml:space="preserve">for, </w:t>
      </w:r>
      <w:r w:rsidR="00003DE1">
        <w:t xml:space="preserve">and </w:t>
      </w:r>
      <w:r w:rsidR="003D4687">
        <w:t xml:space="preserve">annually </w:t>
      </w:r>
      <w:r w:rsidR="00003DE1">
        <w:t>renew</w:t>
      </w:r>
      <w:r w:rsidR="00153866">
        <w:t>,</w:t>
      </w:r>
      <w:r w:rsidR="00003DE1">
        <w:t xml:space="preserve"> their AoPE.</w:t>
      </w:r>
      <w:r w:rsidR="008312B7">
        <w:t xml:space="preserve"> In the National Scheme currently, psychology has nine </w:t>
      </w:r>
      <w:r w:rsidR="002213B4">
        <w:t>AoPEs and medicine has a framework in place for one AoPE.</w:t>
      </w:r>
      <w:r w:rsidR="00653833">
        <w:t xml:space="preserve"> It is estimated that the timeframe to submit a profession application for AoPE</w:t>
      </w:r>
      <w:r w:rsidR="005A43D2">
        <w:t xml:space="preserve"> is 12-18 months. </w:t>
      </w:r>
    </w:p>
    <w:p w14:paraId="7D09995C" w14:textId="0E96B807" w:rsidR="008312B7" w:rsidRDefault="0051299B" w:rsidP="00064540">
      <w:pPr>
        <w:pStyle w:val="ListBullet"/>
      </w:pPr>
      <w:r>
        <w:t xml:space="preserve">Specialist registration is used in areas that pose a higher level of risk to the public than AoPE. </w:t>
      </w:r>
      <w:r w:rsidR="0099787E">
        <w:t xml:space="preserve">Specialist practitioners </w:t>
      </w:r>
      <w:r w:rsidR="00823876">
        <w:t>appear on the general register and a</w:t>
      </w:r>
      <w:r w:rsidR="00F94E2A">
        <w:t xml:space="preserve"> </w:t>
      </w:r>
      <w:r w:rsidR="00BF2534">
        <w:t xml:space="preserve">separate </w:t>
      </w:r>
      <w:r w:rsidR="00823876">
        <w:t xml:space="preserve">specialist </w:t>
      </w:r>
      <w:r w:rsidR="00BF2534">
        <w:t xml:space="preserve">register, and there is a higher level of regulatory oversight. Specialist practitioners </w:t>
      </w:r>
      <w:r w:rsidR="00362ABF">
        <w:t>graduate from a specialist training program and specialist registration is a requirement of practice in that field.</w:t>
      </w:r>
      <w:r w:rsidR="00B43A89">
        <w:t xml:space="preserve"> </w:t>
      </w:r>
      <w:r w:rsidR="00E25BCA">
        <w:t>Commonly, specialist</w:t>
      </w:r>
      <w:r w:rsidR="00071353">
        <w:t xml:space="preserve">s will only work in their specialised area of practice. </w:t>
      </w:r>
      <w:r w:rsidR="00B43A89">
        <w:t>Specialist titles are protected for use only by those practitioners that appear on the specialist register.</w:t>
      </w:r>
      <w:r w:rsidR="001C303F">
        <w:t xml:space="preserve"> In the National Scheme currently, medicine has 23 specialties, dentistry has 13 specialties, and </w:t>
      </w:r>
      <w:r w:rsidR="003D4687">
        <w:t xml:space="preserve">podiatry has 1 specialty. Practitioners are responsible for paying a fee to apply for, and annually renew, their specialist registration. </w:t>
      </w:r>
      <w:r w:rsidR="005A43D2">
        <w:t>It is estimated that the timeframe to submit a profession application for specialist registration is 24 months.</w:t>
      </w:r>
    </w:p>
    <w:p w14:paraId="6B65BA72" w14:textId="195C2C36" w:rsidR="00BF12BA" w:rsidRPr="00A8575F" w:rsidRDefault="00BF12BA" w:rsidP="00972F5E">
      <w:pPr>
        <w:pStyle w:val="ListBullet"/>
        <w:numPr>
          <w:ilvl w:val="0"/>
          <w:numId w:val="0"/>
        </w:numPr>
      </w:pPr>
      <w:r>
        <w:t xml:space="preserve">Please refer to Appendix </w:t>
      </w:r>
      <w:r w:rsidR="00B60C0C">
        <w:t xml:space="preserve">C </w:t>
      </w:r>
      <w:r>
        <w:t>for further process information regarding applications for AoPEs and specialist registration.</w:t>
      </w:r>
      <w:r>
        <w:rPr>
          <w:rStyle w:val="FootnoteReference"/>
        </w:rPr>
        <w:footnoteReference w:id="100"/>
      </w:r>
    </w:p>
    <w:p w14:paraId="5CE74F2E" w14:textId="77777777" w:rsidR="008E7B91" w:rsidRDefault="008E7B91" w:rsidP="00952457">
      <w:pPr>
        <w:pStyle w:val="Heading4"/>
      </w:pPr>
      <w:bookmarkStart w:id="72" w:name="_Ref167799573"/>
      <w:bookmarkStart w:id="73" w:name="_Ref170119546"/>
      <w:r>
        <w:t xml:space="preserve">Complaints </w:t>
      </w:r>
      <w:bookmarkEnd w:id="72"/>
      <w:r>
        <w:t xml:space="preserve">management for </w:t>
      </w:r>
      <w:r w:rsidRPr="00D7681B">
        <w:t>registered</w:t>
      </w:r>
      <w:r>
        <w:t xml:space="preserve"> professions</w:t>
      </w:r>
      <w:bookmarkEnd w:id="73"/>
    </w:p>
    <w:p w14:paraId="30D577BC" w14:textId="6B52B973" w:rsidR="008E7B91" w:rsidRDefault="008E7B91" w:rsidP="00D7681B">
      <w:pPr>
        <w:pStyle w:val="BodyText"/>
      </w:pPr>
      <w:r>
        <w:t xml:space="preserve">Following a notification, </w:t>
      </w:r>
      <w:r w:rsidR="001358EA">
        <w:t>Ahpra</w:t>
      </w:r>
      <w:r>
        <w:t xml:space="preserve"> must refer the notification to the relevant Board (or relevant co-regulatory agency). A Board may: </w:t>
      </w:r>
    </w:p>
    <w:p w14:paraId="085F2531" w14:textId="77777777" w:rsidR="008E7B91" w:rsidRDefault="008E7B91" w:rsidP="00D7681B">
      <w:pPr>
        <w:pStyle w:val="ListBullet"/>
      </w:pPr>
      <w:r>
        <w:t>not take further action</w:t>
      </w:r>
    </w:p>
    <w:p w14:paraId="45227DA0" w14:textId="5FA16DAF" w:rsidR="008E7B91" w:rsidRDefault="008E7B91" w:rsidP="00D7681B">
      <w:pPr>
        <w:pStyle w:val="ListBullet"/>
      </w:pPr>
      <w:r>
        <w:t xml:space="preserve">start an investigation into the practitioner (where the Board directs an appropriate investigator – usually an </w:t>
      </w:r>
      <w:r w:rsidR="001358EA">
        <w:t>Ahpra</w:t>
      </w:r>
      <w:r>
        <w:t xml:space="preserve"> employee)</w:t>
      </w:r>
    </w:p>
    <w:p w14:paraId="573A3F23" w14:textId="77777777" w:rsidR="008E7B91" w:rsidRDefault="008E7B91" w:rsidP="00D7681B">
      <w:pPr>
        <w:pStyle w:val="ListBullet"/>
      </w:pPr>
      <w:r>
        <w:t>consider immediate action about the practitioner</w:t>
      </w:r>
    </w:p>
    <w:p w14:paraId="7094FDA6" w14:textId="77777777" w:rsidR="008E7B91" w:rsidRDefault="008E7B91" w:rsidP="00D7681B">
      <w:pPr>
        <w:pStyle w:val="ListBullet"/>
      </w:pPr>
      <w:r>
        <w:t>consider cautioning the practitioner</w:t>
      </w:r>
    </w:p>
    <w:p w14:paraId="1ED3C4A4" w14:textId="77777777" w:rsidR="008E7B91" w:rsidRDefault="008E7B91" w:rsidP="00D7681B">
      <w:pPr>
        <w:pStyle w:val="ListBullet"/>
      </w:pPr>
      <w:r>
        <w:t>consider imposing conditions (or accepting an undertaking) from a practitioner</w:t>
      </w:r>
    </w:p>
    <w:p w14:paraId="3D2B7A74" w14:textId="77777777" w:rsidR="008E7B91" w:rsidRDefault="008E7B91" w:rsidP="00D7681B">
      <w:pPr>
        <w:pStyle w:val="ListBullet"/>
      </w:pPr>
      <w:r>
        <w:t>requiring the practitioner to undergo a health or performance assessment</w:t>
      </w:r>
    </w:p>
    <w:p w14:paraId="48059ACB" w14:textId="77777777" w:rsidR="008E7B91" w:rsidRDefault="008E7B91" w:rsidP="00D7681B">
      <w:pPr>
        <w:pStyle w:val="ListBullet"/>
      </w:pPr>
      <w:r>
        <w:t xml:space="preserve">referring the practitioner to a hearing by panel </w:t>
      </w:r>
    </w:p>
    <w:p w14:paraId="1A1031BE" w14:textId="77777777" w:rsidR="008E7B91" w:rsidRDefault="008E7B91" w:rsidP="00D7681B">
      <w:pPr>
        <w:pStyle w:val="ListBullet"/>
      </w:pPr>
      <w:r>
        <w:t>referring the practitioner to a responsible tribunal.</w:t>
      </w:r>
    </w:p>
    <w:p w14:paraId="7A511140" w14:textId="2562E720" w:rsidR="008E7B91" w:rsidRDefault="008E7B91" w:rsidP="00D7681B">
      <w:pPr>
        <w:pStyle w:val="BodyText"/>
      </w:pPr>
      <w:r>
        <w:t>As part of these processes, they are key distinctions between behaviour which constitutes unprofessional conduct (where unsatisfactory professional performance is a subset of unprofessional conduct) or professional misconduct.</w:t>
      </w:r>
      <w:r>
        <w:rPr>
          <w:rStyle w:val="FootnoteReference"/>
        </w:rPr>
        <w:footnoteReference w:id="101"/>
      </w:r>
      <w:r>
        <w:t xml:space="preserve"> As per </w:t>
      </w:r>
      <w:r w:rsidR="001358EA">
        <w:t>Ahpra</w:t>
      </w:r>
      <w:r>
        <w:t xml:space="preserve">’s Regulatory Guide, </w:t>
      </w:r>
      <w:r w:rsidR="00A456E8">
        <w:t>‘</w:t>
      </w:r>
      <w:r w:rsidRPr="00FA51D1">
        <w:rPr>
          <w:i/>
          <w:iCs/>
        </w:rPr>
        <w:t>A substantial departure from standards may constitute professional misconduct, whereas a lesser departure is more likely to be characterised as unprofessional conduct or unsatisfactory professional performance</w:t>
      </w:r>
      <w:r>
        <w:t>.</w:t>
      </w:r>
      <w:r w:rsidR="00A456E8">
        <w:t>’</w:t>
      </w:r>
      <w:r>
        <w:rPr>
          <w:rStyle w:val="FootnoteReference"/>
        </w:rPr>
        <w:footnoteReference w:id="102"/>
      </w:r>
      <w:r>
        <w:t xml:space="preserve"> A Board must refer a matter about a registered health practitioner to a responsible tribunal if the Board reasonably believes that the practitioner has behaved in a way that constitutes professional misconduct or that registration was improperly obtained, or a panel established by the Board required the Board to refer the matter to a responsible tribunal. The tribunals in each </w:t>
      </w:r>
      <w:r w:rsidR="00D55509">
        <w:t>State and Territory</w:t>
      </w:r>
      <w:r>
        <w:t xml:space="preserve"> are the jurisdiction’s Civil and Administrative Tribunal (in Western Australia –the State Administrative Tribunal).</w:t>
      </w:r>
      <w:r>
        <w:rPr>
          <w:rStyle w:val="FootnoteReference"/>
        </w:rPr>
        <w:footnoteReference w:id="103"/>
      </w:r>
      <w:r w:rsidR="00D2021F">
        <w:t xml:space="preserve"> </w:t>
      </w:r>
    </w:p>
    <w:p w14:paraId="58DDFC7C" w14:textId="5D9CD60E" w:rsidR="00B35B21" w:rsidRDefault="00B06A64" w:rsidP="00D7681B">
      <w:pPr>
        <w:pStyle w:val="BodyText"/>
      </w:pPr>
      <w:r>
        <w:t>In relat</w:t>
      </w:r>
      <w:r w:rsidR="00ED60C2">
        <w:t xml:space="preserve">ion to the potential sanctions, </w:t>
      </w:r>
      <w:r w:rsidR="001358EA">
        <w:t>Ahpra</w:t>
      </w:r>
      <w:r w:rsidR="00B35B21">
        <w:t xml:space="preserve"> states:</w:t>
      </w:r>
      <w:r w:rsidR="00667C7E">
        <w:rPr>
          <w:rStyle w:val="FootnoteReference"/>
        </w:rPr>
        <w:footnoteReference w:id="104"/>
      </w:r>
      <w:r w:rsidR="00B35B21">
        <w:t xml:space="preserve"> </w:t>
      </w:r>
    </w:p>
    <w:p w14:paraId="0E705765" w14:textId="06D57A03" w:rsidR="00B35B21" w:rsidRDefault="00B35B21" w:rsidP="00B35B21">
      <w:pPr>
        <w:pStyle w:val="ListBullet"/>
      </w:pPr>
      <w:r>
        <w:t xml:space="preserve">Only a </w:t>
      </w:r>
      <w:r w:rsidR="00ED60C2">
        <w:t>court or tribunal has the power to cancel a health practitioner’s registration</w:t>
      </w:r>
      <w:r>
        <w:t>.</w:t>
      </w:r>
    </w:p>
    <w:p w14:paraId="00AC6CA6" w14:textId="717B2BF1" w:rsidR="00667C7E" w:rsidRDefault="00B632A0" w:rsidP="00B35B21">
      <w:pPr>
        <w:pStyle w:val="ListBullet"/>
      </w:pPr>
      <w:r w:rsidRPr="00B632A0">
        <w:t>A health practitioner whose registration has been cancelled is forbidden from practising the profession or working in any way as a health practitioner in that profession in all Australian states and territories.</w:t>
      </w:r>
      <w:r>
        <w:t xml:space="preserve"> All health practitioners who have had their registration cancelled by a court or tribunal, been disqualified from practice or had their registration prohibited appear on the </w:t>
      </w:r>
      <w:r w:rsidR="00667C7E">
        <w:t>(</w:t>
      </w:r>
      <w:r>
        <w:t>publicly available</w:t>
      </w:r>
      <w:r w:rsidR="00667C7E">
        <w:t>)</w:t>
      </w:r>
      <w:r>
        <w:t xml:space="preserve"> cancelled health practitioners register.</w:t>
      </w:r>
    </w:p>
    <w:p w14:paraId="43ECDA20" w14:textId="77777777" w:rsidR="00856149" w:rsidRDefault="00203C3D" w:rsidP="00D7681B">
      <w:pPr>
        <w:pStyle w:val="ListBullet"/>
      </w:pPr>
      <w:r>
        <w:t xml:space="preserve">There is also a </w:t>
      </w:r>
      <w:r w:rsidR="00667C7E">
        <w:t>(</w:t>
      </w:r>
      <w:r>
        <w:t>publicly available</w:t>
      </w:r>
      <w:r w:rsidR="00667C7E">
        <w:t>)</w:t>
      </w:r>
      <w:r>
        <w:t xml:space="preserve"> list of practitioners who have agreed not to practice when a National Board thinks this is in the public interest. </w:t>
      </w:r>
    </w:p>
    <w:p w14:paraId="3730C2FA" w14:textId="0370155F" w:rsidR="00EB250A" w:rsidRDefault="001E644A" w:rsidP="00856149">
      <w:pPr>
        <w:pStyle w:val="ListBullet"/>
        <w:numPr>
          <w:ilvl w:val="0"/>
          <w:numId w:val="0"/>
        </w:numPr>
      </w:pPr>
      <w:r>
        <w:t xml:space="preserve">This </w:t>
      </w:r>
      <w:r w:rsidR="00B210B0">
        <w:t>Decision</w:t>
      </w:r>
      <w:r>
        <w:t xml:space="preserve"> RIS notes</w:t>
      </w:r>
      <w:r w:rsidR="00EB250A">
        <w:t xml:space="preserve"> that a </w:t>
      </w:r>
      <w:r w:rsidR="000425B6">
        <w:t xml:space="preserve">centralised searchable </w:t>
      </w:r>
      <w:r w:rsidR="00EB250A">
        <w:t xml:space="preserve">register of </w:t>
      </w:r>
      <w:r>
        <w:t xml:space="preserve">cancelled </w:t>
      </w:r>
      <w:r w:rsidR="00DB76EA">
        <w:t xml:space="preserve">health practitioners </w:t>
      </w:r>
      <w:r w:rsidR="00BC1EA8">
        <w:t xml:space="preserve">is not available for </w:t>
      </w:r>
      <w:r w:rsidR="000425B6">
        <w:t>professions that are not registered under the National Scheme</w:t>
      </w:r>
      <w:r w:rsidR="00E80383">
        <w:t>. Under the National Code, health professionals</w:t>
      </w:r>
      <w:r w:rsidR="00962DE6">
        <w:t xml:space="preserve"> which are subject to an Interim Prohibition Order or </w:t>
      </w:r>
      <w:r w:rsidR="00B210B0">
        <w:t>Prohibition</w:t>
      </w:r>
      <w:r w:rsidR="00962DE6">
        <w:t xml:space="preserve"> Order</w:t>
      </w:r>
      <w:r w:rsidR="001D11CF">
        <w:t xml:space="preserve"> appear on individual jurisdiction websites</w:t>
      </w:r>
      <w:r w:rsidR="00A90666">
        <w:t xml:space="preserve"> instead</w:t>
      </w:r>
      <w:r w:rsidR="001D11CF">
        <w:t xml:space="preserve">. </w:t>
      </w:r>
    </w:p>
    <w:p w14:paraId="130FAC2E" w14:textId="1CDBCC13" w:rsidR="008E7B91" w:rsidRPr="00C41E4A" w:rsidRDefault="008E7B91" w:rsidP="00D7681B">
      <w:pPr>
        <w:pStyle w:val="BodyText"/>
      </w:pPr>
      <w:r>
        <w:t>The following complaints management procedures are noted for specified jurisdictions:</w:t>
      </w:r>
    </w:p>
    <w:p w14:paraId="5B4D11CA" w14:textId="64CCBC03" w:rsidR="008E7B91" w:rsidRPr="00532B5B" w:rsidRDefault="008E7B91" w:rsidP="00D7681B">
      <w:pPr>
        <w:pStyle w:val="ListBullet"/>
        <w:rPr>
          <w:b/>
          <w:bCs/>
        </w:rPr>
      </w:pPr>
      <w:r w:rsidRPr="00532B5B">
        <w:rPr>
          <w:b/>
          <w:bCs/>
        </w:rPr>
        <w:t xml:space="preserve">Queensland: </w:t>
      </w:r>
      <w:r>
        <w:t xml:space="preserve">Queensland has a single-entry complaints entity called the Office of the Health Ombudsman (Queensland’s HCE). Upon receiving a notification, </w:t>
      </w:r>
      <w:r w:rsidR="001358EA">
        <w:t>Ahpra</w:t>
      </w:r>
      <w:r>
        <w:t xml:space="preserve"> must refer complaints about registered practitioners to the relevant National Board and OHO. </w:t>
      </w:r>
      <w:r w:rsidR="00D05D7A">
        <w:t>The OHO considers matters jointly with Ah</w:t>
      </w:r>
      <w:r w:rsidR="004963DB">
        <w:t>pra according to a joint risk framework</w:t>
      </w:r>
      <w:r w:rsidR="005E3078">
        <w:t>.</w:t>
      </w:r>
    </w:p>
    <w:p w14:paraId="36B04B40" w14:textId="19E3CC78" w:rsidR="008E7B91" w:rsidRPr="00532B5B" w:rsidRDefault="008E7B91" w:rsidP="00D7681B">
      <w:pPr>
        <w:pStyle w:val="ListBullet"/>
        <w:rPr>
          <w:b/>
          <w:bCs/>
        </w:rPr>
      </w:pPr>
      <w:r w:rsidRPr="00532B5B">
        <w:rPr>
          <w:b/>
          <w:bCs/>
        </w:rPr>
        <w:t>New South Wale</w:t>
      </w:r>
      <w:r>
        <w:rPr>
          <w:b/>
          <w:bCs/>
        </w:rPr>
        <w:t xml:space="preserve">s: </w:t>
      </w:r>
      <w:r>
        <w:t xml:space="preserve">New South Wales retained its existing health complaints process when the National Law was introduced. The NSW HCE (the HCCC) works with NSW’s Health Professional Councils Authority (and each </w:t>
      </w:r>
      <w:r w:rsidR="00CD5953">
        <w:t xml:space="preserve">professions’ </w:t>
      </w:r>
      <w:r>
        <w:t xml:space="preserve">relevant </w:t>
      </w:r>
      <w:r w:rsidR="00AC1780">
        <w:t>H</w:t>
      </w:r>
      <w:r>
        <w:t xml:space="preserve">ealth </w:t>
      </w:r>
      <w:r w:rsidR="00AC1780">
        <w:t>P</w:t>
      </w:r>
      <w:r>
        <w:t xml:space="preserve">rofessional </w:t>
      </w:r>
      <w:r w:rsidR="00CD5953">
        <w:t>C</w:t>
      </w:r>
      <w:r>
        <w:t xml:space="preserve">ouncil) to manage </w:t>
      </w:r>
      <w:r w:rsidR="00572292">
        <w:t xml:space="preserve">notifications </w:t>
      </w:r>
      <w:r w:rsidR="00FE28E4">
        <w:t>in a co-regulatory partnership</w:t>
      </w:r>
      <w:r>
        <w:t xml:space="preserve">. </w:t>
      </w:r>
      <w:r w:rsidR="00FE28E4">
        <w:t xml:space="preserve">Ahpra and the National Boards do not </w:t>
      </w:r>
      <w:r w:rsidR="002878E3">
        <w:t>manage notifications which arise in NSW</w:t>
      </w:r>
      <w:r>
        <w:t>.</w:t>
      </w:r>
      <w:r w:rsidR="005A2E6C">
        <w:rPr>
          <w:rStyle w:val="FootnoteReference"/>
        </w:rPr>
        <w:footnoteReference w:id="105"/>
      </w:r>
    </w:p>
    <w:p w14:paraId="24439A10" w14:textId="4B7F06EC" w:rsidR="008E7B91" w:rsidRPr="005F061F" w:rsidRDefault="008E7B91" w:rsidP="00D7681B">
      <w:pPr>
        <w:pStyle w:val="Heading4"/>
      </w:pPr>
      <w:bookmarkStart w:id="74" w:name="_Ref172480965"/>
      <w:r>
        <w:t xml:space="preserve">Relevant impacts of </w:t>
      </w:r>
      <w:r w:rsidR="00405353">
        <w:t>National Scheme</w:t>
      </w:r>
      <w:r>
        <w:t xml:space="preserve"> inclusion</w:t>
      </w:r>
      <w:bookmarkEnd w:id="74"/>
    </w:p>
    <w:p w14:paraId="507A1A0C" w14:textId="685C5D5D" w:rsidR="008E7B91" w:rsidRDefault="00405353" w:rsidP="00D7681B">
      <w:pPr>
        <w:pStyle w:val="BodyText"/>
      </w:pPr>
      <w:r>
        <w:t>National Scheme</w:t>
      </w:r>
      <w:r w:rsidR="008E7B91">
        <w:t xml:space="preserve"> inclusion has the following relevant impacts for this Decision RIS:</w:t>
      </w:r>
    </w:p>
    <w:p w14:paraId="77462E13" w14:textId="7411E993" w:rsidR="008E7B91" w:rsidRDefault="008E7B91" w:rsidP="00D7681B">
      <w:pPr>
        <w:pStyle w:val="ListBullet"/>
      </w:pPr>
      <w:r w:rsidRPr="00E96405">
        <w:rPr>
          <w:b/>
          <w:bCs/>
        </w:rPr>
        <w:t>Protection of title</w:t>
      </w:r>
      <w:r>
        <w:t>: The National Law protects titles as well as specialist titles for recognised specialities. It is an offence for a person to present themself to be a registered practitioner (or refer to themself as a protected title) if they are not, including the use of language that may lead a reasonable person to believe that they are a registered practitioner.</w:t>
      </w:r>
      <w:r>
        <w:rPr>
          <w:rStyle w:val="FootnoteReference"/>
        </w:rPr>
        <w:footnoteReference w:id="106"/>
      </w:r>
      <w:r w:rsidR="00BA5AD1">
        <w:t xml:space="preserve"> </w:t>
      </w:r>
      <w:r w:rsidR="004F0EDE">
        <w:t xml:space="preserve">Please refer to Section </w:t>
      </w:r>
      <w:r w:rsidR="0034440C">
        <w:fldChar w:fldCharType="begin"/>
      </w:r>
      <w:r w:rsidR="0034440C">
        <w:instrText xml:space="preserve"> REF _Ref172794062 \r \h </w:instrText>
      </w:r>
      <w:r w:rsidR="0034440C">
        <w:fldChar w:fldCharType="separate"/>
      </w:r>
      <w:r w:rsidR="00F32107">
        <w:t>3.1.2</w:t>
      </w:r>
      <w:r w:rsidR="0034440C">
        <w:fldChar w:fldCharType="end"/>
      </w:r>
      <w:r w:rsidR="00BA5AD1">
        <w:t xml:space="preserve"> for a discussion of information asymmetry in the provision of audiology services. </w:t>
      </w:r>
    </w:p>
    <w:p w14:paraId="5A62886F" w14:textId="3B1EA6C3" w:rsidR="008E7B91" w:rsidRPr="00C53B41" w:rsidRDefault="008E7B91" w:rsidP="00D7681B">
      <w:pPr>
        <w:pStyle w:val="ListBullet"/>
      </w:pPr>
      <w:r w:rsidRPr="000338BB">
        <w:rPr>
          <w:b/>
          <w:bCs/>
        </w:rPr>
        <w:t xml:space="preserve">Practitioner </w:t>
      </w:r>
      <w:r>
        <w:rPr>
          <w:b/>
          <w:bCs/>
        </w:rPr>
        <w:t>registration</w:t>
      </w:r>
      <w:r>
        <w:t xml:space="preserve">: </w:t>
      </w:r>
      <w:r w:rsidR="001358EA">
        <w:t>Ahpra</w:t>
      </w:r>
      <w:r>
        <w:t xml:space="preserve"> maintains a publicly available register of practitioners, including any conditions or undertakings that have been placed on a person’s registration. </w:t>
      </w:r>
      <w:r w:rsidR="001358EA">
        <w:t>Ahpra</w:t>
      </w:r>
      <w:r>
        <w:t xml:space="preserve"> also maintains a searchable register of cancelled, disqualified and/or prohibited health practitioners.</w:t>
      </w:r>
    </w:p>
    <w:p w14:paraId="1118FC25" w14:textId="58C0AD4D" w:rsidR="008E7B91" w:rsidRPr="00E05B0E" w:rsidRDefault="008E7B91" w:rsidP="00D7681B">
      <w:pPr>
        <w:pStyle w:val="ListBullet"/>
      </w:pPr>
      <w:r>
        <w:rPr>
          <w:b/>
          <w:bCs/>
        </w:rPr>
        <w:t xml:space="preserve">Notifier protections: </w:t>
      </w:r>
      <w:r w:rsidRPr="00C323AE">
        <w:t xml:space="preserve">As per </w:t>
      </w:r>
      <w:r w:rsidR="001358EA">
        <w:t>Ahpra</w:t>
      </w:r>
      <w:r w:rsidRPr="00C323AE">
        <w:t>’s website,</w:t>
      </w:r>
      <w:r>
        <w:rPr>
          <w:b/>
          <w:bCs/>
        </w:rPr>
        <w:t xml:space="preserve"> </w:t>
      </w:r>
      <w:r w:rsidR="002344FF">
        <w:t>‘</w:t>
      </w:r>
      <w:r w:rsidRPr="00C323AE">
        <w:rPr>
          <w:i/>
          <w:iCs/>
        </w:rPr>
        <w:t>Section 237 of the National Law applies to a person who, in good faith, makes a notification under the National Law, or gives information to an investigator in the course of an investigation. It also states that such a person is not liable, civilly, criminally or under an administrative process, for the giving of that information. This is deemed to include defamation, and professional regulation (i.e. it is not a breach of professional etiquette or ethics, or a departure from professional standards). However, Section 237 does not protect a health practitioner from regulatory action in respect of their own behaviour</w:t>
      </w:r>
      <w:r>
        <w:t>.</w:t>
      </w:r>
      <w:r w:rsidR="002344FF">
        <w:t>’</w:t>
      </w:r>
      <w:r>
        <w:rPr>
          <w:rStyle w:val="FootnoteReference"/>
        </w:rPr>
        <w:footnoteReference w:id="107"/>
      </w:r>
      <w:r w:rsidR="00FD4A96">
        <w:t xml:space="preserve"> Please refer to Section </w:t>
      </w:r>
      <w:r w:rsidR="00917482">
        <w:fldChar w:fldCharType="begin"/>
      </w:r>
      <w:r w:rsidR="00917482">
        <w:instrText xml:space="preserve"> REF _Ref170058163 \r \h </w:instrText>
      </w:r>
      <w:r w:rsidR="00917482">
        <w:fldChar w:fldCharType="separate"/>
      </w:r>
      <w:r w:rsidR="00F32107">
        <w:t>3.4</w:t>
      </w:r>
      <w:r w:rsidR="00917482">
        <w:fldChar w:fldCharType="end"/>
      </w:r>
      <w:r w:rsidR="00FD4A96">
        <w:t xml:space="preserve"> for a discussion of </w:t>
      </w:r>
      <w:r w:rsidR="00E6557D">
        <w:t xml:space="preserve">current issues in relation to </w:t>
      </w:r>
      <w:r w:rsidR="00917482">
        <w:t>professional sanctions.</w:t>
      </w:r>
    </w:p>
    <w:p w14:paraId="068DC78D" w14:textId="145BC1FF" w:rsidR="008E7B91" w:rsidRDefault="008E7B91" w:rsidP="00D7681B">
      <w:pPr>
        <w:pStyle w:val="ListBullet"/>
      </w:pPr>
      <w:r>
        <w:rPr>
          <w:b/>
          <w:bCs/>
        </w:rPr>
        <w:t xml:space="preserve">Mandatory notifications: </w:t>
      </w:r>
      <w:r w:rsidRPr="00C3029F">
        <w:t xml:space="preserve">Registered health practitioners and </w:t>
      </w:r>
      <w:r>
        <w:t xml:space="preserve">employers of registered health practitioners may be required to make a mandatory notification to </w:t>
      </w:r>
      <w:r w:rsidR="001358EA">
        <w:t>Ahpra</w:t>
      </w:r>
      <w:r>
        <w:t xml:space="preserve"> in relation to four types of concerns, noting that the key issue is an assessment of the risk of harm to the public. These four concerns are impairment, intoxication while practising, sexual misconduct or significant departure from accepted professional standards.</w:t>
      </w:r>
      <w:r>
        <w:rPr>
          <w:rStyle w:val="FootnoteReference"/>
        </w:rPr>
        <w:footnoteReference w:id="108"/>
      </w:r>
      <w:r w:rsidR="00917482" w:rsidRPr="00917482">
        <w:t xml:space="preserve"> </w:t>
      </w:r>
      <w:r w:rsidR="00917482">
        <w:t xml:space="preserve">Please refer to Section </w:t>
      </w:r>
      <w:r w:rsidR="00917482">
        <w:fldChar w:fldCharType="begin"/>
      </w:r>
      <w:r w:rsidR="00917482">
        <w:instrText xml:space="preserve"> REF _Ref170058163 \r \h </w:instrText>
      </w:r>
      <w:r w:rsidR="00917482">
        <w:fldChar w:fldCharType="separate"/>
      </w:r>
      <w:r w:rsidR="00F32107">
        <w:t>3.4</w:t>
      </w:r>
      <w:r w:rsidR="00917482">
        <w:fldChar w:fldCharType="end"/>
      </w:r>
      <w:r w:rsidR="00917482">
        <w:t xml:space="preserve"> for a discussion of current issues in relation to professional sanctions.</w:t>
      </w:r>
    </w:p>
    <w:p w14:paraId="59362CBF" w14:textId="7649BBB4" w:rsidR="002967D4" w:rsidRDefault="0008218C" w:rsidP="00972F5E">
      <w:pPr>
        <w:pStyle w:val="ListBullet"/>
        <w:numPr>
          <w:ilvl w:val="0"/>
          <w:numId w:val="0"/>
        </w:numPr>
      </w:pPr>
      <w:r>
        <w:t>Any</w:t>
      </w:r>
      <w:r w:rsidR="00D76431">
        <w:t xml:space="preserve"> future </w:t>
      </w:r>
      <w:r w:rsidR="009E09F4">
        <w:t xml:space="preserve">decision regarding area of practice endorsements </w:t>
      </w:r>
      <w:r>
        <w:t xml:space="preserve">or specialist registration </w:t>
      </w:r>
      <w:r w:rsidR="00D64692">
        <w:t>would be subject to National Board consultation processes and the requirements of the National Law.</w:t>
      </w:r>
    </w:p>
    <w:p w14:paraId="607A2888" w14:textId="53FE6B92" w:rsidR="001759B7" w:rsidRPr="001759B7" w:rsidRDefault="001759B7" w:rsidP="001759B7">
      <w:pPr>
        <w:pStyle w:val="Heading2"/>
      </w:pPr>
      <w:bookmarkStart w:id="75" w:name="_Ref191663160"/>
      <w:bookmarkStart w:id="76" w:name="_Toc198138578"/>
      <w:bookmarkStart w:id="77" w:name="_Toc171324735"/>
      <w:r>
        <w:t>Service provision – funding mechanisms and regulatory requirements</w:t>
      </w:r>
      <w:bookmarkEnd w:id="75"/>
      <w:bookmarkEnd w:id="76"/>
    </w:p>
    <w:p w14:paraId="7F43329D" w14:textId="2E9D246A" w:rsidR="008A4DA6" w:rsidRDefault="008A4DA6" w:rsidP="008A4DA6">
      <w:pPr>
        <w:pStyle w:val="BodyText"/>
      </w:pPr>
      <w:r>
        <w:t xml:space="preserve">Membership with a PPB and/or ongoing clinical certification is voluntary for audiologists. However, private sector and public sector </w:t>
      </w:r>
      <w:r w:rsidR="00DD3C3E">
        <w:t xml:space="preserve">audiologists </w:t>
      </w:r>
      <w:r>
        <w:t xml:space="preserve">face different </w:t>
      </w:r>
      <w:r w:rsidR="00146F9A">
        <w:t>re</w:t>
      </w:r>
      <w:r w:rsidR="00BE01DB">
        <w:t xml:space="preserve">gulatory </w:t>
      </w:r>
      <w:r w:rsidR="005E5B32">
        <w:t xml:space="preserve">requirements </w:t>
      </w:r>
      <w:r w:rsidR="00615847">
        <w:t xml:space="preserve">to access </w:t>
      </w:r>
      <w:r>
        <w:t xml:space="preserve">funding </w:t>
      </w:r>
      <w:r w:rsidR="00615847">
        <w:t>under major service provision programs</w:t>
      </w:r>
      <w:r>
        <w:t xml:space="preserve">. </w:t>
      </w:r>
      <w:r w:rsidR="008C39F8">
        <w:t xml:space="preserve">A summary of </w:t>
      </w:r>
      <w:r w:rsidR="008B24C8">
        <w:t xml:space="preserve">these </w:t>
      </w:r>
      <w:r w:rsidR="00587B88">
        <w:t xml:space="preserve">major </w:t>
      </w:r>
      <w:r w:rsidR="008B24C8">
        <w:t>programs is provided below, including</w:t>
      </w:r>
      <w:r w:rsidR="00365C82">
        <w:t>,</w:t>
      </w:r>
      <w:r w:rsidR="008B24C8">
        <w:t xml:space="preserve"> </w:t>
      </w:r>
      <w:r w:rsidR="00A170FE">
        <w:t xml:space="preserve">where relevant, </w:t>
      </w:r>
      <w:r w:rsidR="008B24C8">
        <w:t>eligibility requirements for patients</w:t>
      </w:r>
      <w:r w:rsidR="00097343">
        <w:t xml:space="preserve">, </w:t>
      </w:r>
      <w:r w:rsidR="00476F2C">
        <w:t>volumes of services delivered</w:t>
      </w:r>
      <w:r w:rsidR="00097343">
        <w:t>, and a</w:t>
      </w:r>
      <w:r w:rsidR="009C7A0B">
        <w:t>udiometrist access to funding mechanisms</w:t>
      </w:r>
      <w:r w:rsidR="00F679C8">
        <w:t xml:space="preserve">. This is not intended as an exhaustive analysis of </w:t>
      </w:r>
      <w:r w:rsidR="002F2960">
        <w:t xml:space="preserve">service delivery and funding mechanisms </w:t>
      </w:r>
      <w:r w:rsidR="00F679C8">
        <w:t>for audiology services</w:t>
      </w:r>
      <w:r w:rsidR="005D2B67">
        <w:t>.</w:t>
      </w:r>
      <w:r w:rsidR="006E1166">
        <w:rPr>
          <w:rStyle w:val="FootnoteReference"/>
        </w:rPr>
        <w:footnoteReference w:id="109"/>
      </w:r>
      <w:r w:rsidR="00587B88">
        <w:t xml:space="preserve"> R</w:t>
      </w:r>
      <w:r w:rsidR="00F679C8">
        <w:t>ather</w:t>
      </w:r>
      <w:r w:rsidR="00587B88">
        <w:t>,</w:t>
      </w:r>
      <w:r w:rsidR="00F679C8">
        <w:t xml:space="preserve"> </w:t>
      </w:r>
      <w:r w:rsidR="003B5DE2">
        <w:t>relevant information is contained to the extent that it informs the policy problem</w:t>
      </w:r>
      <w:r w:rsidR="00207D5B">
        <w:t xml:space="preserve">, impact analysis, </w:t>
      </w:r>
      <w:r w:rsidR="00D474D8">
        <w:t xml:space="preserve">and implementation considerations </w:t>
      </w:r>
      <w:r w:rsidR="004B085F">
        <w:t xml:space="preserve">(e.g., service provision to First </w:t>
      </w:r>
      <w:r w:rsidR="00207D5B">
        <w:t xml:space="preserve">Nations communities). </w:t>
      </w:r>
    </w:p>
    <w:p w14:paraId="4FF99C42" w14:textId="3DE39EFC" w:rsidR="008A4DA6" w:rsidRDefault="00CD7AD0" w:rsidP="00AA0FFA">
      <w:pPr>
        <w:pStyle w:val="Heading4"/>
      </w:pPr>
      <w:r>
        <w:t>Australian Government Hearing Services Program</w:t>
      </w:r>
    </w:p>
    <w:p w14:paraId="58AA3BA2" w14:textId="1BAD952A" w:rsidR="00603418" w:rsidRPr="008D6E80" w:rsidRDefault="00603418" w:rsidP="00603418">
      <w:pPr>
        <w:pStyle w:val="BodyText"/>
      </w:pPr>
      <w:r>
        <w:t xml:space="preserve">The Australian Government </w:t>
      </w:r>
      <w:r w:rsidR="007D30FC">
        <w:t>funded</w:t>
      </w:r>
      <w:r>
        <w:t xml:space="preserve"> Hearing Services Program (HSP) provides subsidised hearing services and devices to eligible Australians with hearing loss. It is a major funder of hearing health care in Australia, with 806,4</w:t>
      </w:r>
      <w:r w:rsidR="006C169C">
        <w:t>87</w:t>
      </w:r>
      <w:r>
        <w:t xml:space="preserve"> people receiving program support in FY2023-24</w:t>
      </w:r>
      <w:r w:rsidR="001D20D4">
        <w:t xml:space="preserve"> </w:t>
      </w:r>
      <w:r w:rsidR="00A84900">
        <w:t xml:space="preserve">and </w:t>
      </w:r>
      <w:r w:rsidR="00B239A6">
        <w:t xml:space="preserve">program expenditure of </w:t>
      </w:r>
      <w:r w:rsidR="00A84900">
        <w:t>$605</w:t>
      </w:r>
      <w:r w:rsidR="00EE124E">
        <w:t xml:space="preserve"> million during this time</w:t>
      </w:r>
      <w:r>
        <w:t>.</w:t>
      </w:r>
      <w:r w:rsidR="00EE124E">
        <w:rPr>
          <w:rStyle w:val="FootnoteReference"/>
        </w:rPr>
        <w:footnoteReference w:id="110"/>
      </w:r>
      <w:r w:rsidR="006436BF" w:rsidRPr="006436BF">
        <w:t xml:space="preserve"> </w:t>
      </w:r>
      <w:r w:rsidR="006436BF">
        <w:t>The HSP is comprised of a voucher stream and a Community Services Obligation (CSO) stream.</w:t>
      </w:r>
      <w:r>
        <w:rPr>
          <w:rStyle w:val="FootnoteReference"/>
        </w:rPr>
        <w:footnoteReference w:id="111"/>
      </w:r>
      <w:r>
        <w:t xml:space="preserve"> </w:t>
      </w:r>
      <w:r w:rsidR="00D40DCE">
        <w:t>The following information is provided regarding the HSP</w:t>
      </w:r>
      <w:r w:rsidR="00F561BB">
        <w:t>:</w:t>
      </w:r>
      <w:r w:rsidR="00772184">
        <w:rPr>
          <w:rStyle w:val="FootnoteReference"/>
        </w:rPr>
        <w:footnoteReference w:id="112"/>
      </w:r>
      <w:r w:rsidR="007E5E77">
        <w:rPr>
          <w:vertAlign w:val="superscript"/>
        </w:rPr>
        <w:t>,</w:t>
      </w:r>
      <w:r w:rsidR="007E5E77">
        <w:rPr>
          <w:rStyle w:val="FootnoteReference"/>
        </w:rPr>
        <w:footnoteReference w:id="113"/>
      </w:r>
    </w:p>
    <w:p w14:paraId="5D1EA1F9" w14:textId="77777777" w:rsidR="00554230" w:rsidRDefault="006436BF" w:rsidP="006A3D60">
      <w:pPr>
        <w:pStyle w:val="ListBullet"/>
      </w:pPr>
      <w:r w:rsidRPr="007176F0">
        <w:rPr>
          <w:b/>
          <w:bCs/>
        </w:rPr>
        <w:t xml:space="preserve">Voucher </w:t>
      </w:r>
      <w:r w:rsidR="00085FE6" w:rsidRPr="007176F0">
        <w:rPr>
          <w:b/>
          <w:bCs/>
        </w:rPr>
        <w:t>S</w:t>
      </w:r>
      <w:r w:rsidRPr="007176F0">
        <w:rPr>
          <w:b/>
          <w:bCs/>
        </w:rPr>
        <w:t>tream</w:t>
      </w:r>
      <w:r>
        <w:t xml:space="preserve">: </w:t>
      </w:r>
      <w:r w:rsidR="004E7FD8">
        <w:t xml:space="preserve">Key </w:t>
      </w:r>
      <w:r w:rsidR="00554230">
        <w:t>patient groups eligible for the</w:t>
      </w:r>
      <w:r w:rsidR="00085FE6">
        <w:t xml:space="preserve"> voucher stream includes</w:t>
      </w:r>
      <w:r w:rsidR="004E7FD8">
        <w:t xml:space="preserve"> those aged 21 years and over</w:t>
      </w:r>
      <w:r w:rsidR="00554230">
        <w:t xml:space="preserve"> who are:</w:t>
      </w:r>
    </w:p>
    <w:p w14:paraId="595E9FE8" w14:textId="77777777" w:rsidR="00917C46" w:rsidRDefault="004E7FD8" w:rsidP="00554230">
      <w:pPr>
        <w:pStyle w:val="BulletList2Column"/>
      </w:pPr>
      <w:r>
        <w:t>pensioner concession card holder</w:t>
      </w:r>
      <w:r w:rsidR="005536D0">
        <w:t xml:space="preserve">, Veteran Gold Card holder, Veteran White </w:t>
      </w:r>
      <w:r w:rsidR="006434C3">
        <w:t>Card</w:t>
      </w:r>
      <w:r w:rsidR="00AE128C">
        <w:t xml:space="preserve"> (hearing-specific conditions) holder, or </w:t>
      </w:r>
      <w:r w:rsidR="003F7C60">
        <w:t xml:space="preserve">the spouse of these card holders; </w:t>
      </w:r>
    </w:p>
    <w:p w14:paraId="338822B6" w14:textId="77777777" w:rsidR="00917C46" w:rsidRDefault="003F7C60" w:rsidP="00554230">
      <w:pPr>
        <w:pStyle w:val="BulletList2Column"/>
      </w:pPr>
      <w:r>
        <w:t xml:space="preserve">a member of the Australian Defence Force; </w:t>
      </w:r>
    </w:p>
    <w:p w14:paraId="7EDBB8C9" w14:textId="77777777" w:rsidR="00917C46" w:rsidRDefault="003F7C60" w:rsidP="00554230">
      <w:pPr>
        <w:pStyle w:val="BulletList2Column"/>
      </w:pPr>
      <w:r>
        <w:t>those referred by a Disability Employment Service.</w:t>
      </w:r>
      <w:r w:rsidR="00B7132F">
        <w:t xml:space="preserve"> </w:t>
      </w:r>
    </w:p>
    <w:p w14:paraId="5AAAC9A8" w14:textId="252FAAB6" w:rsidR="006A3D60" w:rsidRDefault="00B7132F" w:rsidP="007176F0">
      <w:pPr>
        <w:pStyle w:val="ListBullet"/>
        <w:numPr>
          <w:ilvl w:val="0"/>
          <w:numId w:val="0"/>
        </w:numPr>
        <w:ind w:left="360"/>
      </w:pPr>
      <w:r>
        <w:t xml:space="preserve">If a hearing device is recommended, </w:t>
      </w:r>
      <w:r w:rsidR="00D56231">
        <w:t>voucher holders may choose between either a fully subsidised device</w:t>
      </w:r>
      <w:r w:rsidR="00CD75F0">
        <w:t xml:space="preserve"> </w:t>
      </w:r>
      <w:r w:rsidR="00544653">
        <w:t>(i.e. no cost)</w:t>
      </w:r>
      <w:r w:rsidR="00D56231">
        <w:t xml:space="preserve"> or a partially subsidised device</w:t>
      </w:r>
      <w:r w:rsidR="0076031E">
        <w:t>.</w:t>
      </w:r>
      <w:r w:rsidR="000C64E5">
        <w:t xml:space="preserve"> </w:t>
      </w:r>
      <w:r w:rsidR="009E51E4">
        <w:t xml:space="preserve">From the </w:t>
      </w:r>
      <w:r w:rsidR="009E51E4" w:rsidRPr="007176F0">
        <w:rPr>
          <w:i/>
          <w:iCs/>
        </w:rPr>
        <w:t>Hearing Services Program (Voucher) Instrument 2019</w:t>
      </w:r>
      <w:r w:rsidR="0049007D">
        <w:t xml:space="preserve">, </w:t>
      </w:r>
      <w:r w:rsidR="004924A5">
        <w:t>‘</w:t>
      </w:r>
      <w:r w:rsidR="0012244E" w:rsidRPr="007176F0">
        <w:rPr>
          <w:i/>
          <w:iCs/>
        </w:rPr>
        <w:t>A contracted service provider must not encourage a voucher-holder to select and pay for a partially subsidised device where an approved hearing device available to the voucher holder free of charge under the voucher system would reasonably meet the voucher-holder’s hearing rehabilitation needs</w:t>
      </w:r>
      <w:r w:rsidR="0012244E">
        <w:t>.</w:t>
      </w:r>
      <w:r w:rsidR="00861A4A">
        <w:t>’</w:t>
      </w:r>
      <w:r w:rsidR="00C759C5">
        <w:rPr>
          <w:rStyle w:val="FootnoteReference"/>
        </w:rPr>
        <w:footnoteReference w:id="114"/>
      </w:r>
      <w:r w:rsidR="0076031E">
        <w:t xml:space="preserve"> </w:t>
      </w:r>
      <w:r w:rsidR="00CE7567">
        <w:t xml:space="preserve">Fully subsidised devices </w:t>
      </w:r>
      <w:r w:rsidR="00C53902">
        <w:t>may be associated with a</w:t>
      </w:r>
      <w:r w:rsidR="00A51F45">
        <w:t xml:space="preserve">n annual </w:t>
      </w:r>
      <w:r w:rsidR="00C53902">
        <w:t xml:space="preserve">maintenance </w:t>
      </w:r>
      <w:r w:rsidR="00A5740B">
        <w:t xml:space="preserve">co-payment </w:t>
      </w:r>
      <w:r w:rsidR="00A038F1">
        <w:t xml:space="preserve">as defined in the Schedule of Fees </w:t>
      </w:r>
      <w:r w:rsidR="00A5740B">
        <w:t xml:space="preserve">(approximately $50). </w:t>
      </w:r>
      <w:r w:rsidR="00A51F45">
        <w:t xml:space="preserve">Partially subsidised devices </w:t>
      </w:r>
      <w:r w:rsidR="009E112E">
        <w:t xml:space="preserve">may have a higher annual maintenance fee which is </w:t>
      </w:r>
      <w:r w:rsidR="00996656">
        <w:t>set by the provider.</w:t>
      </w:r>
      <w:r w:rsidR="00A72B98">
        <w:t xml:space="preserve"> Hence, for voucher holders selecting a fully subsidised device, there are limited out-of-pocket cost</w:t>
      </w:r>
      <w:r w:rsidR="000B435E">
        <w:t>s, and where costs occur, are primarily set by the Australian Government.</w:t>
      </w:r>
      <w:r w:rsidR="004B7D4A">
        <w:t xml:space="preserve"> </w:t>
      </w:r>
      <w:r w:rsidR="00CA1313">
        <w:t xml:space="preserve">Voucher stream services may be provided by </w:t>
      </w:r>
      <w:r w:rsidR="00321B60">
        <w:t xml:space="preserve">contracted private providers or </w:t>
      </w:r>
      <w:r w:rsidR="00830753">
        <w:t>Hearing Australia (a corporate Commonwealth entity).</w:t>
      </w:r>
      <w:r w:rsidR="00544503">
        <w:rPr>
          <w:rStyle w:val="FootnoteReference"/>
        </w:rPr>
        <w:footnoteReference w:id="115"/>
      </w:r>
    </w:p>
    <w:p w14:paraId="4381133C" w14:textId="77777777" w:rsidR="00584FEF" w:rsidRDefault="00890AC6" w:rsidP="006A3D60">
      <w:pPr>
        <w:pStyle w:val="ListBullet"/>
      </w:pPr>
      <w:r w:rsidRPr="007176F0">
        <w:rPr>
          <w:b/>
          <w:bCs/>
        </w:rPr>
        <w:t>CSO Stream</w:t>
      </w:r>
      <w:r>
        <w:t xml:space="preserve">: </w:t>
      </w:r>
      <w:r w:rsidR="0053259F">
        <w:t xml:space="preserve">Key </w:t>
      </w:r>
      <w:r w:rsidR="00584FEF">
        <w:t xml:space="preserve">patient groups eligible for the CSO stream </w:t>
      </w:r>
      <w:r w:rsidR="00F62C09">
        <w:t>include</w:t>
      </w:r>
      <w:r w:rsidR="00584FEF">
        <w:t>:</w:t>
      </w:r>
    </w:p>
    <w:p w14:paraId="1815513C" w14:textId="0DD8CAAA" w:rsidR="00AA05C1" w:rsidRDefault="00F62C09" w:rsidP="00584FEF">
      <w:pPr>
        <w:pStyle w:val="BulletList2Column"/>
      </w:pPr>
      <w:r>
        <w:t>aged under 26 years</w:t>
      </w:r>
      <w:r w:rsidR="00C74DA4">
        <w:t xml:space="preserve"> (i.e. children and young adults with a </w:t>
      </w:r>
      <w:r w:rsidR="000A31DD">
        <w:t>permanent or long term hearing loss)</w:t>
      </w:r>
    </w:p>
    <w:p w14:paraId="6D17EC1B" w14:textId="7557FB6B" w:rsidR="00AA05C1" w:rsidRDefault="00B03677" w:rsidP="00D354FE">
      <w:pPr>
        <w:pStyle w:val="BulletList2Column"/>
      </w:pPr>
      <w:r>
        <w:t>Aboriginal or Torres Strait Islander aged 50 years and over</w:t>
      </w:r>
    </w:p>
    <w:p w14:paraId="75A05687" w14:textId="652D47B5" w:rsidR="00D354FE" w:rsidRDefault="008A0C90" w:rsidP="00D354FE">
      <w:pPr>
        <w:pStyle w:val="BulletList2Column"/>
      </w:pPr>
      <w:r>
        <w:t>eligible for the voucher scheme and either:</w:t>
      </w:r>
    </w:p>
    <w:p w14:paraId="725F184C" w14:textId="660D6337" w:rsidR="008A0C90" w:rsidRDefault="008A0C90" w:rsidP="008A0C90">
      <w:pPr>
        <w:pStyle w:val="BulletList2Column"/>
        <w:numPr>
          <w:ilvl w:val="2"/>
          <w:numId w:val="5"/>
        </w:numPr>
      </w:pPr>
      <w:r>
        <w:t xml:space="preserve">live in a remote area </w:t>
      </w:r>
    </w:p>
    <w:p w14:paraId="67C1A139" w14:textId="4E9F2A0F" w:rsidR="008A0C90" w:rsidRDefault="008A0C90" w:rsidP="008A0C90">
      <w:pPr>
        <w:pStyle w:val="BulletList2Column"/>
        <w:numPr>
          <w:ilvl w:val="2"/>
          <w:numId w:val="5"/>
        </w:numPr>
      </w:pPr>
      <w:r>
        <w:t>require specialist hearing services</w:t>
      </w:r>
      <w:r w:rsidR="00966E11">
        <w:t xml:space="preserve"> (including th</w:t>
      </w:r>
      <w:r w:rsidR="009C1969">
        <w:t>ose who have hearing loss and severe communication impairment).</w:t>
      </w:r>
    </w:p>
    <w:p w14:paraId="0E12B98A" w14:textId="0A70AE77" w:rsidR="004E689B" w:rsidRDefault="00DD7430" w:rsidP="007176F0">
      <w:pPr>
        <w:pStyle w:val="ListBullet"/>
        <w:numPr>
          <w:ilvl w:val="0"/>
          <w:numId w:val="0"/>
        </w:numPr>
        <w:ind w:left="360"/>
      </w:pPr>
      <w:r>
        <w:t xml:space="preserve">Specified products and services </w:t>
      </w:r>
      <w:r w:rsidR="005D5EFC">
        <w:t>are provided at no cost to these patients.</w:t>
      </w:r>
      <w:r w:rsidR="00747FBD">
        <w:rPr>
          <w:rStyle w:val="FootnoteReference"/>
        </w:rPr>
        <w:footnoteReference w:id="116"/>
      </w:r>
      <w:r w:rsidR="005D5EFC">
        <w:t xml:space="preserve"> </w:t>
      </w:r>
      <w:r w:rsidR="004E689B">
        <w:t xml:space="preserve">Hearing Australia is the </w:t>
      </w:r>
      <w:r w:rsidR="004043FA">
        <w:t>sole provider of services under the CSO stream</w:t>
      </w:r>
      <w:r w:rsidR="000A31DD">
        <w:t>.</w:t>
      </w:r>
    </w:p>
    <w:p w14:paraId="27050E10" w14:textId="78FB49EA" w:rsidR="00FC549D" w:rsidRDefault="00CF62C7" w:rsidP="005D5EFC">
      <w:pPr>
        <w:pStyle w:val="ListBullet"/>
      </w:pPr>
      <w:r>
        <w:rPr>
          <w:b/>
          <w:bCs/>
        </w:rPr>
        <w:t xml:space="preserve">Regulatory </w:t>
      </w:r>
      <w:r w:rsidR="00574914">
        <w:rPr>
          <w:b/>
          <w:bCs/>
        </w:rPr>
        <w:t xml:space="preserve">requirements for audiologists to access funding: </w:t>
      </w:r>
      <w:r w:rsidR="008A4DA6">
        <w:t xml:space="preserve">In order to provide services to eligible HSP clients, audiologists (and audiometrists) are required to be either a Qualified Practitioner (QP) or a provisional practitioner under the supervision of a QP. Requirements include being a member of a recognised PPB in an approved membership category (where approved categories require current clinical certification) and compliance with the PPB </w:t>
      </w:r>
      <w:r w:rsidR="008A4DA6" w:rsidRPr="00752033">
        <w:rPr>
          <w:i/>
          <w:iCs/>
        </w:rPr>
        <w:t>Code of Conduct</w:t>
      </w:r>
      <w:r w:rsidR="008A4DA6">
        <w:t xml:space="preserve"> and </w:t>
      </w:r>
      <w:r w:rsidR="008A4DA6" w:rsidRPr="00752033">
        <w:rPr>
          <w:i/>
          <w:iCs/>
        </w:rPr>
        <w:t>Scope of Practice</w:t>
      </w:r>
      <w:r w:rsidR="008A4DA6">
        <w:t>.</w:t>
      </w:r>
      <w:r w:rsidR="008A4DA6">
        <w:rPr>
          <w:rStyle w:val="FootnoteReference"/>
        </w:rPr>
        <w:footnoteReference w:id="117"/>
      </w:r>
      <w:r w:rsidR="008A4DA6">
        <w:t xml:space="preserve"> </w:t>
      </w:r>
      <w:r w:rsidR="00764050">
        <w:t xml:space="preserve">Hence, </w:t>
      </w:r>
      <w:r w:rsidR="00FA3DAA">
        <w:t>given the size</w:t>
      </w:r>
      <w:r w:rsidR="00EE63D0">
        <w:t xml:space="preserve"> of the HSP program this is a major incentive for</w:t>
      </w:r>
      <w:r w:rsidR="00FD71ED">
        <w:t xml:space="preserve"> </w:t>
      </w:r>
      <w:r w:rsidR="00BB4683">
        <w:t xml:space="preserve">private sector </w:t>
      </w:r>
      <w:r w:rsidR="00FD71ED">
        <w:t>audiologists to comply with HSP regulatory requirements.</w:t>
      </w:r>
    </w:p>
    <w:p w14:paraId="26CFC008" w14:textId="43B136C2" w:rsidR="005645D4" w:rsidRDefault="005645D4" w:rsidP="007176F0">
      <w:pPr>
        <w:pStyle w:val="ListBullet"/>
        <w:numPr>
          <w:ilvl w:val="0"/>
          <w:numId w:val="0"/>
        </w:numPr>
      </w:pPr>
      <w:r>
        <w:t xml:space="preserve">It is noted here (and returned to in Section </w:t>
      </w:r>
      <w:r w:rsidR="00AA76E6">
        <w:fldChar w:fldCharType="begin"/>
      </w:r>
      <w:r w:rsidR="00AA76E6">
        <w:instrText xml:space="preserve"> REF _Ref191644031 \r \h </w:instrText>
      </w:r>
      <w:r w:rsidR="00AA76E6">
        <w:fldChar w:fldCharType="separate"/>
      </w:r>
      <w:r w:rsidR="00F32107">
        <w:t>9.2.4.1</w:t>
      </w:r>
      <w:r w:rsidR="00AA76E6">
        <w:fldChar w:fldCharType="end"/>
      </w:r>
      <w:r>
        <w:t xml:space="preserve">), that there </w:t>
      </w:r>
      <w:r w:rsidR="00BD15CA">
        <w:t xml:space="preserve">are limited HSP items which specify </w:t>
      </w:r>
      <w:r w:rsidR="005066D4">
        <w:t>that a provider must be an audiologist to claim</w:t>
      </w:r>
      <w:r w:rsidR="00725DE4">
        <w:t xml:space="preserve">, as distinct from an audiometrist. </w:t>
      </w:r>
      <w:r w:rsidR="00B96B25">
        <w:t>D</w:t>
      </w:r>
      <w:r w:rsidR="004101C8">
        <w:t xml:space="preserve">ue to the </w:t>
      </w:r>
      <w:r w:rsidR="00B537F6">
        <w:t xml:space="preserve">complexity of their patient load Hearing </w:t>
      </w:r>
      <w:r w:rsidR="00DB1C09">
        <w:t>Australia</w:t>
      </w:r>
      <w:r w:rsidR="00B537F6">
        <w:t xml:space="preserve"> stated that their workforce is almost exclusively comprised of audiologists.</w:t>
      </w:r>
      <w:r w:rsidR="001F04DE">
        <w:t xml:space="preserve"> Hearing Australia</w:t>
      </w:r>
      <w:r w:rsidR="00C7161A">
        <w:t xml:space="preserve"> employs approximately 500 audiologists</w:t>
      </w:r>
      <w:r w:rsidR="001961EA">
        <w:t>.</w:t>
      </w:r>
    </w:p>
    <w:p w14:paraId="36918046" w14:textId="094D83DA" w:rsidR="00665309" w:rsidRPr="00537852" w:rsidRDefault="00665309" w:rsidP="007176F0">
      <w:pPr>
        <w:pStyle w:val="Heading4"/>
      </w:pPr>
      <w:r>
        <w:t>Medicare</w:t>
      </w:r>
    </w:p>
    <w:p w14:paraId="4B8D79F5" w14:textId="61025061" w:rsidR="005C4AD3" w:rsidRPr="00A63C67" w:rsidRDefault="00AC7521" w:rsidP="007176F0">
      <w:pPr>
        <w:pStyle w:val="BodyText"/>
        <w:rPr>
          <w:b/>
          <w:bCs/>
        </w:rPr>
      </w:pPr>
      <w:r>
        <w:t>Medicare has a series of diagnostic audiology item codes that are able to be</w:t>
      </w:r>
      <w:r w:rsidR="002F7C08">
        <w:t xml:space="preserve"> claimed by audio</w:t>
      </w:r>
      <w:r w:rsidR="007B5107">
        <w:t>logists</w:t>
      </w:r>
      <w:r w:rsidR="00B645B6">
        <w:t xml:space="preserve">, and audiologists may </w:t>
      </w:r>
      <w:r w:rsidR="00C25E2B">
        <w:t xml:space="preserve">perform </w:t>
      </w:r>
      <w:r w:rsidR="008D3C4C">
        <w:t>services on behalf of a medical practitioner or specialist or consultant physician</w:t>
      </w:r>
      <w:r w:rsidR="007D1958">
        <w:t xml:space="preserve">. Most items require a referral from a </w:t>
      </w:r>
      <w:r w:rsidR="00B645B6">
        <w:t>medical practitioner</w:t>
      </w:r>
      <w:r w:rsidR="00E231DE">
        <w:t xml:space="preserve"> in order to claim funding, though several selected </w:t>
      </w:r>
      <w:r w:rsidR="00EF7B9E">
        <w:t>items do not.</w:t>
      </w:r>
      <w:r w:rsidR="00496859">
        <w:rPr>
          <w:rStyle w:val="FootnoteReference"/>
        </w:rPr>
        <w:footnoteReference w:id="118"/>
      </w:r>
      <w:r w:rsidR="008D3C4C">
        <w:t xml:space="preserve"> </w:t>
      </w:r>
      <w:r w:rsidR="0006418D">
        <w:t>Professional fees are able to be set for these services, where charges in</w:t>
      </w:r>
      <w:r w:rsidR="0099567D">
        <w:t xml:space="preserve"> excess of the Medicare benefit </w:t>
      </w:r>
      <w:r w:rsidR="00EF6AD6">
        <w:t>paid as out-of-pocket costs.</w:t>
      </w:r>
    </w:p>
    <w:p w14:paraId="3C9B0AE8" w14:textId="5E496A2D" w:rsidR="008A4DA6" w:rsidRDefault="007B5107" w:rsidP="005C4AD3">
      <w:pPr>
        <w:pStyle w:val="ListBullet"/>
      </w:pPr>
      <w:r>
        <w:rPr>
          <w:b/>
          <w:bCs/>
        </w:rPr>
        <w:t>Regulatory requirements for audiologists to</w:t>
      </w:r>
      <w:r w:rsidR="00EE31E5">
        <w:rPr>
          <w:b/>
          <w:bCs/>
        </w:rPr>
        <w:t xml:space="preserve"> access funding:</w:t>
      </w:r>
      <w:r>
        <w:rPr>
          <w:b/>
          <w:bCs/>
        </w:rPr>
        <w:t xml:space="preserve"> </w:t>
      </w:r>
      <w:r w:rsidR="008A4DA6">
        <w:t xml:space="preserve">To claim audiology Medicare items, audiologists are required to be a Full Member of </w:t>
      </w:r>
      <w:r w:rsidR="00EE31E5">
        <w:t>Audiology Australia who is an Audiology Australia Accredited Audiologist</w:t>
      </w:r>
      <w:r w:rsidR="008A4DA6">
        <w:t xml:space="preserve"> or an Ordinary Member</w:t>
      </w:r>
      <w:r w:rsidR="001B45CB">
        <w:t xml:space="preserve"> Audiologist or </w:t>
      </w:r>
      <w:r w:rsidR="008A4DA6">
        <w:t xml:space="preserve">Fellow </w:t>
      </w:r>
      <w:r w:rsidR="001B45CB">
        <w:t>A</w:t>
      </w:r>
      <w:r w:rsidR="008A4DA6">
        <w:t>udiologist of the Australian College of Audiology.</w:t>
      </w:r>
      <w:r w:rsidR="008A4DA6">
        <w:rPr>
          <w:rStyle w:val="FootnoteReference"/>
        </w:rPr>
        <w:footnoteReference w:id="119"/>
      </w:r>
    </w:p>
    <w:p w14:paraId="5B1DAF51" w14:textId="2BD90FDE" w:rsidR="00822A11" w:rsidRDefault="00822A11" w:rsidP="007176F0">
      <w:pPr>
        <w:pStyle w:val="BodyText"/>
      </w:pPr>
      <w:r>
        <w:t>Med</w:t>
      </w:r>
      <w:r w:rsidR="00B21214">
        <w:t xml:space="preserve">icare also </w:t>
      </w:r>
      <w:r w:rsidR="0088603F">
        <w:t xml:space="preserve">funds </w:t>
      </w:r>
      <w:r w:rsidR="009D10C9">
        <w:t>First Nations-specific</w:t>
      </w:r>
      <w:r w:rsidR="003C24CB">
        <w:t xml:space="preserve"> Health Checks, which </w:t>
      </w:r>
      <w:r w:rsidR="003A2AB8">
        <w:t>for certain age groups should include an ear examination and/or a hearing assessment.</w:t>
      </w:r>
      <w:r w:rsidR="00763039">
        <w:rPr>
          <w:rStyle w:val="FootnoteReference"/>
        </w:rPr>
        <w:footnoteReference w:id="120"/>
      </w:r>
      <w:r w:rsidR="003A2AB8">
        <w:t xml:space="preserve"> </w:t>
      </w:r>
      <w:r w:rsidR="009D10C9">
        <w:t>These</w:t>
      </w:r>
      <w:r w:rsidR="002C5A7A">
        <w:t xml:space="preserve"> health checks may be free at </w:t>
      </w:r>
      <w:r w:rsidR="006A5D01">
        <w:t>Aboriginal Medical Services or bulk-billing clinics.</w:t>
      </w:r>
      <w:r w:rsidR="006A5D01">
        <w:rPr>
          <w:rStyle w:val="FootnoteReference"/>
        </w:rPr>
        <w:footnoteReference w:id="121"/>
      </w:r>
      <w:r w:rsidR="009D10C9">
        <w:t xml:space="preserve"> </w:t>
      </w:r>
    </w:p>
    <w:p w14:paraId="4621857F" w14:textId="08CAD4F9" w:rsidR="00C610AD" w:rsidRDefault="00C610AD" w:rsidP="006F08F8">
      <w:pPr>
        <w:pStyle w:val="Heading4"/>
      </w:pPr>
      <w:r>
        <w:t>National Disability Insurance Scheme</w:t>
      </w:r>
      <w:r w:rsidR="00AA35BE">
        <w:t xml:space="preserve"> (NDIS)</w:t>
      </w:r>
    </w:p>
    <w:p w14:paraId="06E57AFA" w14:textId="51DE4E35" w:rsidR="000D6226" w:rsidRDefault="000D6226" w:rsidP="00C610AD">
      <w:pPr>
        <w:pStyle w:val="BodyText"/>
      </w:pPr>
      <w:r>
        <w:t>The</w:t>
      </w:r>
      <w:r w:rsidR="00037609">
        <w:t xml:space="preserve"> NDIS funds</w:t>
      </w:r>
      <w:r>
        <w:t>:</w:t>
      </w:r>
      <w:r w:rsidR="006A5FC2">
        <w:rPr>
          <w:rStyle w:val="FootnoteReference"/>
        </w:rPr>
        <w:footnoteReference w:id="122"/>
      </w:r>
    </w:p>
    <w:p w14:paraId="776C8A8A" w14:textId="77777777" w:rsidR="000D6226" w:rsidRDefault="00037609" w:rsidP="000D6226">
      <w:pPr>
        <w:pStyle w:val="ListBullet"/>
      </w:pPr>
      <w:r>
        <w:t>hearing supports for NDIS participants aged 26 and over who are not eligible for the HSP</w:t>
      </w:r>
    </w:p>
    <w:p w14:paraId="4322529F" w14:textId="56F01313" w:rsidR="00C610AD" w:rsidRPr="007176F0" w:rsidRDefault="00037609" w:rsidP="007176F0">
      <w:pPr>
        <w:pStyle w:val="ListBullet"/>
      </w:pPr>
      <w:r>
        <w:t xml:space="preserve">additional reasonable </w:t>
      </w:r>
      <w:r w:rsidR="006C23D0">
        <w:t>hearing supports for participants if they are not available through the HSP</w:t>
      </w:r>
      <w:r w:rsidR="00B11EF8">
        <w:t xml:space="preserve"> (including people under 26 years). </w:t>
      </w:r>
    </w:p>
    <w:p w14:paraId="6961C84A" w14:textId="38063589" w:rsidR="005C5781" w:rsidRPr="007176F0" w:rsidRDefault="007101B5" w:rsidP="00C610AD">
      <w:pPr>
        <w:pStyle w:val="BodyText"/>
      </w:pPr>
      <w:r>
        <w:t xml:space="preserve">Audiologists are able </w:t>
      </w:r>
      <w:r w:rsidR="00B021BE">
        <w:t>provide services under Specialist Hearing Services, Hearing Services or Therapeutics Support categories,</w:t>
      </w:r>
      <w:r w:rsidR="00304179">
        <w:t xml:space="preserve"> as well as claim for hearing related assistive technology under ‘Hearing Equipment’. </w:t>
      </w:r>
      <w:r w:rsidR="008D6AC0">
        <w:t xml:space="preserve">Audiometrists are able to claim for services under </w:t>
      </w:r>
      <w:r w:rsidR="0002058E">
        <w:t>the Hearing</w:t>
      </w:r>
      <w:r w:rsidR="00B66850">
        <w:t xml:space="preserve"> </w:t>
      </w:r>
      <w:r w:rsidR="0002058E">
        <w:t xml:space="preserve">Services and Hearing Equipment. </w:t>
      </w:r>
      <w:r w:rsidR="003F3095">
        <w:t xml:space="preserve">Price limits are set </w:t>
      </w:r>
      <w:r w:rsidR="005E178B">
        <w:t xml:space="preserve">for audiologist </w:t>
      </w:r>
      <w:r w:rsidR="00B96B25">
        <w:t>and au</w:t>
      </w:r>
      <w:r w:rsidR="00F842FD">
        <w:t xml:space="preserve">diometrist hearing services, with audiologist services </w:t>
      </w:r>
      <w:r w:rsidR="007878CC">
        <w:t>set at a higher limit.</w:t>
      </w:r>
      <w:r w:rsidR="00623C05">
        <w:rPr>
          <w:rStyle w:val="FootnoteReference"/>
        </w:rPr>
        <w:footnoteReference w:id="123"/>
      </w:r>
    </w:p>
    <w:p w14:paraId="644D7339" w14:textId="78AAE8A3" w:rsidR="00C610AD" w:rsidRPr="00C610AD" w:rsidRDefault="00C610AD" w:rsidP="007176F0">
      <w:pPr>
        <w:pStyle w:val="BodyText"/>
      </w:pPr>
      <w:r w:rsidRPr="00DA7FE9">
        <w:rPr>
          <w:b/>
          <w:bCs/>
        </w:rPr>
        <w:t>Regulatory requirements for audiologists to access funding</w:t>
      </w:r>
      <w:r>
        <w:t xml:space="preserve">: </w:t>
      </w:r>
      <w:r w:rsidR="0002058E">
        <w:t xml:space="preserve">Audiologists must be </w:t>
      </w:r>
      <w:r w:rsidR="001D754D">
        <w:t xml:space="preserve">an Audiology Australia Accredited Audiologist; or a </w:t>
      </w:r>
      <w:r w:rsidR="002E60E8">
        <w:t>‘</w:t>
      </w:r>
      <w:r w:rsidR="001D754D">
        <w:t>Full Member – Audiologist</w:t>
      </w:r>
      <w:r w:rsidR="002E60E8">
        <w:t>’</w:t>
      </w:r>
      <w:r w:rsidR="001D754D">
        <w:t xml:space="preserve"> of the Australian College of Audiology.</w:t>
      </w:r>
    </w:p>
    <w:p w14:paraId="02ECDED5" w14:textId="77777777" w:rsidR="00CA5E3B" w:rsidRDefault="00CA5E3B" w:rsidP="00CA5E3B">
      <w:pPr>
        <w:pStyle w:val="Heading4"/>
      </w:pPr>
      <w:r>
        <w:t>Hearing Assessment Program – Early Ears (HAPEE)</w:t>
      </w:r>
    </w:p>
    <w:p w14:paraId="542D369E" w14:textId="77777777" w:rsidR="00CA5E3B" w:rsidRDefault="00CA5E3B" w:rsidP="00CA5E3B">
      <w:pPr>
        <w:pStyle w:val="BodyText"/>
        <w:rPr>
          <w:lang w:eastAsia="en-AU"/>
        </w:rPr>
      </w:pPr>
      <w:r>
        <w:rPr>
          <w:lang w:eastAsia="en-AU"/>
        </w:rPr>
        <w:t>The Australian Government funds free ear health checks and hearing tests for First Nations children aged 0-6 that do not yet attend full-time school. Initial ear health checks are performed by primary care professionals, with Hearing Australia audiologists providing hearing tests for children who may be at risk. Hearing Australia undertook clinical assessments of 10,742 First Nations children in FY2023-24 across 263 communities.</w:t>
      </w:r>
      <w:r>
        <w:rPr>
          <w:rStyle w:val="FootnoteReference"/>
          <w:lang w:eastAsia="en-AU"/>
        </w:rPr>
        <w:footnoteReference w:id="124"/>
      </w:r>
    </w:p>
    <w:p w14:paraId="65952FCD" w14:textId="6ABFFA7C" w:rsidR="00CA5E3B" w:rsidRPr="00DA7FE9" w:rsidRDefault="00CA5E3B" w:rsidP="00CA5E3B">
      <w:pPr>
        <w:pStyle w:val="BodyText"/>
        <w:rPr>
          <w:lang w:eastAsia="en-AU"/>
        </w:rPr>
      </w:pPr>
      <w:r w:rsidRPr="00DA7FE9">
        <w:rPr>
          <w:b/>
          <w:bCs/>
          <w:lang w:eastAsia="en-AU"/>
        </w:rPr>
        <w:t>Regulatory requirements for audiologists to access funding</w:t>
      </w:r>
      <w:r>
        <w:rPr>
          <w:lang w:eastAsia="en-AU"/>
        </w:rPr>
        <w:t xml:space="preserve">: Hearing Australia audiologists are subject to the regulatory requirements of the HSP. </w:t>
      </w:r>
    </w:p>
    <w:p w14:paraId="61DD0DD3" w14:textId="492C5E11" w:rsidR="00A8083C" w:rsidRPr="007176F0" w:rsidRDefault="006F08F8" w:rsidP="007176F0">
      <w:pPr>
        <w:pStyle w:val="Heading4"/>
      </w:pPr>
      <w:r>
        <w:t>State and Territory Government</w:t>
      </w:r>
      <w:r w:rsidR="00611C0B">
        <w:t xml:space="preserve"> hospital systems</w:t>
      </w:r>
    </w:p>
    <w:p w14:paraId="4797C7BC" w14:textId="3713403F" w:rsidR="0052437F" w:rsidRDefault="008F4BF3" w:rsidP="00B13CE0">
      <w:pPr>
        <w:pStyle w:val="BodyText"/>
      </w:pPr>
      <w:r>
        <w:t>State and territory governments administer</w:t>
      </w:r>
      <w:r w:rsidR="00611C0B">
        <w:t xml:space="preserve"> hospital-based care</w:t>
      </w:r>
      <w:r w:rsidR="00676AC2">
        <w:t xml:space="preserve"> (emergency departments,</w:t>
      </w:r>
      <w:r w:rsidR="008D1469">
        <w:t xml:space="preserve"> </w:t>
      </w:r>
      <w:r w:rsidR="00906BED">
        <w:t>admitted patient services, non-admitted patient services</w:t>
      </w:r>
      <w:r w:rsidR="00747B69">
        <w:t>)</w:t>
      </w:r>
      <w:r w:rsidR="0052437F">
        <w:t xml:space="preserve"> funded under the National Health Reform Agreement</w:t>
      </w:r>
      <w:r w:rsidR="001273EA">
        <w:t xml:space="preserve"> according to </w:t>
      </w:r>
      <w:r w:rsidR="00BA623E">
        <w:t xml:space="preserve">activity-based funding. </w:t>
      </w:r>
    </w:p>
    <w:p w14:paraId="2F248E54" w14:textId="77D19C31" w:rsidR="0052437F" w:rsidRDefault="00BA623E" w:rsidP="0052437F">
      <w:pPr>
        <w:pStyle w:val="BodyText"/>
      </w:pPr>
      <w:r w:rsidRPr="007176F0">
        <w:rPr>
          <w:b/>
          <w:bCs/>
        </w:rPr>
        <w:t>Regulatory requirements for audiologists to access funding</w:t>
      </w:r>
      <w:r>
        <w:t xml:space="preserve">: </w:t>
      </w:r>
      <w:r w:rsidR="0052437F">
        <w:t>Public sector employers do not have membership and/or current clinical certification with a PPB as a minimum employment standard. Jurisdictions advised that the employment frameworks do not support the imposition of an ‘accreditation’-type requirement on non-registered health practitioner employees. A requirement for certification for audiologists is likely to set a precedent for requiring mandatory certification for the other self-regulated allied health profession employed by public health services. Instead, jurisdictions have a university qualification requirement, with some stating an additional requirement for ‘eligibility for membership with AudA’. As a result, public sector audiologists may not be within the scope of the HPCCB if they are not a member and/or clinically certified with a PPB. However, the eligibility requirement would exclude an audiologist who had been subject to sanctions by either PPB, given mutual sanction notifications.</w:t>
      </w:r>
    </w:p>
    <w:p w14:paraId="2AB53053" w14:textId="4F038BFD" w:rsidR="006F08F8" w:rsidRDefault="00245481" w:rsidP="007176F0">
      <w:pPr>
        <w:pStyle w:val="Heading4"/>
      </w:pPr>
      <w:r>
        <w:t>Healthy Ears, Better Hearing, Better Listening (HEBHBL)</w:t>
      </w:r>
      <w:r w:rsidR="00F637D5">
        <w:t xml:space="preserve"> and National Partnership on Northern Territory Remote Aboriginal Investment (NTRAI)</w:t>
      </w:r>
    </w:p>
    <w:p w14:paraId="6BD2C4D7" w14:textId="417B18FD" w:rsidR="00245481" w:rsidRDefault="00BD4B1D" w:rsidP="00BD4B1D">
      <w:pPr>
        <w:pStyle w:val="BodyText"/>
      </w:pPr>
      <w:r>
        <w:t xml:space="preserve">The HEBHBL program </w:t>
      </w:r>
      <w:r w:rsidR="00ED0D12">
        <w:t xml:space="preserve">provides funding </w:t>
      </w:r>
      <w:r w:rsidR="00C156D7">
        <w:t>for</w:t>
      </w:r>
      <w:r w:rsidR="00ED2498">
        <w:t xml:space="preserve"> outreach services </w:t>
      </w:r>
      <w:r w:rsidR="00D41424">
        <w:t xml:space="preserve">to screen and treat First Nations children and young people </w:t>
      </w:r>
      <w:r w:rsidR="009A6FAD">
        <w:t>for ear and hearing problems</w:t>
      </w:r>
      <w:r w:rsidR="004E6A16">
        <w:t xml:space="preserve"> up to age 21</w:t>
      </w:r>
      <w:r w:rsidR="009A6FAD">
        <w:t>. Funded by the Australian Government</w:t>
      </w:r>
      <w:r w:rsidR="00ED2498">
        <w:t xml:space="preserve"> </w:t>
      </w:r>
      <w:r w:rsidR="008675B9">
        <w:t xml:space="preserve">and managed by </w:t>
      </w:r>
      <w:r w:rsidR="00D55509">
        <w:t>State and Territory</w:t>
      </w:r>
      <w:r w:rsidR="007B6F5F">
        <w:t xml:space="preserve"> workforce organisations, the program:</w:t>
      </w:r>
      <w:r w:rsidR="002B5C31">
        <w:rPr>
          <w:rStyle w:val="FootnoteReference"/>
        </w:rPr>
        <w:footnoteReference w:id="125"/>
      </w:r>
    </w:p>
    <w:p w14:paraId="02C115FB" w14:textId="7FCF5769" w:rsidR="00ED2498" w:rsidRDefault="003B3E78" w:rsidP="00ED2498">
      <w:pPr>
        <w:pStyle w:val="ListBullet"/>
      </w:pPr>
      <w:r>
        <w:t>co-ordinates participation in service delivery</w:t>
      </w:r>
    </w:p>
    <w:p w14:paraId="470B88E1" w14:textId="7F59B67A" w:rsidR="003B3E78" w:rsidRDefault="003B3E78" w:rsidP="00ED2498">
      <w:pPr>
        <w:pStyle w:val="ListBullet"/>
      </w:pPr>
      <w:r>
        <w:t>fund</w:t>
      </w:r>
      <w:r w:rsidR="00BE68C1">
        <w:t>s</w:t>
      </w:r>
      <w:r>
        <w:t xml:space="preserve"> travel and accommodation</w:t>
      </w:r>
    </w:p>
    <w:p w14:paraId="64292C57" w14:textId="1BD6C19F" w:rsidR="003B3E78" w:rsidRDefault="003B3E78" w:rsidP="00ED2498">
      <w:pPr>
        <w:pStyle w:val="ListBullet"/>
      </w:pPr>
      <w:r>
        <w:t>backfill</w:t>
      </w:r>
      <w:r w:rsidR="00BE68C1">
        <w:t>s</w:t>
      </w:r>
      <w:r>
        <w:t xml:space="preserve"> salaried medical staff and pay</w:t>
      </w:r>
      <w:r w:rsidR="00DE09FE">
        <w:t>s</w:t>
      </w:r>
      <w:r>
        <w:t xml:space="preserve"> allowances for absences from practice.</w:t>
      </w:r>
    </w:p>
    <w:p w14:paraId="6C9D4701" w14:textId="1B45B758" w:rsidR="00F80E0B" w:rsidRDefault="00617DA8">
      <w:pPr>
        <w:pStyle w:val="ListBullet"/>
        <w:numPr>
          <w:ilvl w:val="0"/>
          <w:numId w:val="0"/>
        </w:numPr>
      </w:pPr>
      <w:r>
        <w:t xml:space="preserve">In </w:t>
      </w:r>
      <w:r w:rsidR="000B2B63">
        <w:t xml:space="preserve">FY2022-23, </w:t>
      </w:r>
      <w:r w:rsidR="00230B26">
        <w:t xml:space="preserve">audiologists provided approximately a quarter </w:t>
      </w:r>
      <w:r w:rsidR="009D2CAF">
        <w:t xml:space="preserve">(9,000) </w:t>
      </w:r>
      <w:r w:rsidR="00230B26">
        <w:t>of services</w:t>
      </w:r>
      <w:r w:rsidR="002313F7">
        <w:t xml:space="preserve"> delivered (other professionals included speech pathologists, ENT specialists, </w:t>
      </w:r>
      <w:r w:rsidR="00A0024D">
        <w:t xml:space="preserve">and </w:t>
      </w:r>
      <w:r w:rsidR="002313F7">
        <w:t xml:space="preserve">Aboriginal </w:t>
      </w:r>
      <w:r w:rsidR="00A0024D">
        <w:t xml:space="preserve">and Torres Strait Islander Health Workers). </w:t>
      </w:r>
      <w:r w:rsidR="00F80E0B">
        <w:t xml:space="preserve">From </w:t>
      </w:r>
      <w:r w:rsidR="00C30FAD">
        <w:t xml:space="preserve">stakeholder observations of </w:t>
      </w:r>
      <w:r w:rsidR="001D39AB">
        <w:t xml:space="preserve">service delivery, it was noted that audiologists </w:t>
      </w:r>
      <w:r w:rsidR="0018234C">
        <w:t xml:space="preserve">can face issues accessing funding once on-site at </w:t>
      </w:r>
      <w:r w:rsidR="001D39AB">
        <w:t>ACCHO</w:t>
      </w:r>
      <w:r w:rsidR="00B71531">
        <w:t xml:space="preserve">s </w:t>
      </w:r>
      <w:r w:rsidR="0018234C">
        <w:t xml:space="preserve">due to issues such as Medicare item claiming restrictions, and as such the funding provided under </w:t>
      </w:r>
      <w:r w:rsidR="00B71531">
        <w:t xml:space="preserve">the program </w:t>
      </w:r>
      <w:r w:rsidR="00672353">
        <w:t>is</w:t>
      </w:r>
      <w:r w:rsidR="00B71531">
        <w:t xml:space="preserve"> important to the feasibility of service delivery. </w:t>
      </w:r>
      <w:r w:rsidR="002907A1">
        <w:t xml:space="preserve">Funding provided under this program </w:t>
      </w:r>
      <w:r w:rsidR="00673792">
        <w:t xml:space="preserve">is primarily </w:t>
      </w:r>
      <w:r w:rsidR="00582A42">
        <w:t xml:space="preserve">set rather than negotiated </w:t>
      </w:r>
      <w:r w:rsidR="00C02423">
        <w:t xml:space="preserve">with the practitioner </w:t>
      </w:r>
      <w:r w:rsidR="00673792">
        <w:t xml:space="preserve">due to the calculation of eligible benefits (e.g., </w:t>
      </w:r>
      <w:r w:rsidR="00582A42">
        <w:t>allowances per km travelled).</w:t>
      </w:r>
      <w:r w:rsidR="002907A1">
        <w:t xml:space="preserve"> </w:t>
      </w:r>
      <w:r w:rsidR="00D26BF3">
        <w:t xml:space="preserve">HEBHBL is not delivered in </w:t>
      </w:r>
      <w:r w:rsidR="003025A9">
        <w:t>the ACT or NT – in NT the Australian Government funds the NTRAI</w:t>
      </w:r>
      <w:r w:rsidR="00010422">
        <w:t>, where 1,956 audiology services were provided in calendar year 2022.</w:t>
      </w:r>
    </w:p>
    <w:p w14:paraId="781A8B3C" w14:textId="6E932F81" w:rsidR="00037AF6" w:rsidRPr="007176F0" w:rsidRDefault="00037AF6" w:rsidP="00D26BF3">
      <w:pPr>
        <w:pStyle w:val="ListBullet"/>
        <w:numPr>
          <w:ilvl w:val="0"/>
          <w:numId w:val="0"/>
        </w:numPr>
      </w:pPr>
      <w:r>
        <w:rPr>
          <w:b/>
          <w:bCs/>
        </w:rPr>
        <w:t xml:space="preserve">Regulatory requirements for audiologists: </w:t>
      </w:r>
      <w:r w:rsidR="008F27DC">
        <w:t>For HEBHBL, a</w:t>
      </w:r>
      <w:r w:rsidR="0036569F">
        <w:t>udiologists must hold recognised educations qualifications</w:t>
      </w:r>
      <w:r w:rsidR="008137E9">
        <w:t xml:space="preserve">. </w:t>
      </w:r>
      <w:r w:rsidR="008B07E8">
        <w:t>The fundholder is directed that</w:t>
      </w:r>
      <w:r w:rsidR="00E12E46">
        <w:t xml:space="preserve"> they must ensure that</w:t>
      </w:r>
      <w:r w:rsidR="008B07E8">
        <w:t xml:space="preserve"> </w:t>
      </w:r>
      <w:r w:rsidR="00E12E46">
        <w:t>clinicians</w:t>
      </w:r>
      <w:r w:rsidR="008B07E8">
        <w:t xml:space="preserve"> </w:t>
      </w:r>
      <w:r w:rsidR="00E12E46">
        <w:t>that</w:t>
      </w:r>
      <w:r w:rsidR="008B07E8">
        <w:t xml:space="preserve"> will rely on </w:t>
      </w:r>
      <w:r w:rsidR="00E12E46">
        <w:t xml:space="preserve">Medicare billing </w:t>
      </w:r>
      <w:r w:rsidR="007B1159">
        <w:t>meet the eligibility requirements to access MBS items.</w:t>
      </w:r>
      <w:r w:rsidR="007B1159">
        <w:rPr>
          <w:rStyle w:val="FootnoteReference"/>
        </w:rPr>
        <w:footnoteReference w:id="126"/>
      </w:r>
    </w:p>
    <w:p w14:paraId="64E9D012" w14:textId="35CCF010" w:rsidR="000301AB" w:rsidRDefault="008A4DA6" w:rsidP="007176F0">
      <w:pPr>
        <w:pStyle w:val="Heading4"/>
      </w:pPr>
      <w:r w:rsidRPr="00CC2990">
        <w:t xml:space="preserve">Private </w:t>
      </w:r>
      <w:r w:rsidR="000301AB">
        <w:t>health insurance</w:t>
      </w:r>
      <w:r>
        <w:t xml:space="preserve"> </w:t>
      </w:r>
    </w:p>
    <w:p w14:paraId="22FE4D62" w14:textId="18CEA91C" w:rsidR="008A4DA6" w:rsidRDefault="000301AB" w:rsidP="007176F0">
      <w:pPr>
        <w:pStyle w:val="ListBullet"/>
        <w:numPr>
          <w:ilvl w:val="0"/>
          <w:numId w:val="0"/>
        </w:numPr>
      </w:pPr>
      <w:r>
        <w:t>Private health insurance may be used to</w:t>
      </w:r>
      <w:r w:rsidR="008F27DC">
        <w:t xml:space="preserve"> reduce out-of-pocket costs for health goods or services. </w:t>
      </w:r>
      <w:r w:rsidR="008A4DA6">
        <w:t xml:space="preserve">The following legislative arrangements apply to private health insurance, where the qualification requirements for audiologists are a Full Member of </w:t>
      </w:r>
      <w:r w:rsidR="00784CFC">
        <w:t>Audiology Australia</w:t>
      </w:r>
      <w:r w:rsidR="008A4DA6">
        <w:t xml:space="preserve"> and </w:t>
      </w:r>
      <w:r w:rsidR="00395EF2">
        <w:t>current clinical certification</w:t>
      </w:r>
      <w:r w:rsidR="008A4DA6">
        <w:t xml:space="preserve"> or </w:t>
      </w:r>
      <w:r w:rsidR="00395EF2">
        <w:t>a Full/Ordinary Member or Fellow member</w:t>
      </w:r>
      <w:r w:rsidR="008A4DA6">
        <w:t xml:space="preserve"> of the Australian College of Audiology</w:t>
      </w:r>
      <w:r w:rsidR="00395EF2">
        <w:t>, with Hearing Rehabilitation Specialist and Diagnostic Rehabilitation Specialist competencies</w:t>
      </w:r>
      <w:r w:rsidR="005D1395">
        <w:t>:</w:t>
      </w:r>
    </w:p>
    <w:p w14:paraId="10EB800C" w14:textId="77777777" w:rsidR="008A4DA6" w:rsidRPr="00CD5A8C" w:rsidRDefault="008A4DA6" w:rsidP="008A4DA6">
      <w:pPr>
        <w:pStyle w:val="BulletList2Column"/>
        <w:rPr>
          <w:i/>
          <w:iCs/>
        </w:rPr>
      </w:pPr>
      <w:r w:rsidRPr="00CD5A8C">
        <w:rPr>
          <w:i/>
          <w:iCs/>
        </w:rPr>
        <w:t>Private Health Insurance (Accreditation) Rules 2011</w:t>
      </w:r>
    </w:p>
    <w:p w14:paraId="359BFEDD" w14:textId="77777777" w:rsidR="008A4DA6" w:rsidRPr="00CD5A8C" w:rsidRDefault="008A4DA6" w:rsidP="008A4DA6">
      <w:pPr>
        <w:pStyle w:val="BulletList2Column"/>
        <w:rPr>
          <w:i/>
          <w:iCs/>
        </w:rPr>
      </w:pPr>
      <w:r w:rsidRPr="00CD5A8C">
        <w:rPr>
          <w:i/>
          <w:iCs/>
        </w:rPr>
        <w:t>Health Insurance Regulations 2018</w:t>
      </w:r>
    </w:p>
    <w:p w14:paraId="0E480952" w14:textId="65179186" w:rsidR="008A4DA6" w:rsidRDefault="00CD6A6A" w:rsidP="008A4DA6">
      <w:pPr>
        <w:pStyle w:val="BulletList2Column"/>
        <w:rPr>
          <w:i/>
          <w:iCs/>
        </w:rPr>
      </w:pPr>
      <w:r>
        <w:rPr>
          <w:i/>
          <w:iCs/>
        </w:rPr>
        <w:t>Health Insurance (Section 3C General Medical Services – Allied Health Serv</w:t>
      </w:r>
      <w:r w:rsidR="00540545">
        <w:rPr>
          <w:i/>
          <w:iCs/>
        </w:rPr>
        <w:t>ic</w:t>
      </w:r>
      <w:r>
        <w:rPr>
          <w:i/>
          <w:iCs/>
        </w:rPr>
        <w:t>es) Determination 2024</w:t>
      </w:r>
      <w:r w:rsidR="008A4DA6" w:rsidRPr="00CD5A8C">
        <w:rPr>
          <w:i/>
          <w:iCs/>
        </w:rPr>
        <w:t xml:space="preserve">. </w:t>
      </w:r>
    </w:p>
    <w:p w14:paraId="46988142" w14:textId="2F960B1B" w:rsidR="0092681D" w:rsidRDefault="0092681D" w:rsidP="007176F0">
      <w:pPr>
        <w:pStyle w:val="Heading4"/>
      </w:pPr>
      <w:r>
        <w:t>Summary</w:t>
      </w:r>
    </w:p>
    <w:p w14:paraId="7C9A5824" w14:textId="5436B4C5" w:rsidR="008A4DA6" w:rsidRDefault="00ED7B52" w:rsidP="008A4DA6">
      <w:pPr>
        <w:pStyle w:val="BodyText"/>
      </w:pPr>
      <w:r>
        <w:t>O</w:t>
      </w:r>
      <w:r w:rsidR="0092681D">
        <w:t>verall, s</w:t>
      </w:r>
      <w:r w:rsidR="008A4DA6">
        <w:t>takeholders observed that due to these requirements it would be financially difficult to practise in the private sector without PPB membership and/or ongoing current clinical certification</w:t>
      </w:r>
      <w:r w:rsidR="0092681D">
        <w:t>, due to its impacts on the ability to claim a range of services including HSP</w:t>
      </w:r>
      <w:r w:rsidR="00FA1C35">
        <w:t>, Medicare and NDIS</w:t>
      </w:r>
      <w:r w:rsidR="008A4DA6">
        <w:t xml:space="preserve">. Hence, professional sanctions which would remove the ability to claim for these services were perceived to be a serious penalty. In the instance that audiologists are not able to claim for these services, patients could be charged higher fees in order to compensate the audiologist for government funding they are not able to </w:t>
      </w:r>
      <w:r w:rsidR="00C80619">
        <w:t>claim</w:t>
      </w:r>
      <w:r w:rsidR="008A4DA6">
        <w:t>.</w:t>
      </w:r>
    </w:p>
    <w:p w14:paraId="082D10DE" w14:textId="2FD9451E" w:rsidR="008E7B91" w:rsidRDefault="008E7B91" w:rsidP="00952457">
      <w:pPr>
        <w:pStyle w:val="Heading2"/>
      </w:pPr>
      <w:bookmarkStart w:id="79" w:name="_Toc191573713"/>
      <w:bookmarkStart w:id="80" w:name="_Toc191573714"/>
      <w:bookmarkStart w:id="81" w:name="_Toc198138579"/>
      <w:bookmarkEnd w:id="79"/>
      <w:bookmarkEnd w:id="80"/>
      <w:r>
        <w:t xml:space="preserve">Comparison of </w:t>
      </w:r>
      <w:r w:rsidRPr="00D7681B">
        <w:t>regulation</w:t>
      </w:r>
      <w:bookmarkEnd w:id="77"/>
      <w:bookmarkEnd w:id="81"/>
    </w:p>
    <w:p w14:paraId="43ECC14E" w14:textId="6A1BAE5E" w:rsidR="008E7B91" w:rsidRDefault="0094063F" w:rsidP="00D7681B">
      <w:pPr>
        <w:pStyle w:val="BodyText"/>
      </w:pPr>
      <w:r>
        <w:t xml:space="preserve">This Decision RIS presents </w:t>
      </w:r>
      <w:r w:rsidR="00116C56">
        <w:t xml:space="preserve">the following </w:t>
      </w:r>
      <w:r>
        <w:t xml:space="preserve">information in relation to </w:t>
      </w:r>
      <w:r w:rsidR="00116C56">
        <w:t xml:space="preserve">a comparison of regulation between: </w:t>
      </w:r>
    </w:p>
    <w:p w14:paraId="6CC0B110" w14:textId="1FE18488" w:rsidR="008E7B91" w:rsidRDefault="008E7B91" w:rsidP="00D7681B">
      <w:pPr>
        <w:pStyle w:val="ListBullet"/>
      </w:pPr>
      <w:r>
        <w:t>audiologists and comparator professions (optometry and speech pathology)</w:t>
      </w:r>
      <w:r w:rsidR="00116C56">
        <w:t xml:space="preserve"> in Australia</w:t>
      </w:r>
    </w:p>
    <w:p w14:paraId="3755A9F3" w14:textId="079762B8" w:rsidR="008E7B91" w:rsidRPr="00570EBB" w:rsidRDefault="00116C56" w:rsidP="00D7681B">
      <w:pPr>
        <w:pStyle w:val="ListBullet"/>
      </w:pPr>
      <w:r>
        <w:t xml:space="preserve">audiologists and comparator professions </w:t>
      </w:r>
      <w:r w:rsidR="00802E4A">
        <w:t xml:space="preserve">in select international </w:t>
      </w:r>
      <w:r w:rsidR="005B19D6">
        <w:t>jurisdictions</w:t>
      </w:r>
      <w:r w:rsidR="008E7B91">
        <w:t>.</w:t>
      </w:r>
    </w:p>
    <w:p w14:paraId="6C65A1EC" w14:textId="7D399370" w:rsidR="008E7B91" w:rsidRDefault="008E7B91" w:rsidP="00952457">
      <w:pPr>
        <w:pStyle w:val="Heading3"/>
      </w:pPr>
      <w:bookmarkStart w:id="82" w:name="_Toc171324736"/>
      <w:bookmarkStart w:id="83" w:name="_Toc198138580"/>
      <w:r>
        <w:t xml:space="preserve">Audiologists and </w:t>
      </w:r>
      <w:r w:rsidRPr="00D7681B">
        <w:t>comparator</w:t>
      </w:r>
      <w:r>
        <w:t xml:space="preserve"> professions</w:t>
      </w:r>
      <w:bookmarkEnd w:id="82"/>
      <w:r w:rsidR="001F1BC5">
        <w:t xml:space="preserve"> in Australia</w:t>
      </w:r>
      <w:bookmarkEnd w:id="83"/>
    </w:p>
    <w:p w14:paraId="276984D8" w14:textId="77777777" w:rsidR="00A75359" w:rsidRDefault="00802E4A" w:rsidP="00D7681B">
      <w:pPr>
        <w:pStyle w:val="BodyText"/>
      </w:pPr>
      <w:r>
        <w:t xml:space="preserve">The following </w:t>
      </w:r>
      <w:r w:rsidR="00A75359">
        <w:t>comparator professions are discussed for audiology:</w:t>
      </w:r>
    </w:p>
    <w:p w14:paraId="40BBA2E8" w14:textId="377C6B76" w:rsidR="00A75359" w:rsidRDefault="008E7B91" w:rsidP="00A75359">
      <w:pPr>
        <w:pStyle w:val="ListBullet"/>
      </w:pPr>
      <w:r>
        <w:t>speech patholo</w:t>
      </w:r>
      <w:r w:rsidR="00A75359">
        <w:t xml:space="preserve">gy due to </w:t>
      </w:r>
      <w:r w:rsidR="00C257C5">
        <w:t>its</w:t>
      </w:r>
      <w:r w:rsidR="00370823">
        <w:t xml:space="preserve"> similarity of practice in relation to a focus on communication</w:t>
      </w:r>
    </w:p>
    <w:p w14:paraId="0CD00EBD" w14:textId="1E351797" w:rsidR="00370823" w:rsidRDefault="00370823" w:rsidP="00A75359">
      <w:pPr>
        <w:pStyle w:val="ListBullet"/>
      </w:pPr>
      <w:r>
        <w:t xml:space="preserve">optometry due to </w:t>
      </w:r>
      <w:r w:rsidR="00D131C2">
        <w:t>its</w:t>
      </w:r>
      <w:r>
        <w:t xml:space="preserve"> treatment of conditions related to a sense (e.g., seeing</w:t>
      </w:r>
      <w:r w:rsidR="00090C26">
        <w:t xml:space="preserve">/hearing) and similarities in relation to the provision of care in commercial environments. </w:t>
      </w:r>
    </w:p>
    <w:p w14:paraId="687BC613" w14:textId="77777777" w:rsidR="008E7B91" w:rsidRDefault="008E7B91" w:rsidP="00952457">
      <w:pPr>
        <w:pStyle w:val="Heading4"/>
      </w:pPr>
      <w:r>
        <w:t>Optometry</w:t>
      </w:r>
    </w:p>
    <w:p w14:paraId="6F6AA576" w14:textId="3DD28D04" w:rsidR="008E7B91" w:rsidRDefault="008E7B91" w:rsidP="00D7681B">
      <w:pPr>
        <w:pStyle w:val="BodyText"/>
      </w:pPr>
      <w:r>
        <w:t xml:space="preserve">Optometry is included in the </w:t>
      </w:r>
      <w:r w:rsidR="00727452">
        <w:t>National Scheme</w:t>
      </w:r>
      <w:r>
        <w:t xml:space="preserve"> as one of the initial professions included. According to the </w:t>
      </w:r>
      <w:r w:rsidR="002929A4" w:rsidRPr="002929A4">
        <w:rPr>
          <w:i/>
          <w:iCs/>
        </w:rPr>
        <w:t>Risk Factor Assessment for Health Professions under the National Registration and Accreditation Scheme</w:t>
      </w:r>
      <w:r>
        <w:t>, optometrists meet 3 out of 13 criteria (equal lowest with pharmacists and psychologists):</w:t>
      </w:r>
      <w:r>
        <w:rPr>
          <w:rStyle w:val="FootnoteReference"/>
        </w:rPr>
        <w:footnoteReference w:id="127"/>
      </w:r>
    </w:p>
    <w:p w14:paraId="695A828C" w14:textId="77777777" w:rsidR="008E7B91" w:rsidRPr="005F7E8E" w:rsidRDefault="008E7B91" w:rsidP="00D7681B">
      <w:pPr>
        <w:pStyle w:val="ListBullet"/>
      </w:pPr>
      <w:r w:rsidRPr="005F7E8E">
        <w:t>Prescribing a scheduled drug, supplying a scheduled drug (includes compounding), supervising that part of a pharmacy that dispenses scheduled drugs</w:t>
      </w:r>
    </w:p>
    <w:p w14:paraId="504F173D" w14:textId="77777777" w:rsidR="008E7B91" w:rsidRDefault="008E7B91" w:rsidP="00D7681B">
      <w:pPr>
        <w:pStyle w:val="ListBullet"/>
      </w:pPr>
      <w:r>
        <w:t>Primary care practitioners who see patients with or without a referral from a registered practitioner</w:t>
      </w:r>
    </w:p>
    <w:p w14:paraId="053B6BF6" w14:textId="77777777" w:rsidR="008E7B91" w:rsidRDefault="008E7B91" w:rsidP="00D7681B">
      <w:pPr>
        <w:pStyle w:val="ListBullet"/>
      </w:pPr>
      <w:r>
        <w:t>Treatment commonly occurs without others present (includes practitioners who practice solo or treat with no others present).</w:t>
      </w:r>
    </w:p>
    <w:p w14:paraId="53A965F4" w14:textId="1267B999" w:rsidR="008E7B91" w:rsidRPr="005F7E8E" w:rsidRDefault="008E7B91" w:rsidP="00D7681B">
      <w:pPr>
        <w:pStyle w:val="BodyText"/>
      </w:pPr>
      <w:r>
        <w:t xml:space="preserve">It is noted that optical dispensers that interpret prescriptions and fit/service frames and lenses are not included in the </w:t>
      </w:r>
      <w:r w:rsidR="00A36E4B">
        <w:t>National Scheme</w:t>
      </w:r>
      <w:r>
        <w:t>.</w:t>
      </w:r>
    </w:p>
    <w:p w14:paraId="24B91437" w14:textId="77777777" w:rsidR="008E7B91" w:rsidRDefault="008E7B91" w:rsidP="00952457">
      <w:pPr>
        <w:pStyle w:val="Heading4"/>
      </w:pPr>
      <w:r>
        <w:t xml:space="preserve">Speech </w:t>
      </w:r>
      <w:r w:rsidRPr="00D7681B">
        <w:t>pathologists</w:t>
      </w:r>
    </w:p>
    <w:p w14:paraId="6B493BE6" w14:textId="02AFB838" w:rsidR="008E7B91" w:rsidRDefault="008E7B91" w:rsidP="00D7681B">
      <w:pPr>
        <w:pStyle w:val="BodyText"/>
      </w:pPr>
      <w:r>
        <w:t>Speech pathology is a self-regulated profession, with Speech Pathology Australia as a peak professional body.</w:t>
      </w:r>
      <w:r w:rsidR="00507F66">
        <w:rPr>
          <w:rStyle w:val="FootnoteReference"/>
        </w:rPr>
        <w:footnoteReference w:id="128"/>
      </w:r>
      <w:r>
        <w:t xml:space="preserve"> Certified Practising Speech Pathologist credentialling with Speech Pathology Australia is required to be an approved provider for health funding schemes (e.g., Medicare). Speech Pathology Australia is also a member of NASRHP. </w:t>
      </w:r>
    </w:p>
    <w:p w14:paraId="71789E2C" w14:textId="77777777" w:rsidR="00E73060" w:rsidRDefault="00E73060" w:rsidP="00E73060">
      <w:pPr>
        <w:pStyle w:val="Heading3"/>
      </w:pPr>
      <w:bookmarkStart w:id="84" w:name="_Toc198138581"/>
      <w:r>
        <w:t>International comparison of audiologists and comparator professions</w:t>
      </w:r>
      <w:bookmarkEnd w:id="84"/>
    </w:p>
    <w:p w14:paraId="3B58E7DC" w14:textId="561BE9D5" w:rsidR="00E73060" w:rsidRPr="00D7681B" w:rsidRDefault="00E73060" w:rsidP="00E73060">
      <w:pPr>
        <w:pStyle w:val="BodyText"/>
      </w:pPr>
      <w:r>
        <w:fldChar w:fldCharType="begin"/>
      </w:r>
      <w:r>
        <w:instrText xml:space="preserve"> REF _Ref172042138 \h </w:instrText>
      </w:r>
      <w:r>
        <w:fldChar w:fldCharType="separate"/>
      </w:r>
      <w:r w:rsidR="00F32107">
        <w:t xml:space="preserve">Table </w:t>
      </w:r>
      <w:r w:rsidR="00F32107">
        <w:rPr>
          <w:noProof/>
        </w:rPr>
        <w:t>2</w:t>
      </w:r>
      <w:r w:rsidR="00F32107">
        <w:t>.</w:t>
      </w:r>
      <w:r w:rsidR="00F32107">
        <w:rPr>
          <w:noProof/>
        </w:rPr>
        <w:t>6</w:t>
      </w:r>
      <w:r>
        <w:fldChar w:fldCharType="end"/>
      </w:r>
      <w:r w:rsidRPr="00D7681B">
        <w:t xml:space="preserve"> summarises the type of health workforce regulation that audiologists</w:t>
      </w:r>
      <w:r>
        <w:t xml:space="preserve"> and comparator professions</w:t>
      </w:r>
      <w:r w:rsidRPr="00D7681B">
        <w:t xml:space="preserve"> face in international jurisdictions.</w:t>
      </w:r>
    </w:p>
    <w:p w14:paraId="5CC3AFB9" w14:textId="77777777" w:rsidR="00E73060" w:rsidRDefault="00E73060" w:rsidP="00E73060">
      <w:pPr>
        <w:pStyle w:val="BodyText"/>
      </w:pPr>
    </w:p>
    <w:p w14:paraId="5A392D03" w14:textId="77777777" w:rsidR="00E73060" w:rsidRDefault="00E73060" w:rsidP="00E73060">
      <w:pPr>
        <w:pStyle w:val="BodyText"/>
        <w:sectPr w:rsidR="00E73060" w:rsidSect="007F4E7D">
          <w:pgSz w:w="11906" w:h="16838" w:code="9"/>
          <w:pgMar w:top="1531" w:right="1531" w:bottom="1531" w:left="1531" w:header="709" w:footer="709" w:gutter="0"/>
          <w:cols w:space="708"/>
          <w:docGrid w:linePitch="360"/>
        </w:sectPr>
      </w:pPr>
    </w:p>
    <w:p w14:paraId="5E80C001" w14:textId="3AA76816" w:rsidR="00E73060" w:rsidRDefault="00E73060" w:rsidP="00E73060">
      <w:pPr>
        <w:pStyle w:val="Caption"/>
        <w:keepNext/>
      </w:pPr>
      <w:bookmarkStart w:id="85" w:name="_Ref172042138"/>
      <w:r>
        <w:t xml:space="preserve">Table </w:t>
      </w:r>
      <w:fldSimple w:instr=" STYLEREF 1 \s ">
        <w:r w:rsidR="00F32107">
          <w:rPr>
            <w:noProof/>
          </w:rPr>
          <w:t>2</w:t>
        </w:r>
      </w:fldSimple>
      <w:r w:rsidR="008944FB">
        <w:t>.</w:t>
      </w:r>
      <w:fldSimple w:instr=" SEQ Table \* ARABIC \s 1 ">
        <w:r w:rsidR="00F32107">
          <w:rPr>
            <w:noProof/>
          </w:rPr>
          <w:t>6</w:t>
        </w:r>
      </w:fldSimple>
      <w:bookmarkEnd w:id="85"/>
      <w:r>
        <w:t xml:space="preserve"> International examples of allied health and audiology regulation</w:t>
      </w:r>
    </w:p>
    <w:tbl>
      <w:tblPr>
        <w:tblStyle w:val="BodyTable"/>
        <w:tblW w:w="14552" w:type="dxa"/>
        <w:tblLook w:val="04A0" w:firstRow="1" w:lastRow="0" w:firstColumn="1" w:lastColumn="0" w:noHBand="0" w:noVBand="1"/>
      </w:tblPr>
      <w:tblGrid>
        <w:gridCol w:w="757"/>
        <w:gridCol w:w="2787"/>
        <w:gridCol w:w="3544"/>
        <w:gridCol w:w="3260"/>
        <w:gridCol w:w="3970"/>
        <w:gridCol w:w="234"/>
      </w:tblGrid>
      <w:tr w:rsidR="00E73060" w:rsidRPr="004C5DBA" w14:paraId="6C014D3E" w14:textId="77777777">
        <w:trPr>
          <w:cnfStyle w:val="100000000000" w:firstRow="1" w:lastRow="0" w:firstColumn="0" w:lastColumn="0" w:oddVBand="0" w:evenVBand="0" w:oddHBand="0" w:evenHBand="0" w:firstRowFirstColumn="0" w:firstRowLastColumn="0" w:lastRowFirstColumn="0" w:lastRowLastColumn="0"/>
          <w:cantSplit/>
          <w:trHeight w:val="337"/>
          <w:tblHeader/>
        </w:trPr>
        <w:tc>
          <w:tcPr>
            <w:tcW w:w="757" w:type="dxa"/>
          </w:tcPr>
          <w:p w14:paraId="0C52C021" w14:textId="77777777" w:rsidR="00E73060" w:rsidRPr="004C5DBA" w:rsidRDefault="00E73060">
            <w:pPr>
              <w:spacing w:line="240" w:lineRule="auto"/>
              <w:rPr>
                <w:b/>
                <w:sz w:val="16"/>
                <w:szCs w:val="16"/>
              </w:rPr>
            </w:pPr>
            <w:r w:rsidRPr="004C5DBA">
              <w:rPr>
                <w:b/>
                <w:sz w:val="16"/>
                <w:szCs w:val="16"/>
              </w:rPr>
              <w:t>Country</w:t>
            </w:r>
          </w:p>
        </w:tc>
        <w:tc>
          <w:tcPr>
            <w:tcW w:w="2787" w:type="dxa"/>
          </w:tcPr>
          <w:p w14:paraId="5DA17CB1" w14:textId="77777777" w:rsidR="00E73060" w:rsidRPr="004C5DBA" w:rsidRDefault="00E73060">
            <w:pPr>
              <w:spacing w:line="240" w:lineRule="auto"/>
              <w:rPr>
                <w:b/>
                <w:sz w:val="16"/>
                <w:szCs w:val="16"/>
              </w:rPr>
            </w:pPr>
            <w:r w:rsidRPr="004C5DBA">
              <w:rPr>
                <w:b/>
                <w:sz w:val="16"/>
                <w:szCs w:val="16"/>
              </w:rPr>
              <w:t>How are allied health professions regulated?</w:t>
            </w:r>
          </w:p>
        </w:tc>
        <w:tc>
          <w:tcPr>
            <w:tcW w:w="3544" w:type="dxa"/>
          </w:tcPr>
          <w:p w14:paraId="17396FD0" w14:textId="77777777" w:rsidR="00E73060" w:rsidRPr="004C5DBA" w:rsidRDefault="00E73060">
            <w:pPr>
              <w:spacing w:line="240" w:lineRule="auto"/>
              <w:rPr>
                <w:b/>
                <w:sz w:val="16"/>
                <w:szCs w:val="16"/>
              </w:rPr>
            </w:pPr>
            <w:r w:rsidRPr="004C5DBA">
              <w:rPr>
                <w:b/>
                <w:sz w:val="16"/>
                <w:szCs w:val="16"/>
              </w:rPr>
              <w:t>How are audiologists regulated?</w:t>
            </w:r>
          </w:p>
        </w:tc>
        <w:tc>
          <w:tcPr>
            <w:tcW w:w="3260" w:type="dxa"/>
          </w:tcPr>
          <w:p w14:paraId="11834C6B" w14:textId="77777777" w:rsidR="00E73060" w:rsidRPr="004C5DBA" w:rsidRDefault="00E73060">
            <w:pPr>
              <w:spacing w:line="240" w:lineRule="auto"/>
              <w:rPr>
                <w:b/>
                <w:bCs/>
                <w:sz w:val="16"/>
                <w:szCs w:val="16"/>
              </w:rPr>
            </w:pPr>
            <w:r w:rsidRPr="004C5DBA">
              <w:rPr>
                <w:b/>
                <w:bCs/>
                <w:sz w:val="16"/>
                <w:szCs w:val="16"/>
              </w:rPr>
              <w:t>How are speech pathologists and optometrists regulated?</w:t>
            </w:r>
          </w:p>
        </w:tc>
        <w:tc>
          <w:tcPr>
            <w:tcW w:w="3970" w:type="dxa"/>
          </w:tcPr>
          <w:p w14:paraId="75174DC7" w14:textId="77777777" w:rsidR="00E73060" w:rsidRPr="004C5DBA" w:rsidRDefault="00E73060">
            <w:pPr>
              <w:spacing w:line="240" w:lineRule="auto"/>
              <w:rPr>
                <w:b/>
                <w:bCs/>
                <w:sz w:val="16"/>
                <w:szCs w:val="16"/>
              </w:rPr>
            </w:pPr>
            <w:r w:rsidRPr="004C5DBA">
              <w:rPr>
                <w:b/>
                <w:bCs/>
                <w:sz w:val="16"/>
                <w:szCs w:val="16"/>
              </w:rPr>
              <w:t>Comparison between specified country and Australia</w:t>
            </w:r>
          </w:p>
        </w:tc>
        <w:tc>
          <w:tcPr>
            <w:tcW w:w="234" w:type="dxa"/>
          </w:tcPr>
          <w:p w14:paraId="1A0FD23E" w14:textId="77777777" w:rsidR="00E73060" w:rsidRPr="004C5DBA" w:rsidRDefault="00E73060">
            <w:pPr>
              <w:spacing w:line="240" w:lineRule="auto"/>
              <w:rPr>
                <w:b/>
                <w:bCs/>
                <w:sz w:val="16"/>
                <w:szCs w:val="16"/>
              </w:rPr>
            </w:pPr>
          </w:p>
        </w:tc>
      </w:tr>
      <w:tr w:rsidR="00E73060" w:rsidRPr="004C5DBA" w14:paraId="2824FE6E" w14:textId="77777777">
        <w:trPr>
          <w:cantSplit/>
          <w:trHeight w:val="561"/>
        </w:trPr>
        <w:tc>
          <w:tcPr>
            <w:tcW w:w="757" w:type="dxa"/>
          </w:tcPr>
          <w:p w14:paraId="08FD309F" w14:textId="77777777" w:rsidR="00E73060" w:rsidRPr="004C5DBA" w:rsidRDefault="00E73060">
            <w:pPr>
              <w:spacing w:line="240" w:lineRule="auto"/>
              <w:rPr>
                <w:sz w:val="16"/>
                <w:szCs w:val="16"/>
              </w:rPr>
            </w:pPr>
            <w:r w:rsidRPr="004C5DBA">
              <w:rPr>
                <w:sz w:val="16"/>
                <w:szCs w:val="16"/>
              </w:rPr>
              <w:t xml:space="preserve">New Zealand </w:t>
            </w:r>
          </w:p>
        </w:tc>
        <w:tc>
          <w:tcPr>
            <w:tcW w:w="2787" w:type="dxa"/>
          </w:tcPr>
          <w:p w14:paraId="743F0938" w14:textId="77777777" w:rsidR="00E73060" w:rsidRPr="004C5DBA" w:rsidRDefault="00E73060">
            <w:pPr>
              <w:spacing w:line="240" w:lineRule="auto"/>
              <w:rPr>
                <w:sz w:val="16"/>
                <w:szCs w:val="16"/>
              </w:rPr>
            </w:pPr>
            <w:r w:rsidRPr="004C5DBA">
              <w:rPr>
                <w:sz w:val="16"/>
                <w:szCs w:val="16"/>
              </w:rPr>
              <w:t xml:space="preserve">The allied health workforce is regulated under either the </w:t>
            </w:r>
            <w:r w:rsidRPr="004C5DBA">
              <w:rPr>
                <w:i/>
                <w:sz w:val="16"/>
                <w:szCs w:val="16"/>
              </w:rPr>
              <w:t>Health Practitioners Competence Assurance Act 2003</w:t>
            </w:r>
            <w:r w:rsidRPr="004C5DBA">
              <w:rPr>
                <w:sz w:val="16"/>
                <w:szCs w:val="16"/>
              </w:rPr>
              <w:t xml:space="preserve"> (HPCA Act), the </w:t>
            </w:r>
            <w:r w:rsidRPr="004C5DBA">
              <w:rPr>
                <w:i/>
                <w:sz w:val="16"/>
                <w:szCs w:val="16"/>
              </w:rPr>
              <w:t>Social Workers Registration Act 2003</w:t>
            </w:r>
            <w:r w:rsidRPr="004C5DBA">
              <w:rPr>
                <w:sz w:val="16"/>
                <w:szCs w:val="16"/>
              </w:rPr>
              <w:t>, or are self-regulated by a professional body.</w:t>
            </w:r>
            <w:r w:rsidRPr="004C5DBA">
              <w:rPr>
                <w:rStyle w:val="FootnoteReference"/>
                <w:sz w:val="16"/>
                <w:szCs w:val="16"/>
              </w:rPr>
              <w:footnoteReference w:id="129"/>
            </w:r>
          </w:p>
        </w:tc>
        <w:tc>
          <w:tcPr>
            <w:tcW w:w="3544" w:type="dxa"/>
          </w:tcPr>
          <w:p w14:paraId="315191CC" w14:textId="77777777" w:rsidR="00E73060" w:rsidRPr="004C5DBA" w:rsidRDefault="00E73060">
            <w:pPr>
              <w:spacing w:line="240" w:lineRule="auto"/>
              <w:rPr>
                <w:sz w:val="16"/>
                <w:szCs w:val="16"/>
              </w:rPr>
            </w:pPr>
            <w:r w:rsidRPr="004C5DBA">
              <w:rPr>
                <w:sz w:val="16"/>
                <w:szCs w:val="16"/>
              </w:rPr>
              <w:t>Audiologists are self-regulated by the New Zealand Audiological Society (NZAS), which is the professional body for audiologists in New Zealand.</w:t>
            </w:r>
            <w:r w:rsidRPr="004C5DBA">
              <w:rPr>
                <w:rStyle w:val="FootnoteReference"/>
                <w:color w:val="000000" w:themeColor="text1"/>
                <w:sz w:val="16"/>
                <w:szCs w:val="16"/>
              </w:rPr>
              <w:footnoteReference w:id="130"/>
            </w:r>
            <w:r w:rsidRPr="004C5DBA">
              <w:rPr>
                <w:sz w:val="16"/>
                <w:szCs w:val="16"/>
              </w:rPr>
              <w:t xml:space="preserve"> Only audiologists who are full members of the NZAS can access the Ministry of Health's Hearing Aid Funding Scheme.</w:t>
            </w:r>
            <w:r w:rsidRPr="004C5DBA">
              <w:rPr>
                <w:rStyle w:val="FootnoteReference"/>
                <w:sz w:val="16"/>
                <w:szCs w:val="16"/>
              </w:rPr>
              <w:footnoteReference w:id="131"/>
            </w:r>
            <w:r w:rsidRPr="004C5DBA">
              <w:rPr>
                <w:sz w:val="16"/>
                <w:szCs w:val="16"/>
              </w:rPr>
              <w:t xml:space="preserve"> </w:t>
            </w:r>
          </w:p>
        </w:tc>
        <w:tc>
          <w:tcPr>
            <w:tcW w:w="3260" w:type="dxa"/>
          </w:tcPr>
          <w:p w14:paraId="2152FAAE" w14:textId="77777777" w:rsidR="00E73060" w:rsidRPr="004C5DBA" w:rsidRDefault="00E73060">
            <w:pPr>
              <w:spacing w:line="240" w:lineRule="auto"/>
              <w:rPr>
                <w:sz w:val="16"/>
                <w:szCs w:val="16"/>
              </w:rPr>
            </w:pPr>
            <w:r w:rsidRPr="004C5DBA">
              <w:rPr>
                <w:sz w:val="16"/>
                <w:szCs w:val="16"/>
              </w:rPr>
              <w:t>In New Zealand, speech pathology is self-regulated</w:t>
            </w:r>
            <w:r w:rsidRPr="004C5DBA">
              <w:rPr>
                <w:rStyle w:val="FootnoteReference"/>
                <w:sz w:val="16"/>
                <w:szCs w:val="16"/>
              </w:rPr>
              <w:footnoteReference w:id="132"/>
            </w:r>
            <w:r w:rsidRPr="004C5DBA">
              <w:rPr>
                <w:sz w:val="16"/>
                <w:szCs w:val="16"/>
              </w:rPr>
              <w:t xml:space="preserve"> whereas optometrists are included in the HPCA Act.</w:t>
            </w:r>
            <w:r w:rsidRPr="004C5DBA">
              <w:rPr>
                <w:rStyle w:val="FootnoteReference"/>
                <w:sz w:val="16"/>
                <w:szCs w:val="16"/>
              </w:rPr>
              <w:footnoteReference w:id="133"/>
            </w:r>
            <w:r w:rsidRPr="004C5DBA">
              <w:rPr>
                <w:sz w:val="16"/>
                <w:szCs w:val="16"/>
              </w:rPr>
              <w:t xml:space="preserve"> It is noted that optical dispensers are included in the HPCA Act as the Optometrists and Dispensing Opticians Board.</w:t>
            </w:r>
          </w:p>
        </w:tc>
        <w:tc>
          <w:tcPr>
            <w:tcW w:w="3970" w:type="dxa"/>
          </w:tcPr>
          <w:p w14:paraId="0767A833" w14:textId="77777777" w:rsidR="00E73060" w:rsidRPr="004C5DBA" w:rsidRDefault="00E73060">
            <w:pPr>
              <w:spacing w:line="240" w:lineRule="auto"/>
              <w:rPr>
                <w:sz w:val="16"/>
                <w:szCs w:val="16"/>
              </w:rPr>
            </w:pPr>
            <w:r w:rsidRPr="004C5DBA">
              <w:rPr>
                <w:sz w:val="16"/>
                <w:szCs w:val="16"/>
              </w:rPr>
              <w:t xml:space="preserve">The self-regulation of audiology is similar to Australia. There is strong similarity between the professions regulated under the HPCA Act and the </w:t>
            </w:r>
            <w:r>
              <w:rPr>
                <w:sz w:val="16"/>
                <w:szCs w:val="16"/>
              </w:rPr>
              <w:t>National Scheme</w:t>
            </w:r>
            <w:r w:rsidRPr="004C5DBA">
              <w:rPr>
                <w:sz w:val="16"/>
                <w:szCs w:val="16"/>
              </w:rPr>
              <w:t>, however with dieticians an example of an allied health profession included in the HPCA Act.</w:t>
            </w:r>
            <w:r w:rsidRPr="004C5DBA">
              <w:rPr>
                <w:rStyle w:val="FootnoteReference"/>
                <w:sz w:val="16"/>
                <w:szCs w:val="16"/>
              </w:rPr>
              <w:footnoteReference w:id="134"/>
            </w:r>
            <w:r w:rsidRPr="004C5DBA">
              <w:rPr>
                <w:sz w:val="16"/>
                <w:szCs w:val="16"/>
              </w:rPr>
              <w:t xml:space="preserve"> </w:t>
            </w:r>
          </w:p>
        </w:tc>
        <w:tc>
          <w:tcPr>
            <w:tcW w:w="234" w:type="dxa"/>
          </w:tcPr>
          <w:p w14:paraId="2EAC6ED7" w14:textId="77777777" w:rsidR="00E73060" w:rsidRPr="004C5DBA" w:rsidRDefault="00E73060">
            <w:pPr>
              <w:spacing w:line="240" w:lineRule="auto"/>
              <w:rPr>
                <w:sz w:val="16"/>
                <w:szCs w:val="16"/>
              </w:rPr>
            </w:pPr>
          </w:p>
        </w:tc>
      </w:tr>
      <w:tr w:rsidR="00E73060" w:rsidRPr="004C5DBA" w14:paraId="10A6B907" w14:textId="77777777">
        <w:trPr>
          <w:cantSplit/>
          <w:trHeight w:val="292"/>
        </w:trPr>
        <w:tc>
          <w:tcPr>
            <w:tcW w:w="757" w:type="dxa"/>
          </w:tcPr>
          <w:p w14:paraId="2E419103" w14:textId="77777777" w:rsidR="00E73060" w:rsidRPr="004C5DBA" w:rsidRDefault="00E73060">
            <w:pPr>
              <w:spacing w:line="240" w:lineRule="auto"/>
              <w:rPr>
                <w:sz w:val="16"/>
                <w:szCs w:val="16"/>
              </w:rPr>
            </w:pPr>
            <w:r w:rsidRPr="004C5DBA">
              <w:rPr>
                <w:sz w:val="16"/>
                <w:szCs w:val="16"/>
              </w:rPr>
              <w:t>United Kingdom</w:t>
            </w:r>
          </w:p>
        </w:tc>
        <w:tc>
          <w:tcPr>
            <w:tcW w:w="2787" w:type="dxa"/>
          </w:tcPr>
          <w:p w14:paraId="2464EBC5" w14:textId="77777777" w:rsidR="00E73060" w:rsidRPr="004C5DBA" w:rsidRDefault="00E73060">
            <w:pPr>
              <w:spacing w:line="240" w:lineRule="auto"/>
              <w:rPr>
                <w:sz w:val="16"/>
                <w:szCs w:val="16"/>
              </w:rPr>
            </w:pPr>
            <w:r w:rsidRPr="004C5DBA">
              <w:rPr>
                <w:sz w:val="16"/>
                <w:szCs w:val="16"/>
              </w:rPr>
              <w:t>The regulatory system in the UK includes a range of ‘Councils’, where a number of allied health professions are regulated under the Health &amp; Care Professions Council (HCPC).</w:t>
            </w:r>
            <w:r w:rsidRPr="004C5DBA">
              <w:rPr>
                <w:rStyle w:val="FootnoteReference"/>
                <w:sz w:val="16"/>
                <w:szCs w:val="16"/>
              </w:rPr>
              <w:footnoteReference w:id="135"/>
            </w:r>
            <w:r w:rsidRPr="004C5DBA">
              <w:rPr>
                <w:rStyle w:val="FootnoteReference"/>
                <w:color w:val="000000" w:themeColor="text1"/>
                <w:sz w:val="16"/>
                <w:szCs w:val="16"/>
              </w:rPr>
              <w:t xml:space="preserve"> </w:t>
            </w:r>
          </w:p>
        </w:tc>
        <w:tc>
          <w:tcPr>
            <w:tcW w:w="3544" w:type="dxa"/>
          </w:tcPr>
          <w:p w14:paraId="4EB5A993" w14:textId="77777777" w:rsidR="00E73060" w:rsidRPr="004C5DBA" w:rsidRDefault="00E73060">
            <w:pPr>
              <w:spacing w:line="240" w:lineRule="auto"/>
              <w:rPr>
                <w:sz w:val="16"/>
                <w:szCs w:val="16"/>
              </w:rPr>
            </w:pPr>
            <w:r w:rsidRPr="004C5DBA">
              <w:rPr>
                <w:sz w:val="16"/>
                <w:szCs w:val="16"/>
              </w:rPr>
              <w:t>Audiology is regulated by the HCPC under the ‘Clinical Scientist’ profession, alongside other professions including Clinical Genetics.</w:t>
            </w:r>
            <w:r w:rsidRPr="004C5DBA">
              <w:rPr>
                <w:rStyle w:val="FootnoteReference"/>
                <w:sz w:val="16"/>
                <w:szCs w:val="16"/>
              </w:rPr>
              <w:footnoteReference w:id="136"/>
            </w:r>
            <w:r w:rsidRPr="004C5DBA">
              <w:rPr>
                <w:sz w:val="16"/>
                <w:szCs w:val="16"/>
                <w:vertAlign w:val="superscript"/>
              </w:rPr>
              <w:t>,</w:t>
            </w:r>
            <w:r w:rsidRPr="004C5DBA">
              <w:rPr>
                <w:rStyle w:val="FootnoteReference"/>
                <w:sz w:val="16"/>
                <w:szCs w:val="16"/>
              </w:rPr>
              <w:footnoteReference w:id="137"/>
            </w:r>
            <w:r w:rsidRPr="004C5DBA">
              <w:rPr>
                <w:sz w:val="16"/>
                <w:szCs w:val="16"/>
              </w:rPr>
              <w:t xml:space="preserve"> The title of 'Clinical Scientist' is protected.</w:t>
            </w:r>
          </w:p>
        </w:tc>
        <w:tc>
          <w:tcPr>
            <w:tcW w:w="3260" w:type="dxa"/>
          </w:tcPr>
          <w:p w14:paraId="2A375168" w14:textId="77777777" w:rsidR="00E73060" w:rsidRPr="004C5DBA" w:rsidRDefault="00E73060">
            <w:pPr>
              <w:spacing w:line="240" w:lineRule="auto"/>
              <w:rPr>
                <w:sz w:val="16"/>
                <w:szCs w:val="16"/>
              </w:rPr>
            </w:pPr>
            <w:r w:rsidRPr="004C5DBA">
              <w:rPr>
                <w:sz w:val="16"/>
                <w:szCs w:val="16"/>
              </w:rPr>
              <w:t>The HCPC regulates speech therapists and speech and language therapists as protected titles.</w:t>
            </w:r>
            <w:r w:rsidRPr="004C5DBA">
              <w:rPr>
                <w:rStyle w:val="FootnoteReference"/>
                <w:sz w:val="16"/>
                <w:szCs w:val="16"/>
              </w:rPr>
              <w:footnoteReference w:id="138"/>
            </w:r>
            <w:r w:rsidRPr="004C5DBA">
              <w:rPr>
                <w:sz w:val="16"/>
                <w:szCs w:val="16"/>
              </w:rPr>
              <w:t>The General Optical Council regulates optometrists as well as dispensing opticians, and optical businesses.</w:t>
            </w:r>
            <w:r w:rsidRPr="004C5DBA">
              <w:rPr>
                <w:rStyle w:val="FootnoteReference"/>
                <w:sz w:val="16"/>
                <w:szCs w:val="16"/>
              </w:rPr>
              <w:footnoteReference w:id="139"/>
            </w:r>
            <w:r w:rsidRPr="004C5DBA">
              <w:rPr>
                <w:sz w:val="16"/>
                <w:szCs w:val="16"/>
              </w:rPr>
              <w:t xml:space="preserve"> </w:t>
            </w:r>
          </w:p>
        </w:tc>
        <w:tc>
          <w:tcPr>
            <w:tcW w:w="3970" w:type="dxa"/>
          </w:tcPr>
          <w:p w14:paraId="273AD6ED" w14:textId="77777777" w:rsidR="00E73060" w:rsidRPr="004C5DBA" w:rsidRDefault="00E73060">
            <w:pPr>
              <w:spacing w:line="240" w:lineRule="auto"/>
              <w:rPr>
                <w:sz w:val="16"/>
                <w:szCs w:val="16"/>
              </w:rPr>
            </w:pPr>
            <w:r w:rsidRPr="004C5DBA">
              <w:rPr>
                <w:sz w:val="16"/>
                <w:szCs w:val="16"/>
              </w:rPr>
              <w:t xml:space="preserve">Audiology is regulated alongside a number of other professions in the UK, unlike in Australia. In relation to consistency of approach between the two jurisdictions, professions included in the HCPC which are regulated under </w:t>
            </w:r>
            <w:r>
              <w:rPr>
                <w:sz w:val="16"/>
                <w:szCs w:val="16"/>
              </w:rPr>
              <w:t>National Scheme</w:t>
            </w:r>
            <w:r w:rsidRPr="004C5DBA">
              <w:rPr>
                <w:sz w:val="16"/>
                <w:szCs w:val="16"/>
              </w:rPr>
              <w:t xml:space="preserve"> include paramedics, physiotherapists and occupational therapists.</w:t>
            </w:r>
          </w:p>
        </w:tc>
        <w:tc>
          <w:tcPr>
            <w:tcW w:w="234" w:type="dxa"/>
          </w:tcPr>
          <w:p w14:paraId="17541B44" w14:textId="77777777" w:rsidR="00E73060" w:rsidRPr="004C5DBA" w:rsidRDefault="00E73060">
            <w:pPr>
              <w:spacing w:line="240" w:lineRule="auto"/>
              <w:rPr>
                <w:sz w:val="16"/>
                <w:szCs w:val="16"/>
              </w:rPr>
            </w:pPr>
          </w:p>
        </w:tc>
      </w:tr>
      <w:tr w:rsidR="00E73060" w:rsidRPr="004C5DBA" w14:paraId="7CAEC22E" w14:textId="77777777">
        <w:trPr>
          <w:cantSplit/>
          <w:trHeight w:val="280"/>
        </w:trPr>
        <w:tc>
          <w:tcPr>
            <w:tcW w:w="757" w:type="dxa"/>
          </w:tcPr>
          <w:p w14:paraId="6714F34B" w14:textId="77777777" w:rsidR="00E73060" w:rsidRPr="004C5DBA" w:rsidRDefault="00E73060">
            <w:pPr>
              <w:spacing w:line="240" w:lineRule="auto"/>
              <w:rPr>
                <w:sz w:val="16"/>
                <w:szCs w:val="16"/>
              </w:rPr>
            </w:pPr>
            <w:r w:rsidRPr="004C5DBA">
              <w:rPr>
                <w:sz w:val="16"/>
                <w:szCs w:val="16"/>
              </w:rPr>
              <w:t>United States of America</w:t>
            </w:r>
          </w:p>
        </w:tc>
        <w:tc>
          <w:tcPr>
            <w:tcW w:w="2787" w:type="dxa"/>
          </w:tcPr>
          <w:p w14:paraId="29C67577" w14:textId="77777777" w:rsidR="00E73060" w:rsidRPr="004C5DBA" w:rsidRDefault="00E73060">
            <w:pPr>
              <w:spacing w:line="240" w:lineRule="auto"/>
              <w:rPr>
                <w:sz w:val="16"/>
                <w:szCs w:val="16"/>
              </w:rPr>
            </w:pPr>
            <w:r w:rsidRPr="004C5DBA">
              <w:rPr>
                <w:sz w:val="16"/>
                <w:szCs w:val="16"/>
              </w:rPr>
              <w:t>State licensing for allied health professionals is characterised by significant variability, with each state setting its own standards, requirements, and processes. This variability can range from differences in the required hours of professional training to variations in the examinations accepted.</w:t>
            </w:r>
            <w:r w:rsidRPr="004C5DBA">
              <w:rPr>
                <w:rStyle w:val="FootnoteReference"/>
                <w:color w:val="000000" w:themeColor="text1"/>
                <w:sz w:val="16"/>
                <w:szCs w:val="16"/>
              </w:rPr>
              <w:footnoteReference w:id="140"/>
            </w:r>
          </w:p>
        </w:tc>
        <w:tc>
          <w:tcPr>
            <w:tcW w:w="3544" w:type="dxa"/>
          </w:tcPr>
          <w:p w14:paraId="3D951B51" w14:textId="77777777" w:rsidR="00E73060" w:rsidRPr="004C5DBA" w:rsidRDefault="00E73060">
            <w:pPr>
              <w:spacing w:line="240" w:lineRule="auto"/>
              <w:rPr>
                <w:sz w:val="16"/>
                <w:szCs w:val="16"/>
              </w:rPr>
            </w:pPr>
            <w:r w:rsidRPr="004C5DBA">
              <w:rPr>
                <w:sz w:val="16"/>
                <w:szCs w:val="16"/>
              </w:rPr>
              <w:t>The professions of audiology and speech-language pathology are commonly regulated by the same body at the state level and each state maintains its own standards for licensure, registration or certification.</w:t>
            </w:r>
            <w:r w:rsidRPr="004C5DBA">
              <w:rPr>
                <w:rStyle w:val="FootnoteReference"/>
                <w:color w:val="000000" w:themeColor="text1"/>
                <w:sz w:val="16"/>
                <w:szCs w:val="16"/>
              </w:rPr>
              <w:footnoteReference w:id="141"/>
            </w:r>
            <w:r w:rsidRPr="004C5DBA">
              <w:rPr>
                <w:rStyle w:val="FootnoteReference"/>
                <w:color w:val="000000" w:themeColor="text1"/>
                <w:sz w:val="16"/>
                <w:szCs w:val="16"/>
              </w:rPr>
              <w:t xml:space="preserve"> </w:t>
            </w:r>
            <w:r w:rsidRPr="004C5DBA">
              <w:rPr>
                <w:color w:val="000000" w:themeColor="text1"/>
                <w:sz w:val="16"/>
                <w:szCs w:val="16"/>
              </w:rPr>
              <w:t xml:space="preserve"> Audiologists are able to gain a Clinical Specialty Certification and identify themselves as a Board Certified Specialist. </w:t>
            </w:r>
          </w:p>
        </w:tc>
        <w:tc>
          <w:tcPr>
            <w:tcW w:w="3260" w:type="dxa"/>
          </w:tcPr>
          <w:p w14:paraId="1C45B809" w14:textId="77777777" w:rsidR="00E73060" w:rsidRPr="004C5DBA" w:rsidRDefault="00E73060">
            <w:pPr>
              <w:spacing w:line="240" w:lineRule="auto"/>
              <w:rPr>
                <w:sz w:val="16"/>
                <w:szCs w:val="16"/>
              </w:rPr>
            </w:pPr>
            <w:r w:rsidRPr="004C5DBA">
              <w:rPr>
                <w:sz w:val="16"/>
                <w:szCs w:val="16"/>
              </w:rPr>
              <w:t>See left for regulation of speech pathology. Optometry is similarly regulated by state boards.</w:t>
            </w:r>
            <w:r w:rsidRPr="004C5DBA">
              <w:rPr>
                <w:rStyle w:val="FootnoteReference"/>
                <w:sz w:val="16"/>
                <w:szCs w:val="16"/>
              </w:rPr>
              <w:footnoteReference w:id="142"/>
            </w:r>
          </w:p>
        </w:tc>
        <w:tc>
          <w:tcPr>
            <w:tcW w:w="3970" w:type="dxa"/>
          </w:tcPr>
          <w:p w14:paraId="39B2014B" w14:textId="77777777" w:rsidR="00E73060" w:rsidRPr="004C5DBA" w:rsidRDefault="00E73060">
            <w:pPr>
              <w:spacing w:line="240" w:lineRule="auto"/>
              <w:rPr>
                <w:sz w:val="16"/>
                <w:szCs w:val="16"/>
              </w:rPr>
            </w:pPr>
            <w:r w:rsidRPr="004C5DBA">
              <w:rPr>
                <w:sz w:val="16"/>
                <w:szCs w:val="16"/>
              </w:rPr>
              <w:t>Australia has moved away from jurisdiction-based health workforce regulation, including by the introduction of the National Law. An exception to this is the state-based regulation of social work, due to commence in 2025. Speech pathology and audiology are self-regulated as separate professions in Australia.</w:t>
            </w:r>
          </w:p>
        </w:tc>
        <w:tc>
          <w:tcPr>
            <w:tcW w:w="234" w:type="dxa"/>
          </w:tcPr>
          <w:p w14:paraId="7CE873C8" w14:textId="77777777" w:rsidR="00E73060" w:rsidRPr="004C5DBA" w:rsidRDefault="00E73060">
            <w:pPr>
              <w:spacing w:line="240" w:lineRule="auto"/>
              <w:rPr>
                <w:sz w:val="16"/>
                <w:szCs w:val="16"/>
              </w:rPr>
            </w:pPr>
          </w:p>
        </w:tc>
      </w:tr>
      <w:tr w:rsidR="00E73060" w:rsidRPr="004C5DBA" w14:paraId="3E17F913" w14:textId="77777777">
        <w:trPr>
          <w:cantSplit/>
          <w:trHeight w:val="280"/>
        </w:trPr>
        <w:tc>
          <w:tcPr>
            <w:tcW w:w="757" w:type="dxa"/>
          </w:tcPr>
          <w:p w14:paraId="575C48BC" w14:textId="77777777" w:rsidR="00E73060" w:rsidRPr="004C5DBA" w:rsidRDefault="00E73060">
            <w:pPr>
              <w:spacing w:line="240" w:lineRule="auto"/>
              <w:rPr>
                <w:sz w:val="16"/>
                <w:szCs w:val="16"/>
              </w:rPr>
            </w:pPr>
            <w:r w:rsidRPr="004C5DBA">
              <w:rPr>
                <w:sz w:val="16"/>
                <w:szCs w:val="16"/>
              </w:rPr>
              <w:t>Canada</w:t>
            </w:r>
          </w:p>
        </w:tc>
        <w:tc>
          <w:tcPr>
            <w:tcW w:w="2787" w:type="dxa"/>
          </w:tcPr>
          <w:p w14:paraId="0A5F2F0A" w14:textId="77777777" w:rsidR="00E73060" w:rsidRPr="004C5DBA" w:rsidRDefault="00E73060">
            <w:pPr>
              <w:spacing w:line="240" w:lineRule="auto"/>
              <w:rPr>
                <w:sz w:val="16"/>
                <w:szCs w:val="16"/>
                <w:highlight w:val="yellow"/>
              </w:rPr>
            </w:pPr>
            <w:r w:rsidRPr="004C5DBA">
              <w:rPr>
                <w:sz w:val="16"/>
                <w:szCs w:val="16"/>
              </w:rPr>
              <w:t>Allied health professions are regulated under provincial and territorial jurisdiction, resulting in substantial variation in regulatory models.</w:t>
            </w:r>
            <w:r w:rsidRPr="004C5DBA">
              <w:rPr>
                <w:rStyle w:val="FootnoteReference"/>
                <w:color w:val="000000" w:themeColor="text1"/>
                <w:sz w:val="16"/>
                <w:szCs w:val="16"/>
              </w:rPr>
              <w:footnoteReference w:id="143"/>
            </w:r>
            <w:r w:rsidRPr="004C5DBA">
              <w:rPr>
                <w:sz w:val="16"/>
                <w:szCs w:val="16"/>
              </w:rPr>
              <w:t xml:space="preserve"> </w:t>
            </w:r>
          </w:p>
        </w:tc>
        <w:tc>
          <w:tcPr>
            <w:tcW w:w="3544" w:type="dxa"/>
          </w:tcPr>
          <w:p w14:paraId="009C44D7" w14:textId="77777777" w:rsidR="00E73060" w:rsidRPr="004C5DBA" w:rsidRDefault="00E73060">
            <w:pPr>
              <w:spacing w:line="240" w:lineRule="auto"/>
              <w:rPr>
                <w:sz w:val="16"/>
                <w:szCs w:val="16"/>
              </w:rPr>
            </w:pPr>
            <w:r w:rsidRPr="004C5DBA">
              <w:rPr>
                <w:sz w:val="16"/>
                <w:szCs w:val="16"/>
              </w:rPr>
              <w:t>Provinces regulate the profession of audiology through regulatory bodies (generally known as</w:t>
            </w:r>
          </w:p>
          <w:p w14:paraId="0609940C" w14:textId="77777777" w:rsidR="00E73060" w:rsidRPr="004C5DBA" w:rsidRDefault="00E73060">
            <w:pPr>
              <w:spacing w:line="240" w:lineRule="auto"/>
              <w:rPr>
                <w:sz w:val="16"/>
                <w:szCs w:val="16"/>
              </w:rPr>
            </w:pPr>
            <w:r w:rsidRPr="004C5DBA">
              <w:rPr>
                <w:sz w:val="16"/>
                <w:szCs w:val="16"/>
              </w:rPr>
              <w:t>colleges). Speech pathology is commonly regulated alongside audiology under these bodies.</w:t>
            </w:r>
            <w:r w:rsidRPr="004C5DBA">
              <w:rPr>
                <w:rStyle w:val="FootnoteReference"/>
                <w:sz w:val="16"/>
                <w:szCs w:val="16"/>
              </w:rPr>
              <w:footnoteReference w:id="144"/>
            </w:r>
          </w:p>
        </w:tc>
        <w:tc>
          <w:tcPr>
            <w:tcW w:w="3260" w:type="dxa"/>
          </w:tcPr>
          <w:p w14:paraId="38813CB8" w14:textId="77777777" w:rsidR="00E73060" w:rsidRPr="004C5DBA" w:rsidRDefault="00E73060">
            <w:pPr>
              <w:spacing w:line="240" w:lineRule="auto"/>
              <w:rPr>
                <w:sz w:val="16"/>
                <w:szCs w:val="16"/>
              </w:rPr>
            </w:pPr>
            <w:r w:rsidRPr="004C5DBA">
              <w:rPr>
                <w:sz w:val="16"/>
                <w:szCs w:val="16"/>
              </w:rPr>
              <w:t>See left for speech pathology. Optometry is similarly regulated at a provincial or territorial level.</w:t>
            </w:r>
            <w:r w:rsidRPr="004C5DBA">
              <w:rPr>
                <w:rStyle w:val="FootnoteReference"/>
                <w:sz w:val="16"/>
                <w:szCs w:val="16"/>
              </w:rPr>
              <w:footnoteReference w:id="145"/>
            </w:r>
          </w:p>
        </w:tc>
        <w:tc>
          <w:tcPr>
            <w:tcW w:w="3970" w:type="dxa"/>
          </w:tcPr>
          <w:p w14:paraId="51033232" w14:textId="77777777" w:rsidR="00E73060" w:rsidRPr="004C5DBA" w:rsidRDefault="00E73060">
            <w:pPr>
              <w:spacing w:line="240" w:lineRule="auto"/>
              <w:rPr>
                <w:sz w:val="16"/>
                <w:szCs w:val="16"/>
              </w:rPr>
            </w:pPr>
            <w:r w:rsidRPr="004C5DBA">
              <w:rPr>
                <w:sz w:val="16"/>
                <w:szCs w:val="16"/>
              </w:rPr>
              <w:t>As above.</w:t>
            </w:r>
          </w:p>
        </w:tc>
        <w:tc>
          <w:tcPr>
            <w:tcW w:w="234" w:type="dxa"/>
          </w:tcPr>
          <w:p w14:paraId="02A99078" w14:textId="77777777" w:rsidR="00E73060" w:rsidRPr="004C5DBA" w:rsidRDefault="00E73060">
            <w:pPr>
              <w:spacing w:line="240" w:lineRule="auto"/>
              <w:rPr>
                <w:sz w:val="16"/>
                <w:szCs w:val="16"/>
              </w:rPr>
            </w:pPr>
          </w:p>
        </w:tc>
      </w:tr>
    </w:tbl>
    <w:p w14:paraId="38BB318F" w14:textId="77777777" w:rsidR="00E73060" w:rsidRDefault="00E73060" w:rsidP="00E73060">
      <w:pPr>
        <w:pStyle w:val="BodyText"/>
        <w:sectPr w:rsidR="00E73060" w:rsidSect="00D03740">
          <w:pgSz w:w="16838" w:h="11906" w:orient="landscape" w:code="9"/>
          <w:pgMar w:top="1531" w:right="1531" w:bottom="1531" w:left="1531" w:header="709" w:footer="709" w:gutter="0"/>
          <w:cols w:space="708"/>
          <w:docGrid w:linePitch="360"/>
        </w:sectPr>
      </w:pPr>
    </w:p>
    <w:p w14:paraId="00691BC3" w14:textId="77777777" w:rsidR="00E73060" w:rsidRPr="006D2F28" w:rsidRDefault="00E73060" w:rsidP="00E73060">
      <w:pPr>
        <w:pStyle w:val="BodyText"/>
      </w:pPr>
    </w:p>
    <w:p w14:paraId="681C5516" w14:textId="213C6647" w:rsidR="007F4E7D" w:rsidRDefault="00511051" w:rsidP="007F4E7D">
      <w:pPr>
        <w:pStyle w:val="Heading1"/>
      </w:pPr>
      <w:bookmarkStart w:id="86" w:name="_Toc198138582"/>
      <w:r>
        <w:t>What is the policy problem?</w:t>
      </w:r>
      <w:bookmarkEnd w:id="86"/>
    </w:p>
    <w:tbl>
      <w:tblPr>
        <w:tblStyle w:val="TableGrid"/>
        <w:tblW w:w="0" w:type="auto"/>
        <w:tblLook w:val="04A0" w:firstRow="1" w:lastRow="0" w:firstColumn="1" w:lastColumn="0" w:noHBand="0" w:noVBand="1"/>
      </w:tblPr>
      <w:tblGrid>
        <w:gridCol w:w="8834"/>
      </w:tblGrid>
      <w:tr w:rsidR="005478CC" w14:paraId="286D0A81" w14:textId="77777777" w:rsidTr="005478CC">
        <w:tc>
          <w:tcPr>
            <w:tcW w:w="8834" w:type="dxa"/>
          </w:tcPr>
          <w:p w14:paraId="3A830867" w14:textId="0E81776B" w:rsidR="005478CC" w:rsidRPr="00865913" w:rsidRDefault="00865913" w:rsidP="005478CC">
            <w:pPr>
              <w:pStyle w:val="BodyText"/>
              <w:rPr>
                <w:b/>
                <w:bCs/>
              </w:rPr>
            </w:pPr>
            <w:r w:rsidRPr="00865913">
              <w:rPr>
                <w:b/>
                <w:bCs/>
              </w:rPr>
              <w:t xml:space="preserve">Chapter </w:t>
            </w:r>
            <w:r w:rsidR="00C64B11">
              <w:rPr>
                <w:b/>
                <w:bCs/>
              </w:rPr>
              <w:t>s</w:t>
            </w:r>
            <w:r w:rsidRPr="00865913">
              <w:rPr>
                <w:b/>
                <w:bCs/>
              </w:rPr>
              <w:t>ummary</w:t>
            </w:r>
          </w:p>
          <w:p w14:paraId="5C78BB93" w14:textId="77777777" w:rsidR="0005524B" w:rsidRDefault="004A3042" w:rsidP="007176F0">
            <w:pPr>
              <w:pStyle w:val="ListBullet"/>
            </w:pPr>
            <w:r>
              <w:t>This Decision RIS exam</w:t>
            </w:r>
            <w:r w:rsidR="00616D58">
              <w:t xml:space="preserve">ines the policy problem of instances </w:t>
            </w:r>
            <w:r w:rsidR="00B07C1E">
              <w:t xml:space="preserve">of substandard care occurring in the provision of audiology services in Australia. </w:t>
            </w:r>
          </w:p>
          <w:p w14:paraId="39220878" w14:textId="7299851B" w:rsidR="00C479D8" w:rsidRDefault="00C479D8" w:rsidP="007176F0">
            <w:pPr>
              <w:pStyle w:val="ListBullet"/>
            </w:pPr>
            <w:r>
              <w:t xml:space="preserve">Stakeholder feedback provided throughout </w:t>
            </w:r>
            <w:r w:rsidR="00A150D9">
              <w:t>Consultation Phase 1</w:t>
            </w:r>
            <w:r>
              <w:t xml:space="preserve"> played a material role in the refinement of the problem statements, particularly due to the nature of some of the issues described (i.e. perceptions of conflicts of interest).</w:t>
            </w:r>
          </w:p>
          <w:p w14:paraId="53820034" w14:textId="64164961" w:rsidR="004A3042" w:rsidRDefault="00366C8E" w:rsidP="007176F0">
            <w:pPr>
              <w:pStyle w:val="ListBullet"/>
            </w:pPr>
            <w:r>
              <w:t>Four problem statements are examined</w:t>
            </w:r>
            <w:r w:rsidR="00D21421">
              <w:t>:</w:t>
            </w:r>
          </w:p>
          <w:p w14:paraId="5903486F" w14:textId="77777777" w:rsidR="00366C8E" w:rsidRDefault="00366C8E" w:rsidP="007176F0">
            <w:pPr>
              <w:pStyle w:val="BulletList2Column"/>
            </w:pPr>
            <w:r>
              <w:t xml:space="preserve">Problem 1: For audiology services, information asymmetries, principal-agent issues and patient vulnerabilities pose an increased risk of substandard care. </w:t>
            </w:r>
          </w:p>
          <w:p w14:paraId="6DFEA1D7" w14:textId="460A05C0" w:rsidR="00366C8E" w:rsidRDefault="00366C8E" w:rsidP="007176F0">
            <w:pPr>
              <w:pStyle w:val="BulletList2Column"/>
            </w:pPr>
            <w:r>
              <w:t xml:space="preserve">Problem 2: Audiologists have limited opportunities for formalised assessment of competency </w:t>
            </w:r>
            <w:r w:rsidR="00C64FB8">
              <w:t xml:space="preserve">(including </w:t>
            </w:r>
            <w:r>
              <w:t>for specialised scopes of practice</w:t>
            </w:r>
            <w:r w:rsidR="00F70CE5">
              <w:t>)</w:t>
            </w:r>
            <w:r>
              <w:t xml:space="preserve">, and </w:t>
            </w:r>
            <w:r w:rsidR="00F70CE5">
              <w:t xml:space="preserve">may have </w:t>
            </w:r>
            <w:r>
              <w:t>inconsistent</w:t>
            </w:r>
            <w:r w:rsidR="00F70CE5">
              <w:t xml:space="preserve"> or insufficient</w:t>
            </w:r>
            <w:r>
              <w:t xml:space="preserve"> access to</w:t>
            </w:r>
            <w:r w:rsidR="00F70CE5">
              <w:t xml:space="preserve"> CPD,</w:t>
            </w:r>
            <w:r>
              <w:t xml:space="preserve"> training and clinical governance mechanisms that support high-quality care.</w:t>
            </w:r>
          </w:p>
          <w:p w14:paraId="5C9394F0" w14:textId="098B65BA" w:rsidR="00366C8E" w:rsidRDefault="00366C8E" w:rsidP="007176F0">
            <w:pPr>
              <w:pStyle w:val="BulletList2Column"/>
            </w:pPr>
            <w:r>
              <w:t xml:space="preserve">Problem 3: Across the sector, stakeholders note the influence of organisation-level pressures on audiologists’ delivery of </w:t>
            </w:r>
            <w:r w:rsidR="00A4556A">
              <w:t>care</w:t>
            </w:r>
            <w:r>
              <w:t>.</w:t>
            </w:r>
          </w:p>
          <w:p w14:paraId="24C5A151" w14:textId="43CA5548" w:rsidR="00366C8E" w:rsidRDefault="00366C8E" w:rsidP="007176F0">
            <w:pPr>
              <w:pStyle w:val="BulletList2Column"/>
            </w:pPr>
            <w:r>
              <w:t xml:space="preserve">Problem 4: For the minority of cases where an audiologist practices in an unethical or unsafe manner, </w:t>
            </w:r>
            <w:r w:rsidR="000E3B55">
              <w:t>factors specific to the delivery of audiology services generate barriers to enacting</w:t>
            </w:r>
            <w:r>
              <w:t xml:space="preserve"> professional sanctions that would protect the public from harm. </w:t>
            </w:r>
          </w:p>
          <w:p w14:paraId="5E88079A" w14:textId="420742AB" w:rsidR="008A380C" w:rsidRDefault="008A380C" w:rsidP="007176F0">
            <w:pPr>
              <w:pStyle w:val="ListBullet"/>
            </w:pPr>
            <w:r>
              <w:t xml:space="preserve">There have been </w:t>
            </w:r>
            <w:r w:rsidRPr="005807C8">
              <w:t>three public-facing reviews into significant adverse outcomes experienced by patients within paediatric diagnostic audiology and cochlear implant care services across public sector hospitals in Australia</w:t>
            </w:r>
            <w:r w:rsidR="002B4E86">
              <w:t>.</w:t>
            </w:r>
          </w:p>
          <w:p w14:paraId="1B3376F1" w14:textId="77777777" w:rsidR="00956A5B" w:rsidRDefault="00956A5B" w:rsidP="007176F0">
            <w:pPr>
              <w:pStyle w:val="ListBullet"/>
            </w:pPr>
            <w:r>
              <w:t xml:space="preserve">Stakeholders across the consultation period described a series of organisational-level pressures that play a role in the delivery of audiology services, which have downstream impacts on the quality of care received by the patient (including the role of conflicts of interest in delivery of services). </w:t>
            </w:r>
          </w:p>
          <w:p w14:paraId="15233DBE" w14:textId="3D9BC077" w:rsidR="00366C8E" w:rsidRDefault="00962E51" w:rsidP="007176F0">
            <w:pPr>
              <w:pStyle w:val="ListBullet"/>
            </w:pPr>
            <w:r>
              <w:t>From qualitative observations made in stakeholder interviews and public submissions, a disconnect emerged in relation to perceived levels of harms occurring in the current state compared to quantitative complaints data able to be obtained. For stakeholders, perceived harms included both clinical harms (including missed diagnoses and inappropriate treatment decisions) as well as financial harms to patients.</w:t>
            </w:r>
          </w:p>
          <w:p w14:paraId="3B5AE0C0" w14:textId="44367449" w:rsidR="009760D7" w:rsidRDefault="0014612A" w:rsidP="007176F0">
            <w:pPr>
              <w:pStyle w:val="ListBullet"/>
            </w:pPr>
            <w:r>
              <w:t xml:space="preserve">For government, a single episode of substandard care may result in materially increased use of other health and social services, including Medicare, hospital services and </w:t>
            </w:r>
            <w:r w:rsidR="00CB7AC5">
              <w:t>NDIS</w:t>
            </w:r>
            <w:r>
              <w:t>. Here, lifetime costs may be expected to be higher for substandard care received by paediatric cohorts</w:t>
            </w:r>
            <w:r w:rsidR="00CF20B0">
              <w:t>.</w:t>
            </w:r>
          </w:p>
        </w:tc>
      </w:tr>
    </w:tbl>
    <w:p w14:paraId="4795755E" w14:textId="77777777" w:rsidR="00083A74" w:rsidRDefault="00083A74" w:rsidP="00BB400D">
      <w:pPr>
        <w:pStyle w:val="BodyText"/>
        <w:sectPr w:rsidR="00083A74" w:rsidSect="007F4E7D">
          <w:pgSz w:w="11906" w:h="16838" w:code="9"/>
          <w:pgMar w:top="1531" w:right="1531" w:bottom="1531" w:left="1531" w:header="709" w:footer="709" w:gutter="0"/>
          <w:cols w:space="708"/>
          <w:docGrid w:linePitch="360"/>
        </w:sectPr>
      </w:pPr>
    </w:p>
    <w:p w14:paraId="63C9730D" w14:textId="552BCE82" w:rsidR="00C95542" w:rsidRDefault="00C95542" w:rsidP="00BB400D">
      <w:pPr>
        <w:pStyle w:val="BodyText"/>
      </w:pPr>
      <w:r>
        <w:t xml:space="preserve">This Decision RIS examines the </w:t>
      </w:r>
      <w:r w:rsidR="008235D7">
        <w:t xml:space="preserve">policy problem of </w:t>
      </w:r>
      <w:r w:rsidR="00F25834">
        <w:t xml:space="preserve">instances of substandard care occurring in the provision of audiology services </w:t>
      </w:r>
      <w:r w:rsidR="00391B8A">
        <w:t xml:space="preserve">in Australia. </w:t>
      </w:r>
      <w:r w:rsidR="00250705">
        <w:t>It is recognised that</w:t>
      </w:r>
      <w:r w:rsidR="00AC708E">
        <w:t xml:space="preserve"> t</w:t>
      </w:r>
      <w:r w:rsidR="00092242">
        <w:t xml:space="preserve">he causal factors contributing to </w:t>
      </w:r>
      <w:r w:rsidR="00913AC6">
        <w:t xml:space="preserve">these instances of substandard care are complex, and </w:t>
      </w:r>
      <w:r w:rsidR="00FA1AD1">
        <w:t xml:space="preserve">consequently </w:t>
      </w:r>
      <w:r w:rsidR="00BB400D">
        <w:t>this chapter considers the following four problem statements.</w:t>
      </w:r>
    </w:p>
    <w:p w14:paraId="1FC1759E" w14:textId="77777777" w:rsidR="00513D3F" w:rsidRDefault="00513D3F" w:rsidP="007176F0">
      <w:pPr>
        <w:pStyle w:val="ListBullet"/>
      </w:pPr>
      <w:r w:rsidRPr="007176F0">
        <w:rPr>
          <w:b/>
          <w:bCs/>
        </w:rPr>
        <w:t>Problem 1</w:t>
      </w:r>
      <w:r>
        <w:t xml:space="preserve">: For audiology services, information asymmetries, principal-agent issues and patient vulnerabilities pose an increased risk of substandard care. </w:t>
      </w:r>
    </w:p>
    <w:p w14:paraId="5BC9F91A" w14:textId="77777777" w:rsidR="00513D3F" w:rsidRDefault="00513D3F" w:rsidP="007176F0">
      <w:pPr>
        <w:pStyle w:val="ListBullet"/>
      </w:pPr>
      <w:r w:rsidRPr="007176F0">
        <w:rPr>
          <w:b/>
          <w:bCs/>
        </w:rPr>
        <w:t>Problem 2</w:t>
      </w:r>
      <w:r>
        <w:t>: Audiologists have limited opportunities for formalised assessment of competency (including for specialised scopes of practice), and may have inconsistent or insufficient access to CPD, training and clinical governance mechanisms that support high-quality care.</w:t>
      </w:r>
    </w:p>
    <w:p w14:paraId="6E6637F4" w14:textId="77777777" w:rsidR="00513D3F" w:rsidRDefault="00513D3F" w:rsidP="007176F0">
      <w:pPr>
        <w:pStyle w:val="ListBullet"/>
      </w:pPr>
      <w:r w:rsidRPr="007176F0">
        <w:rPr>
          <w:b/>
          <w:bCs/>
        </w:rPr>
        <w:t>Problem 3</w:t>
      </w:r>
      <w:r>
        <w:t>: Across the sector, stakeholders note the influence of organisation-level pressures on audiologists’ delivery of care.</w:t>
      </w:r>
    </w:p>
    <w:p w14:paraId="627D7FDA" w14:textId="77777777" w:rsidR="00513D3F" w:rsidRDefault="00513D3F" w:rsidP="007176F0">
      <w:pPr>
        <w:pStyle w:val="ListBullet"/>
      </w:pPr>
      <w:r w:rsidRPr="007176F0">
        <w:rPr>
          <w:b/>
          <w:bCs/>
        </w:rPr>
        <w:t>Problem 4</w:t>
      </w:r>
      <w:r>
        <w:t xml:space="preserve">: For the minority of cases where an audiologist practices in an unethical or unsafe manner, factors specific to the delivery of audiology services generate barriers to enacting professional sanctions that would protect the public from harm. </w:t>
      </w:r>
    </w:p>
    <w:p w14:paraId="33988A5A" w14:textId="020E160D" w:rsidR="00C95542" w:rsidRPr="003949B6" w:rsidRDefault="00BC4001" w:rsidP="009F790F">
      <w:pPr>
        <w:pStyle w:val="BodyText"/>
        <w:rPr>
          <w:i/>
          <w:iCs/>
        </w:rPr>
      </w:pPr>
      <w:r>
        <w:t>Stakeholder f</w:t>
      </w:r>
      <w:r w:rsidR="003D1CC4">
        <w:t xml:space="preserve">eedback </w:t>
      </w:r>
      <w:r w:rsidR="009F790F">
        <w:t xml:space="preserve">provided </w:t>
      </w:r>
      <w:r>
        <w:t>throughout the</w:t>
      </w:r>
      <w:r w:rsidR="003D1CC4">
        <w:t xml:space="preserve"> consultation </w:t>
      </w:r>
      <w:r>
        <w:t>period played</w:t>
      </w:r>
      <w:r w:rsidR="004E34B8">
        <w:t xml:space="preserve"> a material role </w:t>
      </w:r>
      <w:r w:rsidR="009F790F">
        <w:t>in the refinement of the problem statements</w:t>
      </w:r>
      <w:r w:rsidR="00436A5E">
        <w:t>, particular</w:t>
      </w:r>
      <w:r w:rsidR="00282C72">
        <w:t xml:space="preserve">ly due to the </w:t>
      </w:r>
      <w:r w:rsidR="00357B4A">
        <w:t>nature of some of the issues described (</w:t>
      </w:r>
      <w:r w:rsidR="007C4D81">
        <w:t xml:space="preserve">i.e. perceptions </w:t>
      </w:r>
      <w:r w:rsidR="00997AA6">
        <w:t>of</w:t>
      </w:r>
      <w:r w:rsidR="007C4D81">
        <w:t xml:space="preserve"> conflicts of interest)</w:t>
      </w:r>
      <w:r w:rsidR="009F790F">
        <w:t xml:space="preserve">. For this reason, stakeholder </w:t>
      </w:r>
      <w:r w:rsidR="00967B19">
        <w:t>views are</w:t>
      </w:r>
      <w:r w:rsidR="00FB00F2">
        <w:t xml:space="preserve"> presented within the problem statement description</w:t>
      </w:r>
      <w:r w:rsidR="00556871">
        <w:t xml:space="preserve"> in this </w:t>
      </w:r>
      <w:r w:rsidR="00BE3872">
        <w:t>ch</w:t>
      </w:r>
      <w:r w:rsidR="00556871">
        <w:t xml:space="preserve">apter. A summary of consultation feedback is then </w:t>
      </w:r>
      <w:r w:rsidR="002C45F4">
        <w:t>presented</w:t>
      </w:r>
      <w:r w:rsidR="00556871">
        <w:t xml:space="preserve"> in Chapter 6 </w:t>
      </w:r>
      <w:r w:rsidR="00133A23">
        <w:t xml:space="preserve">as part of the information </w:t>
      </w:r>
      <w:r w:rsidR="002C45F4">
        <w:t>provided</w:t>
      </w:r>
      <w:r w:rsidR="00133A23">
        <w:t xml:space="preserve"> to answer</w:t>
      </w:r>
      <w:r w:rsidR="00967B19">
        <w:t xml:space="preserve"> RIS Question </w:t>
      </w:r>
      <w:r w:rsidR="00AF6A88">
        <w:t>5.</w:t>
      </w:r>
    </w:p>
    <w:p w14:paraId="7E00608E" w14:textId="1E8620B1" w:rsidR="00C95542" w:rsidRDefault="00C95542" w:rsidP="00F24996">
      <w:pPr>
        <w:pStyle w:val="Heading2"/>
        <w:numPr>
          <w:ilvl w:val="1"/>
          <w:numId w:val="13"/>
        </w:numPr>
      </w:pPr>
      <w:bookmarkStart w:id="87" w:name="_Ref170200359"/>
      <w:bookmarkStart w:id="88" w:name="_Toc171324739"/>
      <w:bookmarkStart w:id="89" w:name="_Toc198138583"/>
      <w:r>
        <w:t xml:space="preserve">Problem 1: For audiology services, </w:t>
      </w:r>
      <w:r w:rsidR="00E409F9">
        <w:t xml:space="preserve">information asymmetries, principal-agent issues and </w:t>
      </w:r>
      <w:r w:rsidR="008A6164">
        <w:t>patient vulnerabilities</w:t>
      </w:r>
      <w:r>
        <w:t xml:space="preserve"> pose an increased risk of substandard care.</w:t>
      </w:r>
      <w:bookmarkEnd w:id="87"/>
      <w:bookmarkEnd w:id="88"/>
      <w:bookmarkEnd w:id="89"/>
    </w:p>
    <w:p w14:paraId="5C3FB329" w14:textId="36B42B3A" w:rsidR="006B463B" w:rsidRDefault="00941E91" w:rsidP="006B463B">
      <w:pPr>
        <w:pStyle w:val="BodyText"/>
        <w:rPr>
          <w:lang w:eastAsia="en-AU"/>
        </w:rPr>
      </w:pPr>
      <w:r>
        <w:rPr>
          <w:lang w:eastAsia="en-AU"/>
        </w:rPr>
        <w:t>This section describes:</w:t>
      </w:r>
    </w:p>
    <w:p w14:paraId="56085E01" w14:textId="7A12E0DD" w:rsidR="00174E0A" w:rsidRDefault="005807C8" w:rsidP="00093175">
      <w:pPr>
        <w:pStyle w:val="ListBullet"/>
      </w:pPr>
      <w:bookmarkStart w:id="90" w:name="_Hlk191985782"/>
      <w:r w:rsidRPr="005807C8">
        <w:t>three public-facing reviews into significant adverse outcomes experienced by patients within paediatric diagnostic audiology and cochlear implant care services across public sector hospitals in Australia</w:t>
      </w:r>
      <w:bookmarkEnd w:id="90"/>
    </w:p>
    <w:p w14:paraId="3A474170" w14:textId="10828DFD" w:rsidR="005807C8" w:rsidRDefault="005214AA" w:rsidP="00093175">
      <w:pPr>
        <w:pStyle w:val="ListBullet"/>
      </w:pPr>
      <w:r>
        <w:t xml:space="preserve">a theoretical </w:t>
      </w:r>
      <w:r w:rsidR="00943FF6">
        <w:t xml:space="preserve">presentation of </w:t>
      </w:r>
      <w:r>
        <w:t xml:space="preserve">information asymmetries </w:t>
      </w:r>
      <w:r w:rsidR="00D81AFB">
        <w:t xml:space="preserve">and principal-agent </w:t>
      </w:r>
      <w:r w:rsidR="00F83350">
        <w:t>issues</w:t>
      </w:r>
      <w:r w:rsidR="00D81AFB">
        <w:t xml:space="preserve"> for audiology services</w:t>
      </w:r>
      <w:r w:rsidR="00F83350">
        <w:t xml:space="preserve"> </w:t>
      </w:r>
      <w:r w:rsidR="00D81AFB">
        <w:t>supported by stakeholder observations of these dy</w:t>
      </w:r>
      <w:r w:rsidR="00E409F9">
        <w:t>namics</w:t>
      </w:r>
    </w:p>
    <w:p w14:paraId="3F48626D" w14:textId="2845788A" w:rsidR="00E409F9" w:rsidRPr="006B463B" w:rsidRDefault="00E409F9" w:rsidP="00093175">
      <w:pPr>
        <w:pStyle w:val="ListBullet"/>
      </w:pPr>
      <w:r>
        <w:t xml:space="preserve">additional information related to </w:t>
      </w:r>
      <w:r w:rsidR="009B267A">
        <w:t>patient vulnerability in the context of audiology services.</w:t>
      </w:r>
    </w:p>
    <w:p w14:paraId="2B39D793" w14:textId="117B8DDD" w:rsidR="00B56074" w:rsidRDefault="00B56074" w:rsidP="00B56074">
      <w:pPr>
        <w:pStyle w:val="Heading3"/>
      </w:pPr>
      <w:bookmarkStart w:id="91" w:name="_Toc198138584"/>
      <w:r>
        <w:t>External reviews</w:t>
      </w:r>
      <w:bookmarkEnd w:id="91"/>
    </w:p>
    <w:p w14:paraId="64423193" w14:textId="33D066E2" w:rsidR="00B70263" w:rsidRDefault="006A52E5" w:rsidP="00205157">
      <w:pPr>
        <w:pStyle w:val="BodyText"/>
      </w:pPr>
      <w:r>
        <w:t>A summary of findings from each public sector review is presented in Box 3.1</w:t>
      </w:r>
      <w:r w:rsidR="00C95542">
        <w:t xml:space="preserve">. </w:t>
      </w:r>
    </w:p>
    <w:p w14:paraId="66B33231" w14:textId="77777777" w:rsidR="00805CE8" w:rsidRDefault="00805CE8">
      <w:pPr>
        <w:rPr>
          <w:kern w:val="21"/>
          <w:lang w:val="en-AU"/>
          <w14:numSpacing w14:val="proportional"/>
        </w:rPr>
      </w:pPr>
      <w:r>
        <w:br w:type="page"/>
      </w:r>
    </w:p>
    <w:tbl>
      <w:tblPr>
        <w:tblStyle w:val="TableGrid"/>
        <w:tblW w:w="0" w:type="auto"/>
        <w:tblLook w:val="04A0" w:firstRow="1" w:lastRow="0" w:firstColumn="1" w:lastColumn="0" w:noHBand="0" w:noVBand="1"/>
      </w:tblPr>
      <w:tblGrid>
        <w:gridCol w:w="8834"/>
      </w:tblGrid>
      <w:tr w:rsidR="00DA58C6" w14:paraId="602792F0" w14:textId="77777777" w:rsidTr="00343380">
        <w:tc>
          <w:tcPr>
            <w:tcW w:w="8834" w:type="dxa"/>
            <w:shd w:val="clear" w:color="auto" w:fill="F1F2F2" w:themeFill="background2"/>
          </w:tcPr>
          <w:p w14:paraId="1E78E5A9" w14:textId="77777777" w:rsidR="00221E7F" w:rsidRPr="00221E7F" w:rsidRDefault="00221E7F" w:rsidP="00221E7F">
            <w:pPr>
              <w:pStyle w:val="BodyText"/>
              <w:rPr>
                <w:b/>
                <w:bCs/>
              </w:rPr>
            </w:pPr>
            <w:r w:rsidRPr="00221E7F">
              <w:rPr>
                <w:b/>
                <w:bCs/>
              </w:rPr>
              <w:t>Box 3.1: Findings of public sector External Reviews</w:t>
            </w:r>
          </w:p>
          <w:p w14:paraId="1F0F456F" w14:textId="1CBD0A77" w:rsidR="00221E7F" w:rsidRDefault="00221E7F" w:rsidP="00221E7F">
            <w:pPr>
              <w:pStyle w:val="BodyText"/>
            </w:pPr>
            <w:r w:rsidRPr="00221E7F">
              <w:rPr>
                <w:u w:val="single"/>
              </w:rPr>
              <w:t>Logan Hospital (2018):</w:t>
            </w:r>
            <w:r w:rsidR="000E7D2B">
              <w:rPr>
                <w:rStyle w:val="FootnoteReference"/>
                <w:u w:val="single"/>
              </w:rPr>
              <w:footnoteReference w:id="146"/>
            </w:r>
            <w:r>
              <w:t xml:space="preserve">  In October 2015, the Office of the Health Ombudsman (OHO) made the decision to investigate a notification from the Chief Executive of Metro South Hospital and Health Service (MSHHS). The notification concerned serious clinical and operational issues found to have impacted on the performance of the Logan Hospital audiology department. The office was advised of a series of ongoing issues dating back to 2011 regarding the clinical competency of audiologists providing the diagnostic testing and assessment services. The OHO’s investigation sought to determine if MSHHS had implemented appropriate strategies and governance processes to ensure children attending Logan audiology department receive a quality audiology service that meets contemporary practice standards. The OHO identified three areas of concern and sought to determine if MSHHS had identified and implemented processes and measures to adequately address these issues. </w:t>
            </w:r>
          </w:p>
          <w:p w14:paraId="27E78047" w14:textId="77777777" w:rsidR="00221E7F" w:rsidRDefault="00221E7F" w:rsidP="00221E7F">
            <w:pPr>
              <w:pStyle w:val="BodyText"/>
            </w:pPr>
            <w:r>
              <w:t>Issue 1: Inadequate clinical expertise of Logan audiology department’s paediatric audiologists.</w:t>
            </w:r>
          </w:p>
          <w:p w14:paraId="7730EC2C" w14:textId="199680BB" w:rsidR="00221E7F" w:rsidRDefault="00221E7F" w:rsidP="00F9069B">
            <w:pPr>
              <w:pStyle w:val="ListBullet"/>
            </w:pPr>
            <w:r>
              <w:t>In 2011, the first audit of audiological practice included a sample of 10 casefiles and revealed significant shortcomings in diagnostic case management.</w:t>
            </w:r>
          </w:p>
          <w:p w14:paraId="2AE13FA8" w14:textId="38D73981" w:rsidR="00221E7F" w:rsidRDefault="00221E7F" w:rsidP="00F9069B">
            <w:pPr>
              <w:pStyle w:val="ListBullet"/>
            </w:pPr>
            <w:r>
              <w:t>In 2014, a larger sample audit was repeated and again revealed significant shortcomings in audiological practice.</w:t>
            </w:r>
          </w:p>
          <w:p w14:paraId="1E53EA9F" w14:textId="4B32F140" w:rsidR="00221E7F" w:rsidRDefault="00221E7F" w:rsidP="00F9069B">
            <w:pPr>
              <w:pStyle w:val="ListBullet"/>
            </w:pPr>
            <w:r>
              <w:t xml:space="preserve">In response to further investigations into the performance and management of Logan audiology, MSHHS identified two audiologists considered to have practised below acceptable clinical standards; the practitioners were suspended while disciplinary action commenced. The two practitioners were referred to the OHO in December 2015 and the (then) Health Ombudsman took immediate action to prohibit the audiologists from providing any health services. </w:t>
            </w:r>
          </w:p>
          <w:p w14:paraId="145CA065" w14:textId="77777777" w:rsidR="00221E7F" w:rsidRDefault="00221E7F" w:rsidP="00221E7F">
            <w:pPr>
              <w:pStyle w:val="BodyText"/>
            </w:pPr>
            <w:r>
              <w:t>Issue 2: Inadequate response to issues identified.</w:t>
            </w:r>
          </w:p>
          <w:p w14:paraId="4081F2DF" w14:textId="3D0C087A" w:rsidR="00221E7F" w:rsidRDefault="00221E7F" w:rsidP="00F9069B">
            <w:pPr>
              <w:pStyle w:val="ListBullet"/>
            </w:pPr>
            <w:r>
              <w:t>In late 2014, the Executive Director, Allied Health, MSHHS, was formally notified of a case involving a child with delayed diagnosis of moderate-severe permanent hearing loss as a result of inaccurate reporting and failure to follow up by Logan audiology department. MSHHS responded by immediately commencing a clinical audit of all diagnostic referrals sent to Logan audiology department from the Healthy Hearing Program of children born in 2011 to 2014. Every appointment was examined and a total of 228 cases were identified.</w:t>
            </w:r>
          </w:p>
          <w:p w14:paraId="544F26FB" w14:textId="5B13AC39" w:rsidR="00221E7F" w:rsidRDefault="00221E7F" w:rsidP="00F9069B">
            <w:pPr>
              <w:pStyle w:val="ListBullet"/>
            </w:pPr>
            <w:r>
              <w:t>A detailed report was prepared in July 2015 with further follow-up of patients undertaken, resulting in a small number of children identified with hearing issues that had not been appropriately diagnosed or followed up by the service.</w:t>
            </w:r>
          </w:p>
          <w:p w14:paraId="7B976071" w14:textId="77777777" w:rsidR="00221E7F" w:rsidRDefault="00221E7F" w:rsidP="00221E7F">
            <w:pPr>
              <w:pStyle w:val="BodyText"/>
            </w:pPr>
            <w:r>
              <w:t>Issue 3: Inadequate governance processes and systems.</w:t>
            </w:r>
          </w:p>
          <w:p w14:paraId="795BD984" w14:textId="7EA546F1" w:rsidR="00221E7F" w:rsidRDefault="00221E7F" w:rsidP="00221E7F">
            <w:pPr>
              <w:pStyle w:val="BodyText"/>
            </w:pPr>
            <w:r>
              <w:t>The report (published in 2018) conclude</w:t>
            </w:r>
            <w:r w:rsidR="00D74711">
              <w:t>d</w:t>
            </w:r>
            <w:r>
              <w:t xml:space="preserve"> by saying that the OHO is satisfied children receiving audiology services at Logan Hospital are receiving high quality professional healthcare services and encourages MSHHS to continue to review its clinical and corporate governance processes to ensure the service remains of a high standard.</w:t>
            </w:r>
          </w:p>
          <w:p w14:paraId="53B49091" w14:textId="114499D9" w:rsidR="00221E7F" w:rsidRDefault="00221E7F" w:rsidP="00221E7F">
            <w:pPr>
              <w:pStyle w:val="BodyText"/>
            </w:pPr>
            <w:r w:rsidRPr="00F9069B">
              <w:rPr>
                <w:u w:val="single"/>
              </w:rPr>
              <w:t>Women and Children’s Health Network (WCHN) (2023)</w:t>
            </w:r>
            <w:r>
              <w:t>:</w:t>
            </w:r>
            <w:r w:rsidR="00F9069B">
              <w:rPr>
                <w:rStyle w:val="FootnoteReference"/>
              </w:rPr>
              <w:footnoteReference w:id="147"/>
            </w:r>
            <w:r>
              <w:t xml:space="preserve">  In May 2022, an external provider of audiology services in South Australia raised concerns regarding a potential issue with the mapping of cochlear implants at the WCHN. Concerns primarily related to potential under mapping of the cochlear implant and suggested that children may have had inadequate hearing for a significant period and that this may have impacted on their development. A fifth child was subsequently identified with similar issues, thus reaching the criteria to be defined as a cluster event. Following an initial internal investigation using lookback methodology (n=158), it became apparent that mapping issues may have impacted significantly more children than initially thought and had potentially been going on over a long time. As detailed, an interstate provider was engaged to commence external clinical review of all children under 18 years (n=158) commencing July 2023.</w:t>
            </w:r>
            <w:r w:rsidR="009D4EA7">
              <w:rPr>
                <w:rStyle w:val="FootnoteReference"/>
              </w:rPr>
              <w:footnoteReference w:id="148"/>
            </w:r>
          </w:p>
          <w:p w14:paraId="511AEF01" w14:textId="2BF24F72" w:rsidR="00221E7F" w:rsidRDefault="00221E7F" w:rsidP="00221E7F">
            <w:pPr>
              <w:pStyle w:val="BodyText"/>
            </w:pPr>
            <w:r w:rsidRPr="00D0771B">
              <w:rPr>
                <w:u w:val="single"/>
              </w:rPr>
              <w:t>Townsville University Hospital (2023)</w:t>
            </w:r>
            <w:r>
              <w:t>:</w:t>
            </w:r>
            <w:r w:rsidR="00D0771B">
              <w:rPr>
                <w:rStyle w:val="FootnoteReference"/>
              </w:rPr>
              <w:footnoteReference w:id="149"/>
            </w:r>
            <w:r>
              <w:t xml:space="preserve">  In December 2022 concerns were raised about potential issues with babies/children seen in the Townsville Hospital and Health Service (THHS) diagnostic service. These concerns related to ‘unexpected outcomes’ for some babies/children who had been seen in the clinic following referral form their newborn hearing screen and had been identified as having either normal hearing or a non-permanent hearing issue at this time. These children were subsequently found to have a permanent hearing loss at a later testing time point, constituting an ‘unexpected outcome’. Five children were initially identified with adverse findings. Other concerns were also raised, and a broader external review by Children’s Health Queensland was recommended and approved by the THHS Executive. Around this time, THHS became aware of a report of adverse outcomes at WCHN in South Australia. In view of this, the external audit was extended and included two groups. These groups were babies who required follow-up after their newborn hearing screen (Group 1) and children who received cochlear implant programming services (Group 2). </w:t>
            </w:r>
          </w:p>
          <w:p w14:paraId="114FDB86" w14:textId="77777777" w:rsidR="00221E7F" w:rsidRPr="00343380" w:rsidRDefault="00221E7F" w:rsidP="00221E7F">
            <w:pPr>
              <w:pStyle w:val="BodyText"/>
              <w:rPr>
                <w:u w:val="single"/>
              </w:rPr>
            </w:pPr>
            <w:r w:rsidRPr="00343380">
              <w:rPr>
                <w:u w:val="single"/>
              </w:rPr>
              <w:t xml:space="preserve">Group 1: </w:t>
            </w:r>
          </w:p>
          <w:p w14:paraId="3FA55535" w14:textId="3C518706" w:rsidR="00221E7F" w:rsidRDefault="00221E7F" w:rsidP="00343380">
            <w:pPr>
              <w:pStyle w:val="ListBullet"/>
            </w:pPr>
            <w:r>
              <w:t>341 children reviewed (birth year 2020-2023)</w:t>
            </w:r>
          </w:p>
          <w:p w14:paraId="44C2AE91" w14:textId="3D62E5B3" w:rsidR="00221E7F" w:rsidRDefault="00221E7F" w:rsidP="00343380">
            <w:pPr>
              <w:pStyle w:val="ListBullet"/>
            </w:pPr>
            <w:r>
              <w:t>79 children referred for full review and 59 required recall (20 urgent and 39 non-urgent)</w:t>
            </w:r>
          </w:p>
          <w:p w14:paraId="7BAFC21F" w14:textId="6A91B971" w:rsidR="00221E7F" w:rsidRDefault="00221E7F" w:rsidP="00343380">
            <w:pPr>
              <w:pStyle w:val="ListBullet"/>
            </w:pPr>
            <w:r>
              <w:t>Primary concerns were harm due to delayed diagnosis and access to early intervention, and poor clinical practice.</w:t>
            </w:r>
          </w:p>
          <w:p w14:paraId="20B70A1D" w14:textId="77777777" w:rsidR="00221E7F" w:rsidRPr="00343380" w:rsidRDefault="00221E7F" w:rsidP="00221E7F">
            <w:pPr>
              <w:pStyle w:val="BodyText"/>
              <w:rPr>
                <w:u w:val="single"/>
              </w:rPr>
            </w:pPr>
            <w:r w:rsidRPr="00343380">
              <w:rPr>
                <w:u w:val="single"/>
              </w:rPr>
              <w:t>Group 2:</w:t>
            </w:r>
          </w:p>
          <w:p w14:paraId="290BAEE9" w14:textId="01927CFF" w:rsidR="00221E7F" w:rsidRDefault="00221E7F" w:rsidP="00343380">
            <w:pPr>
              <w:pStyle w:val="ListBullet"/>
            </w:pPr>
            <w:r>
              <w:t>54 children with cochlear implants reviewed</w:t>
            </w:r>
          </w:p>
          <w:p w14:paraId="4041F936" w14:textId="6F09DD28" w:rsidR="00221E7F" w:rsidRDefault="00221E7F" w:rsidP="00343380">
            <w:pPr>
              <w:pStyle w:val="ListBullet"/>
            </w:pPr>
            <w:r>
              <w:t>14 required urgent recall</w:t>
            </w:r>
          </w:p>
          <w:p w14:paraId="0AE7229D" w14:textId="41F61072" w:rsidR="005D341F" w:rsidRDefault="00221E7F" w:rsidP="007176F0">
            <w:pPr>
              <w:pStyle w:val="ListBullet"/>
            </w:pPr>
            <w:r>
              <w:t>Primary concerns were harm due to reduced or minimal access to sound for some paediatric cochlear implant recipients due to programming anomalies and poor clinical management of this cohort.</w:t>
            </w:r>
          </w:p>
        </w:tc>
      </w:tr>
    </w:tbl>
    <w:p w14:paraId="4F1499A4" w14:textId="77777777" w:rsidR="007402FB" w:rsidRDefault="007402FB" w:rsidP="007402FB">
      <w:pPr>
        <w:rPr>
          <w:rFonts w:cstheme="minorHAnsi"/>
        </w:rPr>
      </w:pPr>
    </w:p>
    <w:p w14:paraId="75F8218F" w14:textId="2513CE67" w:rsidR="00831134" w:rsidRDefault="00112F90" w:rsidP="0018126B">
      <w:pPr>
        <w:pStyle w:val="BodyText"/>
        <w:rPr>
          <w:rFonts w:cstheme="minorHAnsi"/>
        </w:rPr>
      </w:pPr>
      <w:r>
        <w:rPr>
          <w:rFonts w:cstheme="minorHAnsi"/>
        </w:rPr>
        <w:t>For the external reviews listed above,</w:t>
      </w:r>
      <w:r w:rsidR="00A6701C">
        <w:rPr>
          <w:rFonts w:cstheme="minorHAnsi"/>
        </w:rPr>
        <w:t xml:space="preserve"> </w:t>
      </w:r>
      <w:r w:rsidR="00B87D0B">
        <w:rPr>
          <w:rFonts w:cstheme="minorHAnsi"/>
        </w:rPr>
        <w:t xml:space="preserve">individual patient </w:t>
      </w:r>
      <w:r w:rsidR="004C0F8B">
        <w:rPr>
          <w:rFonts w:cstheme="minorHAnsi"/>
        </w:rPr>
        <w:t>ages at the time of the event</w:t>
      </w:r>
      <w:r w:rsidR="00C91D4B">
        <w:rPr>
          <w:rFonts w:cstheme="minorHAnsi"/>
        </w:rPr>
        <w:t>s</w:t>
      </w:r>
      <w:r w:rsidR="004C0F8B">
        <w:rPr>
          <w:rFonts w:cstheme="minorHAnsi"/>
        </w:rPr>
        <w:t xml:space="preserve"> in question are </w:t>
      </w:r>
      <w:r w:rsidR="00C91D4B">
        <w:rPr>
          <w:rFonts w:cstheme="minorHAnsi"/>
        </w:rPr>
        <w:t>not known. However:</w:t>
      </w:r>
    </w:p>
    <w:p w14:paraId="12E78EE5" w14:textId="44378813" w:rsidR="00C91D4B" w:rsidRDefault="00831C8E" w:rsidP="007176F0">
      <w:pPr>
        <w:pStyle w:val="ListBullet"/>
      </w:pPr>
      <w:r>
        <w:t xml:space="preserve">referrals from newborn hearing screens </w:t>
      </w:r>
      <w:r w:rsidR="004B28BB">
        <w:t>would occur while the patient was aged 0-3 years</w:t>
      </w:r>
      <w:r w:rsidR="00D94729">
        <w:t xml:space="preserve"> (e.g., Group 1 in the Townsville University Hospital review)</w:t>
      </w:r>
    </w:p>
    <w:p w14:paraId="3C311FED" w14:textId="13BB5715" w:rsidR="004B28BB" w:rsidRDefault="00644C5B" w:rsidP="007176F0">
      <w:pPr>
        <w:pStyle w:val="ListBullet"/>
      </w:pPr>
      <w:r>
        <w:t xml:space="preserve">as stated in Section </w:t>
      </w:r>
      <w:r w:rsidR="00CD233B">
        <w:fldChar w:fldCharType="begin"/>
      </w:r>
      <w:r w:rsidR="00CD233B">
        <w:instrText xml:space="preserve"> REF _Ref172469229 \r \h </w:instrText>
      </w:r>
      <w:r w:rsidR="00CD2FAE">
        <w:instrText xml:space="preserve"> \* MERGEFORMAT </w:instrText>
      </w:r>
      <w:r w:rsidR="00CD233B">
        <w:fldChar w:fldCharType="separate"/>
      </w:r>
      <w:r w:rsidR="00F32107">
        <w:t>2.1.1.3</w:t>
      </w:r>
      <w:r w:rsidR="00CD233B">
        <w:fldChar w:fldCharType="end"/>
      </w:r>
      <w:r w:rsidR="008C5F29">
        <w:t xml:space="preserve"> </w:t>
      </w:r>
      <w:r w:rsidR="00CD233B">
        <w:t>r</w:t>
      </w:r>
      <w:r w:rsidR="00CD233B" w:rsidRPr="00CD233B">
        <w:t xml:space="preserve">esearch supports the provision of cochlear implants at less than </w:t>
      </w:r>
      <w:r w:rsidR="005F0D7A">
        <w:t>1 year</w:t>
      </w:r>
      <w:r w:rsidR="00CD233B" w:rsidRPr="00CD233B">
        <w:t xml:space="preserve"> </w:t>
      </w:r>
      <w:r w:rsidR="004B28BB">
        <w:t xml:space="preserve">(e.g., Group 2 in the Townsville University Hospital review and </w:t>
      </w:r>
      <w:r w:rsidR="00D94729">
        <w:t>the WCHN review)</w:t>
      </w:r>
      <w:r w:rsidR="00315590">
        <w:t>.</w:t>
      </w:r>
    </w:p>
    <w:p w14:paraId="79CCA232" w14:textId="4ABDFF4E" w:rsidR="007402FB" w:rsidRDefault="007402FB" w:rsidP="0018126B">
      <w:pPr>
        <w:pStyle w:val="BodyText"/>
      </w:pPr>
      <w:r>
        <w:rPr>
          <w:rFonts w:cstheme="minorHAnsi"/>
        </w:rPr>
        <w:t xml:space="preserve">It is recognised that </w:t>
      </w:r>
      <w:r>
        <w:t>early childhood</w:t>
      </w:r>
      <w:r w:rsidRPr="1CCEF95F">
        <w:t xml:space="preserve"> </w:t>
      </w:r>
      <w:r>
        <w:t xml:space="preserve">(0-3 years) </w:t>
      </w:r>
      <w:r w:rsidRPr="1CCEF95F">
        <w:t xml:space="preserve">is an important foundational period </w:t>
      </w:r>
      <w:r>
        <w:t>for the</w:t>
      </w:r>
      <w:r w:rsidRPr="1CCEF95F">
        <w:t xml:space="preserve"> development</w:t>
      </w:r>
      <w:r>
        <w:t xml:space="preserve"> of speech and language. Unaddressed h</w:t>
      </w:r>
      <w:r w:rsidRPr="1CCEF95F">
        <w:t xml:space="preserve">earing loss occurring </w:t>
      </w:r>
      <w:r>
        <w:t xml:space="preserve">in the prelingual phase of development </w:t>
      </w:r>
      <w:r w:rsidRPr="1CCEF95F">
        <w:t xml:space="preserve">is </w:t>
      </w:r>
      <w:r>
        <w:t xml:space="preserve">associated with significant long-term outcomes. From Humphries </w:t>
      </w:r>
      <w:r w:rsidRPr="002A6DE5">
        <w:rPr>
          <w:i/>
          <w:iCs/>
        </w:rPr>
        <w:t>et</w:t>
      </w:r>
      <w:r w:rsidR="00C038AB">
        <w:rPr>
          <w:i/>
          <w:iCs/>
        </w:rPr>
        <w:t> </w:t>
      </w:r>
      <w:r w:rsidRPr="002A6DE5">
        <w:rPr>
          <w:i/>
          <w:iCs/>
        </w:rPr>
        <w:t>al</w:t>
      </w:r>
      <w:r>
        <w:t>. (2018):</w:t>
      </w:r>
      <w:r>
        <w:rPr>
          <w:rStyle w:val="FootnoteReference"/>
        </w:rPr>
        <w:footnoteReference w:id="150"/>
      </w:r>
      <w:r>
        <w:t xml:space="preserve"> </w:t>
      </w:r>
    </w:p>
    <w:p w14:paraId="3A776002" w14:textId="4DE3E17E" w:rsidR="007402FB" w:rsidRDefault="00E50AB4" w:rsidP="007402FB">
      <w:pPr>
        <w:spacing w:after="120"/>
        <w:ind w:left="357" w:right="357"/>
      </w:pPr>
      <w:r>
        <w:t>‘</w:t>
      </w:r>
      <w:r w:rsidR="007402FB" w:rsidRPr="007F3517">
        <w:rPr>
          <w:i/>
          <w:iCs/>
        </w:rPr>
        <w:t>Human beings are hardwired to acquire language – any natural language, including sign languages and spoken languages – but the window of opportunity on first full language acquisition is drastically reduced after the first few years of life. If a child becomes deaf after this sensitive period for firs</w:t>
      </w:r>
      <w:r w:rsidR="007402FB">
        <w:rPr>
          <w:i/>
          <w:iCs/>
        </w:rPr>
        <w:t>t</w:t>
      </w:r>
      <w:r w:rsidR="007402FB" w:rsidRPr="007F3517">
        <w:rPr>
          <w:i/>
          <w:iCs/>
        </w:rPr>
        <w:t xml:space="preserve"> language acquisition, that child may already have enough of a foundation in the spoken language to thrive or, at the least, manage linguistically in a strictly oral environment. But the congenitally deaf child is our focus here, the child who needs frequent and regular exposure to an accessible language while the brain is still plastic enough to </w:t>
      </w:r>
      <w:r w:rsidR="007402FB">
        <w:rPr>
          <w:i/>
          <w:iCs/>
        </w:rPr>
        <w:t>ac</w:t>
      </w:r>
      <w:r w:rsidR="007402FB" w:rsidRPr="007F3517">
        <w:rPr>
          <w:i/>
          <w:iCs/>
        </w:rPr>
        <w:t>quire language. If that child is left without accessible language during the sensitive period, that child may experience linguistic deprivation, which leads to serious language delays and cognitive deficits, as well as other health and psycho-social problems</w:t>
      </w:r>
      <w:r w:rsidR="007402FB">
        <w:t>.</w:t>
      </w:r>
      <w:r>
        <w:t>’</w:t>
      </w:r>
    </w:p>
    <w:p w14:paraId="10AB12B5" w14:textId="0112F935" w:rsidR="007402FB" w:rsidRDefault="00522D23" w:rsidP="0018126B">
      <w:pPr>
        <w:pStyle w:val="BodyText"/>
      </w:pPr>
      <w:r>
        <w:t xml:space="preserve">Hence, </w:t>
      </w:r>
      <w:r w:rsidR="00577E23" w:rsidRPr="00577E23">
        <w:t xml:space="preserve">substandard care </w:t>
      </w:r>
      <w:r w:rsidR="009E0501">
        <w:t>for patients in this age range (</w:t>
      </w:r>
      <w:r w:rsidR="00577E23" w:rsidRPr="00577E23">
        <w:t>delayed time to diagnosis or appropriate treatment</w:t>
      </w:r>
      <w:r w:rsidR="009E0501">
        <w:t>) has both</w:t>
      </w:r>
      <w:r w:rsidR="00577E23" w:rsidRPr="00577E23">
        <w:t xml:space="preserve"> short-term and long-term social and economic consequences for patients, families/carers, and government services</w:t>
      </w:r>
      <w:r w:rsidR="00833B04">
        <w:t xml:space="preserve">. Please refer to Section </w:t>
      </w:r>
      <w:r w:rsidR="0009185F">
        <w:fldChar w:fldCharType="begin"/>
      </w:r>
      <w:r w:rsidR="0009185F">
        <w:instrText xml:space="preserve"> REF _Ref171318838 \r \h </w:instrText>
      </w:r>
      <w:r w:rsidR="0009185F">
        <w:fldChar w:fldCharType="separate"/>
      </w:r>
      <w:r w:rsidR="00F32107">
        <w:t>7.6</w:t>
      </w:r>
      <w:r w:rsidR="0009185F">
        <w:fldChar w:fldCharType="end"/>
      </w:r>
      <w:r w:rsidR="00833B04">
        <w:t xml:space="preserve"> for further discussion of these outcomes.</w:t>
      </w:r>
    </w:p>
    <w:p w14:paraId="08C26012" w14:textId="667B9317" w:rsidR="00DE5D3D" w:rsidRDefault="0002693D" w:rsidP="0018126B">
      <w:pPr>
        <w:pStyle w:val="Heading3"/>
      </w:pPr>
      <w:bookmarkStart w:id="92" w:name="_Ref172794062"/>
      <w:bookmarkStart w:id="93" w:name="_Toc198138585"/>
      <w:bookmarkStart w:id="94" w:name="_Ref170827029"/>
      <w:bookmarkStart w:id="95" w:name="_Toc171324740"/>
      <w:r>
        <w:t xml:space="preserve">Information </w:t>
      </w:r>
      <w:r w:rsidR="00526D3E">
        <w:t xml:space="preserve">asymmetries and principal-agent </w:t>
      </w:r>
      <w:r w:rsidR="00C65720">
        <w:t>issues</w:t>
      </w:r>
      <w:bookmarkEnd w:id="92"/>
      <w:bookmarkEnd w:id="93"/>
    </w:p>
    <w:p w14:paraId="33E4DC63" w14:textId="41836F25" w:rsidR="00526D3E" w:rsidRPr="00526D3E" w:rsidRDefault="00D51830" w:rsidP="00526D3E">
      <w:pPr>
        <w:pStyle w:val="Heading4"/>
        <w:rPr>
          <w:lang w:eastAsia="en-AU"/>
        </w:rPr>
      </w:pPr>
      <w:r>
        <w:rPr>
          <w:lang w:eastAsia="en-AU"/>
        </w:rPr>
        <w:t>Theor</w:t>
      </w:r>
      <w:r w:rsidR="00C31817">
        <w:rPr>
          <w:lang w:eastAsia="en-AU"/>
        </w:rPr>
        <w:t>etical presentation</w:t>
      </w:r>
    </w:p>
    <w:p w14:paraId="39F30454" w14:textId="688243E4" w:rsidR="00DE5D3D" w:rsidRDefault="00DE5D3D" w:rsidP="00DE5D3D">
      <w:pPr>
        <w:pStyle w:val="BodyText"/>
      </w:pPr>
      <w:r>
        <w:t>The relationship between a patient and healthcare provider is, in most circumstances, characterised by an imbalance of information between these two parties.</w:t>
      </w:r>
      <w:r>
        <w:rPr>
          <w:rStyle w:val="FootnoteReference"/>
        </w:rPr>
        <w:footnoteReference w:id="151"/>
      </w:r>
      <w:r>
        <w:t xml:space="preserve"> Patients are thus required to seek the services of an appropriate health care provider in order to make treatment decisions. In this context, the appropriate health care provider is a person who has the skills and knowledge to provide accurate information to the patient, and, if needed, high-quality goods and services. </w:t>
      </w:r>
    </w:p>
    <w:p w14:paraId="3AF9CD94" w14:textId="640E4FFD" w:rsidR="00DE5D3D" w:rsidRDefault="00DE5D3D" w:rsidP="00DE5D3D">
      <w:pPr>
        <w:pStyle w:val="BodyText"/>
      </w:pPr>
      <w:r>
        <w:t>Ideally, this appropriate healthcare provider would provide all of the information needed for the patient to make an independent and rational treatment decision. Instead, patients will often elect to delegate decision-making authority</w:t>
      </w:r>
      <w:r w:rsidR="000876BC">
        <w:t xml:space="preserve"> to the healthcare provider, </w:t>
      </w:r>
      <w:r w:rsidR="000B318A">
        <w:t>creating a principal-agent relationship</w:t>
      </w:r>
      <w:r>
        <w:t>. In this circumstance, the patient (the principal) is entrusting the healthcare provider (the agent) to take into account the patient’s circumstances and preferences, and select the same treatment that the patient would choose if they had all of the relevant information possessed by the healthcare provider.</w:t>
      </w:r>
      <w:r>
        <w:rPr>
          <w:rStyle w:val="FootnoteReference"/>
        </w:rPr>
        <w:footnoteReference w:id="152"/>
      </w:r>
      <w:r>
        <w:t xml:space="preserve"> </w:t>
      </w:r>
    </w:p>
    <w:p w14:paraId="47D78BBD" w14:textId="17FCC216" w:rsidR="00DE5D3D" w:rsidRDefault="00412998" w:rsidP="00A21C80">
      <w:pPr>
        <w:pStyle w:val="BodyText"/>
      </w:pPr>
      <w:r>
        <w:t>Information asymmetries in the context of a principal-agent relationship</w:t>
      </w:r>
      <w:r w:rsidR="00DE5D3D">
        <w:t xml:space="preserve"> create core challenges for </w:t>
      </w:r>
      <w:r w:rsidR="00A3092C">
        <w:t>a</w:t>
      </w:r>
      <w:r w:rsidR="00DE5D3D">
        <w:t xml:space="preserve"> patient.</w:t>
      </w:r>
      <w:r w:rsidR="00A21C80">
        <w:t xml:space="preserve"> Specifically, having </w:t>
      </w:r>
      <w:r w:rsidR="00DE5D3D">
        <w:t>encountered a health care provider, patients may not be able to judge:</w:t>
      </w:r>
    </w:p>
    <w:p w14:paraId="331899D1" w14:textId="77777777" w:rsidR="00DE5D3D" w:rsidRDefault="00DE5D3D" w:rsidP="007176F0">
      <w:pPr>
        <w:pStyle w:val="ListBullet"/>
      </w:pPr>
      <w:r>
        <w:t>the accuracy of information received or quality of goods and services delivered</w:t>
      </w:r>
      <w:r>
        <w:rPr>
          <w:rStyle w:val="FootnoteReference"/>
        </w:rPr>
        <w:footnoteReference w:id="153"/>
      </w:r>
    </w:p>
    <w:p w14:paraId="51D1BDB1" w14:textId="17E0711D" w:rsidR="00DE5D3D" w:rsidRDefault="00DE5D3D" w:rsidP="007176F0">
      <w:pPr>
        <w:pStyle w:val="ListBullet"/>
      </w:pPr>
      <w:r>
        <w:t xml:space="preserve">whether the healthcare provider made a different treatment decision to the one that the patient would have made if they had all the relevant information (i.e., if a conflict of interest resulted in a treatment decision that </w:t>
      </w:r>
      <w:r w:rsidR="003322E2">
        <w:t>prioritised the agent’s preferences</w:t>
      </w:r>
      <w:r>
        <w:t>).</w:t>
      </w:r>
    </w:p>
    <w:p w14:paraId="7290E48A" w14:textId="71231D07" w:rsidR="00DE5D3D" w:rsidRDefault="00852B78" w:rsidP="00DE5D3D">
      <w:pPr>
        <w:pStyle w:val="BodyText"/>
      </w:pPr>
      <w:r>
        <w:t xml:space="preserve">It is </w:t>
      </w:r>
      <w:r w:rsidR="00BC6D6C">
        <w:t xml:space="preserve">explicitly </w:t>
      </w:r>
      <w:r>
        <w:t>acknowledged that these issues are</w:t>
      </w:r>
      <w:r w:rsidR="00DE5D3D">
        <w:t xml:space="preserve"> characteristic of health markets</w:t>
      </w:r>
      <w:r>
        <w:t xml:space="preserve"> in general</w:t>
      </w:r>
      <w:r w:rsidR="00A10678">
        <w:t>.</w:t>
      </w:r>
      <w:r w:rsidR="00BC6D6C">
        <w:rPr>
          <w:rStyle w:val="FootnoteReference"/>
        </w:rPr>
        <w:footnoteReference w:id="154"/>
      </w:r>
      <w:r w:rsidR="00DE5D3D">
        <w:t xml:space="preserve"> </w:t>
      </w:r>
      <w:r w:rsidR="00A10678">
        <w:t>However,</w:t>
      </w:r>
      <w:r w:rsidR="007B4704">
        <w:t xml:space="preserve"> </w:t>
      </w:r>
      <w:r w:rsidR="00DE5D3D">
        <w:t>audiology</w:t>
      </w:r>
      <w:r w:rsidR="007B4704">
        <w:t xml:space="preserve"> services</w:t>
      </w:r>
      <w:r w:rsidR="00DE5D3D">
        <w:t xml:space="preserve"> ha</w:t>
      </w:r>
      <w:r w:rsidR="007B4704">
        <w:t>ve</w:t>
      </w:r>
      <w:r w:rsidR="00DE5D3D">
        <w:t xml:space="preserve"> specific factors that require further consideration</w:t>
      </w:r>
      <w:r w:rsidR="00ED329A">
        <w:t>.</w:t>
      </w:r>
    </w:p>
    <w:p w14:paraId="76E2734A" w14:textId="5385DA03" w:rsidR="00D47867" w:rsidRDefault="00936233" w:rsidP="00D47867">
      <w:pPr>
        <w:pStyle w:val="Heading4"/>
        <w:rPr>
          <w:lang w:eastAsia="en-AU"/>
        </w:rPr>
      </w:pPr>
      <w:r>
        <w:rPr>
          <w:lang w:eastAsia="en-AU"/>
        </w:rPr>
        <w:t>Information asymmetry – stakeholder feedback</w:t>
      </w:r>
    </w:p>
    <w:p w14:paraId="13546AE0" w14:textId="2361A51C" w:rsidR="00852597" w:rsidRDefault="0092461E" w:rsidP="004F740A">
      <w:pPr>
        <w:pStyle w:val="BodyText"/>
      </w:pPr>
      <w:r>
        <w:t>A</w:t>
      </w:r>
      <w:r w:rsidR="00053226">
        <w:t xml:space="preserve">s stated in Section </w:t>
      </w:r>
      <w:r w:rsidR="00053226">
        <w:fldChar w:fldCharType="begin"/>
      </w:r>
      <w:r w:rsidR="00053226">
        <w:instrText xml:space="preserve"> REF _Ref172473854 \r \h </w:instrText>
      </w:r>
      <w:r w:rsidR="00053226">
        <w:fldChar w:fldCharType="separate"/>
      </w:r>
      <w:r w:rsidR="00F32107">
        <w:t>2.3.1</w:t>
      </w:r>
      <w:r w:rsidR="00053226">
        <w:fldChar w:fldCharType="end"/>
      </w:r>
      <w:r w:rsidR="00053226">
        <w:t>, a</w:t>
      </w:r>
      <w:r>
        <w:t>udiologists</w:t>
      </w:r>
      <w:r w:rsidR="0014304F" w:rsidRPr="0014304F">
        <w:t xml:space="preserve"> primarily hold a Masters-level degree in clinical audiology</w:t>
      </w:r>
      <w:r w:rsidR="002D6A1D">
        <w:t>. C</w:t>
      </w:r>
      <w:r w:rsidR="00852597">
        <w:t xml:space="preserve">urrent </w:t>
      </w:r>
      <w:r w:rsidR="002D6A1D">
        <w:t>qualifications</w:t>
      </w:r>
      <w:r w:rsidR="00852597">
        <w:t xml:space="preserve"> for </w:t>
      </w:r>
      <w:r w:rsidR="0014304F" w:rsidRPr="0014304F">
        <w:t>audiometrists</w:t>
      </w:r>
      <w:r w:rsidR="00852597">
        <w:t xml:space="preserve"> include:</w:t>
      </w:r>
    </w:p>
    <w:p w14:paraId="0ADB4734" w14:textId="4151902E" w:rsidR="00852597" w:rsidRDefault="00852597" w:rsidP="00CD62A2">
      <w:pPr>
        <w:pStyle w:val="ListBullet"/>
        <w:rPr>
          <w:szCs w:val="21"/>
          <w:lang w:eastAsia="en-US"/>
        </w:rPr>
      </w:pPr>
      <w:r w:rsidRPr="007176F0">
        <w:rPr>
          <w:b/>
          <w:bCs/>
        </w:rPr>
        <w:t>Certificate IV</w:t>
      </w:r>
      <w:r w:rsidR="00CD62A2" w:rsidRPr="007176F0">
        <w:rPr>
          <w:b/>
          <w:bCs/>
        </w:rPr>
        <w:t xml:space="preserve"> in Audiometry</w:t>
      </w:r>
      <w:r w:rsidR="00CD62A2">
        <w:rPr>
          <w:szCs w:val="21"/>
          <w:lang w:eastAsia="en-US"/>
        </w:rPr>
        <w:t xml:space="preserve">: </w:t>
      </w:r>
      <w:r w:rsidRPr="007176F0">
        <w:rPr>
          <w:szCs w:val="21"/>
          <w:lang w:eastAsia="en-US"/>
        </w:rPr>
        <w:t xml:space="preserve"> </w:t>
      </w:r>
      <w:r w:rsidR="00CD62A2">
        <w:rPr>
          <w:szCs w:val="21"/>
          <w:lang w:eastAsia="en-US"/>
        </w:rPr>
        <w:t xml:space="preserve">Audiometrists </w:t>
      </w:r>
      <w:r w:rsidR="00115B12">
        <w:rPr>
          <w:szCs w:val="21"/>
          <w:lang w:eastAsia="en-US"/>
        </w:rPr>
        <w:t>‘</w:t>
      </w:r>
      <w:r w:rsidR="002C5545" w:rsidRPr="007176F0">
        <w:rPr>
          <w:i/>
          <w:iCs/>
          <w:szCs w:val="21"/>
          <w:lang w:eastAsia="en-US"/>
        </w:rPr>
        <w:t>conduct hearing assessments to identify hearing impairment and take action based on test results. They refer clients for further audiological or medical assessment, and may be involved in care management and education programs. Workers at this level do not prescribe or dispense hearing aids and are not qualified to work as independent practitioners. Audiometrists may work in medical or industrial contexts</w:t>
      </w:r>
      <w:r w:rsidR="00F17042">
        <w:rPr>
          <w:szCs w:val="21"/>
          <w:lang w:eastAsia="en-US"/>
        </w:rPr>
        <w:t>’.</w:t>
      </w:r>
      <w:r w:rsidR="0009639A">
        <w:rPr>
          <w:rStyle w:val="FootnoteReference"/>
          <w:szCs w:val="21"/>
          <w:lang w:eastAsia="en-US"/>
        </w:rPr>
        <w:footnoteReference w:id="155"/>
      </w:r>
    </w:p>
    <w:p w14:paraId="59EC3B14" w14:textId="0376CEB1" w:rsidR="002D6A1D" w:rsidRPr="00CD62A2" w:rsidRDefault="002D6A1D" w:rsidP="007176F0">
      <w:pPr>
        <w:pStyle w:val="ListBullet"/>
      </w:pPr>
      <w:r>
        <w:rPr>
          <w:b/>
          <w:bCs/>
        </w:rPr>
        <w:t>Diploma of Audiometry</w:t>
      </w:r>
      <w:r w:rsidRPr="007176F0">
        <w:rPr>
          <w:szCs w:val="21"/>
          <w:lang w:eastAsia="en-US"/>
        </w:rPr>
        <w:t>:</w:t>
      </w:r>
      <w:r>
        <w:rPr>
          <w:szCs w:val="21"/>
          <w:lang w:eastAsia="en-US"/>
        </w:rPr>
        <w:t xml:space="preserve"> </w:t>
      </w:r>
      <w:r w:rsidR="0050766E">
        <w:rPr>
          <w:szCs w:val="21"/>
          <w:lang w:eastAsia="en-US"/>
        </w:rPr>
        <w:t>A</w:t>
      </w:r>
      <w:r w:rsidR="006F7B92" w:rsidRPr="006F7B92">
        <w:rPr>
          <w:szCs w:val="21"/>
          <w:lang w:eastAsia="en-US"/>
        </w:rPr>
        <w:t xml:space="preserve">udiometrists </w:t>
      </w:r>
      <w:r w:rsidR="00F17042">
        <w:rPr>
          <w:szCs w:val="21"/>
          <w:lang w:eastAsia="en-US"/>
        </w:rPr>
        <w:t>‘</w:t>
      </w:r>
      <w:r w:rsidR="006F7B92" w:rsidRPr="007176F0">
        <w:rPr>
          <w:i/>
          <w:iCs/>
          <w:szCs w:val="21"/>
          <w:lang w:eastAsia="en-US"/>
        </w:rPr>
        <w:t>conduct hearing assessments to identify hearing impairment and take appropriate action based on the test results. They may refer clients for further audiological or medical assessment, and be involved in care management and education programs. At this level, audiometrists also prescribe and dispense hearing aids and/or other listening devices to assist in hearing rehabilitation. Audiometrists may work in medical or industrial contexts or as independent practitioners</w:t>
      </w:r>
      <w:r w:rsidR="00612F0E">
        <w:rPr>
          <w:szCs w:val="21"/>
          <w:lang w:eastAsia="en-US"/>
        </w:rPr>
        <w:t>’</w:t>
      </w:r>
      <w:r w:rsidR="006F7B92" w:rsidRPr="006F7B92">
        <w:rPr>
          <w:szCs w:val="21"/>
          <w:lang w:eastAsia="en-US"/>
        </w:rPr>
        <w:t>.</w:t>
      </w:r>
      <w:r w:rsidR="0081401B">
        <w:rPr>
          <w:rStyle w:val="FootnoteReference"/>
          <w:szCs w:val="21"/>
          <w:lang w:eastAsia="en-US"/>
        </w:rPr>
        <w:footnoteReference w:id="156"/>
      </w:r>
    </w:p>
    <w:p w14:paraId="39461103" w14:textId="04D56DA0" w:rsidR="00D92568" w:rsidRDefault="0014304F" w:rsidP="00852597">
      <w:pPr>
        <w:pStyle w:val="BodyText"/>
      </w:pPr>
      <w:r w:rsidRPr="0014304F">
        <w:t>Hence, while the two workforces have areas of overlapping scope of practice, there are differences in education and training requirements which generate a non-overlapping scope of practice for audiologists.</w:t>
      </w:r>
      <w:r w:rsidR="00E42A15">
        <w:rPr>
          <w:rStyle w:val="FootnoteReference"/>
        </w:rPr>
        <w:footnoteReference w:id="157"/>
      </w:r>
      <w:r w:rsidR="008110A5">
        <w:t xml:space="preserve"> Due to this, it is important for patients to understand the qualifications</w:t>
      </w:r>
      <w:r w:rsidR="007C4C90">
        <w:t xml:space="preserve">, training and experience of the </w:t>
      </w:r>
      <w:r w:rsidR="008110A5">
        <w:t xml:space="preserve">healthcare provider </w:t>
      </w:r>
      <w:r w:rsidR="001C68E8">
        <w:t xml:space="preserve">(audiologist or audiometrist) </w:t>
      </w:r>
      <w:r w:rsidR="007C4C90">
        <w:t>they are seeking care from</w:t>
      </w:r>
      <w:r w:rsidR="00075EA1">
        <w:t>,</w:t>
      </w:r>
      <w:r w:rsidR="00CB5DE1">
        <w:t xml:space="preserve"> to ensure that person is an appropriate healthcare provider.</w:t>
      </w:r>
      <w:r w:rsidR="00824B17">
        <w:t xml:space="preserve"> </w:t>
      </w:r>
      <w:r w:rsidR="00E35814">
        <w:t xml:space="preserve">Stakeholder feedback </w:t>
      </w:r>
      <w:r w:rsidR="00495741">
        <w:t xml:space="preserve">was </w:t>
      </w:r>
      <w:r w:rsidR="00EC78EE">
        <w:t>provided in relation to two sources of information asymmetry which may present a barrier to this understanding</w:t>
      </w:r>
      <w:r w:rsidR="00E41BB0">
        <w:t xml:space="preserve"> – scope of practice and protection of title.</w:t>
      </w:r>
    </w:p>
    <w:p w14:paraId="6204E127" w14:textId="46E76D3D" w:rsidR="00E41BB0" w:rsidRDefault="00E41BB0" w:rsidP="00E41BB0">
      <w:pPr>
        <w:pStyle w:val="HeadingA"/>
      </w:pPr>
      <w:r>
        <w:t>Scope of practice</w:t>
      </w:r>
    </w:p>
    <w:p w14:paraId="5665D85C" w14:textId="0320149F" w:rsidR="00DA2DCB" w:rsidRDefault="00B840F1" w:rsidP="00496682">
      <w:pPr>
        <w:pStyle w:val="BodyText"/>
      </w:pPr>
      <w:r>
        <w:t xml:space="preserve">Across the consultation period, </w:t>
      </w:r>
      <w:r w:rsidR="00FC1986">
        <w:t xml:space="preserve">there was marked disagreement between </w:t>
      </w:r>
      <w:r>
        <w:t>s</w:t>
      </w:r>
      <w:r w:rsidR="00AD163E">
        <w:t xml:space="preserve">takeholders </w:t>
      </w:r>
      <w:r w:rsidR="00FC1986">
        <w:t xml:space="preserve">as to </w:t>
      </w:r>
      <w:r w:rsidR="008573C1">
        <w:t xml:space="preserve">the </w:t>
      </w:r>
      <w:r w:rsidR="007F442C">
        <w:t>whether there are</w:t>
      </w:r>
      <w:r w:rsidR="00FC1986">
        <w:t xml:space="preserve"> </w:t>
      </w:r>
      <w:r w:rsidR="00D618DC">
        <w:t xml:space="preserve">scope </w:t>
      </w:r>
      <w:r w:rsidR="00DD31EF">
        <w:t>of practice</w:t>
      </w:r>
      <w:r w:rsidR="00A7593C">
        <w:t xml:space="preserve"> issues </w:t>
      </w:r>
      <w:r w:rsidR="00402241">
        <w:t xml:space="preserve">currently </w:t>
      </w:r>
      <w:r w:rsidR="00D25E0C">
        <w:t>occurring between the audiologist and audiometrist professions</w:t>
      </w:r>
      <w:r w:rsidR="00367EE0">
        <w:t>, and if so, their importance</w:t>
      </w:r>
      <w:r w:rsidR="00D618DC">
        <w:t xml:space="preserve">. Where </w:t>
      </w:r>
      <w:r w:rsidR="00CC7962">
        <w:t xml:space="preserve">stakeholders </w:t>
      </w:r>
      <w:r w:rsidR="00850983">
        <w:t>raised scope of practice issues</w:t>
      </w:r>
      <w:r w:rsidR="00875D6E">
        <w:t xml:space="preserve">, it was commonly linked to </w:t>
      </w:r>
      <w:r w:rsidR="00D62B18">
        <w:t>it’s</w:t>
      </w:r>
      <w:r w:rsidR="00D47867">
        <w:t xml:space="preserve"> potential to lead to patient harm, or </w:t>
      </w:r>
      <w:r w:rsidR="00875D6E">
        <w:t>a</w:t>
      </w:r>
      <w:r w:rsidR="009A5CED">
        <w:t xml:space="preserve"> </w:t>
      </w:r>
      <w:r w:rsidR="00D62B18">
        <w:t>witnessing of</w:t>
      </w:r>
      <w:r w:rsidR="00D47867">
        <w:t xml:space="preserve"> patient harm</w:t>
      </w:r>
      <w:r w:rsidR="009A5CED">
        <w:t xml:space="preserve"> which had occurred</w:t>
      </w:r>
      <w:r w:rsidR="005D333D">
        <w:t xml:space="preserve"> as a result of this issue</w:t>
      </w:r>
      <w:r w:rsidR="00D47867">
        <w:t xml:space="preserve">. </w:t>
      </w:r>
      <w:r w:rsidR="00BC795A">
        <w:t>Stakeholders’ perceived</w:t>
      </w:r>
      <w:r w:rsidR="00496682">
        <w:t xml:space="preserve"> </w:t>
      </w:r>
      <w:r w:rsidR="00850983">
        <w:t>concerns</w:t>
      </w:r>
      <w:r w:rsidR="000246E0">
        <w:t xml:space="preserve"> may be thematically summarised as</w:t>
      </w:r>
      <w:r w:rsidR="00DA2DCB">
        <w:t>:</w:t>
      </w:r>
    </w:p>
    <w:p w14:paraId="749E9BE5" w14:textId="216238D7" w:rsidR="007F3F7F" w:rsidRDefault="00FB11AA" w:rsidP="007F3F7F">
      <w:pPr>
        <w:pStyle w:val="ListBullet"/>
      </w:pPr>
      <w:r w:rsidRPr="008E6E83">
        <w:rPr>
          <w:b/>
          <w:bCs/>
        </w:rPr>
        <w:t>Scope of practice is not</w:t>
      </w:r>
      <w:r w:rsidR="00352CBF" w:rsidRPr="008E6E83">
        <w:rPr>
          <w:b/>
          <w:bCs/>
        </w:rPr>
        <w:t xml:space="preserve"> clearly defined between the two workforces</w:t>
      </w:r>
      <w:r w:rsidR="00352CBF">
        <w:t xml:space="preserve">. </w:t>
      </w:r>
      <w:r w:rsidR="007F3F7F">
        <w:t xml:space="preserve">A common reference point for this view was the co-published </w:t>
      </w:r>
      <w:r w:rsidR="007F3F7F" w:rsidRPr="002C485D">
        <w:rPr>
          <w:i/>
          <w:iCs/>
        </w:rPr>
        <w:t>Scope of Practice</w:t>
      </w:r>
      <w:r w:rsidR="007F3F7F">
        <w:t xml:space="preserve"> document, and it’s approach.</w:t>
      </w:r>
      <w:r w:rsidR="007F3F7F" w:rsidRPr="007F3F7F">
        <w:t xml:space="preserve"> </w:t>
      </w:r>
      <w:r w:rsidR="007F3F7F">
        <w:t xml:space="preserve">The Scope of Practice states, </w:t>
      </w:r>
      <w:r w:rsidR="00335ADE">
        <w:t>‘</w:t>
      </w:r>
      <w:r w:rsidR="007F3F7F" w:rsidRPr="007F3F7F">
        <w:rPr>
          <w:i/>
          <w:iCs/>
        </w:rPr>
        <w:t>The Scope of Practice cannot be used to define, regulate or restrict the scope of an individual’s practice.  These regulatory aims are instead achieved via a suite of other relevant policies and by-laws that Audiology Australia, ACAud and HAASA members must adhere to. It is the responsibility of the individual to be aware of, and only engage in, those aspects of the Scope of Practice that they have the appropriate educational qualifications, knowledge, skills and experience to practice lawfully, safely and effectively, in a way that meets professional standards and does not pose any danger to the public or to themselves. A Decision Tool to aid individuals when determining the scope of their own practice is made available in Appendix 2 [of the document]</w:t>
      </w:r>
      <w:r w:rsidR="007F3F7F">
        <w:t>.</w:t>
      </w:r>
      <w:r w:rsidR="00080F40">
        <w:t>’</w:t>
      </w:r>
      <w:r w:rsidR="007F3F7F">
        <w:t xml:space="preserve"> Stakeholder feedback included:</w:t>
      </w:r>
    </w:p>
    <w:p w14:paraId="03CF88A5" w14:textId="77777777" w:rsidR="007F3F7F" w:rsidRDefault="007F3F7F" w:rsidP="00FC3974">
      <w:pPr>
        <w:pStyle w:val="BulletList2Column"/>
      </w:pPr>
      <w:r>
        <w:t>A view that it is difficult to self-assess skills accurately in order for an individual to determine their own scope of practice</w:t>
      </w:r>
    </w:p>
    <w:p w14:paraId="5B35EBCE" w14:textId="0692FF91" w:rsidR="00352CBF" w:rsidRDefault="007F3F7F" w:rsidP="00FC3974">
      <w:pPr>
        <w:pStyle w:val="BulletList2Column"/>
      </w:pPr>
      <w:r>
        <w:t xml:space="preserve">A view that in order to refer appropriately (as per the sectoral </w:t>
      </w:r>
      <w:r w:rsidRPr="00FC3974">
        <w:rPr>
          <w:i/>
          <w:iCs/>
        </w:rPr>
        <w:t>Code of Conduct</w:t>
      </w:r>
      <w:r>
        <w:t>) audiologists and audiometrists need to have clear scopes of practice.</w:t>
      </w:r>
    </w:p>
    <w:p w14:paraId="14237CA8" w14:textId="6C15CC39" w:rsidR="00EB21A3" w:rsidRDefault="008E6E83" w:rsidP="00352CBF">
      <w:pPr>
        <w:pStyle w:val="ListBullet"/>
      </w:pPr>
      <w:r w:rsidRPr="008E6E83">
        <w:rPr>
          <w:b/>
          <w:bCs/>
        </w:rPr>
        <w:t>Audiologists and audiometrists may be working outside of their scope of practice due to organisational pressures</w:t>
      </w:r>
      <w:r>
        <w:t xml:space="preserve">. </w:t>
      </w:r>
      <w:r w:rsidR="001C1CD5">
        <w:t xml:space="preserve">Stakeholder feedback conveyed this theme </w:t>
      </w:r>
      <w:r w:rsidR="0080713B">
        <w:t xml:space="preserve">particularly </w:t>
      </w:r>
      <w:r w:rsidR="001C1CD5">
        <w:t xml:space="preserve">in relation to </w:t>
      </w:r>
      <w:r w:rsidR="00A779AC">
        <w:t xml:space="preserve">pressure on </w:t>
      </w:r>
      <w:r w:rsidR="001C1CD5">
        <w:t>aud</w:t>
      </w:r>
      <w:r w:rsidR="00E53588">
        <w:t>i</w:t>
      </w:r>
      <w:r w:rsidR="001C1CD5">
        <w:t>ometrists working in the private sector</w:t>
      </w:r>
      <w:r w:rsidR="00DD59E7">
        <w:t>.</w:t>
      </w:r>
      <w:r w:rsidR="006966EB">
        <w:t xml:space="preserve"> </w:t>
      </w:r>
      <w:r w:rsidR="00301F07">
        <w:t>Where raised, these issues were linked to increased risk of providing substandard care</w:t>
      </w:r>
      <w:r w:rsidR="008F1549">
        <w:t xml:space="preserve">. </w:t>
      </w:r>
      <w:r w:rsidR="00DD59E7">
        <w:t xml:space="preserve">Please refer to Section </w:t>
      </w:r>
      <w:r w:rsidR="009750C5">
        <w:fldChar w:fldCharType="begin"/>
      </w:r>
      <w:r w:rsidR="009750C5">
        <w:instrText xml:space="preserve"> REF _Ref172479211 \r \h </w:instrText>
      </w:r>
      <w:r w:rsidR="009750C5">
        <w:fldChar w:fldCharType="separate"/>
      </w:r>
      <w:r w:rsidR="00F32107">
        <w:t>3.3</w:t>
      </w:r>
      <w:r w:rsidR="009750C5">
        <w:fldChar w:fldCharType="end"/>
      </w:r>
      <w:r w:rsidR="00F27AB1">
        <w:t xml:space="preserve"> </w:t>
      </w:r>
      <w:r w:rsidR="008D03FF">
        <w:t>regarding the influence of organisational pressures on the delivery of service</w:t>
      </w:r>
      <w:r w:rsidR="00590725">
        <w:t>s</w:t>
      </w:r>
      <w:r w:rsidR="00DD59E7">
        <w:t>.</w:t>
      </w:r>
      <w:r w:rsidR="00917DC0">
        <w:t xml:space="preserve"> </w:t>
      </w:r>
    </w:p>
    <w:p w14:paraId="3FDF0AA1" w14:textId="2CFA597C" w:rsidR="001A1BCE" w:rsidRDefault="006D5E00" w:rsidP="00C0249C">
      <w:pPr>
        <w:pStyle w:val="ListBullet"/>
        <w:numPr>
          <w:ilvl w:val="0"/>
          <w:numId w:val="0"/>
        </w:numPr>
      </w:pPr>
      <w:r>
        <w:t xml:space="preserve">Isolated examples were also raised of </w:t>
      </w:r>
      <w:r w:rsidR="00D16AD0">
        <w:t xml:space="preserve">specific </w:t>
      </w:r>
      <w:r w:rsidR="00C27E15">
        <w:t xml:space="preserve">disagreements </w:t>
      </w:r>
      <w:r w:rsidR="00D16AD0">
        <w:t xml:space="preserve">with the </w:t>
      </w:r>
      <w:r w:rsidR="00D75CF9">
        <w:t>scope definition</w:t>
      </w:r>
      <w:r w:rsidR="00B44A60">
        <w:t>s e.g., audiometrists performing tinnitus counselling.</w:t>
      </w:r>
      <w:r w:rsidR="00336E6A">
        <w:t xml:space="preserve"> For stakeholders that raised scope of practice issues, </w:t>
      </w:r>
      <w:r w:rsidR="00C02E3C">
        <w:t>examples of potential patient harms raised w</w:t>
      </w:r>
      <w:r w:rsidR="00D368DD">
        <w:t xml:space="preserve">ere incorrect assessment of emergency conditions (e.g., </w:t>
      </w:r>
      <w:r w:rsidR="00404282">
        <w:t>sudden onset hearing loss</w:t>
      </w:r>
      <w:r w:rsidR="00404282">
        <w:rPr>
          <w:rStyle w:val="FootnoteReference"/>
        </w:rPr>
        <w:footnoteReference w:id="158"/>
      </w:r>
      <w:r w:rsidR="00404282">
        <w:t>)</w:t>
      </w:r>
      <w:r w:rsidR="005B3750">
        <w:t xml:space="preserve">, </w:t>
      </w:r>
      <w:r w:rsidR="0038414B">
        <w:t>and a range of missed diagnoses.</w:t>
      </w:r>
    </w:p>
    <w:p w14:paraId="44166861" w14:textId="7FE602BB" w:rsidR="00B07ABF" w:rsidRDefault="00590725" w:rsidP="009750C5">
      <w:pPr>
        <w:pStyle w:val="BodyText"/>
      </w:pPr>
      <w:r>
        <w:t>However, for stakeholders that disagreed t</w:t>
      </w:r>
      <w:r w:rsidR="00273FD9">
        <w:t xml:space="preserve">hat scope of practice was an important issue for the profession (in the context of a Decision RIS to make </w:t>
      </w:r>
      <w:r w:rsidR="00332804">
        <w:t>changes to the regulation of the profession), a</w:t>
      </w:r>
      <w:r w:rsidR="00B07ABF">
        <w:t xml:space="preserve"> highlighted example was the shared scope seen </w:t>
      </w:r>
      <w:r w:rsidR="00CD682E">
        <w:t>in the</w:t>
      </w:r>
      <w:r w:rsidR="00B07ABF">
        <w:t xml:space="preserve"> arrangements of the </w:t>
      </w:r>
      <w:r w:rsidR="00DD49CE">
        <w:t>HSP</w:t>
      </w:r>
      <w:r w:rsidR="00332804">
        <w:t>.</w:t>
      </w:r>
      <w:r w:rsidR="00DD7B00">
        <w:rPr>
          <w:rStyle w:val="FootnoteReference"/>
        </w:rPr>
        <w:footnoteReference w:id="159"/>
      </w:r>
      <w:r w:rsidR="00332804">
        <w:t xml:space="preserve"> </w:t>
      </w:r>
      <w:r w:rsidR="00DD49CE">
        <w:t xml:space="preserve">As stated, the </w:t>
      </w:r>
      <w:r w:rsidR="006E0B28">
        <w:t xml:space="preserve"> HSP </w:t>
      </w:r>
      <w:r w:rsidR="00B07ABF">
        <w:t>has limited distinction in items numbers that are specified as requiring audiologist input.</w:t>
      </w:r>
      <w:r w:rsidR="004A6B3E">
        <w:rPr>
          <w:rStyle w:val="FootnoteReference"/>
        </w:rPr>
        <w:footnoteReference w:id="160"/>
      </w:r>
      <w:r w:rsidR="00741DC3">
        <w:t xml:space="preserve"> Hence, </w:t>
      </w:r>
      <w:r w:rsidR="00DA5B19">
        <w:t xml:space="preserve">given </w:t>
      </w:r>
      <w:r w:rsidR="00733C78">
        <w:t xml:space="preserve">the volume of </w:t>
      </w:r>
      <w:r w:rsidR="00496E21">
        <w:t>services</w:t>
      </w:r>
      <w:r w:rsidR="00733C78">
        <w:t xml:space="preserve"> </w:t>
      </w:r>
      <w:r w:rsidR="00496E21">
        <w:t xml:space="preserve">provided under </w:t>
      </w:r>
      <w:r w:rsidR="00212F1B">
        <w:t xml:space="preserve">the </w:t>
      </w:r>
      <w:r w:rsidR="006E0B28">
        <w:t>HSP</w:t>
      </w:r>
      <w:r w:rsidR="00BA4C15">
        <w:t xml:space="preserve"> </w:t>
      </w:r>
      <w:r w:rsidR="00496E21">
        <w:t>relative to other areas of more specialised practice</w:t>
      </w:r>
      <w:r w:rsidR="009224A0">
        <w:rPr>
          <w:rStyle w:val="FootnoteReference"/>
        </w:rPr>
        <w:footnoteReference w:id="161"/>
      </w:r>
      <w:r w:rsidR="00496E21">
        <w:t xml:space="preserve">, </w:t>
      </w:r>
      <w:r w:rsidR="001421F4">
        <w:t>concerns were raised in relation to this issue driving</w:t>
      </w:r>
      <w:r w:rsidR="00BF1829">
        <w:t xml:space="preserve"> large changes for the sector.</w:t>
      </w:r>
      <w:r w:rsidR="00496E21">
        <w:t xml:space="preserve"> </w:t>
      </w:r>
    </w:p>
    <w:p w14:paraId="41AFBBF9" w14:textId="3EE832EE" w:rsidR="00713CF5" w:rsidRDefault="00713CF5" w:rsidP="00713CF5">
      <w:pPr>
        <w:pStyle w:val="HeadingA"/>
      </w:pPr>
      <w:r>
        <w:t>Protection of title</w:t>
      </w:r>
    </w:p>
    <w:p w14:paraId="2533F447" w14:textId="4C8012AB" w:rsidR="00713CF5" w:rsidRPr="008176B4" w:rsidRDefault="00274CE0" w:rsidP="00713CF5">
      <w:pPr>
        <w:pStyle w:val="BodyText"/>
      </w:pPr>
      <w:r>
        <w:t xml:space="preserve">As described in Section </w:t>
      </w:r>
      <w:r>
        <w:fldChar w:fldCharType="begin"/>
      </w:r>
      <w:r>
        <w:instrText xml:space="preserve"> REF _Ref172480965 \r \h </w:instrText>
      </w:r>
      <w:r>
        <w:fldChar w:fldCharType="separate"/>
      </w:r>
      <w:r w:rsidR="00F32107">
        <w:t>2.4.3.5</w:t>
      </w:r>
      <w:r>
        <w:fldChar w:fldCharType="end"/>
      </w:r>
      <w:r>
        <w:t xml:space="preserve">, </w:t>
      </w:r>
      <w:r w:rsidR="00A6136D">
        <w:t>protection of title creates an offence for a person to present themsel</w:t>
      </w:r>
      <w:r w:rsidR="00B33D60">
        <w:t>ves</w:t>
      </w:r>
      <w:r w:rsidR="00A6136D">
        <w:t xml:space="preserve"> to be </w:t>
      </w:r>
      <w:r w:rsidR="00B33D60">
        <w:t>a person with a protected title, or</w:t>
      </w:r>
      <w:r w:rsidR="00A6136D">
        <w:t xml:space="preserve"> refer to themself as a protected title if they are not</w:t>
      </w:r>
      <w:r w:rsidR="00CC22E7">
        <w:t xml:space="preserve">. This includes </w:t>
      </w:r>
      <w:r w:rsidR="00A6136D">
        <w:t xml:space="preserve">the use of language that may lead a reasonable person to believe </w:t>
      </w:r>
      <w:r w:rsidR="00CC22E7">
        <w:t xml:space="preserve">these things. </w:t>
      </w:r>
      <w:r w:rsidR="00713CF5">
        <w:t>Stakeholder feedback in relation to protecti</w:t>
      </w:r>
      <w:r w:rsidR="007B3056">
        <w:t>o</w:t>
      </w:r>
      <w:r w:rsidR="00713CF5">
        <w:t>n of title considerations include</w:t>
      </w:r>
      <w:r>
        <w:t>d</w:t>
      </w:r>
      <w:r w:rsidR="00713CF5">
        <w:t>:</w:t>
      </w:r>
    </w:p>
    <w:p w14:paraId="03A83742" w14:textId="77777777" w:rsidR="00D47867" w:rsidRDefault="00D47867" w:rsidP="00D47867">
      <w:pPr>
        <w:pStyle w:val="BulletList2Column"/>
      </w:pPr>
      <w:r w:rsidRPr="008176B4">
        <w:t>Differences of opinion on the relationship between audiometry (and audiometrists) and the word “audiology”, with some stakeholders considering audiometry to be included in the definition and others not.</w:t>
      </w:r>
    </w:p>
    <w:p w14:paraId="07A5D75E" w14:textId="28FA7DE3" w:rsidR="00980DEB" w:rsidRPr="008176B4" w:rsidRDefault="00980DEB" w:rsidP="00980DEB">
      <w:pPr>
        <w:pStyle w:val="BulletList2Column"/>
      </w:pPr>
      <w:r w:rsidRPr="008176B4">
        <w:t>A view that there is a lack of consumer awareness of audiometry</w:t>
      </w:r>
      <w:r w:rsidR="003C78CF">
        <w:t xml:space="preserve"> as a profession</w:t>
      </w:r>
      <w:r w:rsidRPr="008176B4">
        <w:t xml:space="preserve">, and potentially </w:t>
      </w:r>
      <w:r w:rsidR="00EB6357">
        <w:t xml:space="preserve">a lack of awareness </w:t>
      </w:r>
      <w:r w:rsidR="00FE49ED">
        <w:t xml:space="preserve">of audiometry </w:t>
      </w:r>
      <w:r w:rsidRPr="008176B4">
        <w:t>among other health professionals as well.</w:t>
      </w:r>
    </w:p>
    <w:p w14:paraId="675CA422" w14:textId="77777777" w:rsidR="00D47867" w:rsidRPr="008176B4" w:rsidRDefault="00D47867" w:rsidP="00D47867">
      <w:pPr>
        <w:pStyle w:val="BulletList2Column"/>
      </w:pPr>
      <w:r w:rsidRPr="008176B4">
        <w:t>A lack of clarity of language used in consumer-facing communication, in relation to:</w:t>
      </w:r>
    </w:p>
    <w:p w14:paraId="68119F4A" w14:textId="137E4104" w:rsidR="00D47867" w:rsidRPr="003C78CF" w:rsidRDefault="00D47867" w:rsidP="00F24996">
      <w:pPr>
        <w:pStyle w:val="ListParagraph"/>
        <w:numPr>
          <w:ilvl w:val="1"/>
          <w:numId w:val="14"/>
        </w:numPr>
        <w:spacing w:before="0" w:after="170" w:line="240" w:lineRule="atLeast"/>
        <w:ind w:left="1077" w:hanging="357"/>
        <w:textboxTightWrap w:val="none"/>
        <w:rPr>
          <w:sz w:val="19"/>
          <w:szCs w:val="19"/>
        </w:rPr>
      </w:pPr>
      <w:r w:rsidRPr="003C78CF">
        <w:rPr>
          <w:sz w:val="19"/>
          <w:szCs w:val="19"/>
        </w:rPr>
        <w:t xml:space="preserve">“audiology” (e.g., use of professional titles that indicate membership with a professional body that has the word audiology in it when the person is an audiometrist) </w:t>
      </w:r>
    </w:p>
    <w:p w14:paraId="6CFD8F06" w14:textId="545648AB" w:rsidR="0038739E" w:rsidRDefault="00D47867" w:rsidP="00F24996">
      <w:pPr>
        <w:pStyle w:val="ListParagraph"/>
        <w:numPr>
          <w:ilvl w:val="1"/>
          <w:numId w:val="14"/>
        </w:numPr>
        <w:spacing w:before="0" w:after="170" w:line="240" w:lineRule="atLeast"/>
        <w:ind w:left="1077" w:hanging="357"/>
        <w:textboxTightWrap w:val="none"/>
        <w:rPr>
          <w:sz w:val="19"/>
          <w:szCs w:val="19"/>
        </w:rPr>
      </w:pPr>
      <w:r w:rsidRPr="003C78CF">
        <w:rPr>
          <w:sz w:val="19"/>
          <w:szCs w:val="19"/>
        </w:rPr>
        <w:t xml:space="preserve">“hearing specialist” (while not raised in reference to the Australian College of Audiology it is noted that </w:t>
      </w:r>
      <w:r w:rsidR="000B4D8D">
        <w:rPr>
          <w:sz w:val="19"/>
          <w:szCs w:val="19"/>
        </w:rPr>
        <w:t>until June 2024</w:t>
      </w:r>
      <w:r w:rsidR="00D219AF">
        <w:rPr>
          <w:sz w:val="19"/>
          <w:szCs w:val="19"/>
        </w:rPr>
        <w:t xml:space="preserve"> the</w:t>
      </w:r>
      <w:r w:rsidRPr="003C78CF">
        <w:rPr>
          <w:sz w:val="19"/>
          <w:szCs w:val="19"/>
        </w:rPr>
        <w:t xml:space="preserve"> Australian College of Audiology </w:t>
      </w:r>
      <w:r w:rsidR="00D219AF">
        <w:rPr>
          <w:sz w:val="19"/>
          <w:szCs w:val="19"/>
        </w:rPr>
        <w:t>defined</w:t>
      </w:r>
      <w:r w:rsidRPr="003C78CF">
        <w:rPr>
          <w:sz w:val="19"/>
          <w:szCs w:val="19"/>
        </w:rPr>
        <w:t xml:space="preserve"> audiometrists as having a Hearing Rehabilitation Specialist competency as the name of the credential issued by them)</w:t>
      </w:r>
    </w:p>
    <w:p w14:paraId="0718CC27" w14:textId="04B76543" w:rsidR="00D47867" w:rsidRDefault="0038739E" w:rsidP="00F24996">
      <w:pPr>
        <w:pStyle w:val="ListParagraph"/>
        <w:numPr>
          <w:ilvl w:val="1"/>
          <w:numId w:val="14"/>
        </w:numPr>
        <w:spacing w:before="0" w:after="170" w:line="240" w:lineRule="atLeast"/>
        <w:ind w:left="1077" w:hanging="357"/>
        <w:textboxTightWrap w:val="none"/>
        <w:rPr>
          <w:sz w:val="19"/>
          <w:szCs w:val="19"/>
        </w:rPr>
      </w:pPr>
      <w:r>
        <w:rPr>
          <w:sz w:val="19"/>
          <w:szCs w:val="19"/>
        </w:rPr>
        <w:t>“hearing health</w:t>
      </w:r>
      <w:r w:rsidR="00DE255A">
        <w:rPr>
          <w:sz w:val="19"/>
          <w:szCs w:val="19"/>
        </w:rPr>
        <w:t>care</w:t>
      </w:r>
      <w:r>
        <w:rPr>
          <w:sz w:val="19"/>
          <w:szCs w:val="19"/>
        </w:rPr>
        <w:t xml:space="preserve"> practitioner” </w:t>
      </w:r>
      <w:r w:rsidR="00D219AF">
        <w:rPr>
          <w:sz w:val="19"/>
          <w:szCs w:val="19"/>
        </w:rPr>
        <w:t>as a generic ter</w:t>
      </w:r>
      <w:r w:rsidR="0094596F">
        <w:rPr>
          <w:sz w:val="19"/>
          <w:szCs w:val="19"/>
        </w:rPr>
        <w:t>m used</w:t>
      </w:r>
      <w:r w:rsidR="00B93735">
        <w:rPr>
          <w:sz w:val="19"/>
          <w:szCs w:val="19"/>
        </w:rPr>
        <w:t xml:space="preserve"> </w:t>
      </w:r>
      <w:r w:rsidR="0094596F">
        <w:rPr>
          <w:sz w:val="19"/>
          <w:szCs w:val="19"/>
        </w:rPr>
        <w:t xml:space="preserve">where it is unclear what the qualifications are of the treating </w:t>
      </w:r>
      <w:r w:rsidR="00754759">
        <w:rPr>
          <w:sz w:val="19"/>
          <w:szCs w:val="19"/>
        </w:rPr>
        <w:t>person</w:t>
      </w:r>
      <w:r w:rsidR="00D47867" w:rsidRPr="003C78CF">
        <w:rPr>
          <w:sz w:val="19"/>
          <w:szCs w:val="19"/>
        </w:rPr>
        <w:t xml:space="preserve">. </w:t>
      </w:r>
    </w:p>
    <w:p w14:paraId="5D5CA7B8" w14:textId="0507E360" w:rsidR="00D47867" w:rsidRDefault="00D671B0" w:rsidP="00D47867">
      <w:pPr>
        <w:pStyle w:val="BodyText"/>
      </w:pPr>
      <w:r>
        <w:t xml:space="preserve">It was noted that Audiology Australia having a trademark </w:t>
      </w:r>
      <w:r w:rsidR="00F42254">
        <w:t xml:space="preserve">on the term Audiology Australia Accredited Audiologist provides protection of title benefits in relation to the use of this term. However, </w:t>
      </w:r>
      <w:r w:rsidR="0026060E">
        <w:t>overall</w:t>
      </w:r>
      <w:r w:rsidR="00D47867">
        <w:t xml:space="preserve"> stakeholders described issues in relation to information asymmetry that have the effect of reducing the transparency of information provided to consumers to </w:t>
      </w:r>
      <w:r w:rsidR="001B2515">
        <w:t xml:space="preserve">judge whether </w:t>
      </w:r>
      <w:r w:rsidR="001B470E">
        <w:t xml:space="preserve">the person treating them is an appropriate health care provider. </w:t>
      </w:r>
    </w:p>
    <w:p w14:paraId="170F26B3" w14:textId="77777777" w:rsidR="009625E0" w:rsidRDefault="009625E0" w:rsidP="009D5CEA">
      <w:pPr>
        <w:pStyle w:val="Heading4"/>
      </w:pPr>
      <w:r>
        <w:t>Principal-agent issues – stakeholder feedback</w:t>
      </w:r>
    </w:p>
    <w:p w14:paraId="198B1497" w14:textId="3A3BE311" w:rsidR="009625E0" w:rsidRPr="007176F0" w:rsidRDefault="001B470E" w:rsidP="0026060E">
      <w:pPr>
        <w:pStyle w:val="BodyText"/>
      </w:pPr>
      <w:r w:rsidRPr="007176F0">
        <w:t xml:space="preserve">Stakeholder feedback provided in relation to principal-agent issues </w:t>
      </w:r>
      <w:r w:rsidR="00EB209D" w:rsidRPr="007176F0">
        <w:t>primarily related to financial conflicts of interest observed in the private sector</w:t>
      </w:r>
      <w:r w:rsidR="0054028F" w:rsidRPr="007176F0">
        <w:t>, which either had the potential to lead to substandard care or had been witnessed as leading to substandard care.</w:t>
      </w:r>
      <w:r w:rsidR="00EB209D" w:rsidRPr="007176F0">
        <w:t xml:space="preserve"> Please refer to Section </w:t>
      </w:r>
      <w:r w:rsidR="00F00E8D" w:rsidRPr="007176F0">
        <w:fldChar w:fldCharType="begin"/>
      </w:r>
      <w:r w:rsidR="00F00E8D" w:rsidRPr="007176F0">
        <w:instrText xml:space="preserve"> REF _Ref172811467 \r \h </w:instrText>
      </w:r>
      <w:r w:rsidR="0026060E">
        <w:instrText xml:space="preserve"> \* MERGEFORMAT </w:instrText>
      </w:r>
      <w:r w:rsidR="00F00E8D" w:rsidRPr="007176F0">
        <w:fldChar w:fldCharType="separate"/>
      </w:r>
      <w:r w:rsidR="00F32107">
        <w:t>3.3.2</w:t>
      </w:r>
      <w:r w:rsidR="00F00E8D" w:rsidRPr="007176F0">
        <w:fldChar w:fldCharType="end"/>
      </w:r>
      <w:r w:rsidR="00EB209D" w:rsidRPr="007176F0">
        <w:t>.</w:t>
      </w:r>
    </w:p>
    <w:p w14:paraId="49AAB339" w14:textId="26D6CD34" w:rsidR="0018126B" w:rsidRDefault="0018126B" w:rsidP="0018126B">
      <w:pPr>
        <w:pStyle w:val="Heading3"/>
      </w:pPr>
      <w:bookmarkStart w:id="96" w:name="_Toc198138586"/>
      <w:r>
        <w:t>Patient vulnerability</w:t>
      </w:r>
      <w:bookmarkEnd w:id="94"/>
      <w:bookmarkEnd w:id="95"/>
      <w:bookmarkEnd w:id="96"/>
    </w:p>
    <w:p w14:paraId="75A5097D" w14:textId="77777777" w:rsidR="00A8612A" w:rsidRDefault="006B5A1B" w:rsidP="0018126B">
      <w:pPr>
        <w:pStyle w:val="BodyText"/>
        <w:rPr>
          <w:lang w:eastAsia="en-AU"/>
        </w:rPr>
      </w:pPr>
      <w:r>
        <w:rPr>
          <w:lang w:eastAsia="en-AU"/>
        </w:rPr>
        <w:t xml:space="preserve">Stakeholders provided </w:t>
      </w:r>
      <w:r w:rsidR="00DF7C67">
        <w:rPr>
          <w:lang w:eastAsia="en-AU"/>
        </w:rPr>
        <w:t xml:space="preserve">strong feedback that audiology patients are vulnerable across their </w:t>
      </w:r>
      <w:r w:rsidR="00843956">
        <w:rPr>
          <w:lang w:eastAsia="en-AU"/>
        </w:rPr>
        <w:t>lifespan</w:t>
      </w:r>
      <w:r w:rsidR="00CB1E9B">
        <w:rPr>
          <w:lang w:eastAsia="en-AU"/>
        </w:rPr>
        <w:t xml:space="preserve"> and for a range of reasons. </w:t>
      </w:r>
    </w:p>
    <w:p w14:paraId="1DF2B98C" w14:textId="65F4A684" w:rsidR="003071D9" w:rsidRPr="007176F0" w:rsidRDefault="003071D9" w:rsidP="0018126B">
      <w:pPr>
        <w:pStyle w:val="BodyText"/>
        <w:rPr>
          <w:b/>
          <w:bCs/>
          <w:lang w:eastAsia="en-AU"/>
        </w:rPr>
      </w:pPr>
      <w:r w:rsidRPr="007176F0">
        <w:rPr>
          <w:b/>
          <w:bCs/>
          <w:lang w:eastAsia="en-AU"/>
        </w:rPr>
        <w:t>Paediatric cohorts</w:t>
      </w:r>
    </w:p>
    <w:p w14:paraId="082F650E" w14:textId="6D163A7A" w:rsidR="000A2DC5" w:rsidRPr="000A2DC5" w:rsidRDefault="000A2DC5" w:rsidP="000A2DC5">
      <w:pPr>
        <w:pStyle w:val="BodyText"/>
        <w:rPr>
          <w:lang w:eastAsia="en-AU"/>
        </w:rPr>
      </w:pPr>
      <w:r w:rsidRPr="000A2DC5">
        <w:rPr>
          <w:lang w:eastAsia="en-AU"/>
        </w:rPr>
        <w:t>The external reviews of public sector paediatric audiology services and stakeholder</w:t>
      </w:r>
      <w:r>
        <w:rPr>
          <w:lang w:eastAsia="en-AU"/>
        </w:rPr>
        <w:t xml:space="preserve"> </w:t>
      </w:r>
      <w:r w:rsidRPr="000A2DC5">
        <w:rPr>
          <w:lang w:eastAsia="en-AU"/>
        </w:rPr>
        <w:t xml:space="preserve">consultation highlighted that paediatric cohorts may be at increased risk of substandard care due to their inability to verbalise symptoms or identify inadequate treatment. Common audiology paediatric personas include newborns with a suspected hearing condition (i.e., diagnostic cases) or infants who require a </w:t>
      </w:r>
      <w:r w:rsidR="00204650">
        <w:rPr>
          <w:lang w:eastAsia="en-AU"/>
        </w:rPr>
        <w:t>c</w:t>
      </w:r>
      <w:r w:rsidRPr="000A2DC5">
        <w:rPr>
          <w:lang w:eastAsia="en-AU"/>
        </w:rPr>
        <w:t xml:space="preserve">ochlear </w:t>
      </w:r>
      <w:r w:rsidR="00204650">
        <w:rPr>
          <w:lang w:eastAsia="en-AU"/>
        </w:rPr>
        <w:t>i</w:t>
      </w:r>
      <w:r w:rsidRPr="000A2DC5">
        <w:rPr>
          <w:lang w:eastAsia="en-AU"/>
        </w:rPr>
        <w:t xml:space="preserve">mplant. Academic literature suggests </w:t>
      </w:r>
      <w:r w:rsidR="005D3D9D">
        <w:rPr>
          <w:lang w:eastAsia="en-AU"/>
        </w:rPr>
        <w:t xml:space="preserve">that </w:t>
      </w:r>
      <w:r w:rsidRPr="000A2DC5">
        <w:rPr>
          <w:lang w:eastAsia="en-AU"/>
        </w:rPr>
        <w:t>where delayed to time to diagnosis or appropriate treatment occurs, the period of delay can lead to deterioration and subsequent long-term social and economic consequences for the individual and their family/carer.</w:t>
      </w:r>
    </w:p>
    <w:p w14:paraId="6527CACA" w14:textId="13499F39" w:rsidR="000A2DC5" w:rsidRPr="000A2DC5" w:rsidRDefault="000A2DC5" w:rsidP="000A2DC5">
      <w:pPr>
        <w:pStyle w:val="BodyText"/>
        <w:rPr>
          <w:lang w:eastAsia="en-AU"/>
        </w:rPr>
      </w:pPr>
      <w:r w:rsidRPr="000A2DC5">
        <w:rPr>
          <w:lang w:eastAsia="en-AU"/>
        </w:rPr>
        <w:t>It is important to note that the events which occurred in the public sector external reviews involve processes for patients and families which are still ongoing. Due to the highly</w:t>
      </w:r>
      <w:r w:rsidR="005D3D9D">
        <w:rPr>
          <w:lang w:eastAsia="en-AU"/>
        </w:rPr>
        <w:t xml:space="preserve"> </w:t>
      </w:r>
      <w:r w:rsidRPr="000A2DC5">
        <w:rPr>
          <w:lang w:eastAsia="en-AU"/>
        </w:rPr>
        <w:t>individual circumstances of each affected person, the Decision RIS d</w:t>
      </w:r>
      <w:r w:rsidR="005D3D9D">
        <w:rPr>
          <w:lang w:eastAsia="en-AU"/>
        </w:rPr>
        <w:t>oes</w:t>
      </w:r>
      <w:r w:rsidRPr="000A2DC5">
        <w:rPr>
          <w:lang w:eastAsia="en-AU"/>
        </w:rPr>
        <w:t xml:space="preserve"> not attempt to, and should not be construed as, having assessed the social and economic impacts as a result of these specific events.</w:t>
      </w:r>
    </w:p>
    <w:p w14:paraId="7F01CD54" w14:textId="0DF2487E" w:rsidR="003071D9" w:rsidRDefault="000A2DC5" w:rsidP="0018126B">
      <w:pPr>
        <w:pStyle w:val="BodyText"/>
        <w:rPr>
          <w:b/>
          <w:bCs/>
          <w:lang w:eastAsia="en-AU"/>
        </w:rPr>
      </w:pPr>
      <w:r w:rsidRPr="007176F0">
        <w:rPr>
          <w:b/>
          <w:bCs/>
          <w:lang w:eastAsia="en-AU"/>
        </w:rPr>
        <w:t>Non-paediatric cohorts</w:t>
      </w:r>
    </w:p>
    <w:p w14:paraId="6870D0E8" w14:textId="349A4541" w:rsidR="00E46BB7" w:rsidRPr="00E46BB7" w:rsidRDefault="00E46BB7" w:rsidP="0018126B">
      <w:pPr>
        <w:pStyle w:val="BodyText"/>
        <w:rPr>
          <w:lang w:eastAsia="en-AU"/>
        </w:rPr>
      </w:pPr>
      <w:r w:rsidRPr="007176F0">
        <w:rPr>
          <w:lang w:eastAsia="en-AU"/>
        </w:rPr>
        <w:t>With regard to non-paediatric cohorts at increased risk of harm, stakeholders noted:</w:t>
      </w:r>
    </w:p>
    <w:p w14:paraId="389451D7" w14:textId="33CA746D" w:rsidR="00E72B78" w:rsidRDefault="00647B81" w:rsidP="00ED02E1">
      <w:pPr>
        <w:pStyle w:val="ListBullet"/>
      </w:pPr>
      <w:r>
        <w:t>To</w:t>
      </w:r>
      <w:r w:rsidR="0018126B">
        <w:t xml:space="preserve"> the extent that paediatric cohorts may require specialised </w:t>
      </w:r>
      <w:r w:rsidR="004442F3">
        <w:t xml:space="preserve">audiologist skills </w:t>
      </w:r>
      <w:r w:rsidR="0018126B">
        <w:t xml:space="preserve">in relation to testing procedures </w:t>
      </w:r>
      <w:r w:rsidR="004442F3">
        <w:t>(as patients</w:t>
      </w:r>
      <w:r w:rsidR="0018126B">
        <w:t xml:space="preserve"> can’t verbalise their symptoms</w:t>
      </w:r>
      <w:r w:rsidR="004442F3">
        <w:t>)</w:t>
      </w:r>
      <w:r w:rsidR="0018126B">
        <w:t xml:space="preserve">, </w:t>
      </w:r>
      <w:r w:rsidR="006F7497">
        <w:t>in practice</w:t>
      </w:r>
      <w:r w:rsidR="0018126B">
        <w:t xml:space="preserve"> similar skills </w:t>
      </w:r>
      <w:r w:rsidR="00384C4E">
        <w:t xml:space="preserve">and testing procedures </w:t>
      </w:r>
      <w:r w:rsidR="0018126B">
        <w:t xml:space="preserve">may be required for other patient groups (e.g., older children and older adults). </w:t>
      </w:r>
    </w:p>
    <w:p w14:paraId="3F6E6D1A" w14:textId="0500F0BD" w:rsidR="00E72B78" w:rsidRDefault="00647B81" w:rsidP="00E72B78">
      <w:pPr>
        <w:pStyle w:val="ListBullet"/>
      </w:pPr>
      <w:r>
        <w:t xml:space="preserve">Elderly </w:t>
      </w:r>
      <w:r w:rsidR="00C5679C">
        <w:t xml:space="preserve">patients with dementia may require </w:t>
      </w:r>
      <w:r w:rsidR="003B2229">
        <w:t>skilled assessment in order to d</w:t>
      </w:r>
      <w:r w:rsidR="00C4175D">
        <w:t>etermine th</w:t>
      </w:r>
      <w:r w:rsidR="00557A78">
        <w:t>e contribution of hearing issues to behavioural patter</w:t>
      </w:r>
      <w:r w:rsidR="00E745F0">
        <w:t>n</w:t>
      </w:r>
      <w:r w:rsidR="00557A78">
        <w:t>s</w:t>
      </w:r>
      <w:r w:rsidR="009C5869">
        <w:t>, and</w:t>
      </w:r>
      <w:r w:rsidR="00557A78">
        <w:t xml:space="preserve"> appropriate treatment decisions. </w:t>
      </w:r>
    </w:p>
    <w:p w14:paraId="50B9EFDA" w14:textId="1A7222A5" w:rsidR="0018126B" w:rsidRDefault="00E72B78" w:rsidP="00E72B78">
      <w:pPr>
        <w:pStyle w:val="ListBullet"/>
      </w:pPr>
      <w:r>
        <w:t>Cochlear</w:t>
      </w:r>
      <w:r w:rsidR="0018126B">
        <w:t xml:space="preserve"> implant surgeries occur across the lifespan,</w:t>
      </w:r>
      <w:r w:rsidR="00E212E6">
        <w:t xml:space="preserve"> with</w:t>
      </w:r>
      <w:r w:rsidR="0018126B">
        <w:t xml:space="preserve"> 65% of cochlear prosthetic device implantations (unilateral or bilateral) </w:t>
      </w:r>
      <w:r w:rsidR="00E212E6">
        <w:t>occurring</w:t>
      </w:r>
      <w:r w:rsidR="0018126B">
        <w:t xml:space="preserve"> in patients aged 55 and over in 2021-2022.</w:t>
      </w:r>
      <w:r w:rsidR="0018126B">
        <w:rPr>
          <w:rStyle w:val="FootnoteReference"/>
        </w:rPr>
        <w:footnoteReference w:id="162"/>
      </w:r>
    </w:p>
    <w:p w14:paraId="0AA6D6E8" w14:textId="6D420591" w:rsidR="00BF18A7" w:rsidRDefault="00E963F1" w:rsidP="00923A62">
      <w:pPr>
        <w:pStyle w:val="ListBullet"/>
      </w:pPr>
      <w:r>
        <w:t>Audiology patients</w:t>
      </w:r>
      <w:r w:rsidR="00842DC7">
        <w:t xml:space="preserve"> may have concurrent </w:t>
      </w:r>
      <w:r w:rsidR="00516C7B">
        <w:t>physical and mental comorbidities</w:t>
      </w:r>
      <w:r w:rsidR="00014207">
        <w:t>, and are likely to have communication difficulties.</w:t>
      </w:r>
    </w:p>
    <w:p w14:paraId="42E35389" w14:textId="798DC852" w:rsidR="002723B9" w:rsidRDefault="002723B9" w:rsidP="0007458C">
      <w:pPr>
        <w:pStyle w:val="Heading2"/>
        <w:ind w:left="578" w:hanging="578"/>
      </w:pPr>
      <w:bookmarkStart w:id="97" w:name="_Toc191573723"/>
      <w:bookmarkStart w:id="98" w:name="_Ref170128076"/>
      <w:bookmarkStart w:id="99" w:name="_Toc171324742"/>
      <w:bookmarkStart w:id="100" w:name="_Toc198138587"/>
      <w:bookmarkEnd w:id="97"/>
      <w:r>
        <w:t xml:space="preserve">Problem 2: Audiologists have limited opportunities for formalised assessment of competency </w:t>
      </w:r>
      <w:r w:rsidR="00B232D8">
        <w:t>(inclu</w:t>
      </w:r>
      <w:r w:rsidR="000D71A9">
        <w:t>ding</w:t>
      </w:r>
      <w:r>
        <w:t xml:space="preserve"> </w:t>
      </w:r>
      <w:r w:rsidR="005711C8">
        <w:t xml:space="preserve">for </w:t>
      </w:r>
      <w:r>
        <w:t>specialised scopes of practice</w:t>
      </w:r>
      <w:r w:rsidR="000D71A9">
        <w:t>)</w:t>
      </w:r>
      <w:r>
        <w:t xml:space="preserve">, and </w:t>
      </w:r>
      <w:r w:rsidR="006903C7">
        <w:t>may have inconsistent or insufficient</w:t>
      </w:r>
      <w:r>
        <w:t xml:space="preserve"> </w:t>
      </w:r>
      <w:r w:rsidRPr="00EE3405">
        <w:t>access</w:t>
      </w:r>
      <w:r>
        <w:t xml:space="preserve"> to </w:t>
      </w:r>
      <w:r w:rsidR="00A7447E">
        <w:t>continuing professional development</w:t>
      </w:r>
      <w:r w:rsidR="009158EF">
        <w:t xml:space="preserve">, </w:t>
      </w:r>
      <w:r w:rsidR="00206E3C">
        <w:t>training</w:t>
      </w:r>
      <w:r w:rsidR="009158EF">
        <w:t xml:space="preserve"> and </w:t>
      </w:r>
      <w:r>
        <w:t>clinical governance mechanisms that support high quality care.</w:t>
      </w:r>
      <w:bookmarkEnd w:id="98"/>
      <w:bookmarkEnd w:id="99"/>
      <w:bookmarkEnd w:id="100"/>
    </w:p>
    <w:p w14:paraId="4E9F22F3" w14:textId="53EBAF95" w:rsidR="002723B9" w:rsidRDefault="00567600" w:rsidP="00EE3405">
      <w:pPr>
        <w:pStyle w:val="BodyText"/>
      </w:pPr>
      <w:r>
        <w:t xml:space="preserve">From stakeholder feedback, a series of profession-level goods and services were described </w:t>
      </w:r>
      <w:r w:rsidR="00F774C7">
        <w:t>as important for the delivery of high-quality services</w:t>
      </w:r>
      <w:r w:rsidR="00D00F96">
        <w:t>:</w:t>
      </w:r>
    </w:p>
    <w:p w14:paraId="4A0C9127" w14:textId="77777777" w:rsidR="002723B9" w:rsidRDefault="002723B9" w:rsidP="00EE3405">
      <w:pPr>
        <w:pStyle w:val="ListBullet"/>
      </w:pPr>
      <w:r>
        <w:t>university program with appropriate content and accreditation standards</w:t>
      </w:r>
    </w:p>
    <w:p w14:paraId="5F296CF1" w14:textId="77777777" w:rsidR="002723B9" w:rsidRDefault="002723B9" w:rsidP="00EE3405">
      <w:pPr>
        <w:pStyle w:val="ListBullet"/>
      </w:pPr>
      <w:r>
        <w:t xml:space="preserve">clinical internships that have appropriate supervision and demonstration of competencies </w:t>
      </w:r>
    </w:p>
    <w:p w14:paraId="53454958" w14:textId="5BE69BC2" w:rsidR="002723B9" w:rsidRDefault="00097755" w:rsidP="00EE3405">
      <w:pPr>
        <w:pStyle w:val="ListBullet"/>
      </w:pPr>
      <w:r>
        <w:t>CPD</w:t>
      </w:r>
      <w:r w:rsidR="00A7447E">
        <w:t xml:space="preserve"> and training</w:t>
      </w:r>
      <w:r w:rsidR="002723B9">
        <w:t xml:space="preserve"> that is practical, relevant and available</w:t>
      </w:r>
      <w:r w:rsidR="00E6796B">
        <w:t xml:space="preserve"> (including for specialised scopes of practice)</w:t>
      </w:r>
    </w:p>
    <w:p w14:paraId="5C4CF814" w14:textId="3E8739C2" w:rsidR="00E6796B" w:rsidRDefault="002723B9" w:rsidP="002723B9">
      <w:pPr>
        <w:pStyle w:val="ListBullet"/>
      </w:pPr>
      <w:r>
        <w:t xml:space="preserve">clinical governance frameworks (including clinical mentoring, </w:t>
      </w:r>
      <w:r w:rsidR="00E22842">
        <w:t xml:space="preserve">case conferencing, </w:t>
      </w:r>
      <w:r>
        <w:t>clinical guidelines and clinical audits as relevant)</w:t>
      </w:r>
    </w:p>
    <w:p w14:paraId="1C23F3F5" w14:textId="748178D5" w:rsidR="00E51C09" w:rsidRDefault="0077500D" w:rsidP="00EE3405">
      <w:pPr>
        <w:pStyle w:val="ListBullet"/>
      </w:pPr>
      <w:r>
        <w:t>credentialling mechanisms for specialised scopes of practice (e.g., cochlear implant care)</w:t>
      </w:r>
      <w:r w:rsidR="002723B9">
        <w:t>.</w:t>
      </w:r>
    </w:p>
    <w:p w14:paraId="6D992C32" w14:textId="44EE04E5" w:rsidR="00D03B13" w:rsidRDefault="007D7A2C" w:rsidP="00EE3405">
      <w:pPr>
        <w:pStyle w:val="BodyText"/>
      </w:pPr>
      <w:r>
        <w:t xml:space="preserve">For audiologists </w:t>
      </w:r>
      <w:r w:rsidR="000D7D7E">
        <w:t>with</w:t>
      </w:r>
      <w:r>
        <w:t xml:space="preserve"> a </w:t>
      </w:r>
      <w:r w:rsidR="00A6350E">
        <w:t xml:space="preserve">specialised scope of practice, </w:t>
      </w:r>
      <w:r w:rsidR="002F60F4">
        <w:t xml:space="preserve">a </w:t>
      </w:r>
      <w:r w:rsidR="002723B9">
        <w:t xml:space="preserve">credentialling mechanism </w:t>
      </w:r>
      <w:r w:rsidR="00F17B8A">
        <w:t>would</w:t>
      </w:r>
      <w:r w:rsidR="000D7D7E">
        <w:t xml:space="preserve"> provide</w:t>
      </w:r>
      <w:r w:rsidR="002723B9">
        <w:t xml:space="preserve"> an efficient signal to the market in relation to skills. Specifically, it </w:t>
      </w:r>
      <w:r w:rsidR="000D7D7E">
        <w:t>would provide</w:t>
      </w:r>
      <w:r w:rsidR="002723B9">
        <w:t xml:space="preserve"> the ability for</w:t>
      </w:r>
      <w:r w:rsidR="00D03B13">
        <w:t>:</w:t>
      </w:r>
    </w:p>
    <w:p w14:paraId="325653E3" w14:textId="4BC48C4C" w:rsidR="00A02E57" w:rsidRDefault="002723B9" w:rsidP="000D6B1F">
      <w:pPr>
        <w:pStyle w:val="ListBullet"/>
      </w:pPr>
      <w:r>
        <w:t>employers</w:t>
      </w:r>
      <w:r w:rsidR="00D03B13">
        <w:t xml:space="preserve"> to understand an audiologists’ scope of practice </w:t>
      </w:r>
      <w:r w:rsidR="00A02E57">
        <w:t>leading to better recruitment decisions</w:t>
      </w:r>
      <w:r w:rsidR="00C72B50">
        <w:t xml:space="preserve"> (as this credential would be listed on their resume)</w:t>
      </w:r>
    </w:p>
    <w:p w14:paraId="7CF36659" w14:textId="77777777" w:rsidR="0036463D" w:rsidRDefault="00236B5B" w:rsidP="000D6B1F">
      <w:pPr>
        <w:pStyle w:val="ListBullet"/>
      </w:pPr>
      <w:r>
        <w:t xml:space="preserve">peers to understand an audiologists’ scope of practice (as this credential could be advertised or listed on </w:t>
      </w:r>
      <w:r w:rsidR="0036463D">
        <w:t>a publicly available register) leading to better referral decisions</w:t>
      </w:r>
    </w:p>
    <w:p w14:paraId="0816FE75" w14:textId="36679D24" w:rsidR="002723B9" w:rsidRDefault="0036463D" w:rsidP="000D6B1F">
      <w:pPr>
        <w:pStyle w:val="ListBullet"/>
      </w:pPr>
      <w:r>
        <w:t xml:space="preserve">consumers </w:t>
      </w:r>
      <w:r w:rsidR="002723B9">
        <w:t xml:space="preserve">to understand an audiologist’s specialised scope of practice, </w:t>
      </w:r>
      <w:r w:rsidR="008F444C">
        <w:t xml:space="preserve">potentially leading to better </w:t>
      </w:r>
      <w:r w:rsidR="00CB671F">
        <w:t>selection</w:t>
      </w:r>
      <w:r w:rsidR="008F444C">
        <w:t xml:space="preserve"> of </w:t>
      </w:r>
      <w:r w:rsidR="00F10D74">
        <w:t>an audiologist</w:t>
      </w:r>
      <w:r w:rsidR="008F444C">
        <w:t xml:space="preserve"> for </w:t>
      </w:r>
      <w:r w:rsidR="00F10D74">
        <w:t>certain conditions</w:t>
      </w:r>
      <w:r w:rsidR="002723B9">
        <w:t>.</w:t>
      </w:r>
    </w:p>
    <w:p w14:paraId="490A3A44" w14:textId="6EC9AF2B" w:rsidR="002723B9" w:rsidRDefault="002723B9" w:rsidP="00EE3405">
      <w:pPr>
        <w:pStyle w:val="BodyText"/>
      </w:pPr>
      <w:r>
        <w:t>The following factors are noted in relation to the audiology profession</w:t>
      </w:r>
      <w:r w:rsidR="00232641">
        <w:t>.</w:t>
      </w:r>
    </w:p>
    <w:p w14:paraId="286A2B3B" w14:textId="77777777" w:rsidR="002723B9" w:rsidRDefault="002723B9" w:rsidP="00EE3405">
      <w:pPr>
        <w:pStyle w:val="HeadingA"/>
      </w:pPr>
      <w:r>
        <w:t>Clinical Internships</w:t>
      </w:r>
    </w:p>
    <w:p w14:paraId="00A786DC" w14:textId="487D2883" w:rsidR="000876A9" w:rsidRDefault="002E6170" w:rsidP="002723B9">
      <w:pPr>
        <w:pStyle w:val="ListBullet"/>
      </w:pPr>
      <w:r>
        <w:t xml:space="preserve">Audiology has a range of specialised </w:t>
      </w:r>
      <w:r w:rsidR="00C635D4">
        <w:t>scopes of practice</w:t>
      </w:r>
      <w:r w:rsidR="00C97BD1">
        <w:t>.</w:t>
      </w:r>
      <w:r w:rsidR="00F762EA">
        <w:t xml:space="preserve"> </w:t>
      </w:r>
      <w:r w:rsidR="00DF4AEA">
        <w:t>A c</w:t>
      </w:r>
      <w:r w:rsidR="00411A86">
        <w:t xml:space="preserve">linical internship </w:t>
      </w:r>
      <w:r w:rsidR="000A7379">
        <w:t xml:space="preserve">completed at a specific </w:t>
      </w:r>
      <w:r w:rsidR="00411A86">
        <w:t>organisati</w:t>
      </w:r>
      <w:r w:rsidR="00DF4AEA">
        <w:t>on will provide an internship experience that is align</w:t>
      </w:r>
      <w:r w:rsidR="00874098">
        <w:t xml:space="preserve">ed to the </w:t>
      </w:r>
      <w:r w:rsidR="00AA187B">
        <w:t xml:space="preserve">further </w:t>
      </w:r>
      <w:r w:rsidR="00874098">
        <w:t xml:space="preserve">development of skills within that </w:t>
      </w:r>
      <w:r w:rsidR="00C635D4">
        <w:t>scope of practice.</w:t>
      </w:r>
      <w:r w:rsidR="00E92540">
        <w:t xml:space="preserve"> </w:t>
      </w:r>
      <w:r w:rsidR="00B8583E">
        <w:t xml:space="preserve">As an example of this, </w:t>
      </w:r>
      <w:r w:rsidR="00110182">
        <w:t>interns seeking to gain experience with paediatric cohorts may face challenges including whether their org</w:t>
      </w:r>
      <w:r w:rsidR="00C436DC">
        <w:t>anisation has the correct equipment for diagnostic services, or whether their organisation offers paediatric hearing aids.</w:t>
      </w:r>
    </w:p>
    <w:p w14:paraId="0F0A741B" w14:textId="7C7A5D15" w:rsidR="00564EB1" w:rsidRDefault="00B806F7" w:rsidP="002723B9">
      <w:pPr>
        <w:pStyle w:val="ListBullet"/>
      </w:pPr>
      <w:r>
        <w:t xml:space="preserve">Stakeholder feedback included the </w:t>
      </w:r>
      <w:r w:rsidR="006A1E49">
        <w:t>observation</w:t>
      </w:r>
      <w:r>
        <w:t xml:space="preserve"> that </w:t>
      </w:r>
      <w:r w:rsidR="00F1475D">
        <w:t xml:space="preserve">the ability for </w:t>
      </w:r>
      <w:r w:rsidR="00436E84">
        <w:t xml:space="preserve">public sector audiology </w:t>
      </w:r>
      <w:r w:rsidR="009128CA">
        <w:t>services</w:t>
      </w:r>
      <w:r w:rsidR="00F1475D">
        <w:t xml:space="preserve"> to offer clinical internships </w:t>
      </w:r>
      <w:r w:rsidR="00671491">
        <w:t xml:space="preserve">faced barriers including funding for the role and </w:t>
      </w:r>
      <w:r w:rsidR="0002705E">
        <w:t>the feasibility of meeting time requirements to</w:t>
      </w:r>
      <w:r w:rsidR="00AD52DB">
        <w:t xml:space="preserve"> </w:t>
      </w:r>
      <w:r w:rsidR="0002705E">
        <w:t>provide appropriate supervision.</w:t>
      </w:r>
      <w:r w:rsidR="00AD52DB">
        <w:t xml:space="preserve"> </w:t>
      </w:r>
      <w:r w:rsidR="004072CC">
        <w:t xml:space="preserve">Hence, there may be difficulties for graduating audiologists to </w:t>
      </w:r>
      <w:r w:rsidR="00A26F8E">
        <w:t xml:space="preserve">access clinical internships for </w:t>
      </w:r>
      <w:r w:rsidR="000A5B1E">
        <w:t xml:space="preserve">specialised scopes of practice </w:t>
      </w:r>
      <w:r w:rsidR="009242C7">
        <w:t>as part of a</w:t>
      </w:r>
      <w:r w:rsidR="000A5B1E">
        <w:t xml:space="preserve"> hospital service caseload.</w:t>
      </w:r>
    </w:p>
    <w:p w14:paraId="7B6CE333" w14:textId="004CCF9A" w:rsidR="00483F0F" w:rsidRPr="00EE3405" w:rsidRDefault="005C56B2" w:rsidP="00A656A8">
      <w:pPr>
        <w:pStyle w:val="ListBullet"/>
      </w:pPr>
      <w:r>
        <w:t>For graduates of Australian university programs,</w:t>
      </w:r>
      <w:r w:rsidR="00F338FB">
        <w:t xml:space="preserve"> </w:t>
      </w:r>
      <w:r w:rsidR="00B60A4E">
        <w:t>AudA</w:t>
      </w:r>
      <w:r w:rsidR="002723B9">
        <w:t xml:space="preserve"> and </w:t>
      </w:r>
      <w:r w:rsidR="00B60A4E">
        <w:t>AcAud inc. HAASA</w:t>
      </w:r>
      <w:r w:rsidR="002723B9">
        <w:t xml:space="preserve"> </w:t>
      </w:r>
      <w:r w:rsidR="00075F1E">
        <w:t>assess clinical interns</w:t>
      </w:r>
      <w:r w:rsidR="002723B9">
        <w:t xml:space="preserve"> through a portfolio-based approach</w:t>
      </w:r>
      <w:r w:rsidR="00953D1C">
        <w:t>.</w:t>
      </w:r>
      <w:r w:rsidR="00213832">
        <w:rPr>
          <w:rStyle w:val="FootnoteReference"/>
        </w:rPr>
        <w:footnoteReference w:id="163"/>
      </w:r>
      <w:r w:rsidR="00075F1E">
        <w:t xml:space="preserve"> </w:t>
      </w:r>
      <w:r w:rsidR="005827A6">
        <w:t>Physical demonstrations of c</w:t>
      </w:r>
      <w:r w:rsidR="002723B9">
        <w:t>ompetenc</w:t>
      </w:r>
      <w:r w:rsidR="00C32A4B">
        <w:t>y</w:t>
      </w:r>
      <w:r w:rsidR="002723B9">
        <w:t xml:space="preserve"> are assessed by a supervisor, rather than through a</w:t>
      </w:r>
      <w:r w:rsidR="006430DB">
        <w:t>n</w:t>
      </w:r>
      <w:r w:rsidR="002723B9">
        <w:t xml:space="preserve"> </w:t>
      </w:r>
      <w:r w:rsidR="006430DB">
        <w:t>external formalised examination of competency.</w:t>
      </w:r>
      <w:r w:rsidR="00675015">
        <w:t xml:space="preserve"> </w:t>
      </w:r>
      <w:r w:rsidR="008A396A">
        <w:t>An</w:t>
      </w:r>
      <w:r w:rsidR="002723B9">
        <w:t xml:space="preserve"> intern audiologist may be vulnerable to information asymmetries where they are unable to </w:t>
      </w:r>
      <w:r w:rsidR="00191E0D">
        <w:t xml:space="preserve">assess whether </w:t>
      </w:r>
      <w:r w:rsidR="00415261">
        <w:t>elements of</w:t>
      </w:r>
      <w:r w:rsidR="0001244C">
        <w:t xml:space="preserve"> their supervisor’s </w:t>
      </w:r>
      <w:r w:rsidR="008A396A">
        <w:t xml:space="preserve">skills </w:t>
      </w:r>
      <w:r w:rsidR="0001244C">
        <w:t xml:space="preserve">are of </w:t>
      </w:r>
      <w:r w:rsidR="00415261">
        <w:t>lower quality</w:t>
      </w:r>
      <w:r w:rsidR="002D0BBA">
        <w:t>,</w:t>
      </w:r>
      <w:r w:rsidR="00EA5A92">
        <w:rPr>
          <w:rStyle w:val="FootnoteReference"/>
        </w:rPr>
        <w:footnoteReference w:id="164"/>
      </w:r>
      <w:r w:rsidR="00EB2CA1">
        <w:t xml:space="preserve"> </w:t>
      </w:r>
      <w:r w:rsidR="002D0BBA">
        <w:t>where externalised examinations of competency could allow for any issues to be picked up.</w:t>
      </w:r>
    </w:p>
    <w:p w14:paraId="178ACA0F" w14:textId="367B629B" w:rsidR="002723B9" w:rsidRPr="00B11722" w:rsidRDefault="00FB6C33" w:rsidP="00EE3405">
      <w:pPr>
        <w:pStyle w:val="HeadingA"/>
      </w:pPr>
      <w:r w:rsidRPr="74BF0985">
        <w:rPr>
          <w:lang w:val="en-US"/>
        </w:rPr>
        <w:t>Specialised Scopes of Practice</w:t>
      </w:r>
    </w:p>
    <w:p w14:paraId="42766D80" w14:textId="5A2EA0A9" w:rsidR="002723B9" w:rsidRDefault="002723B9" w:rsidP="00EE3405">
      <w:pPr>
        <w:pStyle w:val="ListBullet"/>
      </w:pPr>
      <w:r w:rsidRPr="00492169">
        <w:t>An element of</w:t>
      </w:r>
      <w:r>
        <w:t xml:space="preserve"> the Status Quo which has been implemented </w:t>
      </w:r>
      <w:r w:rsidR="003D1F60">
        <w:t xml:space="preserve">within the past </w:t>
      </w:r>
      <w:r w:rsidR="00732747">
        <w:t>two</w:t>
      </w:r>
      <w:r w:rsidR="00023FB4">
        <w:t xml:space="preserve"> ye</w:t>
      </w:r>
      <w:r w:rsidR="0099667A">
        <w:t>ars</w:t>
      </w:r>
      <w:r w:rsidR="00023FB4">
        <w:t xml:space="preserve"> </w:t>
      </w:r>
      <w:r>
        <w:t>is Audiology Australia’s Advanced Paediatric Certification Framework. Noting audiology’s small profession size, voluntary nature of the credential, recent implementation</w:t>
      </w:r>
      <w:r w:rsidR="00E77958">
        <w:t>,</w:t>
      </w:r>
      <w:r>
        <w:t xml:space="preserve"> and </w:t>
      </w:r>
      <w:r w:rsidR="00755123">
        <w:t xml:space="preserve">that paediatric services are a </w:t>
      </w:r>
      <w:r w:rsidR="009E2558">
        <w:t xml:space="preserve">relatively </w:t>
      </w:r>
      <w:r>
        <w:t xml:space="preserve">small </w:t>
      </w:r>
      <w:r w:rsidR="00682F94">
        <w:t xml:space="preserve">share </w:t>
      </w:r>
      <w:r>
        <w:t xml:space="preserve">of </w:t>
      </w:r>
      <w:r w:rsidR="00E87DA5">
        <w:t xml:space="preserve">audiologist </w:t>
      </w:r>
      <w:r w:rsidR="00682F94">
        <w:t>services</w:t>
      </w:r>
      <w:r>
        <w:t>, at the time of writing, the publicly available register of Certified Advanced Paediatric Audiologists had 2</w:t>
      </w:r>
      <w:r w:rsidR="00930835">
        <w:t>6</w:t>
      </w:r>
      <w:r>
        <w:t xml:space="preserve"> audiologists.</w:t>
      </w:r>
      <w:r>
        <w:rPr>
          <w:rStyle w:val="FootnoteReference"/>
        </w:rPr>
        <w:footnoteReference w:id="165"/>
      </w:r>
      <w:r>
        <w:t xml:space="preserve"> The certification does not include a formal examination of skills, rather it is a portfolio-based approach that requires applicants to provide written responses to the competencies, a referee form, followed by an online interview with assessors to discuss the applicant’s experience with competencies.</w:t>
      </w:r>
      <w:r w:rsidR="00150549">
        <w:rPr>
          <w:rStyle w:val="FootnoteReference"/>
        </w:rPr>
        <w:footnoteReference w:id="166"/>
      </w:r>
      <w:r>
        <w:t xml:space="preserve"> Stakeholder views </w:t>
      </w:r>
      <w:r w:rsidR="008D164B">
        <w:t xml:space="preserve">from the consultation process </w:t>
      </w:r>
      <w:r>
        <w:t xml:space="preserve">included the impact of time costs, price and lack of consumer awareness of the certification on their decision whether to apply for recognition. </w:t>
      </w:r>
      <w:r w:rsidR="008D164B">
        <w:t>This Decision RIS notes</w:t>
      </w:r>
      <w:r>
        <w:t xml:space="preserve"> that a formal examination of skills </w:t>
      </w:r>
      <w:r w:rsidR="00382482">
        <w:t>(</w:t>
      </w:r>
      <w:r w:rsidR="00872EF2">
        <w:t>including</w:t>
      </w:r>
      <w:r w:rsidR="00BF6137">
        <w:t xml:space="preserve"> an in-person examination) </w:t>
      </w:r>
      <w:r>
        <w:t>would likely increase the cost of this certification.</w:t>
      </w:r>
    </w:p>
    <w:p w14:paraId="5453AF5A" w14:textId="77777777" w:rsidR="002723B9" w:rsidRDefault="002723B9" w:rsidP="00EE3405">
      <w:pPr>
        <w:pStyle w:val="ListBullet"/>
      </w:pPr>
      <w:r>
        <w:t>A number of stakeholders acknowledged that assessment of specialist competencies through a university course would likely face challenges associated with the small size of the profession, increasing per-unit cost.</w:t>
      </w:r>
    </w:p>
    <w:p w14:paraId="69F3CEBC" w14:textId="3001FC14" w:rsidR="002723B9" w:rsidRDefault="002723B9" w:rsidP="002723B9">
      <w:pPr>
        <w:pStyle w:val="ListBullet"/>
      </w:pPr>
      <w:r>
        <w:t xml:space="preserve">A lack of certification for </w:t>
      </w:r>
      <w:r w:rsidR="009703E5">
        <w:t>specialised</w:t>
      </w:r>
      <w:r>
        <w:t xml:space="preserve"> scopes of practice creates challenges for employers to identify high-quality applicants. A similar dynamic was raised by stakeholders in relation to referral processes, where audiologists may be required to rely on individual professional networks as it is difficult to identify the scope of practice of an unknown colleague. </w:t>
      </w:r>
    </w:p>
    <w:p w14:paraId="6337D895" w14:textId="5835DF03" w:rsidR="00F72D60" w:rsidRDefault="00F72D60" w:rsidP="00EE3405">
      <w:pPr>
        <w:pStyle w:val="HeadingA"/>
      </w:pPr>
      <w:r>
        <w:t xml:space="preserve">Continuing Professional Development and </w:t>
      </w:r>
      <w:r w:rsidR="00601AD5">
        <w:t>Training</w:t>
      </w:r>
    </w:p>
    <w:p w14:paraId="23720244" w14:textId="77777777" w:rsidR="00094084" w:rsidRDefault="00BD2798" w:rsidP="00361D37">
      <w:pPr>
        <w:pStyle w:val="ListBullet"/>
      </w:pPr>
      <w:r>
        <w:t>Stakeholder feedback in the public and private sector</w:t>
      </w:r>
      <w:r w:rsidR="005E77A5">
        <w:t xml:space="preserve"> spoke of</w:t>
      </w:r>
      <w:r w:rsidR="00A566A1">
        <w:t xml:space="preserve"> wanting to see </w:t>
      </w:r>
      <w:r w:rsidR="00282BEC">
        <w:t xml:space="preserve">increased </w:t>
      </w:r>
      <w:r w:rsidR="002B2ABF">
        <w:t>access to high-quality</w:t>
      </w:r>
      <w:r w:rsidR="00A566A1">
        <w:t xml:space="preserve"> </w:t>
      </w:r>
      <w:r w:rsidR="0017711E">
        <w:t>CPD</w:t>
      </w:r>
      <w:r w:rsidR="00A566A1">
        <w:t xml:space="preserve"> and training</w:t>
      </w:r>
      <w:r w:rsidR="001D1862">
        <w:t xml:space="preserve">. </w:t>
      </w:r>
      <w:r w:rsidR="004B67E5">
        <w:t xml:space="preserve">It is recognised that </w:t>
      </w:r>
      <w:r w:rsidR="0017711E">
        <w:t>CPD</w:t>
      </w:r>
      <w:r w:rsidR="004B67E5">
        <w:t xml:space="preserve"> and training may be</w:t>
      </w:r>
      <w:r w:rsidR="00094084">
        <w:t>:</w:t>
      </w:r>
    </w:p>
    <w:p w14:paraId="18F7ECF3" w14:textId="77777777" w:rsidR="00094084" w:rsidRDefault="00BC0672" w:rsidP="00094084">
      <w:pPr>
        <w:pStyle w:val="BulletList2Column"/>
      </w:pPr>
      <w:r>
        <w:t>provided by an employer to an audiologist</w:t>
      </w:r>
      <w:r w:rsidR="008024B5">
        <w:t xml:space="preserve"> (creating inconsistent access)</w:t>
      </w:r>
    </w:p>
    <w:p w14:paraId="156AF09F" w14:textId="2A2120FD" w:rsidR="000E3998" w:rsidRDefault="00BC0672" w:rsidP="00094084">
      <w:pPr>
        <w:pStyle w:val="BulletList2Column"/>
      </w:pPr>
      <w:r>
        <w:t xml:space="preserve">sought </w:t>
      </w:r>
      <w:r w:rsidR="00D753AD">
        <w:t xml:space="preserve">out independently by the audiologist </w:t>
      </w:r>
      <w:r w:rsidR="0017711E">
        <w:t xml:space="preserve">to meet their CPD </w:t>
      </w:r>
      <w:r w:rsidR="00F45099">
        <w:t xml:space="preserve">requirements or as a personal decision </w:t>
      </w:r>
      <w:r w:rsidR="00B31F0D">
        <w:t xml:space="preserve">(where insufficient </w:t>
      </w:r>
      <w:r w:rsidR="0030604A">
        <w:t>ava</w:t>
      </w:r>
      <w:r w:rsidR="0069409B">
        <w:t xml:space="preserve">ilability of </w:t>
      </w:r>
      <w:r w:rsidR="00F45099">
        <w:t xml:space="preserve">desired </w:t>
      </w:r>
      <w:r w:rsidR="0069409B">
        <w:t>training</w:t>
      </w:r>
      <w:r w:rsidR="00B31F0D">
        <w:t xml:space="preserve"> was noted as an issue)</w:t>
      </w:r>
      <w:r w:rsidR="00D753AD">
        <w:t xml:space="preserve">. </w:t>
      </w:r>
    </w:p>
    <w:p w14:paraId="34551087" w14:textId="7181A384" w:rsidR="00476F1A" w:rsidRPr="00601AD5" w:rsidRDefault="00775F6D" w:rsidP="00361D37">
      <w:pPr>
        <w:pStyle w:val="ListBullet"/>
      </w:pPr>
      <w:r>
        <w:t xml:space="preserve">Where stakeholders </w:t>
      </w:r>
      <w:r w:rsidR="00534F90">
        <w:t>provided</w:t>
      </w:r>
      <w:r>
        <w:t xml:space="preserve"> views on training </w:t>
      </w:r>
      <w:r w:rsidR="00534F90">
        <w:t xml:space="preserve">offered by </w:t>
      </w:r>
      <w:r w:rsidR="00944802">
        <w:t>manufacturers</w:t>
      </w:r>
      <w:r w:rsidR="00534F90">
        <w:t xml:space="preserve">, </w:t>
      </w:r>
      <w:r w:rsidR="00F86654">
        <w:t xml:space="preserve">responses </w:t>
      </w:r>
      <w:r w:rsidR="0069409B">
        <w:t>were</w:t>
      </w:r>
      <w:r w:rsidR="00F86654">
        <w:t xml:space="preserve"> mixed. Positive </w:t>
      </w:r>
      <w:r w:rsidR="001612E5">
        <w:t>opinions of</w:t>
      </w:r>
      <w:r w:rsidR="00F86654">
        <w:t xml:space="preserve"> </w:t>
      </w:r>
      <w:r w:rsidR="002B6F6E">
        <w:t>manufacturer</w:t>
      </w:r>
      <w:r w:rsidR="00F86654">
        <w:t>-sponsored training include</w:t>
      </w:r>
      <w:r w:rsidR="0069409B">
        <w:t>d</w:t>
      </w:r>
      <w:r w:rsidR="00F86654">
        <w:t xml:space="preserve"> the practicality and relevance of </w:t>
      </w:r>
      <w:r w:rsidR="009876B8">
        <w:t>training</w:t>
      </w:r>
      <w:r w:rsidR="00436287">
        <w:t xml:space="preserve"> </w:t>
      </w:r>
      <w:r w:rsidR="001612E5">
        <w:t>(e.g.,</w:t>
      </w:r>
      <w:r w:rsidR="00436287">
        <w:t xml:space="preserve"> </w:t>
      </w:r>
      <w:r w:rsidR="009876B8">
        <w:t>how to use a particular piece of equipment)</w:t>
      </w:r>
      <w:r w:rsidR="001612E5">
        <w:t>. N</w:t>
      </w:r>
      <w:r w:rsidR="009876B8">
        <w:t xml:space="preserve">egative </w:t>
      </w:r>
      <w:r w:rsidR="00E4751B">
        <w:t>opinions</w:t>
      </w:r>
      <w:r w:rsidR="009876B8">
        <w:t xml:space="preserve"> </w:t>
      </w:r>
      <w:r w:rsidR="00147617">
        <w:t>included a perception of an</w:t>
      </w:r>
      <w:r w:rsidR="009876B8">
        <w:t xml:space="preserve"> </w:t>
      </w:r>
      <w:r w:rsidR="008A7261">
        <w:t xml:space="preserve">inherent </w:t>
      </w:r>
      <w:r w:rsidR="00DE053D">
        <w:t xml:space="preserve">conflict of interest </w:t>
      </w:r>
      <w:r w:rsidR="00944802">
        <w:t xml:space="preserve">(i.e. sale of </w:t>
      </w:r>
      <w:r w:rsidR="002B6F6E">
        <w:t xml:space="preserve">manufacturer products versus </w:t>
      </w:r>
      <w:r w:rsidR="00FC5027">
        <w:t>supporting best practice thr</w:t>
      </w:r>
      <w:r w:rsidR="00436287">
        <w:t xml:space="preserve">ough the provision of appropriate </w:t>
      </w:r>
      <w:r w:rsidR="00E46AC5">
        <w:t>evidence).</w:t>
      </w:r>
    </w:p>
    <w:p w14:paraId="494EF037" w14:textId="7DAFFADC" w:rsidR="002723B9" w:rsidRPr="008255FF" w:rsidRDefault="002723B9" w:rsidP="00EE3405">
      <w:pPr>
        <w:pStyle w:val="HeadingA"/>
      </w:pPr>
      <w:r w:rsidRPr="008255FF">
        <w:t xml:space="preserve">Clinical </w:t>
      </w:r>
      <w:r>
        <w:t>Governance</w:t>
      </w:r>
    </w:p>
    <w:p w14:paraId="0DEF0F20" w14:textId="34FECD91" w:rsidR="007D0EBD" w:rsidRDefault="00C21C7C" w:rsidP="00EE3405">
      <w:pPr>
        <w:pStyle w:val="ListBullet"/>
      </w:pPr>
      <w:r>
        <w:t xml:space="preserve">The following notes are provided in relation to clinical governance mechanisms </w:t>
      </w:r>
      <w:r w:rsidR="00D8396C">
        <w:t>in the public sector:</w:t>
      </w:r>
    </w:p>
    <w:p w14:paraId="46B75623" w14:textId="77777777" w:rsidR="00F73004" w:rsidRDefault="00F73004" w:rsidP="00F73004">
      <w:pPr>
        <w:pStyle w:val="BulletList2Column"/>
      </w:pPr>
      <w:r>
        <w:t>As a component of broader systems for corporate governance, clinical governance involves a complex set of leadership behaviours, policies, procedures, and monitoring and improvement mechanisms that are directed towards ensuring good clinical outcomes.</w:t>
      </w:r>
    </w:p>
    <w:p w14:paraId="1F159EA0" w14:textId="059E58FD" w:rsidR="00A341B0" w:rsidRPr="00A341B0" w:rsidRDefault="00B6680E" w:rsidP="00A341B0">
      <w:pPr>
        <w:pStyle w:val="BulletList2Column"/>
        <w:rPr>
          <w:rFonts w:eastAsia="Times New Roman"/>
          <w:spacing w:val="-2"/>
        </w:rPr>
      </w:pPr>
      <w:r>
        <w:t>In general,</w:t>
      </w:r>
      <w:r w:rsidR="00F73004">
        <w:t xml:space="preserve"> </w:t>
      </w:r>
      <w:r w:rsidR="00D55509">
        <w:t>State and Territory</w:t>
      </w:r>
      <w:r w:rsidR="00F73004">
        <w:t xml:space="preserve"> </w:t>
      </w:r>
      <w:r>
        <w:t>g</w:t>
      </w:r>
      <w:r w:rsidR="00F73004">
        <w:t>overnments are responsible for setting the overarching policy requirements for health services to ensure that health professional are adhering to professional practice standards, are credentialled (where required) and have a defined scope of practice.</w:t>
      </w:r>
      <w:r w:rsidR="00E6466C">
        <w:t xml:space="preserve"> As an example, in Queensland this occurs via the </w:t>
      </w:r>
      <w:r w:rsidR="00E6466C" w:rsidRPr="002D25A5">
        <w:rPr>
          <w:i/>
          <w:iCs/>
        </w:rPr>
        <w:t xml:space="preserve">Health Service Directive for </w:t>
      </w:r>
      <w:r w:rsidR="002D25A5">
        <w:rPr>
          <w:i/>
          <w:iCs/>
        </w:rPr>
        <w:t>c</w:t>
      </w:r>
      <w:r w:rsidR="00E6466C" w:rsidRPr="002D25A5">
        <w:rPr>
          <w:i/>
          <w:iCs/>
        </w:rPr>
        <w:t xml:space="preserve">redentialling and defining the scope of </w:t>
      </w:r>
      <w:r w:rsidR="002D25A5">
        <w:rPr>
          <w:i/>
          <w:iCs/>
        </w:rPr>
        <w:t xml:space="preserve">clinical </w:t>
      </w:r>
      <w:r w:rsidR="00E6466C" w:rsidRPr="002D25A5">
        <w:rPr>
          <w:i/>
          <w:iCs/>
        </w:rPr>
        <w:t>practice</w:t>
      </w:r>
      <w:r w:rsidR="0074543A">
        <w:rPr>
          <w:i/>
          <w:iCs/>
        </w:rPr>
        <w:t>,</w:t>
      </w:r>
      <w:r w:rsidR="0074543A">
        <w:rPr>
          <w:rStyle w:val="FootnoteReference"/>
          <w:i/>
          <w:iCs/>
        </w:rPr>
        <w:footnoteReference w:id="167"/>
      </w:r>
      <w:r w:rsidR="00A341B0">
        <w:t xml:space="preserve"> which requires </w:t>
      </w:r>
      <w:r w:rsidR="00A341B0" w:rsidRPr="00A341B0">
        <w:rPr>
          <w:rFonts w:eastAsia="Times New Roman"/>
          <w:spacing w:val="-2"/>
        </w:rPr>
        <w:t xml:space="preserve">that health services adopt a risk management approach when developing and implementing a policy framework which details the processes, accountabilities and requirements that best reflect the risk profile and organisational needs of the </w:t>
      </w:r>
      <w:r w:rsidR="00E469B6">
        <w:rPr>
          <w:rFonts w:eastAsia="Times New Roman"/>
          <w:spacing w:val="-2"/>
        </w:rPr>
        <w:t>Hospital and Health Service</w:t>
      </w:r>
      <w:r w:rsidR="00D84C72">
        <w:rPr>
          <w:rFonts w:eastAsia="Times New Roman"/>
          <w:spacing w:val="-2"/>
        </w:rPr>
        <w:t xml:space="preserve"> (HHS)</w:t>
      </w:r>
      <w:r w:rsidR="00E469B6">
        <w:rPr>
          <w:rStyle w:val="FootnoteReference"/>
          <w:rFonts w:eastAsia="Times New Roman"/>
          <w:spacing w:val="-2"/>
        </w:rPr>
        <w:footnoteReference w:id="168"/>
      </w:r>
      <w:r w:rsidR="00A341B0" w:rsidRPr="00A341B0">
        <w:rPr>
          <w:rFonts w:eastAsia="Times New Roman"/>
          <w:spacing w:val="-2"/>
        </w:rPr>
        <w:t xml:space="preserve"> and that </w:t>
      </w:r>
      <w:r w:rsidR="00D84C72">
        <w:rPr>
          <w:rFonts w:eastAsia="Times New Roman"/>
          <w:spacing w:val="-2"/>
        </w:rPr>
        <w:t>n</w:t>
      </w:r>
      <w:r w:rsidR="00A341B0" w:rsidRPr="00A341B0">
        <w:rPr>
          <w:rFonts w:eastAsia="Times New Roman"/>
          <w:spacing w:val="-2"/>
        </w:rPr>
        <w:t>ational standards are used as the benchmark for developing and implementing an HHS policy framework.</w:t>
      </w:r>
    </w:p>
    <w:p w14:paraId="5040A771" w14:textId="4F662FB4" w:rsidR="00651092" w:rsidRDefault="009576B2" w:rsidP="00651092">
      <w:pPr>
        <w:pStyle w:val="BulletList2Column"/>
      </w:pPr>
      <w:r>
        <w:t>Health services</w:t>
      </w:r>
      <w:r w:rsidR="00651092">
        <w:t xml:space="preserve"> </w:t>
      </w:r>
      <w:r w:rsidR="00EF016E">
        <w:t xml:space="preserve">are generally then responsible for developing their own policies and procedures to implement </w:t>
      </w:r>
      <w:r w:rsidR="0002262A">
        <w:t>the five clinical governance components outlined within the National Model Clinical Governance Framework</w:t>
      </w:r>
      <w:r w:rsidR="00643F6A">
        <w:t>.</w:t>
      </w:r>
      <w:r w:rsidR="00D42DF5">
        <w:rPr>
          <w:rStyle w:val="FootnoteReference"/>
        </w:rPr>
        <w:footnoteReference w:id="169"/>
      </w:r>
    </w:p>
    <w:p w14:paraId="6025C32C" w14:textId="77777777" w:rsidR="00C24601" w:rsidRPr="00C24601" w:rsidRDefault="00C24601" w:rsidP="00C24601">
      <w:pPr>
        <w:pStyle w:val="BulletList2Column"/>
      </w:pPr>
      <w:r w:rsidRPr="00C24601">
        <w:t xml:space="preserve">Health service may also have clinical protocols and procedures that support high quality, evidence based and patient centred practice. These may be locally developed, collaboratively developed at a statewide level and or a health service may adopt a national or another health services protocol/procedure depending on the nature of the clinical protocol and its relevant to the health service context. </w:t>
      </w:r>
    </w:p>
    <w:p w14:paraId="746259B9" w14:textId="7B590D6A" w:rsidR="002723B9" w:rsidRDefault="002723B9" w:rsidP="00EE3405">
      <w:pPr>
        <w:pStyle w:val="ListBullet"/>
      </w:pPr>
      <w:r>
        <w:t xml:space="preserve">Stakeholder responses spoke to wanting to see improvements in </w:t>
      </w:r>
      <w:r w:rsidR="00E40440">
        <w:t xml:space="preserve">the </w:t>
      </w:r>
      <w:r w:rsidR="00EB64D0">
        <w:t xml:space="preserve">production and </w:t>
      </w:r>
      <w:r w:rsidR="00E40440">
        <w:t xml:space="preserve">availability of </w:t>
      </w:r>
      <w:r>
        <w:t xml:space="preserve">clinical guidance documentation across a number of areas in the sector, including cochlear implant mapping, auditory brainstem response testing and tinnitus. </w:t>
      </w:r>
      <w:r w:rsidR="00AA3848">
        <w:t>Stakeholders</w:t>
      </w:r>
      <w:r w:rsidR="00B751C4">
        <w:t xml:space="preserve"> raised examples of trying to source clinical guidance documentation from other health services</w:t>
      </w:r>
      <w:r w:rsidR="006D28A7">
        <w:t xml:space="preserve"> (for public sector audiologists)</w:t>
      </w:r>
      <w:r w:rsidR="00EE34D4">
        <w:t>,</w:t>
      </w:r>
      <w:r w:rsidR="00B751C4">
        <w:t xml:space="preserve"> as well as </w:t>
      </w:r>
      <w:r w:rsidR="00E411BE">
        <w:t xml:space="preserve">searching for international documentation. </w:t>
      </w:r>
    </w:p>
    <w:p w14:paraId="6193A5B4" w14:textId="458F8CA0" w:rsidR="00871BF8" w:rsidRDefault="00D67E07" w:rsidP="00EE3405">
      <w:pPr>
        <w:pStyle w:val="ListBullet"/>
      </w:pPr>
      <w:r>
        <w:t>In consultation, stakeholders</w:t>
      </w:r>
      <w:r w:rsidR="002723B9">
        <w:t xml:space="preserve"> offered positive examples of practices that were viewed to increase the quality of services, including peer review (either one colleague or a group of colleagues), referrals for second opinions, clinical mentorship as part of multidisciplinary team, and standardised clinical audits. It was recognised that these examples were not consistently available to audiologists</w:t>
      </w:r>
      <w:r w:rsidR="008C4510">
        <w:t xml:space="preserve">, as access to these </w:t>
      </w:r>
      <w:r w:rsidR="00871BF8">
        <w:t>practices were dependent on:</w:t>
      </w:r>
    </w:p>
    <w:p w14:paraId="773B6543" w14:textId="77777777" w:rsidR="001C10F5" w:rsidRDefault="00871BF8" w:rsidP="00871BF8">
      <w:pPr>
        <w:pStyle w:val="BulletList2Column"/>
      </w:pPr>
      <w:r>
        <w:t xml:space="preserve">organisation-level decisions (particularly </w:t>
      </w:r>
      <w:r w:rsidR="001C10F5">
        <w:t>systematic clinical auditing)</w:t>
      </w:r>
    </w:p>
    <w:p w14:paraId="43B4114B" w14:textId="7577A34C" w:rsidR="00F243B9" w:rsidRDefault="001C10F5" w:rsidP="00A37C25">
      <w:pPr>
        <w:pStyle w:val="BulletList2Column"/>
      </w:pPr>
      <w:r>
        <w:t>site-specific cultural factors (</w:t>
      </w:r>
      <w:r w:rsidR="002E7576">
        <w:t xml:space="preserve">e.g., multidisciplinary team dynamics which encourage </w:t>
      </w:r>
      <w:r w:rsidR="00AB7163">
        <w:t>clinical mentorship between a</w:t>
      </w:r>
      <w:r w:rsidR="009D0090">
        <w:t>ud</w:t>
      </w:r>
      <w:r w:rsidR="00AB7163">
        <w:t>iologists and ear, nose and throat specialists</w:t>
      </w:r>
      <w:r w:rsidR="00F64956">
        <w:t xml:space="preserve">, and positive cultures for second opinions and peer reviews). </w:t>
      </w:r>
    </w:p>
    <w:p w14:paraId="74DDDB27" w14:textId="02DAC238" w:rsidR="002723B9" w:rsidRPr="00E35496" w:rsidRDefault="009D0090" w:rsidP="00EE3405">
      <w:pPr>
        <w:pStyle w:val="BodyText"/>
      </w:pPr>
      <w:r>
        <w:t xml:space="preserve">It is noted that profession-level goods and services </w:t>
      </w:r>
      <w:r w:rsidR="009845CF">
        <w:t>create</w:t>
      </w:r>
      <w:r>
        <w:t xml:space="preserve"> p</w:t>
      </w:r>
      <w:r w:rsidR="002723B9">
        <w:t>ositive externalit</w:t>
      </w:r>
      <w:r w:rsidR="009845CF">
        <w:t>ies</w:t>
      </w:r>
      <w:r>
        <w:t>, where</w:t>
      </w:r>
      <w:r w:rsidRPr="009D0090">
        <w:t xml:space="preserve"> </w:t>
      </w:r>
      <w:r w:rsidR="00910279">
        <w:t xml:space="preserve">the production of these goods and services </w:t>
      </w:r>
      <w:r w:rsidR="00251D15">
        <w:t xml:space="preserve">(consumed by audiologists) </w:t>
      </w:r>
      <w:r w:rsidR="00910279">
        <w:t xml:space="preserve">generates benefits for patients </w:t>
      </w:r>
      <w:r w:rsidR="00B832EC">
        <w:t xml:space="preserve">that </w:t>
      </w:r>
      <w:r w:rsidR="006D2A09">
        <w:t xml:space="preserve">the producer is not </w:t>
      </w:r>
      <w:r w:rsidR="007963FA">
        <w:t>fully compensated for</w:t>
      </w:r>
      <w:r w:rsidR="00AC7474">
        <w:t xml:space="preserve">. Goods and services </w:t>
      </w:r>
      <w:r w:rsidR="000875C6">
        <w:t xml:space="preserve">that </w:t>
      </w:r>
      <w:r w:rsidR="00AC7474">
        <w:t xml:space="preserve">create positive externalities </w:t>
      </w:r>
      <w:r w:rsidR="00687B74">
        <w:t>are associated with levels of production which are</w:t>
      </w:r>
      <w:r w:rsidR="00E72600">
        <w:t xml:space="preserve"> </w:t>
      </w:r>
      <w:r w:rsidR="002278F2">
        <w:t xml:space="preserve">below the </w:t>
      </w:r>
      <w:r w:rsidR="00E72600">
        <w:t>socially efficient level.</w:t>
      </w:r>
      <w:r w:rsidR="002723B9">
        <w:rPr>
          <w:rStyle w:val="FootnoteReference"/>
        </w:rPr>
        <w:footnoteReference w:id="170"/>
      </w:r>
      <w:r w:rsidR="002723B9">
        <w:t xml:space="preserve"> In these circumstances, government is often required to intervene and support these goods and services through subsidies.</w:t>
      </w:r>
      <w:r w:rsidR="00E72600">
        <w:rPr>
          <w:rStyle w:val="FootnoteReference"/>
        </w:rPr>
        <w:footnoteReference w:id="171"/>
      </w:r>
      <w:r w:rsidR="002723B9">
        <w:t xml:space="preserve"> It is noted that a number of </w:t>
      </w:r>
      <w:r w:rsidR="00ED25E1">
        <w:t xml:space="preserve">public submissions from </w:t>
      </w:r>
      <w:r w:rsidR="002723B9">
        <w:t>professional organisations stated that they had sought government funding in relation to specific certifications and training, however without government funding these initiatives were not able to be progressed.</w:t>
      </w:r>
    </w:p>
    <w:p w14:paraId="11FCD7C3" w14:textId="77777777" w:rsidR="006A7BAF" w:rsidRDefault="006A7BAF" w:rsidP="0007458C">
      <w:pPr>
        <w:pStyle w:val="Heading2"/>
        <w:ind w:left="578" w:hanging="578"/>
      </w:pPr>
      <w:bookmarkStart w:id="101" w:name="_Toc171324743"/>
      <w:bookmarkStart w:id="102" w:name="_Ref172479211"/>
      <w:bookmarkStart w:id="103" w:name="_Toc198138588"/>
      <w:r>
        <w:t xml:space="preserve">Problem 3: </w:t>
      </w:r>
      <w:r w:rsidRPr="006A7BAF">
        <w:t>Across</w:t>
      </w:r>
      <w:r>
        <w:t xml:space="preserve"> the sector, stakeholders note the influence of organisation-level pressures on audiologists’ delivery of care.</w:t>
      </w:r>
      <w:bookmarkEnd w:id="101"/>
      <w:bookmarkEnd w:id="102"/>
      <w:bookmarkEnd w:id="103"/>
    </w:p>
    <w:p w14:paraId="2BEDFEED" w14:textId="77777777" w:rsidR="006A7BAF" w:rsidRPr="00A62D3A" w:rsidRDefault="006A7BAF" w:rsidP="00A62D3A">
      <w:pPr>
        <w:pStyle w:val="BodyText"/>
      </w:pPr>
      <w:r w:rsidRPr="00A62D3A">
        <w:t xml:space="preserve">Stakeholders across the consultation period described a series of organisational-level pressures that play a role in the delivery of audiology services, which have downstream impacts on the quality of care received by the patient (including the role of conflicts of interest in delivery of services). These can be broadly separated into public sector and private sector considerations, though some overlap is noted. </w:t>
      </w:r>
    </w:p>
    <w:p w14:paraId="64598E95" w14:textId="77777777" w:rsidR="006A7BAF" w:rsidRDefault="006A7BAF" w:rsidP="006A7BAF">
      <w:pPr>
        <w:pStyle w:val="Heading3"/>
      </w:pPr>
      <w:bookmarkStart w:id="104" w:name="_Toc171324744"/>
      <w:bookmarkStart w:id="105" w:name="_Toc198138589"/>
      <w:r>
        <w:t xml:space="preserve">Public </w:t>
      </w:r>
      <w:r w:rsidRPr="006A7BAF">
        <w:t>sector</w:t>
      </w:r>
      <w:bookmarkEnd w:id="104"/>
      <w:bookmarkEnd w:id="105"/>
      <w:r>
        <w:t xml:space="preserve"> </w:t>
      </w:r>
    </w:p>
    <w:p w14:paraId="5ABFC4B7" w14:textId="77777777" w:rsidR="006A7BAF" w:rsidRDefault="006A7BAF" w:rsidP="006A7BAF">
      <w:pPr>
        <w:pStyle w:val="BodyText"/>
      </w:pPr>
      <w:r>
        <w:t>In reference to the external reviews, a number of stakeholders emphasised the role of site-specific factors on the delivery of audiology services, and the contribution of these factors to the patient harms which occurred. The following organisation-level factors were contained as findings from the three external reviews.</w:t>
      </w:r>
    </w:p>
    <w:tbl>
      <w:tblPr>
        <w:tblStyle w:val="TableGrid"/>
        <w:tblW w:w="0" w:type="auto"/>
        <w:tblLook w:val="04A0" w:firstRow="1" w:lastRow="0" w:firstColumn="1" w:lastColumn="0" w:noHBand="0" w:noVBand="1"/>
      </w:tblPr>
      <w:tblGrid>
        <w:gridCol w:w="8834"/>
      </w:tblGrid>
      <w:tr w:rsidR="00E91063" w14:paraId="30B11742" w14:textId="77777777" w:rsidTr="001C063E">
        <w:tc>
          <w:tcPr>
            <w:tcW w:w="8834" w:type="dxa"/>
            <w:shd w:val="clear" w:color="auto" w:fill="F1F2F2" w:themeFill="background2"/>
          </w:tcPr>
          <w:p w14:paraId="16BA7CA1" w14:textId="3F46727C" w:rsidR="001C063E" w:rsidRPr="00640E2E" w:rsidRDefault="001C063E" w:rsidP="001C063E">
            <w:pPr>
              <w:keepNext/>
              <w:spacing w:after="120"/>
              <w:rPr>
                <w:b/>
                <w:bCs/>
              </w:rPr>
            </w:pPr>
            <w:r w:rsidRPr="00640E2E">
              <w:rPr>
                <w:b/>
                <w:bCs/>
              </w:rPr>
              <w:t xml:space="preserve">Box 3.2: Findings of public sector </w:t>
            </w:r>
            <w:r w:rsidR="004140FF">
              <w:rPr>
                <w:b/>
                <w:bCs/>
              </w:rPr>
              <w:t>e</w:t>
            </w:r>
            <w:r w:rsidRPr="00640E2E">
              <w:rPr>
                <w:b/>
                <w:bCs/>
              </w:rPr>
              <w:t xml:space="preserve">xternal </w:t>
            </w:r>
            <w:r w:rsidR="004140FF">
              <w:rPr>
                <w:b/>
                <w:bCs/>
              </w:rPr>
              <w:t>r</w:t>
            </w:r>
            <w:r w:rsidRPr="00640E2E">
              <w:rPr>
                <w:b/>
                <w:bCs/>
              </w:rPr>
              <w:t>eviews</w:t>
            </w:r>
          </w:p>
          <w:p w14:paraId="0B4BFB3E" w14:textId="77777777" w:rsidR="001C063E" w:rsidRDefault="001C063E" w:rsidP="001C063E">
            <w:pPr>
              <w:keepNext/>
              <w:spacing w:after="120"/>
              <w:rPr>
                <w:b/>
                <w:bCs/>
              </w:rPr>
            </w:pPr>
            <w:r>
              <w:rPr>
                <w:b/>
                <w:bCs/>
              </w:rPr>
              <w:t>Logan Hospital:</w:t>
            </w:r>
          </w:p>
          <w:p w14:paraId="7CF22953" w14:textId="77777777" w:rsidR="001C063E" w:rsidRDefault="001C063E" w:rsidP="007176F0">
            <w:pPr>
              <w:pStyle w:val="ListBullet"/>
            </w:pPr>
            <w:r w:rsidRPr="003545D1">
              <w:t xml:space="preserve">Inadequate </w:t>
            </w:r>
            <w:r>
              <w:t>clinical or corporate oversight of quality or adequacy of implemented actions in response to previous external quality assurance activities</w:t>
            </w:r>
          </w:p>
          <w:p w14:paraId="71285102" w14:textId="77777777" w:rsidR="001C063E" w:rsidRDefault="001C063E" w:rsidP="007176F0">
            <w:pPr>
              <w:pStyle w:val="ListBullet"/>
            </w:pPr>
            <w:r>
              <w:t>Inadequate governance processes and systems – including minimal corporate oversight or professional collaboration or development, and physical/professional isolation.</w:t>
            </w:r>
          </w:p>
          <w:p w14:paraId="32B89D4F" w14:textId="77777777" w:rsidR="001C063E" w:rsidRPr="00321E5E" w:rsidRDefault="001C063E" w:rsidP="001C063E">
            <w:pPr>
              <w:keepNext/>
              <w:spacing w:after="120"/>
              <w:rPr>
                <w:b/>
                <w:bCs/>
              </w:rPr>
            </w:pPr>
            <w:r w:rsidRPr="00321E5E">
              <w:rPr>
                <w:b/>
                <w:bCs/>
              </w:rPr>
              <w:t>WCHN</w:t>
            </w:r>
            <w:r>
              <w:rPr>
                <w:b/>
                <w:bCs/>
              </w:rPr>
              <w:t>:</w:t>
            </w:r>
          </w:p>
          <w:p w14:paraId="6F77A29C" w14:textId="77777777" w:rsidR="001C063E" w:rsidRDefault="001C063E" w:rsidP="007176F0">
            <w:pPr>
              <w:pStyle w:val="ListBullet"/>
            </w:pPr>
            <w:r>
              <w:t>Impacts of high demand for services on staff caseloads</w:t>
            </w:r>
          </w:p>
          <w:p w14:paraId="5BA61C61" w14:textId="77777777" w:rsidR="001C063E" w:rsidRDefault="001C063E" w:rsidP="007176F0">
            <w:pPr>
              <w:pStyle w:val="ListBullet"/>
            </w:pPr>
            <w:r>
              <w:t>Staff turnover and use of short-term contracts</w:t>
            </w:r>
          </w:p>
          <w:p w14:paraId="0E9B89B0" w14:textId="77777777" w:rsidR="001C063E" w:rsidRDefault="001C063E" w:rsidP="007176F0">
            <w:pPr>
              <w:pStyle w:val="ListBullet"/>
            </w:pPr>
            <w:r>
              <w:t>Gaps in relation to cochlear implant related policies, procedures, competency frameworks for staff in the program, and key performance indicators for the program</w:t>
            </w:r>
          </w:p>
          <w:p w14:paraId="7FFDCD3F" w14:textId="77777777" w:rsidR="001C063E" w:rsidRDefault="001C063E" w:rsidP="007176F0">
            <w:pPr>
              <w:pStyle w:val="ListBullet"/>
            </w:pPr>
            <w:r>
              <w:t>No evidence of close working collaboration with safety and quality unit at WCHN and Department of Health and Wellbeing</w:t>
            </w:r>
          </w:p>
          <w:p w14:paraId="46B7DF73" w14:textId="77777777" w:rsidR="001C063E" w:rsidRPr="00391677" w:rsidRDefault="001C063E" w:rsidP="007176F0">
            <w:pPr>
              <w:pStyle w:val="ListBullet"/>
            </w:pPr>
            <w:r>
              <w:t>Limited evidence of consistent and meaningful collaboration between WCHN and external providers.</w:t>
            </w:r>
          </w:p>
          <w:p w14:paraId="17041878" w14:textId="77777777" w:rsidR="001C063E" w:rsidRDefault="001C063E" w:rsidP="001C063E">
            <w:pPr>
              <w:keepNext/>
              <w:spacing w:after="120"/>
              <w:rPr>
                <w:b/>
                <w:bCs/>
              </w:rPr>
            </w:pPr>
            <w:r>
              <w:rPr>
                <w:b/>
                <w:bCs/>
              </w:rPr>
              <w:t>Townsville University Hospital:</w:t>
            </w:r>
          </w:p>
          <w:p w14:paraId="132B7755" w14:textId="77777777" w:rsidR="001C063E" w:rsidRDefault="001C063E" w:rsidP="007176F0">
            <w:pPr>
              <w:pStyle w:val="ListBullet"/>
            </w:pPr>
            <w:r w:rsidRPr="00391677">
              <w:t xml:space="preserve">Concerns in relation to work environment (including </w:t>
            </w:r>
            <w:r>
              <w:t>room set-up)</w:t>
            </w:r>
          </w:p>
          <w:p w14:paraId="058DB327" w14:textId="77777777" w:rsidR="001C063E" w:rsidRDefault="001C063E" w:rsidP="007176F0">
            <w:pPr>
              <w:pStyle w:val="ListBullet"/>
            </w:pPr>
            <w:r>
              <w:t>Limited evidence of effective risk assessment processes</w:t>
            </w:r>
          </w:p>
          <w:p w14:paraId="281E8648" w14:textId="77777777" w:rsidR="001C063E" w:rsidRDefault="001C063E" w:rsidP="007176F0">
            <w:pPr>
              <w:pStyle w:val="ListBullet"/>
            </w:pPr>
            <w:r>
              <w:t>Team composition (unusual hierarchy of roles) and allocation of caseloads</w:t>
            </w:r>
          </w:p>
          <w:p w14:paraId="36124AF4" w14:textId="77777777" w:rsidR="001C063E" w:rsidRDefault="001C063E" w:rsidP="007176F0">
            <w:pPr>
              <w:pStyle w:val="ListBullet"/>
            </w:pPr>
            <w:r>
              <w:t>Clinical leadership challenges enabling governance failings at clinical, management, and executive levels</w:t>
            </w:r>
          </w:p>
          <w:p w14:paraId="73C327CE" w14:textId="6F745CCE" w:rsidR="00CF627B" w:rsidRDefault="001C063E" w:rsidP="007176F0">
            <w:pPr>
              <w:pStyle w:val="ListBullet"/>
            </w:pPr>
            <w:r>
              <w:t>Limited evidence of formal supervision framework</w:t>
            </w:r>
          </w:p>
          <w:p w14:paraId="6789E8B3" w14:textId="7B264F5D" w:rsidR="00E91063" w:rsidRDefault="001C063E" w:rsidP="007176F0">
            <w:pPr>
              <w:pStyle w:val="ListBullet"/>
            </w:pPr>
            <w:r>
              <w:t>Concerns in relation to the management of conflicts of interest.</w:t>
            </w:r>
          </w:p>
        </w:tc>
      </w:tr>
    </w:tbl>
    <w:p w14:paraId="0F474F5C" w14:textId="43DB25D6" w:rsidR="00D44C4A" w:rsidRDefault="00EB6095" w:rsidP="00D44C4A">
      <w:pPr>
        <w:pStyle w:val="BodyText"/>
      </w:pPr>
      <w:bookmarkStart w:id="106" w:name="_Toc171324745"/>
      <w:bookmarkStart w:id="107" w:name="_Ref172484154"/>
      <w:r>
        <w:t>For these stakeholders, the</w:t>
      </w:r>
      <w:r w:rsidR="00664C6F">
        <w:t xml:space="preserve"> ability for </w:t>
      </w:r>
      <w:r w:rsidR="002E1FD3">
        <w:t>regulatory options under consideration to have prevented th</w:t>
      </w:r>
      <w:r>
        <w:t xml:space="preserve">ese events was </w:t>
      </w:r>
      <w:r w:rsidR="00A16D0D">
        <w:t xml:space="preserve">considered unlikely. In </w:t>
      </w:r>
      <w:r w:rsidR="001E7678">
        <w:t>a statement posted on their website</w:t>
      </w:r>
      <w:r w:rsidR="005F71F8">
        <w:t xml:space="preserve"> in</w:t>
      </w:r>
      <w:r w:rsidR="00221976">
        <w:t xml:space="preserve"> 2024 in</w:t>
      </w:r>
      <w:r w:rsidR="005F71F8">
        <w:t xml:space="preserve"> </w:t>
      </w:r>
      <w:r w:rsidR="009731CF">
        <w:t>regards</w:t>
      </w:r>
      <w:r w:rsidR="005F71F8">
        <w:t xml:space="preserve"> to the Decision RIS</w:t>
      </w:r>
      <w:r w:rsidR="001E7678">
        <w:t xml:space="preserve">, AudA </w:t>
      </w:r>
      <w:r w:rsidR="005F71F8">
        <w:t>stated:</w:t>
      </w:r>
      <w:r w:rsidR="003917EA">
        <w:rPr>
          <w:rStyle w:val="FootnoteReference"/>
        </w:rPr>
        <w:footnoteReference w:id="172"/>
      </w:r>
    </w:p>
    <w:p w14:paraId="5F01AA88" w14:textId="4821121B" w:rsidR="005C7123" w:rsidRPr="005C7123" w:rsidRDefault="005F71F8" w:rsidP="005C7123">
      <w:pPr>
        <w:pStyle w:val="BodyText"/>
      </w:pPr>
      <w:r>
        <w:t>“</w:t>
      </w:r>
      <w:r w:rsidR="00097945" w:rsidRPr="00097945">
        <w:rPr>
          <w:i/>
          <w:iCs/>
        </w:rPr>
        <w:t>Audiology Australia welcomes the opportunity to strengthen the profession and we support professional regulation. There are positives and negatives to each of the regulation models being considered. While regulation may support title protection and provide a clear pathway to address concerns and complaints about anyone practicing in audiology, it won’t address a range of other issues that contributed to the broader systemic failures in the settings identified in the recent Qld and SA inquiries. From the enquiries, findings suggest no evidence regulatory models in scope would have changed outcomes for those affected or offer protection against future similar issues. There is a risk that registration could result in restrictions to current scope of practice such as full and expanded scope services. Striking a balance between regulation and flexibility, is essential to support patient safety, high professional standards, and advancement of the audiology sector.</w:t>
      </w:r>
      <w:r w:rsidR="00097945">
        <w:t>”</w:t>
      </w:r>
    </w:p>
    <w:p w14:paraId="1FA4761A" w14:textId="08DC8783" w:rsidR="00BC5C25" w:rsidRPr="00AC486F" w:rsidRDefault="00BC5C25" w:rsidP="00BC5C25">
      <w:pPr>
        <w:pStyle w:val="Heading3"/>
      </w:pPr>
      <w:bookmarkStart w:id="108" w:name="_Ref172811467"/>
      <w:bookmarkStart w:id="109" w:name="_Toc198138590"/>
      <w:r w:rsidRPr="00BC5C25">
        <w:t>Private</w:t>
      </w:r>
      <w:r>
        <w:t xml:space="preserve"> sector</w:t>
      </w:r>
      <w:bookmarkEnd w:id="106"/>
      <w:bookmarkEnd w:id="107"/>
      <w:bookmarkEnd w:id="108"/>
      <w:bookmarkEnd w:id="109"/>
    </w:p>
    <w:p w14:paraId="03537726" w14:textId="12BA128F" w:rsidR="00BC5C25" w:rsidRDefault="00BC5C25" w:rsidP="00BC5C25">
      <w:pPr>
        <w:pStyle w:val="BodyText"/>
      </w:pPr>
      <w:r>
        <w:t xml:space="preserve">One of the strongest themes which emerged across the stakeholder consultation period was the impact of commercial incentives on the delivery of patient care and the sector more broadly. </w:t>
      </w:r>
    </w:p>
    <w:p w14:paraId="340EAD05" w14:textId="77777777" w:rsidR="00BC5C25" w:rsidRDefault="00BC5C25" w:rsidP="00BC5C25">
      <w:pPr>
        <w:pStyle w:val="BodyText"/>
      </w:pPr>
      <w:r>
        <w:t>Stakeholders provided a series of views in relation to harms and conflicts of interest related to the private sector which included:</w:t>
      </w:r>
    </w:p>
    <w:p w14:paraId="321065D9" w14:textId="1BC53C8D" w:rsidR="00BC5C25" w:rsidRDefault="00BC5C25" w:rsidP="00BC5C25">
      <w:pPr>
        <w:pStyle w:val="ListBullet"/>
      </w:pPr>
      <w:r w:rsidRPr="00B3091D">
        <w:t>Ownership of hearing clinics by hearing aid manufacturers</w:t>
      </w:r>
      <w:r>
        <w:t xml:space="preserve"> (i.e. vertical integration of market)</w:t>
      </w:r>
      <w:r w:rsidR="00881B74">
        <w:rPr>
          <w:rStyle w:val="FootnoteReference"/>
        </w:rPr>
        <w:footnoteReference w:id="173"/>
      </w:r>
    </w:p>
    <w:p w14:paraId="3A1FF5D2" w14:textId="580D52F8" w:rsidR="00BC5C25" w:rsidRPr="00B3091D" w:rsidRDefault="00BC5C25" w:rsidP="00BC5C25">
      <w:pPr>
        <w:pStyle w:val="ListBullet"/>
      </w:pPr>
      <w:r>
        <w:t>Sales-based renumeration structures and sales-based performance targets</w:t>
      </w:r>
      <w:r w:rsidR="000C4C99">
        <w:rPr>
          <w:rStyle w:val="FootnoteReference"/>
        </w:rPr>
        <w:footnoteReference w:id="174"/>
      </w:r>
    </w:p>
    <w:p w14:paraId="772657C5" w14:textId="77777777" w:rsidR="00BC5C25" w:rsidRDefault="00BC5C25" w:rsidP="00BC5C25">
      <w:pPr>
        <w:pStyle w:val="ListBullet"/>
      </w:pPr>
      <w:r w:rsidRPr="005B6BF7">
        <w:t xml:space="preserve">Selling of hearing aids </w:t>
      </w:r>
      <w:r>
        <w:t xml:space="preserve">to vulnerable patients </w:t>
      </w:r>
      <w:r w:rsidRPr="005B6BF7">
        <w:t xml:space="preserve">which are more expensive </w:t>
      </w:r>
      <w:r>
        <w:t xml:space="preserve">than clinically necessary or where there is a limited evidence base for recommendation </w:t>
      </w:r>
    </w:p>
    <w:p w14:paraId="150222A5" w14:textId="77777777" w:rsidR="00BC5C25" w:rsidRDefault="00BC5C25" w:rsidP="00BC5C25">
      <w:pPr>
        <w:pStyle w:val="ListBullet"/>
      </w:pPr>
      <w:r>
        <w:t xml:space="preserve">High profit margins on hearing aids </w:t>
      </w:r>
    </w:p>
    <w:p w14:paraId="0DF7D402" w14:textId="22221919" w:rsidR="00BC5C25" w:rsidRDefault="00BC5C25" w:rsidP="00BC5C25">
      <w:pPr>
        <w:pStyle w:val="ListBullet"/>
      </w:pPr>
      <w:r>
        <w:t>Loss leader pricing activities (i.e. offering of free hearing screenings)</w:t>
      </w:r>
      <w:r w:rsidR="006015A2">
        <w:rPr>
          <w:rStyle w:val="FootnoteReference"/>
        </w:rPr>
        <w:footnoteReference w:id="175"/>
      </w:r>
    </w:p>
    <w:p w14:paraId="778D0FD0" w14:textId="56C808B1" w:rsidR="00BC5C25" w:rsidRDefault="00BC5C25" w:rsidP="00BC5C25">
      <w:pPr>
        <w:pStyle w:val="ListBullet"/>
      </w:pPr>
      <w:r>
        <w:t>Management pressures on audiometrists to work outside of their scope of practice</w:t>
      </w:r>
      <w:r w:rsidR="00BC3CF6">
        <w:t xml:space="preserve"> (</w:t>
      </w:r>
      <w:r w:rsidR="00367EC3">
        <w:t>i.e.</w:t>
      </w:r>
      <w:r w:rsidR="009E6794">
        <w:t>,</w:t>
      </w:r>
      <w:r w:rsidR="00367EC3">
        <w:t xml:space="preserve"> to provide services at an audiologist level)</w:t>
      </w:r>
    </w:p>
    <w:p w14:paraId="79A49C84" w14:textId="77777777" w:rsidR="00BC5C25" w:rsidRDefault="00BC5C25" w:rsidP="00BC5C25">
      <w:pPr>
        <w:pStyle w:val="ListBullet"/>
      </w:pPr>
      <w:r>
        <w:t>Management of conflicts of interest in relation to hearing device manufacturers and PPB Board membership.</w:t>
      </w:r>
    </w:p>
    <w:p w14:paraId="3B155AD5" w14:textId="77777777" w:rsidR="00BC5C25" w:rsidRDefault="00BC5C25" w:rsidP="00BC5C25">
      <w:pPr>
        <w:pStyle w:val="BodyText"/>
      </w:pPr>
      <w:r>
        <w:t>A key report regarding the hearing sector was released by the Australian Competition &amp; Consumer Commission (ACCC) in 2017, in which the ACCC conducted enquiries with industry and consumers in relation to potential consumer protection issues raised through a Radio National Background Briefing program.</w:t>
      </w:r>
      <w:r>
        <w:rPr>
          <w:rStyle w:val="FootnoteReference"/>
        </w:rPr>
        <w:footnoteReference w:id="176"/>
      </w:r>
    </w:p>
    <w:tbl>
      <w:tblPr>
        <w:tblStyle w:val="TableGrid"/>
        <w:tblW w:w="0" w:type="auto"/>
        <w:tblLook w:val="04A0" w:firstRow="1" w:lastRow="0" w:firstColumn="1" w:lastColumn="0" w:noHBand="0" w:noVBand="1"/>
      </w:tblPr>
      <w:tblGrid>
        <w:gridCol w:w="8834"/>
      </w:tblGrid>
      <w:tr w:rsidR="00BC5C25" w14:paraId="211B35C6" w14:textId="77777777" w:rsidTr="008F40E3">
        <w:tc>
          <w:tcPr>
            <w:tcW w:w="8834" w:type="dxa"/>
            <w:shd w:val="clear" w:color="auto" w:fill="E7F0F9"/>
          </w:tcPr>
          <w:p w14:paraId="320A8927" w14:textId="77777777" w:rsidR="00686200" w:rsidRPr="00FF638F" w:rsidRDefault="00686200" w:rsidP="00686200">
            <w:pPr>
              <w:keepNext/>
              <w:rPr>
                <w:b/>
                <w:bCs/>
              </w:rPr>
            </w:pPr>
            <w:r>
              <w:rPr>
                <w:b/>
                <w:bCs/>
              </w:rPr>
              <w:t xml:space="preserve">Box 3.3: Findings of 2017 </w:t>
            </w:r>
            <w:r w:rsidRPr="00FF638F">
              <w:rPr>
                <w:b/>
                <w:bCs/>
              </w:rPr>
              <w:t xml:space="preserve">Australian Competition </w:t>
            </w:r>
            <w:r>
              <w:rPr>
                <w:b/>
                <w:bCs/>
              </w:rPr>
              <w:t>&amp;</w:t>
            </w:r>
            <w:r w:rsidRPr="00FF638F">
              <w:rPr>
                <w:b/>
                <w:bCs/>
              </w:rPr>
              <w:t xml:space="preserve"> Consumer Commission Review</w:t>
            </w:r>
          </w:p>
          <w:p w14:paraId="593C7462" w14:textId="77777777" w:rsidR="00686200" w:rsidRPr="0018008F" w:rsidRDefault="00686200" w:rsidP="00686200">
            <w:pPr>
              <w:keepNext/>
            </w:pPr>
            <w:r w:rsidRPr="0018008F">
              <w:t>In 2017, the Australian Competition and Consumer Commission (ACCC)</w:t>
            </w:r>
            <w:r>
              <w:t xml:space="preserve"> </w:t>
            </w:r>
            <w:r w:rsidRPr="0018008F">
              <w:t>raised concerns about unethical behaviour occurring in the audiology profession due to conflicts of business interests between hearing clinic</w:t>
            </w:r>
            <w:r>
              <w:t xml:space="preserve"> </w:t>
            </w:r>
            <w:r w:rsidRPr="0018008F">
              <w:t>providers and hearing aid manufacturers.</w:t>
            </w:r>
            <w:r>
              <w:rPr>
                <w:rStyle w:val="FootnoteReference"/>
              </w:rPr>
              <w:footnoteReference w:id="177"/>
            </w:r>
            <w:r w:rsidRPr="0018008F">
              <w:t xml:space="preserve"> As part of this report, the ACCC conducted a survey aimed at consumers </w:t>
            </w:r>
            <w:r>
              <w:t xml:space="preserve">(n=59) </w:t>
            </w:r>
            <w:r w:rsidRPr="0018008F">
              <w:t xml:space="preserve">and industry </w:t>
            </w:r>
            <w:r>
              <w:t xml:space="preserve">(n=26) </w:t>
            </w:r>
            <w:r w:rsidRPr="0018008F">
              <w:t xml:space="preserve">and </w:t>
            </w:r>
            <w:r>
              <w:t xml:space="preserve">contacted the 10 largest hearing clinic operators to obtain information about sales practices. The survey </w:t>
            </w:r>
            <w:r w:rsidRPr="0018008F">
              <w:t>received concerns that included:</w:t>
            </w:r>
            <w:r>
              <w:rPr>
                <w:rStyle w:val="FootnoteReference"/>
              </w:rPr>
              <w:footnoteReference w:id="178"/>
            </w:r>
            <w:r w:rsidRPr="0018008F">
              <w:t xml:space="preserve"> </w:t>
            </w:r>
          </w:p>
          <w:p w14:paraId="7F49BDEC" w14:textId="77777777" w:rsidR="00686200" w:rsidRPr="0018008F" w:rsidRDefault="00686200" w:rsidP="00686200">
            <w:pPr>
              <w:keepNext/>
            </w:pPr>
            <w:r w:rsidRPr="0018008F">
              <w:t xml:space="preserve">• Consumers: </w:t>
            </w:r>
          </w:p>
          <w:p w14:paraId="4B07FD45" w14:textId="77777777" w:rsidR="00686200" w:rsidRPr="00395B36" w:rsidRDefault="00686200" w:rsidP="00F24996">
            <w:pPr>
              <w:pStyle w:val="ListParagraph"/>
              <w:keepNext/>
              <w:numPr>
                <w:ilvl w:val="0"/>
                <w:numId w:val="18"/>
              </w:numPr>
              <w:spacing w:before="0" w:after="0" w:line="240" w:lineRule="auto"/>
              <w:textboxTightWrap w:val="none"/>
            </w:pPr>
            <w:r>
              <w:t>feeling</w:t>
            </w:r>
            <w:r w:rsidRPr="00395B36">
              <w:t xml:space="preserve"> pressure to purchase hearing aids or more expensive hearing aids </w:t>
            </w:r>
          </w:p>
          <w:p w14:paraId="0C8C27B2" w14:textId="77777777" w:rsidR="00686200" w:rsidRDefault="00686200" w:rsidP="00F24996">
            <w:pPr>
              <w:pStyle w:val="ListParagraph"/>
              <w:keepNext/>
              <w:numPr>
                <w:ilvl w:val="0"/>
                <w:numId w:val="18"/>
              </w:numPr>
              <w:spacing w:before="0" w:after="0" w:line="240" w:lineRule="atLeast"/>
              <w:textboxTightWrap w:val="none"/>
              <w:rPr>
                <w:kern w:val="0"/>
                <w:szCs w:val="18"/>
              </w:rPr>
            </w:pPr>
            <w:r>
              <w:t>feeling that they could not trust clinicians to provide independent advice and recommendations</w:t>
            </w:r>
          </w:p>
          <w:p w14:paraId="77DB9327" w14:textId="77777777" w:rsidR="00686200" w:rsidRPr="00395B36" w:rsidRDefault="00686200" w:rsidP="00F24996">
            <w:pPr>
              <w:pStyle w:val="ListParagraph"/>
              <w:keepNext/>
              <w:numPr>
                <w:ilvl w:val="0"/>
                <w:numId w:val="18"/>
              </w:numPr>
              <w:spacing w:before="0" w:after="0" w:line="240" w:lineRule="auto"/>
              <w:textboxTightWrap w:val="none"/>
            </w:pPr>
            <w:r>
              <w:t>being unable to independently verify clinicians’ advice and recommendations.</w:t>
            </w:r>
          </w:p>
          <w:p w14:paraId="3DA947EA" w14:textId="77777777" w:rsidR="00686200" w:rsidRPr="0018008F" w:rsidRDefault="00686200" w:rsidP="00686200">
            <w:pPr>
              <w:keepNext/>
            </w:pPr>
            <w:r w:rsidRPr="0018008F">
              <w:t xml:space="preserve">• Clinicians: </w:t>
            </w:r>
          </w:p>
          <w:p w14:paraId="2238A284" w14:textId="77777777" w:rsidR="00686200" w:rsidRPr="001A32A8" w:rsidRDefault="00686200" w:rsidP="00F24996">
            <w:pPr>
              <w:pStyle w:val="ListParagraph"/>
              <w:keepNext/>
              <w:numPr>
                <w:ilvl w:val="0"/>
                <w:numId w:val="19"/>
              </w:numPr>
              <w:spacing w:before="0" w:after="0" w:line="240" w:lineRule="auto"/>
              <w:ind w:left="714" w:hanging="357"/>
              <w:textboxTightWrap w:val="none"/>
            </w:pPr>
            <w:r>
              <w:t>several of the large hearing clinic operators in Australia are owned by hearing aid manufacturers</w:t>
            </w:r>
          </w:p>
          <w:p w14:paraId="71BF78DE" w14:textId="77777777" w:rsidR="00686200" w:rsidRDefault="00686200" w:rsidP="00F24996">
            <w:pPr>
              <w:pStyle w:val="ListParagraph"/>
              <w:keepNext/>
              <w:numPr>
                <w:ilvl w:val="0"/>
                <w:numId w:val="19"/>
              </w:numPr>
              <w:spacing w:before="0" w:after="0" w:line="240" w:lineRule="auto"/>
              <w:ind w:left="714" w:hanging="357"/>
              <w:textboxTightWrap w:val="none"/>
            </w:pPr>
            <w:r>
              <w:t>some clinicians consider their employers are more focussed on sales than providing independent advice, with some choosing to change employers to avoid the pressure to sell hearing aids</w:t>
            </w:r>
          </w:p>
          <w:p w14:paraId="498CEAA3" w14:textId="77777777" w:rsidR="00530591" w:rsidRDefault="00686200" w:rsidP="00F24996">
            <w:pPr>
              <w:pStyle w:val="ListParagraph"/>
              <w:keepNext/>
              <w:numPr>
                <w:ilvl w:val="0"/>
                <w:numId w:val="19"/>
              </w:numPr>
              <w:spacing w:before="0" w:after="0" w:line="240" w:lineRule="auto"/>
              <w:ind w:left="714" w:hanging="357"/>
              <w:textboxTightWrap w:val="none"/>
            </w:pPr>
            <w:r>
              <w:t>some hearing clinics focus on sales and profits at the expense of consumers’ best interests and devices may be recommended based on commissions rather than consumers’ needs</w:t>
            </w:r>
          </w:p>
          <w:p w14:paraId="23EEF434" w14:textId="204D1E37" w:rsidR="00BC5C25" w:rsidRDefault="00686200" w:rsidP="00F24996">
            <w:pPr>
              <w:pStyle w:val="ListParagraph"/>
              <w:keepNext/>
              <w:numPr>
                <w:ilvl w:val="0"/>
                <w:numId w:val="19"/>
              </w:numPr>
              <w:spacing w:before="0" w:after="0" w:line="240" w:lineRule="auto"/>
              <w:ind w:left="714" w:hanging="357"/>
              <w:textboxTightWrap w:val="none"/>
            </w:pPr>
            <w:r>
              <w:t>the failure of clinicians to meet sales targets or key performance indicators may result in performance management up to, and including, termination of employment</w:t>
            </w:r>
            <w:r w:rsidRPr="00C16F07">
              <w:t>.</w:t>
            </w:r>
          </w:p>
        </w:tc>
      </w:tr>
    </w:tbl>
    <w:p w14:paraId="432E33BF" w14:textId="77777777" w:rsidR="001D5EE2" w:rsidRDefault="001D5EE2" w:rsidP="001D5EE2"/>
    <w:p w14:paraId="6B472759" w14:textId="003C549D" w:rsidR="00864186" w:rsidRDefault="00864186" w:rsidP="008A5D91">
      <w:pPr>
        <w:pStyle w:val="HeadingA"/>
      </w:pPr>
      <w:r>
        <w:t xml:space="preserve">Sectoral response to ACCC </w:t>
      </w:r>
      <w:r w:rsidR="008A5D91">
        <w:t>report</w:t>
      </w:r>
    </w:p>
    <w:p w14:paraId="56C87315" w14:textId="61C8B150" w:rsidR="001D5EE2" w:rsidRDefault="001D5EE2" w:rsidP="006904F9">
      <w:pPr>
        <w:pStyle w:val="BodyText"/>
      </w:pPr>
      <w:r>
        <w:t xml:space="preserve">In response to the ACCC’s actions in 2017, Audiology Australia and the Australian College of Audiology both released position statements, with the main points stated below. </w:t>
      </w:r>
    </w:p>
    <w:p w14:paraId="62F3CA10" w14:textId="77777777" w:rsidR="001D5EE2" w:rsidRDefault="001D5EE2" w:rsidP="006904F9">
      <w:pPr>
        <w:pStyle w:val="BodyText"/>
      </w:pPr>
      <w:r w:rsidRPr="009641C8">
        <w:rPr>
          <w:b/>
          <w:bCs/>
        </w:rPr>
        <w:t>Audiology Australia</w:t>
      </w:r>
      <w:r>
        <w:t>:</w:t>
      </w:r>
      <w:r>
        <w:rPr>
          <w:rStyle w:val="FootnoteReference"/>
        </w:rPr>
        <w:footnoteReference w:id="179"/>
      </w:r>
    </w:p>
    <w:p w14:paraId="3D9BB50F" w14:textId="77777777" w:rsidR="001D5EE2" w:rsidRDefault="001D5EE2" w:rsidP="006904F9">
      <w:pPr>
        <w:pStyle w:val="ListBullet"/>
      </w:pPr>
      <w:r>
        <w:t>Commissions should not be based on sales targets;</w:t>
      </w:r>
    </w:p>
    <w:p w14:paraId="197DD3D9" w14:textId="77777777" w:rsidR="001D5EE2" w:rsidRDefault="001D5EE2" w:rsidP="006904F9">
      <w:pPr>
        <w:pStyle w:val="ListBullet"/>
      </w:pPr>
      <w:r>
        <w:t xml:space="preserve">Remuneration structures that put audiologists under pressure to meet sales targets place members at risk of breaching the </w:t>
      </w:r>
      <w:r w:rsidRPr="00F60308">
        <w:rPr>
          <w:i/>
          <w:iCs/>
        </w:rPr>
        <w:t>Code of Conduct</w:t>
      </w:r>
      <w:r>
        <w:t>;</w:t>
      </w:r>
    </w:p>
    <w:p w14:paraId="0B34E5AE" w14:textId="77777777" w:rsidR="001D5EE2" w:rsidRDefault="001D5EE2" w:rsidP="006904F9">
      <w:pPr>
        <w:pStyle w:val="ListBullet"/>
      </w:pPr>
      <w:r>
        <w:t>Remuneration levels should be based on the clinical experience of the audiologist and the outcomes their clients achieve;</w:t>
      </w:r>
    </w:p>
    <w:p w14:paraId="075C0062" w14:textId="77777777" w:rsidR="001D5EE2" w:rsidRDefault="001D5EE2" w:rsidP="006904F9">
      <w:pPr>
        <w:pStyle w:val="ListBullet"/>
      </w:pPr>
      <w:r>
        <w:t>Client outcomes must be measured by scientifically validated and reliable assessment tools in order to be in any way meaningful and a true reflection of client outcomes;</w:t>
      </w:r>
    </w:p>
    <w:p w14:paraId="6F875D9B" w14:textId="77777777" w:rsidR="001D5EE2" w:rsidRDefault="001D5EE2" w:rsidP="006904F9">
      <w:pPr>
        <w:pStyle w:val="ListBullet"/>
      </w:pPr>
      <w:r>
        <w:t xml:space="preserve">Audiologists’ employment conditions should allow them to adhere to the </w:t>
      </w:r>
      <w:r w:rsidRPr="00F60308">
        <w:rPr>
          <w:i/>
          <w:iCs/>
        </w:rPr>
        <w:t>Code of Conduct</w:t>
      </w:r>
      <w:r>
        <w:t xml:space="preserve"> and make recommendations to clients based on clinical assessment and the client’s needs; and</w:t>
      </w:r>
    </w:p>
    <w:p w14:paraId="371EF161" w14:textId="77777777" w:rsidR="001D5EE2" w:rsidRDefault="001D5EE2" w:rsidP="006904F9">
      <w:pPr>
        <w:pStyle w:val="ListBullet"/>
      </w:pPr>
      <w:r>
        <w:t>Clients should be protected from unethical conduct when purchasing hearing aids and devices.</w:t>
      </w:r>
    </w:p>
    <w:p w14:paraId="391EE9A2" w14:textId="77777777" w:rsidR="001D5EE2" w:rsidRDefault="001D5EE2" w:rsidP="006904F9">
      <w:pPr>
        <w:pStyle w:val="BodyText"/>
      </w:pPr>
      <w:r w:rsidRPr="009641C8">
        <w:rPr>
          <w:b/>
          <w:bCs/>
        </w:rPr>
        <w:t>Australian College of Audiology</w:t>
      </w:r>
      <w:r>
        <w:t>:</w:t>
      </w:r>
      <w:r>
        <w:rPr>
          <w:rStyle w:val="FootnoteReference"/>
        </w:rPr>
        <w:footnoteReference w:id="180"/>
      </w:r>
    </w:p>
    <w:p w14:paraId="71F5CC0F" w14:textId="798F2D12" w:rsidR="001D5EE2" w:rsidRDefault="00976272" w:rsidP="006904F9">
      <w:pPr>
        <w:pStyle w:val="ListBullet"/>
      </w:pPr>
      <w:r>
        <w:t xml:space="preserve">AcAud </w:t>
      </w:r>
      <w:r w:rsidR="001D5EE2">
        <w:t>supports employers in finding alternatives to sales commissions and other sales-based incentives to reward good clinical practice and will work together with businesses and Government wherever possible to make this happen.</w:t>
      </w:r>
    </w:p>
    <w:p w14:paraId="7DA23DFA" w14:textId="04C0F305" w:rsidR="001D5EE2" w:rsidRDefault="001D5EE2" w:rsidP="006904F9">
      <w:pPr>
        <w:pStyle w:val="ListBullet"/>
      </w:pPr>
      <w:r>
        <w:t xml:space="preserve">No </w:t>
      </w:r>
      <w:r w:rsidR="00976272">
        <w:t xml:space="preserve">AcAud </w:t>
      </w:r>
      <w:r>
        <w:t>member should be financially disadvantaged due to the elimination of sales commissions and other sales-based incentives in the workplace.</w:t>
      </w:r>
    </w:p>
    <w:p w14:paraId="54309AA0" w14:textId="7937B472" w:rsidR="001D5EE2" w:rsidRDefault="00976272" w:rsidP="006904F9">
      <w:pPr>
        <w:pStyle w:val="ListBullet"/>
      </w:pPr>
      <w:r>
        <w:t xml:space="preserve">AcAud </w:t>
      </w:r>
      <w:r w:rsidR="001D5EE2">
        <w:t>encourages anyone who has concerns about unethical behaviour related to the sale of hearing aids by A</w:t>
      </w:r>
      <w:r w:rsidR="00E744CC">
        <w:t>c</w:t>
      </w:r>
      <w:r w:rsidR="001D5EE2">
        <w:t>Aud members to contact A</w:t>
      </w:r>
      <w:r w:rsidR="00E744CC">
        <w:t>c</w:t>
      </w:r>
      <w:r w:rsidR="001D5EE2">
        <w:t>Aud and the Australian Competition and Consumer Commission (ACCC).</w:t>
      </w:r>
    </w:p>
    <w:p w14:paraId="67A8E13C" w14:textId="3050D9F0" w:rsidR="001D5EE2" w:rsidRDefault="001D5EE2" w:rsidP="006904F9">
      <w:pPr>
        <w:pStyle w:val="BodyText"/>
      </w:pPr>
      <w:r>
        <w:t xml:space="preserve">The sectoral </w:t>
      </w:r>
      <w:r w:rsidRPr="004E0CB2">
        <w:rPr>
          <w:i/>
          <w:iCs/>
        </w:rPr>
        <w:t>Code of Conduct</w:t>
      </w:r>
      <w:r>
        <w:t xml:space="preserve"> was also updated, including stating a member responsibility of making recommendations to clients based on clinical assessment and the client’s needs, not on the basis of financial gain on the part of the member (Standard 6.2).</w:t>
      </w:r>
      <w:r>
        <w:rPr>
          <w:rStyle w:val="FootnoteReference"/>
        </w:rPr>
        <w:footnoteReference w:id="181"/>
      </w:r>
      <w:r>
        <w:t xml:space="preserve"> Standard 6.3 (e) states:</w:t>
      </w:r>
    </w:p>
    <w:p w14:paraId="0C5669B7" w14:textId="0A432762" w:rsidR="004B2E35" w:rsidRDefault="00525449" w:rsidP="00BA1573">
      <w:pPr>
        <w:pStyle w:val="BodyText"/>
        <w:ind w:left="720"/>
      </w:pPr>
      <w:r>
        <w:t>‘</w:t>
      </w:r>
      <w:r w:rsidR="001D5EE2" w:rsidRPr="008D2EF7">
        <w:rPr>
          <w:i/>
          <w:iCs/>
        </w:rPr>
        <w:t>Members must disclose any potential financial incentives related to providing a particular service that they are aware of, as these may represent a conflict of interest. This includes disclosure of any direct or indirect financial incentives associated with the purchase and sale of devices or supplies including, without limitation, when devices and supplies are manufactured by a related party (including the member’s employer), exclusive supply arrangements, price discounts (including volume discounts), commissions, gifts or rewards</w:t>
      </w:r>
      <w:r w:rsidR="001D5EE2">
        <w:t>.</w:t>
      </w:r>
      <w:r>
        <w:t>’</w:t>
      </w:r>
      <w:r w:rsidR="001D5EE2">
        <w:rPr>
          <w:rStyle w:val="FootnoteReference"/>
        </w:rPr>
        <w:footnoteReference w:id="182"/>
      </w:r>
    </w:p>
    <w:p w14:paraId="5528319E" w14:textId="6DD543D6" w:rsidR="0027656A" w:rsidRPr="00B83EF5" w:rsidRDefault="0080406D" w:rsidP="00850DD5">
      <w:pPr>
        <w:pStyle w:val="BodyText"/>
      </w:pPr>
      <w:r>
        <w:t xml:space="preserve">As </w:t>
      </w:r>
      <w:r w:rsidR="00293B56">
        <w:t xml:space="preserve">described in Section </w:t>
      </w:r>
      <w:r w:rsidR="00C7379C">
        <w:fldChar w:fldCharType="begin"/>
      </w:r>
      <w:r w:rsidR="00C7379C">
        <w:instrText xml:space="preserve"> REF _Ref191663109 \r \h </w:instrText>
      </w:r>
      <w:r w:rsidR="00C7379C">
        <w:fldChar w:fldCharType="separate"/>
      </w:r>
      <w:r w:rsidR="00F32107">
        <w:t>2.4.1.2</w:t>
      </w:r>
      <w:r w:rsidR="00C7379C">
        <w:fldChar w:fldCharType="end"/>
      </w:r>
      <w:r w:rsidR="00293B56">
        <w:t xml:space="preserve">, updates to the </w:t>
      </w:r>
      <w:r w:rsidR="00293B56" w:rsidRPr="008C7C58">
        <w:rPr>
          <w:i/>
          <w:iCs/>
        </w:rPr>
        <w:t>Code of Conduct</w:t>
      </w:r>
      <w:r w:rsidR="00293B56">
        <w:t xml:space="preserve"> </w:t>
      </w:r>
      <w:r w:rsidR="008C7C58">
        <w:t xml:space="preserve">allow the </w:t>
      </w:r>
      <w:r w:rsidR="00C73902">
        <w:t>HPCCB</w:t>
      </w:r>
      <w:r w:rsidR="008C7C58">
        <w:t xml:space="preserve"> to investigate potential breaches against this </w:t>
      </w:r>
      <w:r w:rsidR="008C7C58" w:rsidRPr="00B968BC">
        <w:rPr>
          <w:i/>
          <w:iCs/>
        </w:rPr>
        <w:t>Code of Conduct</w:t>
      </w:r>
      <w:r w:rsidR="008C7C58">
        <w:t>.</w:t>
      </w:r>
      <w:r w:rsidR="0091507D">
        <w:t xml:space="preserve"> </w:t>
      </w:r>
      <w:r w:rsidR="00AE312D">
        <w:t xml:space="preserve">Hence, this is </w:t>
      </w:r>
      <w:r w:rsidR="000B463C">
        <w:t>an example of self-regulation</w:t>
      </w:r>
      <w:r w:rsidR="000D5635">
        <w:t xml:space="preserve">. However, these actions </w:t>
      </w:r>
      <w:r w:rsidR="00F64F7F">
        <w:t xml:space="preserve">are </w:t>
      </w:r>
      <w:r w:rsidR="000D5635" w:rsidRPr="000D5635">
        <w:t>contrasted with stakeholder views that the current state is not sufficiently producing the intended outcome of protection of the public.</w:t>
      </w:r>
      <w:r w:rsidR="00AD20C7">
        <w:t xml:space="preserve"> </w:t>
      </w:r>
    </w:p>
    <w:p w14:paraId="16CF52A8" w14:textId="013DEE53" w:rsidR="00011CE4" w:rsidRDefault="00DC408B" w:rsidP="00DC408B">
      <w:pPr>
        <w:pStyle w:val="HeadingA"/>
      </w:pPr>
      <w:r>
        <w:t>Published literature</w:t>
      </w:r>
    </w:p>
    <w:p w14:paraId="5427013A" w14:textId="77777777" w:rsidR="00EF09E2" w:rsidRDefault="00EF09E2" w:rsidP="008F40E3">
      <w:pPr>
        <w:pStyle w:val="BodyText"/>
        <w:spacing w:before="0"/>
      </w:pPr>
      <w:r>
        <w:t xml:space="preserve">Published work on this issue includes Simpson </w:t>
      </w:r>
      <w:r w:rsidRPr="00614F26">
        <w:rPr>
          <w:i/>
          <w:iCs/>
        </w:rPr>
        <w:t>et al</w:t>
      </w:r>
      <w:r>
        <w:t>. (2018)</w:t>
      </w:r>
      <w:r>
        <w:rPr>
          <w:rStyle w:val="FootnoteReference"/>
        </w:rPr>
        <w:footnoteReference w:id="183"/>
      </w:r>
      <w:r>
        <w:t xml:space="preserve"> that surveyed 301 audiologists and conducted 8 subsequent interviews in order to assess audiologists’ perceptions of ethics and moral climate in a workplace setting. This sample was drawn from the membership base of Audiology Australia, achieving a response rate of 12%.  The survey found that audiologists working in adult rehabilitation settings had statistically significantly poorer scores compared to respondents working in a diagnostic or paediatric role in relation to perceptions of their ethical environment.</w:t>
      </w:r>
      <w:r>
        <w:rPr>
          <w:rStyle w:val="FootnoteReference"/>
        </w:rPr>
        <w:footnoteReference w:id="184"/>
      </w:r>
      <w:r>
        <w:t xml:space="preserve"> </w:t>
      </w:r>
    </w:p>
    <w:p w14:paraId="0FF564C1" w14:textId="4B020093" w:rsidR="00EF09E2" w:rsidRDefault="00EF09E2" w:rsidP="006904F9">
      <w:pPr>
        <w:pStyle w:val="BodyText"/>
      </w:pPr>
      <w:r>
        <w:t xml:space="preserve">An additional article from Simpson </w:t>
      </w:r>
      <w:r w:rsidRPr="00AE7732">
        <w:rPr>
          <w:i/>
          <w:iCs/>
        </w:rPr>
        <w:t>et al</w:t>
      </w:r>
      <w:r>
        <w:t>. (2023)</w:t>
      </w:r>
      <w:r>
        <w:rPr>
          <w:rStyle w:val="FootnoteReference"/>
        </w:rPr>
        <w:footnoteReference w:id="185"/>
      </w:r>
      <w:r>
        <w:t xml:space="preserve"> sought to investigate if there was a relationship for Australian audiologists and audiometrists between moral distress and financial incentives. The authors’ described the paper’s motivation as understanding whether commission-based incentive schemes were still prevalent following the ACCC report and the impact of this on ethical wellbeing. The sample size for the survey was 65 (n=34 audiologists, n=31 audiometrists) drawn from the membership of Audiology Australia and Australian College of Audiology, who worked in hearing aid rehabilitation. For the 58 respondents that answered the incentives section of the survey, 67% of respondents stated that they had sales targets and 71% of respondents had financial incentives (where financial incentives included a bonus per sales device (29%), a bonus per salary period (21%) and shares in the business (21%)).</w:t>
      </w:r>
      <w:r>
        <w:rPr>
          <w:rStyle w:val="FootnoteReference"/>
        </w:rPr>
        <w:footnoteReference w:id="186"/>
      </w:r>
      <w:r>
        <w:t xml:space="preserve"> While moral distress had a statistically significant association to both sales targets and financial incentives separately, it was noted that the mean moral distress score among the entire survey sample indicated ‘mild’ moral distress, with 52% of participants stating no moral distress. The authors also recognised the limitation of the small sample size of the survey, and the value of future research including larger sample sizes to validate these findings.</w:t>
      </w:r>
    </w:p>
    <w:p w14:paraId="0C81944D" w14:textId="4C35F3D7" w:rsidR="00ED6E95" w:rsidRDefault="00ED6E95" w:rsidP="00ED6E95">
      <w:pPr>
        <w:pStyle w:val="HeadingA"/>
      </w:pPr>
      <w:r>
        <w:t>Existing legislation</w:t>
      </w:r>
      <w:r w:rsidR="003B040F">
        <w:t xml:space="preserve"> and contractual arrangements of the Hearing Services Program</w:t>
      </w:r>
    </w:p>
    <w:p w14:paraId="26391B3C" w14:textId="26C8838E" w:rsidR="001D5EE2" w:rsidRDefault="001D5EE2" w:rsidP="007176F0">
      <w:pPr>
        <w:pStyle w:val="BodyText"/>
        <w:spacing w:before="0" w:after="0"/>
      </w:pPr>
      <w:r>
        <w:t xml:space="preserve">For the Hearing Services Program, consumer information material from </w:t>
      </w:r>
      <w:r w:rsidR="00DC7521">
        <w:t xml:space="preserve">the Department of Health and Aged Care (DoHAC) </w:t>
      </w:r>
      <w:r>
        <w:t xml:space="preserve">outlines that partially subsidised hearing devices have additional technological features </w:t>
      </w:r>
      <w:r w:rsidR="00E03A67">
        <w:t>‘</w:t>
      </w:r>
      <w:r w:rsidRPr="00CB702C">
        <w:rPr>
          <w:i/>
          <w:iCs/>
        </w:rPr>
        <w:t>beyond those generally required to help [the client] manage the effects of [their] hearing loss</w:t>
      </w:r>
      <w:r w:rsidR="00E03A67">
        <w:t>’</w:t>
      </w:r>
      <w:r>
        <w:t>.</w:t>
      </w:r>
      <w:r>
        <w:rPr>
          <w:rStyle w:val="FootnoteReference"/>
        </w:rPr>
        <w:footnoteReference w:id="187"/>
      </w:r>
      <w:r>
        <w:t xml:space="preserve"> </w:t>
      </w:r>
      <w:r w:rsidR="006C6462">
        <w:t>The</w:t>
      </w:r>
      <w:r w:rsidR="00EB09D0">
        <w:t xml:space="preserve"> </w:t>
      </w:r>
      <w:r w:rsidRPr="00D00E4B">
        <w:rPr>
          <w:i/>
          <w:iCs/>
        </w:rPr>
        <w:t>Hearing Services Program (Voucher) Instrument 2019</w:t>
      </w:r>
      <w:r>
        <w:t xml:space="preserve"> </w:t>
      </w:r>
      <w:r w:rsidR="00EB09D0">
        <w:t xml:space="preserve">also </w:t>
      </w:r>
      <w:r w:rsidR="00DD4BA1">
        <w:t>lists</w:t>
      </w:r>
      <w:r w:rsidR="00EB09D0">
        <w:t xml:space="preserve"> specific </w:t>
      </w:r>
      <w:r w:rsidR="00C7765E">
        <w:t xml:space="preserve">requirements for providers to disclose </w:t>
      </w:r>
      <w:r w:rsidR="00BA74A2">
        <w:t xml:space="preserve">device supply arrangements </w:t>
      </w:r>
      <w:r w:rsidR="00DD4BA1">
        <w:t>that may p</w:t>
      </w:r>
      <w:r w:rsidR="00341FDA">
        <w:t>rovide direct or indirect benefits (whether pecuniary or non-pe</w:t>
      </w:r>
      <w:r w:rsidR="00E21449">
        <w:t>c</w:t>
      </w:r>
      <w:r w:rsidR="00341FDA">
        <w:t>uniary)</w:t>
      </w:r>
      <w:r w:rsidR="00A8209E">
        <w:t xml:space="preserve"> to the provider or personnel as stated.</w:t>
      </w:r>
      <w:r>
        <w:rPr>
          <w:rStyle w:val="FootnoteReference"/>
        </w:rPr>
        <w:footnoteReference w:id="188"/>
      </w:r>
    </w:p>
    <w:p w14:paraId="790ACA1E" w14:textId="0C239F02" w:rsidR="008A795A" w:rsidRDefault="008A795A" w:rsidP="00343829">
      <w:pPr>
        <w:pStyle w:val="HeadingA"/>
      </w:pPr>
      <w:r>
        <w:t>Findings from</w:t>
      </w:r>
      <w:r w:rsidR="00661EEC">
        <w:t xml:space="preserve"> Independent Reviews and </w:t>
      </w:r>
      <w:r w:rsidR="00343829">
        <w:t>Parliamentary Reports</w:t>
      </w:r>
    </w:p>
    <w:p w14:paraId="48F60075" w14:textId="3C252BB6" w:rsidR="008A795A" w:rsidRDefault="008A795A" w:rsidP="0068648D">
      <w:pPr>
        <w:pStyle w:val="ListBullet"/>
      </w:pPr>
      <w:r>
        <w:t>The</w:t>
      </w:r>
      <w:r w:rsidRPr="007A0D01">
        <w:t xml:space="preserve"> </w:t>
      </w:r>
      <w:r w:rsidRPr="00852E36">
        <w:rPr>
          <w:i/>
          <w:iCs/>
        </w:rPr>
        <w:t>Report of the Independent Review of the Hearing Services Program</w:t>
      </w:r>
      <w:r>
        <w:rPr>
          <w:i/>
          <w:iCs/>
        </w:rPr>
        <w:t xml:space="preserve"> (2021) </w:t>
      </w:r>
      <w:r>
        <w:rPr>
          <w:rStyle w:val="FootnoteReference"/>
          <w:i/>
          <w:iCs/>
        </w:rPr>
        <w:footnoteReference w:id="189"/>
      </w:r>
      <w:r>
        <w:rPr>
          <w:i/>
          <w:iCs/>
        </w:rPr>
        <w:t xml:space="preserve"> </w:t>
      </w:r>
      <w:r>
        <w:t>found that between FY2015-16 and FY2019-20, approximately one-third of patients were fitted with a partially subsidised hearing device. Based on the information provided, in FY2019-20 this equated to approximately 141,300 partially-subsidised hearing devices sold.</w:t>
      </w:r>
    </w:p>
    <w:p w14:paraId="06756AB4" w14:textId="5ED3DDC3" w:rsidR="00F557D4" w:rsidRDefault="008B2A9A" w:rsidP="008B2A9A">
      <w:pPr>
        <w:pStyle w:val="ListBullet"/>
      </w:pPr>
      <w:r>
        <w:rPr>
          <w:rStyle w:val="ListBulletChar"/>
        </w:rPr>
        <w:t>T</w:t>
      </w:r>
      <w:r w:rsidR="00F557D4" w:rsidRPr="008B2A9A">
        <w:rPr>
          <w:rStyle w:val="ListBulletChar"/>
        </w:rPr>
        <w:t>he</w:t>
      </w:r>
      <w:r w:rsidR="00F557D4">
        <w:t xml:space="preserve"> 2017 </w:t>
      </w:r>
      <w:r w:rsidR="00F557D4" w:rsidRPr="00C13F49">
        <w:rPr>
          <w:i/>
          <w:iCs/>
        </w:rPr>
        <w:t>Still Waiting to be Heard….</w:t>
      </w:r>
      <w:r w:rsidR="00F557D4">
        <w:t xml:space="preserve"> report recommended:</w:t>
      </w:r>
      <w:r w:rsidR="00944499">
        <w:rPr>
          <w:rStyle w:val="FootnoteReference"/>
        </w:rPr>
        <w:footnoteReference w:id="190"/>
      </w:r>
      <w:r w:rsidR="00F557D4">
        <w:t xml:space="preserve"> </w:t>
      </w:r>
    </w:p>
    <w:p w14:paraId="618B22A7" w14:textId="7161EE59" w:rsidR="00F557D4" w:rsidRPr="00944499" w:rsidRDefault="00F557D4" w:rsidP="00944499">
      <w:pPr>
        <w:pStyle w:val="BodyText"/>
        <w:ind w:left="360"/>
        <w:rPr>
          <w:i/>
          <w:iCs/>
        </w:rPr>
      </w:pPr>
      <w:r w:rsidRPr="00944499">
        <w:rPr>
          <w:i/>
          <w:iCs/>
        </w:rPr>
        <w:t>The Australian Government’s Hearing Services Program prohibit the use of commissions or any other similar sales practices likely to undermine the ability of audiologists and audiometrists to provide independent and impartial clinical advice. The Committee also recommends that:</w:t>
      </w:r>
    </w:p>
    <w:p w14:paraId="31BD4167" w14:textId="3FD723B0" w:rsidR="00F557D4" w:rsidRPr="00944499" w:rsidRDefault="00F557D4" w:rsidP="00944499">
      <w:pPr>
        <w:pStyle w:val="ListBullet"/>
        <w:ind w:left="720"/>
        <w:rPr>
          <w:i/>
          <w:iCs/>
        </w:rPr>
      </w:pPr>
      <w:r w:rsidRPr="00944499">
        <w:rPr>
          <w:i/>
          <w:iCs/>
        </w:rPr>
        <w:t>Australian Hearing cease the use of commissions and similar sales practices as soon as is feasible.</w:t>
      </w:r>
    </w:p>
    <w:p w14:paraId="4482D300" w14:textId="5CFAEFF4" w:rsidR="00F557D4" w:rsidRPr="00944499" w:rsidRDefault="00F557D4" w:rsidP="00944499">
      <w:pPr>
        <w:pStyle w:val="ListBullet"/>
        <w:ind w:left="720"/>
        <w:rPr>
          <w:i/>
          <w:iCs/>
        </w:rPr>
      </w:pPr>
      <w:r w:rsidRPr="00944499">
        <w:rPr>
          <w:i/>
          <w:iCs/>
        </w:rPr>
        <w:t>The Department of Health amends contracts with service providers operating under the Hearing Services Program Voucher Scheme to prohibit the use of commissions and similar sales practices as soon as is feasible.</w:t>
      </w:r>
    </w:p>
    <w:p w14:paraId="2A7E9004" w14:textId="77777777" w:rsidR="00523D76" w:rsidRDefault="00F557D4" w:rsidP="00F557D4">
      <w:pPr>
        <w:pStyle w:val="ListBullet"/>
        <w:ind w:left="720"/>
        <w:rPr>
          <w:i/>
          <w:iCs/>
        </w:rPr>
      </w:pPr>
      <w:r w:rsidRPr="00944499">
        <w:rPr>
          <w:i/>
          <w:iCs/>
        </w:rPr>
        <w:t>If necessary, changes be made to the Hearing Services Administrative Act 1997 (Cwlth), and any other relevant legislation or regulation, to enable the prohibition of commissions and similar sales practices as described above.</w:t>
      </w:r>
    </w:p>
    <w:p w14:paraId="1B065B5E" w14:textId="42D96EDB" w:rsidR="00B351B2" w:rsidRPr="00C17D4D" w:rsidRDefault="002305A0" w:rsidP="00F557D4">
      <w:pPr>
        <w:pStyle w:val="ListBullet"/>
        <w:ind w:left="720"/>
        <w:rPr>
          <w:i/>
          <w:iCs/>
        </w:rPr>
      </w:pPr>
      <w:r>
        <w:t>According</w:t>
      </w:r>
      <w:r w:rsidR="00F557D4">
        <w:t xml:space="preserve"> to</w:t>
      </w:r>
      <w:r w:rsidR="00EC2A15">
        <w:t xml:space="preserve"> </w:t>
      </w:r>
      <w:r w:rsidR="00860B4A">
        <w:t xml:space="preserve">the </w:t>
      </w:r>
      <w:r w:rsidR="00860B4A" w:rsidRPr="00523D76">
        <w:rPr>
          <w:i/>
          <w:iCs/>
        </w:rPr>
        <w:t xml:space="preserve">Report of the Independent Review of the Hearing Services Program (2021) </w:t>
      </w:r>
      <w:r w:rsidR="00860B4A">
        <w:rPr>
          <w:rStyle w:val="FootnoteReference"/>
          <w:i/>
          <w:iCs/>
        </w:rPr>
        <w:footnoteReference w:id="191"/>
      </w:r>
      <w:r w:rsidR="00860B4A">
        <w:t xml:space="preserve"> </w:t>
      </w:r>
      <w:r w:rsidR="00185785">
        <w:t xml:space="preserve">the </w:t>
      </w:r>
      <w:r w:rsidR="00A6457C">
        <w:t>recommendation had</w:t>
      </w:r>
      <w:r w:rsidR="008E0263">
        <w:t xml:space="preserve"> not been adop</w:t>
      </w:r>
      <w:r w:rsidR="005340C0">
        <w:t>ted due (in part) to challenges in defining commissions and incentives.</w:t>
      </w:r>
    </w:p>
    <w:p w14:paraId="1449D1F5" w14:textId="7C6E8EAC" w:rsidR="00C17D4D" w:rsidRPr="00673A53" w:rsidRDefault="00462D38" w:rsidP="00232BAF">
      <w:pPr>
        <w:pStyle w:val="BodyText"/>
      </w:pPr>
      <w:r>
        <w:t>Overall</w:t>
      </w:r>
      <w:r w:rsidR="000F53DC">
        <w:t xml:space="preserve">, </w:t>
      </w:r>
      <w:r w:rsidR="00DD2E7F">
        <w:t xml:space="preserve">existing legislation and contractual arrangements </w:t>
      </w:r>
      <w:r w:rsidR="005C6DFA">
        <w:t>in addition to existing self-regulation mecha</w:t>
      </w:r>
      <w:r w:rsidR="00707D1D">
        <w:t>n</w:t>
      </w:r>
      <w:r w:rsidR="005C6DFA">
        <w:t>isms</w:t>
      </w:r>
      <w:r w:rsidR="00707D1D">
        <w:t xml:space="preserve"> (</w:t>
      </w:r>
      <w:r w:rsidR="00707D1D" w:rsidRPr="00707D1D">
        <w:rPr>
          <w:i/>
          <w:iCs/>
        </w:rPr>
        <w:t>Code of Conduct</w:t>
      </w:r>
      <w:r w:rsidR="00707D1D">
        <w:t xml:space="preserve"> principles</w:t>
      </w:r>
      <w:r w:rsidR="00D81FDA">
        <w:t>)</w:t>
      </w:r>
      <w:r w:rsidR="0039127B">
        <w:t xml:space="preserve"> </w:t>
      </w:r>
      <w:r w:rsidR="00D81FDA">
        <w:t>are</w:t>
      </w:r>
      <w:r w:rsidR="00B1382B">
        <w:t xml:space="preserve"> </w:t>
      </w:r>
      <w:r w:rsidR="00DD2E7F">
        <w:t xml:space="preserve">contrasted with </w:t>
      </w:r>
      <w:r w:rsidR="00DD2E7F" w:rsidRPr="0004288F">
        <w:t xml:space="preserve">stakeholder views </w:t>
      </w:r>
      <w:r w:rsidR="00DD2E7F">
        <w:t xml:space="preserve">that the current state is </w:t>
      </w:r>
      <w:r w:rsidR="00DD2E7F" w:rsidRPr="0004288F">
        <w:t xml:space="preserve">not </w:t>
      </w:r>
      <w:r w:rsidR="00DD2E7F">
        <w:t xml:space="preserve">sufficiently </w:t>
      </w:r>
      <w:r w:rsidR="00DD2E7F" w:rsidRPr="0004288F">
        <w:t>producing the intended outcome of protection of the public</w:t>
      </w:r>
      <w:r w:rsidR="00AE60BA">
        <w:t xml:space="preserve">. </w:t>
      </w:r>
      <w:r w:rsidR="007274E0">
        <w:t xml:space="preserve">In the absence of any </w:t>
      </w:r>
      <w:r w:rsidR="001C0656">
        <w:t>intervention,</w:t>
      </w:r>
      <w:r w:rsidR="00BD6985">
        <w:t xml:space="preserve"> instances of substandard care could continue to occur</w:t>
      </w:r>
      <w:r w:rsidR="002367C6">
        <w:t xml:space="preserve"> with </w:t>
      </w:r>
      <w:r w:rsidR="00013BAD">
        <w:t xml:space="preserve">financial and/or clinical harm </w:t>
      </w:r>
      <w:r w:rsidR="00186B8A">
        <w:t>as a result</w:t>
      </w:r>
      <w:r w:rsidR="00E37D86">
        <w:t>.</w:t>
      </w:r>
      <w:r w:rsidR="00C6246B">
        <w:t xml:space="preserve"> As previously stated, these instances of substandard care are also recognised to</w:t>
      </w:r>
      <w:r w:rsidR="00736DAC">
        <w:t xml:space="preserve"> potentially have downstream social and economic co</w:t>
      </w:r>
      <w:r w:rsidR="00690C6F">
        <w:t>sts</w:t>
      </w:r>
      <w:r w:rsidR="001A7F13">
        <w:t xml:space="preserve"> attached.</w:t>
      </w:r>
    </w:p>
    <w:p w14:paraId="4B754CC9" w14:textId="7BC3ACFE" w:rsidR="00F11933" w:rsidRDefault="00F11933" w:rsidP="0007458C">
      <w:pPr>
        <w:pStyle w:val="Heading2"/>
        <w:ind w:left="578" w:hanging="578"/>
      </w:pPr>
      <w:bookmarkStart w:id="110" w:name="_Ref170058163"/>
      <w:bookmarkStart w:id="111" w:name="_Toc171324746"/>
      <w:bookmarkStart w:id="112" w:name="_Toc198138591"/>
      <w:r>
        <w:t xml:space="preserve">Problem 4: For the minority of cases where </w:t>
      </w:r>
      <w:r w:rsidR="00502DB2">
        <w:t>an audiologist practices in an unethical or unsafe manner</w:t>
      </w:r>
      <w:r>
        <w:t xml:space="preserve">, </w:t>
      </w:r>
      <w:r w:rsidR="00F67794">
        <w:t>factors specific to the delivery of audiology services generate</w:t>
      </w:r>
      <w:r>
        <w:t xml:space="preserve"> barriers to enacting professional sanctions that would protect the public from harm.</w:t>
      </w:r>
      <w:bookmarkEnd w:id="110"/>
      <w:bookmarkEnd w:id="111"/>
      <w:bookmarkEnd w:id="112"/>
    </w:p>
    <w:p w14:paraId="5406AC48" w14:textId="77777777" w:rsidR="00912182" w:rsidRDefault="00F11933" w:rsidP="008F675E">
      <w:pPr>
        <w:pStyle w:val="BodyText"/>
      </w:pPr>
      <w:r>
        <w:t>From qualitative observations made in stakeholder interviews and public submissions</w:t>
      </w:r>
      <w:r w:rsidR="009A3539">
        <w:t xml:space="preserve">, </w:t>
      </w:r>
      <w:r>
        <w:t xml:space="preserve">a disconnect emerged in relation to perceived levels of harms </w:t>
      </w:r>
      <w:r w:rsidR="00624B4C">
        <w:t xml:space="preserve">occurring in the current state </w:t>
      </w:r>
      <w:r>
        <w:t xml:space="preserve">compared to </w:t>
      </w:r>
      <w:r w:rsidR="008C4089">
        <w:t xml:space="preserve">quantitative </w:t>
      </w:r>
      <w:r w:rsidR="00B0581F">
        <w:t xml:space="preserve">complaints </w:t>
      </w:r>
      <w:r w:rsidR="008C4089">
        <w:t xml:space="preserve">data </w:t>
      </w:r>
      <w:r w:rsidR="00575603">
        <w:t>able to be obtained</w:t>
      </w:r>
      <w:r>
        <w:t xml:space="preserve">. </w:t>
      </w:r>
      <w:r w:rsidR="008C4089">
        <w:t xml:space="preserve">For stakeholders, </w:t>
      </w:r>
      <w:r w:rsidR="002305A0">
        <w:t>perceived</w:t>
      </w:r>
      <w:r w:rsidR="00A0252B">
        <w:t xml:space="preserve"> harms included both clinical harms (including missed diagnoses and inappropriate </w:t>
      </w:r>
      <w:r w:rsidR="006B0787">
        <w:t>treatment decisions</w:t>
      </w:r>
      <w:r w:rsidR="00A0252B">
        <w:t xml:space="preserve">) as well as financial harms </w:t>
      </w:r>
      <w:r w:rsidR="00556FD4">
        <w:t>to patients</w:t>
      </w:r>
      <w:r w:rsidR="00A0252B">
        <w:t xml:space="preserve">. </w:t>
      </w:r>
      <w:r w:rsidR="00022CDC">
        <w:t>It is explicitly acknowledged that the voluntary completion of a public submission may be driven by the perception of</w:t>
      </w:r>
      <w:r w:rsidR="004C1CB2">
        <w:t xml:space="preserve"> harm occurring</w:t>
      </w:r>
      <w:r w:rsidR="00F03037">
        <w:t>. As</w:t>
      </w:r>
      <w:r w:rsidR="004C1CB2">
        <w:t xml:space="preserve"> a </w:t>
      </w:r>
      <w:r w:rsidR="00656D31">
        <w:t>result</w:t>
      </w:r>
      <w:r w:rsidR="00F03037">
        <w:t>,</w:t>
      </w:r>
      <w:r w:rsidR="00656D31">
        <w:t xml:space="preserve"> </w:t>
      </w:r>
      <w:r w:rsidR="00813200">
        <w:t xml:space="preserve">this sample of stakeholder views may not be representative of the </w:t>
      </w:r>
      <w:r w:rsidR="00414337">
        <w:t xml:space="preserve">views of the </w:t>
      </w:r>
      <w:r w:rsidR="00813200">
        <w:t>profession or the sector more broadl</w:t>
      </w:r>
      <w:r w:rsidR="00414337">
        <w:t>y</w:t>
      </w:r>
      <w:r w:rsidR="00C35EB9">
        <w:t xml:space="preserve">. It may also not be </w:t>
      </w:r>
      <w:r w:rsidR="00837578">
        <w:t>representative</w:t>
      </w:r>
      <w:r w:rsidR="00BF02FB">
        <w:t xml:space="preserve"> </w:t>
      </w:r>
      <w:r w:rsidR="00EE32EE">
        <w:t xml:space="preserve">of the </w:t>
      </w:r>
      <w:r w:rsidR="00AF2BB2">
        <w:t xml:space="preserve">actual underlying </w:t>
      </w:r>
      <w:r w:rsidR="00735006">
        <w:t xml:space="preserve">risk of harm to the public or the level of harm occurring. </w:t>
      </w:r>
      <w:r w:rsidR="004C1CB2">
        <w:t>However,</w:t>
      </w:r>
      <w:r w:rsidR="001C59F5">
        <w:t xml:space="preserve"> </w:t>
      </w:r>
      <w:r w:rsidR="009D4555">
        <w:t>if stakeholder perceptions a</w:t>
      </w:r>
      <w:r w:rsidR="00F05C09">
        <w:t>re valid</w:t>
      </w:r>
      <w:r w:rsidR="00676FC1">
        <w:t>, then</w:t>
      </w:r>
      <w:r w:rsidR="008F675E">
        <w:t xml:space="preserve"> </w:t>
      </w:r>
      <w:r w:rsidR="00847CBE">
        <w:t>under</w:t>
      </w:r>
      <w:r w:rsidR="00EA354A">
        <w:t xml:space="preserve">-reporting of </w:t>
      </w:r>
      <w:r w:rsidR="0059283E">
        <w:t>harm</w:t>
      </w:r>
      <w:r w:rsidR="00A440E6">
        <w:t>s</w:t>
      </w:r>
      <w:r w:rsidR="0059283E">
        <w:t xml:space="preserve"> may be due to </w:t>
      </w:r>
      <w:r w:rsidR="001F2281">
        <w:t>a range of factors which include</w:t>
      </w:r>
      <w:r w:rsidR="00912182">
        <w:t>:</w:t>
      </w:r>
    </w:p>
    <w:p w14:paraId="2DF5E647" w14:textId="4E235356" w:rsidR="00912182" w:rsidRDefault="00060A40" w:rsidP="007A4EF2">
      <w:pPr>
        <w:pStyle w:val="ListBullet"/>
      </w:pPr>
      <w:r>
        <w:t xml:space="preserve">the ability </w:t>
      </w:r>
      <w:r w:rsidR="00487AE6">
        <w:t xml:space="preserve">of patients, families and clinicians </w:t>
      </w:r>
      <w:r>
        <w:t>to recognise</w:t>
      </w:r>
      <w:r w:rsidR="007F2B13">
        <w:t xml:space="preserve"> and act upon harm</w:t>
      </w:r>
    </w:p>
    <w:p w14:paraId="5CB59082" w14:textId="30095350" w:rsidR="00BA63C2" w:rsidRDefault="00912182" w:rsidP="007A4EF2">
      <w:pPr>
        <w:pStyle w:val="ListBullet"/>
      </w:pPr>
      <w:r>
        <w:t>t</w:t>
      </w:r>
      <w:r w:rsidR="007F2B13">
        <w:t xml:space="preserve">he </w:t>
      </w:r>
      <w:r w:rsidR="005F0E7B">
        <w:t xml:space="preserve">ability of </w:t>
      </w:r>
      <w:r w:rsidR="008229AC">
        <w:t>current state</w:t>
      </w:r>
      <w:r w:rsidR="005F0E7B">
        <w:t xml:space="preserve"> </w:t>
      </w:r>
      <w:r w:rsidR="006A6F4D">
        <w:t xml:space="preserve">regulatory </w:t>
      </w:r>
      <w:r w:rsidR="005F0E7B">
        <w:t xml:space="preserve">settings to </w:t>
      </w:r>
      <w:r w:rsidR="00697974">
        <w:t>manage harm</w:t>
      </w:r>
      <w:r w:rsidR="00487AE6">
        <w:t xml:space="preserve"> effectively (including </w:t>
      </w:r>
      <w:r w:rsidR="00E407BB">
        <w:t>audiology as a self-regulated profession)</w:t>
      </w:r>
      <w:r w:rsidR="001F2281">
        <w:t>.</w:t>
      </w:r>
    </w:p>
    <w:p w14:paraId="6E0F9AB3" w14:textId="526452AF" w:rsidR="00F11933" w:rsidRDefault="00C2127B" w:rsidP="0025281C">
      <w:pPr>
        <w:pStyle w:val="BodyText"/>
      </w:pPr>
      <w:r>
        <w:t xml:space="preserve">Section </w:t>
      </w:r>
      <w:r>
        <w:fldChar w:fldCharType="begin"/>
      </w:r>
      <w:r>
        <w:instrText xml:space="preserve"> REF _Ref170058163 \r \h </w:instrText>
      </w:r>
      <w:r>
        <w:fldChar w:fldCharType="separate"/>
      </w:r>
      <w:r w:rsidR="00F32107">
        <w:t>3.4</w:t>
      </w:r>
      <w:r>
        <w:fldChar w:fldCharType="end"/>
      </w:r>
      <w:r w:rsidR="008D0498">
        <w:t xml:space="preserve"> </w:t>
      </w:r>
      <w:r w:rsidR="0025281C">
        <w:t>describes:</w:t>
      </w:r>
    </w:p>
    <w:p w14:paraId="67AEC381" w14:textId="77777777" w:rsidR="00F11933" w:rsidRPr="00640E2E" w:rsidRDefault="00F11933" w:rsidP="00F11933">
      <w:pPr>
        <w:rPr>
          <w:b/>
          <w:bCs/>
        </w:rPr>
      </w:pPr>
      <w:r w:rsidRPr="00640E2E">
        <w:rPr>
          <w:b/>
          <w:bCs/>
        </w:rPr>
        <w:t xml:space="preserve">Are complaints happening when they should be? </w:t>
      </w:r>
    </w:p>
    <w:p w14:paraId="368F1D15" w14:textId="35A84F16" w:rsidR="00F11933" w:rsidRPr="00292C41" w:rsidRDefault="00F11933" w:rsidP="007A4EF2">
      <w:pPr>
        <w:pStyle w:val="ListBullet"/>
        <w:rPr>
          <w:b/>
          <w:bCs/>
        </w:rPr>
      </w:pPr>
      <w:r>
        <w:t xml:space="preserve">Section </w:t>
      </w:r>
      <w:r>
        <w:fldChar w:fldCharType="begin"/>
      </w:r>
      <w:r>
        <w:instrText xml:space="preserve"> REF _Ref170055957 \r \h </w:instrText>
      </w:r>
      <w:r w:rsidR="007A4EF2">
        <w:instrText xml:space="preserve"> \* MERGEFORMAT </w:instrText>
      </w:r>
      <w:r>
        <w:fldChar w:fldCharType="separate"/>
      </w:r>
      <w:r w:rsidR="00F32107">
        <w:t>3.4.1</w:t>
      </w:r>
      <w:r>
        <w:fldChar w:fldCharType="end"/>
      </w:r>
      <w:r>
        <w:t xml:space="preserve"> describes a theory of audiology-related complaints, summarising material from the previous three problems as well as including additional material specific to complaints. </w:t>
      </w:r>
    </w:p>
    <w:p w14:paraId="2B5B73B7" w14:textId="77777777" w:rsidR="00F11933" w:rsidRDefault="00F11933" w:rsidP="00F11933">
      <w:r w:rsidRPr="00640E2E">
        <w:rPr>
          <w:b/>
          <w:bCs/>
        </w:rPr>
        <w:t>How are complaints handled when they do happen?</w:t>
      </w:r>
      <w:r>
        <w:t xml:space="preserve"> </w:t>
      </w:r>
    </w:p>
    <w:p w14:paraId="6E72F916" w14:textId="25DF64A5" w:rsidR="00F11933" w:rsidRDefault="00F11933" w:rsidP="007A4EF2">
      <w:pPr>
        <w:pStyle w:val="ListBullet"/>
      </w:pPr>
      <w:r>
        <w:t xml:space="preserve">Section </w:t>
      </w:r>
      <w:r w:rsidR="00EE0D1C">
        <w:fldChar w:fldCharType="begin"/>
      </w:r>
      <w:r w:rsidR="00EE0D1C">
        <w:instrText xml:space="preserve"> REF _Ref172811397 \r \h </w:instrText>
      </w:r>
      <w:r w:rsidR="007A4EF2">
        <w:instrText xml:space="preserve"> \* MERGEFORMAT </w:instrText>
      </w:r>
      <w:r w:rsidR="00EE0D1C">
        <w:fldChar w:fldCharType="separate"/>
      </w:r>
      <w:r w:rsidR="00F32107">
        <w:t>3.4.2</w:t>
      </w:r>
      <w:r w:rsidR="00EE0D1C">
        <w:fldChar w:fldCharType="end"/>
      </w:r>
      <w:r>
        <w:t xml:space="preserve"> outlines quantitative data provided in relation to complaints.</w:t>
      </w:r>
    </w:p>
    <w:p w14:paraId="4BCAB761" w14:textId="4E199524" w:rsidR="00F11933" w:rsidRPr="00A23D97" w:rsidRDefault="00F11933" w:rsidP="007A4EF2">
      <w:pPr>
        <w:pStyle w:val="ListBullet"/>
      </w:pPr>
      <w:r>
        <w:t xml:space="preserve">Section </w:t>
      </w:r>
      <w:r>
        <w:fldChar w:fldCharType="begin"/>
      </w:r>
      <w:r>
        <w:instrText xml:space="preserve"> REF _Ref170058255 \r \h </w:instrText>
      </w:r>
      <w:r w:rsidR="007A4EF2">
        <w:instrText xml:space="preserve"> \* MERGEFORMAT </w:instrText>
      </w:r>
      <w:r>
        <w:fldChar w:fldCharType="separate"/>
      </w:r>
      <w:r w:rsidR="00F32107">
        <w:t>3.4.3</w:t>
      </w:r>
      <w:r>
        <w:fldChar w:fldCharType="end"/>
      </w:r>
      <w:r>
        <w:t xml:space="preserve"> concludes with observations made in relation to the powers and functions of different complaints entities under the current state.</w:t>
      </w:r>
    </w:p>
    <w:p w14:paraId="3AE9DDC7" w14:textId="77777777" w:rsidR="00F11933" w:rsidRPr="004169E8" w:rsidRDefault="00F11933" w:rsidP="00F11933">
      <w:pPr>
        <w:pStyle w:val="Heading3"/>
        <w:spacing w:before="0" w:after="0" w:line="240" w:lineRule="atLeast"/>
        <w:ind w:left="1021" w:hanging="1021"/>
        <w:textboxTightWrap w:val="none"/>
      </w:pPr>
      <w:bookmarkStart w:id="113" w:name="_Ref169733549"/>
      <w:bookmarkStart w:id="114" w:name="_Ref170055957"/>
      <w:bookmarkStart w:id="115" w:name="_Toc171324747"/>
      <w:bookmarkStart w:id="116" w:name="_Toc198138592"/>
      <w:r>
        <w:t>Theory of complaints in relation to audiology services</w:t>
      </w:r>
      <w:bookmarkEnd w:id="113"/>
      <w:bookmarkEnd w:id="114"/>
      <w:bookmarkEnd w:id="115"/>
      <w:bookmarkEnd w:id="116"/>
    </w:p>
    <w:p w14:paraId="38EDF775" w14:textId="77777777" w:rsidR="00F11933" w:rsidRDefault="00F11933" w:rsidP="00F11933">
      <w:r>
        <w:t>The number of complaints received within a health system may broadly be influenced by the following elements:</w:t>
      </w:r>
    </w:p>
    <w:p w14:paraId="1C3B0704" w14:textId="77777777" w:rsidR="00F11933" w:rsidRDefault="00F11933" w:rsidP="007176F0">
      <w:pPr>
        <w:pStyle w:val="ListBullet"/>
      </w:pPr>
      <w:r>
        <w:t>the underlying level of harm occurring</w:t>
      </w:r>
    </w:p>
    <w:p w14:paraId="1F88F12F" w14:textId="77777777" w:rsidR="00F11933" w:rsidRDefault="00F11933" w:rsidP="007176F0">
      <w:pPr>
        <w:pStyle w:val="ListBullet"/>
      </w:pPr>
      <w:r>
        <w:t xml:space="preserve">the ability for the patient, their family or a clinician to recognise that harm has occurred </w:t>
      </w:r>
    </w:p>
    <w:p w14:paraId="63994B8C" w14:textId="77777777" w:rsidR="00F11933" w:rsidRDefault="00F11933" w:rsidP="007176F0">
      <w:pPr>
        <w:pStyle w:val="ListBullet"/>
      </w:pPr>
      <w:r>
        <w:t>the likelihood of the patient, family or clinician to report a complaint - considering:</w:t>
      </w:r>
    </w:p>
    <w:p w14:paraId="0AF431E6" w14:textId="77777777" w:rsidR="00F11933" w:rsidRDefault="00F11933" w:rsidP="007176F0">
      <w:pPr>
        <w:pStyle w:val="BulletList2Column"/>
      </w:pPr>
      <w:r>
        <w:t>the ability for the complainant to navigate the complaints entity process</w:t>
      </w:r>
    </w:p>
    <w:p w14:paraId="552AF794" w14:textId="77777777" w:rsidR="00F11933" w:rsidRDefault="00F11933" w:rsidP="007176F0">
      <w:pPr>
        <w:pStyle w:val="BulletList2Column"/>
      </w:pPr>
      <w:r>
        <w:t>previous experiences with making complaints or fear of complaints processes</w:t>
      </w:r>
    </w:p>
    <w:p w14:paraId="6C68DD5A" w14:textId="77777777" w:rsidR="00F11933" w:rsidRDefault="00F11933" w:rsidP="007176F0">
      <w:pPr>
        <w:pStyle w:val="BulletList2Column"/>
      </w:pPr>
      <w:r>
        <w:t>what notifier protections are available under the complaints entity</w:t>
      </w:r>
    </w:p>
    <w:p w14:paraId="0E00B7D1" w14:textId="77777777" w:rsidR="00F11933" w:rsidRDefault="00F11933" w:rsidP="007176F0">
      <w:pPr>
        <w:pStyle w:val="BulletList2Column"/>
      </w:pPr>
      <w:r>
        <w:t>any mandatory reporting requirements that may apply to a clinician under different regulatory regimes</w:t>
      </w:r>
      <w:r>
        <w:rPr>
          <w:rStyle w:val="FootnoteReference"/>
        </w:rPr>
        <w:footnoteReference w:id="192"/>
      </w:r>
    </w:p>
    <w:p w14:paraId="4C98729D" w14:textId="77777777" w:rsidR="00F11933" w:rsidRDefault="00F11933" w:rsidP="007176F0">
      <w:pPr>
        <w:pStyle w:val="ListBullet"/>
      </w:pPr>
      <w:r>
        <w:t>the ability for the complaints entity to receive, investigate and/or refer the complaint (dependent on the powers of the entity and any statute of limitations on complaints).</w:t>
      </w:r>
    </w:p>
    <w:p w14:paraId="6E9C32D9" w14:textId="4BDAAEC4" w:rsidR="002723B9" w:rsidRDefault="001E6F4B" w:rsidP="00F11933">
      <w:pPr>
        <w:pStyle w:val="BodyText"/>
      </w:pPr>
      <w:r>
        <w:fldChar w:fldCharType="begin"/>
      </w:r>
      <w:r>
        <w:instrText xml:space="preserve"> REF _Ref172043752 \h </w:instrText>
      </w:r>
      <w:r>
        <w:fldChar w:fldCharType="separate"/>
      </w:r>
      <w:r w:rsidR="00F32107">
        <w:t xml:space="preserve">Table </w:t>
      </w:r>
      <w:r w:rsidR="00F32107">
        <w:rPr>
          <w:noProof/>
        </w:rPr>
        <w:t>3</w:t>
      </w:r>
      <w:r w:rsidR="00F32107">
        <w:t>.</w:t>
      </w:r>
      <w:r w:rsidR="00F32107">
        <w:rPr>
          <w:noProof/>
        </w:rPr>
        <w:t>1</w:t>
      </w:r>
      <w:r>
        <w:fldChar w:fldCharType="end"/>
      </w:r>
      <w:r w:rsidR="00F11933">
        <w:t xml:space="preserve"> notes elements of the </w:t>
      </w:r>
      <w:r w:rsidR="00AA63C4">
        <w:t xml:space="preserve">current state </w:t>
      </w:r>
      <w:r w:rsidR="005877EF">
        <w:t>(including</w:t>
      </w:r>
      <w:r w:rsidR="00AA63C4">
        <w:t xml:space="preserve"> current regulatory settings</w:t>
      </w:r>
      <w:r w:rsidR="005877EF">
        <w:t>)</w:t>
      </w:r>
      <w:r w:rsidR="00AA63C4">
        <w:t xml:space="preserve"> for audiology services</w:t>
      </w:r>
      <w:r w:rsidR="00F11933">
        <w:t xml:space="preserve"> which may influence the number of complaints recorded</w:t>
      </w:r>
      <w:r w:rsidR="004A0680">
        <w:t>.</w:t>
      </w:r>
    </w:p>
    <w:p w14:paraId="716EB05A" w14:textId="096DBDBB" w:rsidR="001E6F4B" w:rsidRDefault="001E6F4B" w:rsidP="001E6F4B">
      <w:pPr>
        <w:pStyle w:val="Caption"/>
        <w:keepNext/>
      </w:pPr>
      <w:bookmarkStart w:id="117" w:name="_Ref172043752"/>
      <w:r>
        <w:t xml:space="preserve">Table </w:t>
      </w:r>
      <w:fldSimple w:instr=" STYLEREF 1 \s ">
        <w:r w:rsidR="00F32107">
          <w:rPr>
            <w:noProof/>
          </w:rPr>
          <w:t>3</w:t>
        </w:r>
      </w:fldSimple>
      <w:r w:rsidR="008944FB">
        <w:t>.</w:t>
      </w:r>
      <w:fldSimple w:instr=" SEQ Table \* ARABIC \s 1 ">
        <w:r w:rsidR="00F32107">
          <w:rPr>
            <w:noProof/>
          </w:rPr>
          <w:t>1</w:t>
        </w:r>
      </w:fldSimple>
      <w:bookmarkEnd w:id="117"/>
      <w:r>
        <w:t xml:space="preserve"> Elements of the </w:t>
      </w:r>
      <w:r w:rsidR="001B7404">
        <w:t xml:space="preserve">current state and current regulatory </w:t>
      </w:r>
      <w:r w:rsidR="00837578">
        <w:t>settings for</w:t>
      </w:r>
      <w:r w:rsidR="001B7404">
        <w:t xml:space="preserve"> audiology services</w:t>
      </w:r>
      <w:r>
        <w:t xml:space="preserve"> which may influence the number of complaints recorded</w:t>
      </w:r>
    </w:p>
    <w:tbl>
      <w:tblPr>
        <w:tblStyle w:val="BodyTable"/>
        <w:tblW w:w="0" w:type="auto"/>
        <w:tblLook w:val="04A0" w:firstRow="1" w:lastRow="0" w:firstColumn="1" w:lastColumn="0" w:noHBand="0" w:noVBand="1"/>
      </w:tblPr>
      <w:tblGrid>
        <w:gridCol w:w="1276"/>
        <w:gridCol w:w="7568"/>
      </w:tblGrid>
      <w:tr w:rsidR="001E6F4B" w14:paraId="004385D1" w14:textId="77777777" w:rsidTr="00C54136">
        <w:trPr>
          <w:cnfStyle w:val="100000000000" w:firstRow="1" w:lastRow="0" w:firstColumn="0" w:lastColumn="0" w:oddVBand="0" w:evenVBand="0" w:oddHBand="0" w:evenHBand="0" w:firstRowFirstColumn="0" w:firstRowLastColumn="0" w:lastRowFirstColumn="0" w:lastRowLastColumn="0"/>
          <w:trHeight w:val="245"/>
        </w:trPr>
        <w:tc>
          <w:tcPr>
            <w:tcW w:w="1276" w:type="dxa"/>
          </w:tcPr>
          <w:p w14:paraId="67EC4A3E" w14:textId="77777777" w:rsidR="001E6F4B" w:rsidRPr="00AD3792" w:rsidRDefault="001E6F4B">
            <w:pPr>
              <w:keepNext/>
              <w:rPr>
                <w:b/>
                <w:bCs/>
              </w:rPr>
            </w:pPr>
            <w:r w:rsidRPr="00AD3792">
              <w:rPr>
                <w:b/>
                <w:bCs/>
              </w:rPr>
              <w:t>Elements</w:t>
            </w:r>
          </w:p>
        </w:tc>
        <w:tc>
          <w:tcPr>
            <w:tcW w:w="7568" w:type="dxa"/>
          </w:tcPr>
          <w:p w14:paraId="6EE91E7D" w14:textId="125D7650" w:rsidR="001E6F4B" w:rsidRPr="00AD3792" w:rsidRDefault="001E6F4B">
            <w:pPr>
              <w:keepNext/>
              <w:rPr>
                <w:b/>
                <w:bCs/>
              </w:rPr>
            </w:pPr>
            <w:r w:rsidRPr="00AD3792">
              <w:rPr>
                <w:b/>
                <w:bCs/>
              </w:rPr>
              <w:t xml:space="preserve">Issues </w:t>
            </w:r>
            <w:r>
              <w:rPr>
                <w:b/>
                <w:bCs/>
              </w:rPr>
              <w:t xml:space="preserve">raised by stakeholders </w:t>
            </w:r>
            <w:r w:rsidRPr="00AD3792">
              <w:rPr>
                <w:b/>
                <w:bCs/>
              </w:rPr>
              <w:t xml:space="preserve">relevant to </w:t>
            </w:r>
            <w:r w:rsidR="008D797B">
              <w:rPr>
                <w:b/>
                <w:bCs/>
              </w:rPr>
              <w:t>the delivery of audiology services</w:t>
            </w:r>
          </w:p>
        </w:tc>
      </w:tr>
      <w:tr w:rsidR="001E6F4B" w14:paraId="62C5CEA9" w14:textId="77777777" w:rsidTr="00C54136">
        <w:tc>
          <w:tcPr>
            <w:tcW w:w="1276" w:type="dxa"/>
          </w:tcPr>
          <w:p w14:paraId="397165B0" w14:textId="77777777" w:rsidR="001E6F4B" w:rsidRDefault="001E6F4B">
            <w:pPr>
              <w:keepNext/>
            </w:pPr>
            <w:r>
              <w:t>Underlying level of harm</w:t>
            </w:r>
          </w:p>
        </w:tc>
        <w:tc>
          <w:tcPr>
            <w:tcW w:w="7568" w:type="dxa"/>
          </w:tcPr>
          <w:p w14:paraId="4E56E4B5" w14:textId="3D98F7A4" w:rsidR="001E6F4B" w:rsidRDefault="001E6F4B" w:rsidP="00F24996">
            <w:pPr>
              <w:pStyle w:val="ListParagraph"/>
              <w:keepNext/>
              <w:numPr>
                <w:ilvl w:val="0"/>
                <w:numId w:val="22"/>
              </w:numPr>
              <w:spacing w:before="0" w:after="170"/>
              <w:textboxTightWrap w:val="none"/>
            </w:pPr>
            <w:r>
              <w:t>Inherent vulnerability of patient cohort (including communication difficulties at the point of care to guide diagnosis and treatment decisions)</w:t>
            </w:r>
          </w:p>
          <w:p w14:paraId="7690DED3" w14:textId="4F7FA156" w:rsidR="001E6F4B" w:rsidRPr="0085163B" w:rsidRDefault="00657D44" w:rsidP="00F24996">
            <w:pPr>
              <w:pStyle w:val="ListParagraph"/>
              <w:keepNext/>
              <w:numPr>
                <w:ilvl w:val="0"/>
                <w:numId w:val="22"/>
              </w:numPr>
              <w:spacing w:before="0" w:after="170"/>
              <w:textboxTightWrap w:val="none"/>
            </w:pPr>
            <w:r>
              <w:t>S</w:t>
            </w:r>
            <w:r w:rsidR="001E6F4B" w:rsidRPr="0085163B">
              <w:t>cope</w:t>
            </w:r>
            <w:r w:rsidR="001E6F4B">
              <w:t xml:space="preserve"> of practice </w:t>
            </w:r>
            <w:r>
              <w:t>issues (</w:t>
            </w:r>
            <w:r w:rsidR="00793F0E">
              <w:t>clarity of scope, organisation pressures to practice beyond scope)</w:t>
            </w:r>
            <w:r w:rsidR="00C75797">
              <w:t xml:space="preserve"> </w:t>
            </w:r>
          </w:p>
          <w:p w14:paraId="2EC13426" w14:textId="594A0E4F" w:rsidR="001E6F4B" w:rsidRPr="0085163B" w:rsidRDefault="001E6F4B" w:rsidP="00F24996">
            <w:pPr>
              <w:pStyle w:val="ListParagraph"/>
              <w:keepNext/>
              <w:numPr>
                <w:ilvl w:val="0"/>
                <w:numId w:val="22"/>
              </w:numPr>
              <w:spacing w:before="0" w:after="170"/>
              <w:textboxTightWrap w:val="none"/>
            </w:pPr>
            <w:r w:rsidRPr="0085163B">
              <w:t xml:space="preserve">Lack of clarity of language used in </w:t>
            </w:r>
            <w:r>
              <w:t>consumer-facing material</w:t>
            </w:r>
            <w:r w:rsidR="00144C2E">
              <w:t xml:space="preserve"> to guide consumer selection of treating healthcare provider</w:t>
            </w:r>
          </w:p>
          <w:p w14:paraId="44FA5412" w14:textId="77777777" w:rsidR="001E6F4B" w:rsidRPr="0085163B" w:rsidRDefault="001E6F4B" w:rsidP="00F24996">
            <w:pPr>
              <w:pStyle w:val="ListParagraph"/>
              <w:keepNext/>
              <w:numPr>
                <w:ilvl w:val="0"/>
                <w:numId w:val="22"/>
              </w:numPr>
              <w:spacing w:before="0" w:after="170"/>
              <w:textboxTightWrap w:val="none"/>
            </w:pPr>
            <w:r w:rsidRPr="0085163B">
              <w:t xml:space="preserve">Insufficient production of profession-level goods and services that promote high-quality care </w:t>
            </w:r>
          </w:p>
          <w:p w14:paraId="52780E34" w14:textId="77777777" w:rsidR="001E6F4B" w:rsidRPr="0085163B" w:rsidRDefault="001E6F4B" w:rsidP="00F24996">
            <w:pPr>
              <w:pStyle w:val="ListParagraph"/>
              <w:keepNext/>
              <w:numPr>
                <w:ilvl w:val="0"/>
                <w:numId w:val="22"/>
              </w:numPr>
              <w:spacing w:before="0" w:after="170"/>
              <w:textboxTightWrap w:val="none"/>
            </w:pPr>
            <w:r>
              <w:t>Financial conflicts of interest (particularly in relation to the sale of hearing aids)</w:t>
            </w:r>
          </w:p>
        </w:tc>
      </w:tr>
      <w:tr w:rsidR="001E6F4B" w14:paraId="401DB186" w14:textId="77777777" w:rsidTr="00C54136">
        <w:tc>
          <w:tcPr>
            <w:tcW w:w="1276" w:type="dxa"/>
          </w:tcPr>
          <w:p w14:paraId="59960734" w14:textId="77777777" w:rsidR="001E6F4B" w:rsidRDefault="001E6F4B">
            <w:pPr>
              <w:keepNext/>
            </w:pPr>
            <w:r>
              <w:t>Ability for the patient, their family or a clinician to recognise that harm has occurred</w:t>
            </w:r>
          </w:p>
        </w:tc>
        <w:tc>
          <w:tcPr>
            <w:tcW w:w="7568" w:type="dxa"/>
          </w:tcPr>
          <w:p w14:paraId="6B9F3F9D" w14:textId="77777777" w:rsidR="001E6F4B" w:rsidRDefault="001E6F4B" w:rsidP="00F24996">
            <w:pPr>
              <w:pStyle w:val="ListParagraph"/>
              <w:keepNext/>
              <w:numPr>
                <w:ilvl w:val="0"/>
                <w:numId w:val="23"/>
              </w:numPr>
              <w:spacing w:before="0" w:after="170"/>
              <w:textboxTightWrap w:val="none"/>
            </w:pPr>
            <w:r>
              <w:t>Inherent vulnerability of patient cohort</w:t>
            </w:r>
          </w:p>
          <w:p w14:paraId="57584F30" w14:textId="036C36EB" w:rsidR="001E6F4B" w:rsidRPr="00D51965" w:rsidRDefault="001E6F4B" w:rsidP="00F24996">
            <w:pPr>
              <w:pStyle w:val="ListParagraph"/>
              <w:keepNext/>
              <w:numPr>
                <w:ilvl w:val="0"/>
                <w:numId w:val="23"/>
              </w:numPr>
              <w:spacing w:before="0" w:after="170"/>
              <w:textboxTightWrap w:val="none"/>
            </w:pPr>
            <w:r w:rsidRPr="00D51965">
              <w:t xml:space="preserve">Ability for the patient to communicate </w:t>
            </w:r>
            <w:r>
              <w:t>the</w:t>
            </w:r>
            <w:r w:rsidR="004F3F2F">
              <w:t xml:space="preserve">ir experience of </w:t>
            </w:r>
            <w:r w:rsidRPr="00D51965">
              <w:t>substandard care, and for this to be understood by their family or a clinician</w:t>
            </w:r>
          </w:p>
          <w:p w14:paraId="71E2C6AA" w14:textId="4B1F2B9A" w:rsidR="001E6F4B" w:rsidRPr="00D51965" w:rsidRDefault="001E6F4B" w:rsidP="00F24996">
            <w:pPr>
              <w:pStyle w:val="ListParagraph"/>
              <w:keepNext/>
              <w:numPr>
                <w:ilvl w:val="0"/>
                <w:numId w:val="23"/>
              </w:numPr>
              <w:spacing w:before="0" w:after="170"/>
              <w:textboxTightWrap w:val="none"/>
            </w:pPr>
            <w:r w:rsidRPr="00D51965">
              <w:t>Barriers to patients or families seeking a second opinion when there is a suspicion that substandard care has occurred – includ</w:t>
            </w:r>
            <w:r>
              <w:t>ing</w:t>
            </w:r>
            <w:r w:rsidRPr="00D51965">
              <w:t xml:space="preserve"> model of care silos (particularly between public sector and private sector </w:t>
            </w:r>
            <w:r>
              <w:t>services</w:t>
            </w:r>
            <w:r w:rsidR="00CD2850" w:rsidRPr="00CD2850">
              <w:rPr>
                <w:color w:val="000000" w:themeColor="text1"/>
              </w:rPr>
              <w:t>)</w:t>
            </w:r>
          </w:p>
          <w:p w14:paraId="23EC6CFB" w14:textId="77777777" w:rsidR="001E6F4B" w:rsidRPr="00D51965" w:rsidRDefault="001E6F4B" w:rsidP="00F24996">
            <w:pPr>
              <w:pStyle w:val="ListParagraph"/>
              <w:keepNext/>
              <w:numPr>
                <w:ilvl w:val="0"/>
                <w:numId w:val="23"/>
              </w:numPr>
              <w:spacing w:before="0" w:after="170"/>
              <w:textboxTightWrap w:val="none"/>
            </w:pPr>
            <w:r w:rsidRPr="00D51965">
              <w:t xml:space="preserve">Insufficient production of profession-level goods </w:t>
            </w:r>
            <w:r>
              <w:t xml:space="preserve">and services </w:t>
            </w:r>
            <w:r w:rsidRPr="00D51965">
              <w:t>for a patient</w:t>
            </w:r>
            <w:r>
              <w:t xml:space="preserve"> or</w:t>
            </w:r>
            <w:r w:rsidRPr="00D51965">
              <w:t xml:space="preserve"> clinician to compare treatment received against</w:t>
            </w:r>
          </w:p>
        </w:tc>
      </w:tr>
      <w:tr w:rsidR="001E6F4B" w14:paraId="5E9A26A9" w14:textId="77777777" w:rsidTr="00C54136">
        <w:tc>
          <w:tcPr>
            <w:tcW w:w="1276" w:type="dxa"/>
          </w:tcPr>
          <w:p w14:paraId="4E304170" w14:textId="77777777" w:rsidR="001E6F4B" w:rsidRDefault="001E6F4B">
            <w:pPr>
              <w:keepNext/>
            </w:pPr>
            <w:r>
              <w:t>Likelihood of the patient reporting the complaint</w:t>
            </w:r>
          </w:p>
        </w:tc>
        <w:tc>
          <w:tcPr>
            <w:tcW w:w="7568" w:type="dxa"/>
          </w:tcPr>
          <w:p w14:paraId="2C4B44C6" w14:textId="77777777" w:rsidR="001E6F4B" w:rsidRPr="00D84A9D" w:rsidRDefault="001E6F4B" w:rsidP="00F24996">
            <w:pPr>
              <w:pStyle w:val="ListParagraph"/>
              <w:keepNext/>
              <w:numPr>
                <w:ilvl w:val="0"/>
                <w:numId w:val="24"/>
              </w:numPr>
              <w:spacing w:before="0" w:after="170"/>
              <w:textboxTightWrap w:val="none"/>
            </w:pPr>
            <w:r>
              <w:t>Inherent vulnerability of the patient cohort in relation to factors that may affect health literacy e.g., ability for older persons to access online information</w:t>
            </w:r>
          </w:p>
        </w:tc>
      </w:tr>
      <w:tr w:rsidR="001E6F4B" w14:paraId="5F4D762C" w14:textId="77777777" w:rsidTr="00C54136">
        <w:tc>
          <w:tcPr>
            <w:tcW w:w="1276" w:type="dxa"/>
          </w:tcPr>
          <w:p w14:paraId="5ACA0D37" w14:textId="77777777" w:rsidR="001E6F4B" w:rsidRDefault="001E6F4B">
            <w:pPr>
              <w:keepNext/>
            </w:pPr>
            <w:r>
              <w:t>Likelihood of a clinician reporting the complaint</w:t>
            </w:r>
          </w:p>
        </w:tc>
        <w:tc>
          <w:tcPr>
            <w:tcW w:w="7568" w:type="dxa"/>
          </w:tcPr>
          <w:p w14:paraId="1469DF6F" w14:textId="77777777" w:rsidR="001E6F4B" w:rsidRDefault="001E6F4B" w:rsidP="00F24996">
            <w:pPr>
              <w:pStyle w:val="ListParagraph"/>
              <w:keepNext/>
              <w:numPr>
                <w:ilvl w:val="0"/>
                <w:numId w:val="25"/>
              </w:numPr>
              <w:spacing w:before="0" w:after="170"/>
              <w:textboxTightWrap w:val="none"/>
            </w:pPr>
            <w:r>
              <w:t xml:space="preserve">Awareness of applicable reporting requirements under the National Code of Conduct (wording varies slightly by jurisdiction) as it refers to notifying the jurisdictional HCE in instances where clients have been placed, or are being placed, at risk of serious harm    </w:t>
            </w:r>
          </w:p>
          <w:p w14:paraId="3CAD60BE" w14:textId="77777777" w:rsidR="001E6F4B" w:rsidRDefault="001E6F4B" w:rsidP="00F24996">
            <w:pPr>
              <w:pStyle w:val="ListParagraph"/>
              <w:keepNext/>
              <w:numPr>
                <w:ilvl w:val="0"/>
                <w:numId w:val="25"/>
              </w:numPr>
              <w:spacing w:before="0" w:after="170"/>
              <w:textboxTightWrap w:val="none"/>
            </w:pPr>
            <w:r>
              <w:t>Stakeholder observations in relation to:</w:t>
            </w:r>
          </w:p>
          <w:p w14:paraId="6265346F" w14:textId="77777777" w:rsidR="001E6F4B" w:rsidRDefault="001E6F4B" w:rsidP="00F24996">
            <w:pPr>
              <w:pStyle w:val="ListParagraph"/>
              <w:keepNext/>
              <w:numPr>
                <w:ilvl w:val="1"/>
                <w:numId w:val="25"/>
              </w:numPr>
              <w:spacing w:before="0" w:after="170"/>
              <w:textboxTightWrap w:val="none"/>
            </w:pPr>
            <w:r>
              <w:t>Fear of identity being revealed</w:t>
            </w:r>
          </w:p>
          <w:p w14:paraId="5F99773D" w14:textId="77777777" w:rsidR="001E6F4B" w:rsidRDefault="001E6F4B" w:rsidP="00F24996">
            <w:pPr>
              <w:pStyle w:val="ListParagraph"/>
              <w:keepNext/>
              <w:numPr>
                <w:ilvl w:val="1"/>
                <w:numId w:val="25"/>
              </w:numPr>
              <w:spacing w:before="0" w:after="170"/>
              <w:textboxTightWrap w:val="none"/>
            </w:pPr>
            <w:r>
              <w:t xml:space="preserve">Fear of subsequent psychological harm (bullying) </w:t>
            </w:r>
          </w:p>
          <w:p w14:paraId="1D80551A" w14:textId="77777777" w:rsidR="001E6F4B" w:rsidRPr="00A22E44" w:rsidRDefault="001E6F4B" w:rsidP="00F24996">
            <w:pPr>
              <w:pStyle w:val="ListParagraph"/>
              <w:keepNext/>
              <w:numPr>
                <w:ilvl w:val="1"/>
                <w:numId w:val="25"/>
              </w:numPr>
              <w:spacing w:before="0" w:after="170"/>
              <w:textboxTightWrap w:val="none"/>
            </w:pPr>
            <w:r>
              <w:t>Fear of subsequent financial harm due to loss of income associated with reduction in incoming referrals</w:t>
            </w:r>
          </w:p>
        </w:tc>
      </w:tr>
      <w:tr w:rsidR="001E6F4B" w14:paraId="228D5313" w14:textId="77777777" w:rsidTr="00C54136">
        <w:tc>
          <w:tcPr>
            <w:tcW w:w="1276" w:type="dxa"/>
          </w:tcPr>
          <w:p w14:paraId="39BB6AE0" w14:textId="77777777" w:rsidR="001E6F4B" w:rsidRDefault="001E6F4B">
            <w:pPr>
              <w:keepNext/>
            </w:pPr>
            <w:r>
              <w:t>Ability for the complaints entity to receive, investigate and/or refer the complaint</w:t>
            </w:r>
          </w:p>
        </w:tc>
        <w:tc>
          <w:tcPr>
            <w:tcW w:w="7568" w:type="dxa"/>
          </w:tcPr>
          <w:p w14:paraId="65FFD4A3" w14:textId="20C63907" w:rsidR="001E6F4B" w:rsidRPr="00971B10" w:rsidRDefault="001E6F4B" w:rsidP="00F24996">
            <w:pPr>
              <w:pStyle w:val="ListParagraph"/>
              <w:keepNext/>
              <w:numPr>
                <w:ilvl w:val="0"/>
                <w:numId w:val="26"/>
              </w:numPr>
              <w:spacing w:before="0" w:after="170"/>
              <w:textboxTightWrap w:val="none"/>
            </w:pPr>
            <w:r w:rsidRPr="00971B10">
              <w:t xml:space="preserve">See Section </w:t>
            </w:r>
            <w:r>
              <w:fldChar w:fldCharType="begin"/>
            </w:r>
            <w:r>
              <w:instrText xml:space="preserve"> REF _Ref170058255 \r \h  \* MERGEFORMAT </w:instrText>
            </w:r>
            <w:r>
              <w:fldChar w:fldCharType="separate"/>
            </w:r>
            <w:r w:rsidR="00F32107">
              <w:t>3.4.3</w:t>
            </w:r>
            <w:r>
              <w:fldChar w:fldCharType="end"/>
            </w:r>
            <w:r w:rsidRPr="00971B10">
              <w:t>.</w:t>
            </w:r>
          </w:p>
        </w:tc>
      </w:tr>
    </w:tbl>
    <w:p w14:paraId="2E56DD25" w14:textId="39AA9E3D" w:rsidR="004346A1" w:rsidRDefault="004346A1" w:rsidP="004346A1">
      <w:pPr>
        <w:pStyle w:val="Heading3"/>
      </w:pPr>
      <w:bookmarkStart w:id="118" w:name="_Ref170732527"/>
      <w:bookmarkStart w:id="119" w:name="_Toc171324748"/>
      <w:bookmarkStart w:id="120" w:name="_Ref172811397"/>
      <w:bookmarkStart w:id="121" w:name="_Toc198138593"/>
      <w:r>
        <w:t>Numbers of complaints</w:t>
      </w:r>
      <w:bookmarkEnd w:id="118"/>
      <w:bookmarkEnd w:id="119"/>
      <w:bookmarkEnd w:id="120"/>
      <w:bookmarkEnd w:id="121"/>
    </w:p>
    <w:p w14:paraId="556EA391" w14:textId="77777777" w:rsidR="004346A1" w:rsidRDefault="004346A1" w:rsidP="004346A1">
      <w:pPr>
        <w:pStyle w:val="BodyText"/>
      </w:pPr>
      <w:r>
        <w:t>Complaints against audiologists may be reported to:</w:t>
      </w:r>
    </w:p>
    <w:p w14:paraId="1085C453" w14:textId="77777777" w:rsidR="004346A1" w:rsidRDefault="004346A1" w:rsidP="004346A1">
      <w:pPr>
        <w:pStyle w:val="ListBullet"/>
      </w:pPr>
      <w:r w:rsidRPr="005D3CCA">
        <w:t>Provider</w:t>
      </w:r>
      <w:r>
        <w:t xml:space="preserve">s: </w:t>
      </w:r>
    </w:p>
    <w:p w14:paraId="76C9650A" w14:textId="77777777" w:rsidR="004346A1" w:rsidRDefault="004346A1" w:rsidP="004346A1">
      <w:pPr>
        <w:pStyle w:val="BulletList2Column"/>
      </w:pPr>
      <w:r>
        <w:t>the private sector provider (particularly large corporate entities that may have internal complaints mechanisms)</w:t>
      </w:r>
    </w:p>
    <w:p w14:paraId="27361603" w14:textId="77777777" w:rsidR="004346A1" w:rsidRDefault="004346A1" w:rsidP="004346A1">
      <w:pPr>
        <w:pStyle w:val="BulletList2Column"/>
      </w:pPr>
      <w:r>
        <w:t xml:space="preserve">the public sector provider </w:t>
      </w:r>
    </w:p>
    <w:p w14:paraId="60F741C9" w14:textId="77777777" w:rsidR="004346A1" w:rsidRDefault="004346A1" w:rsidP="004346A1">
      <w:pPr>
        <w:pStyle w:val="ListBullet"/>
      </w:pPr>
      <w:r>
        <w:t xml:space="preserve">PPBs: </w:t>
      </w:r>
    </w:p>
    <w:p w14:paraId="08A3ADEA" w14:textId="3AA97E0B" w:rsidR="004346A1" w:rsidRDefault="004346A1" w:rsidP="004346A1">
      <w:pPr>
        <w:pStyle w:val="BulletList2Column"/>
      </w:pPr>
      <w:r>
        <w:t xml:space="preserve">the </w:t>
      </w:r>
      <w:r w:rsidR="00DF58DF">
        <w:t>HPCCB</w:t>
      </w:r>
      <w:r>
        <w:t xml:space="preserve"> directly</w:t>
      </w:r>
    </w:p>
    <w:p w14:paraId="0A53A115" w14:textId="135531E8" w:rsidR="004346A1" w:rsidRDefault="004346A1" w:rsidP="004346A1">
      <w:pPr>
        <w:pStyle w:val="BulletList2Column"/>
      </w:pPr>
      <w:r>
        <w:t xml:space="preserve">the PPBs (which refer to the </w:t>
      </w:r>
      <w:r w:rsidR="00DF58DF">
        <w:t>HPCCB</w:t>
      </w:r>
      <w:r>
        <w:t>)</w:t>
      </w:r>
    </w:p>
    <w:p w14:paraId="45576983" w14:textId="77777777" w:rsidR="004346A1" w:rsidRDefault="004346A1" w:rsidP="004346A1">
      <w:pPr>
        <w:pStyle w:val="ListBullet"/>
      </w:pPr>
      <w:r w:rsidRPr="007D7C33">
        <w:t xml:space="preserve">Jurisdictional </w:t>
      </w:r>
      <w:r>
        <w:t>E</w:t>
      </w:r>
      <w:r w:rsidRPr="007D7C33">
        <w:t>ntity</w:t>
      </w:r>
      <w:r>
        <w:t>:</w:t>
      </w:r>
    </w:p>
    <w:p w14:paraId="457799FC" w14:textId="77777777" w:rsidR="004346A1" w:rsidRDefault="004346A1" w:rsidP="004346A1">
      <w:pPr>
        <w:pStyle w:val="BulletList2Column"/>
      </w:pPr>
      <w:r>
        <w:t xml:space="preserve"> HCEs</w:t>
      </w:r>
    </w:p>
    <w:p w14:paraId="185B38C2" w14:textId="77777777" w:rsidR="004346A1" w:rsidRDefault="004346A1" w:rsidP="004346A1">
      <w:pPr>
        <w:pStyle w:val="ListBullet"/>
      </w:pPr>
      <w:r w:rsidRPr="006B7145">
        <w:t>National Entit</w:t>
      </w:r>
      <w:r>
        <w:t>ies:</w:t>
      </w:r>
    </w:p>
    <w:p w14:paraId="7E9D26A4" w14:textId="77777777" w:rsidR="004346A1" w:rsidRDefault="004346A1" w:rsidP="004346A1">
      <w:pPr>
        <w:pStyle w:val="BulletList2Column"/>
      </w:pPr>
      <w:r>
        <w:t>the Hearing Services Program</w:t>
      </w:r>
    </w:p>
    <w:p w14:paraId="6DE05C4F" w14:textId="466856D1" w:rsidR="004346A1" w:rsidRDefault="00EA563D" w:rsidP="004346A1">
      <w:pPr>
        <w:pStyle w:val="BulletList2Column"/>
      </w:pPr>
      <w:r>
        <w:t>ACCC</w:t>
      </w:r>
      <w:r w:rsidR="004346A1">
        <w:t>.</w:t>
      </w:r>
    </w:p>
    <w:p w14:paraId="17B70278" w14:textId="6E5EE09A" w:rsidR="00DC6739" w:rsidRDefault="004346A1" w:rsidP="00151284">
      <w:pPr>
        <w:pStyle w:val="BodyText"/>
      </w:pPr>
      <w:r>
        <w:t>Complaints data has been sourced for several of these entities. It is acknowledged that due to the de-identified nature of the data received, there is a small likelihood of single cases being double counted</w:t>
      </w:r>
      <w:r w:rsidR="000D3809">
        <w:t xml:space="preserve"> across entities</w:t>
      </w:r>
      <w:r>
        <w:t xml:space="preserve">. This issue would impact the number of instances of harm, however the system-level costs across multiple entities for investigation, referral or resolution remain. </w:t>
      </w:r>
      <w:bookmarkStart w:id="122" w:name="_Hlk191986040"/>
      <w:r>
        <w:t xml:space="preserve">Overall, </w:t>
      </w:r>
      <w:r w:rsidR="000C0FD8">
        <w:t xml:space="preserve">the number of complaints </w:t>
      </w:r>
      <w:r w:rsidR="00DD470D">
        <w:t>received between</w:t>
      </w:r>
      <w:r w:rsidR="00EE40B2">
        <w:t xml:space="preserve"> FY2018-19 </w:t>
      </w:r>
      <w:r w:rsidR="00DD470D">
        <w:t>and</w:t>
      </w:r>
      <w:r w:rsidR="00EE40B2">
        <w:t xml:space="preserve"> FY2022-23 </w:t>
      </w:r>
      <w:r w:rsidR="009510F9">
        <w:t>is low</w:t>
      </w:r>
      <w:r w:rsidR="00691AFE">
        <w:t xml:space="preserve">, with </w:t>
      </w:r>
      <w:r w:rsidR="00151284">
        <w:t>a limited number of sanctions noted overall.</w:t>
      </w:r>
      <w:r w:rsidR="00883978">
        <w:t xml:space="preserve"> </w:t>
      </w:r>
      <w:bookmarkEnd w:id="122"/>
      <w:r w:rsidR="00E2796B">
        <w:t>Due to the l</w:t>
      </w:r>
      <w:r w:rsidR="00D61EDC">
        <w:t>ow numbers of complaints, t</w:t>
      </w:r>
      <w:r w:rsidR="00E23B5F">
        <w:t xml:space="preserve">rends are not able to be observed. </w:t>
      </w:r>
      <w:r w:rsidR="00497620">
        <w:t xml:space="preserve"> </w:t>
      </w:r>
    </w:p>
    <w:p w14:paraId="6D24D424" w14:textId="42C4C4AF" w:rsidR="00DC6739" w:rsidRDefault="00DC6739" w:rsidP="00DC6739">
      <w:pPr>
        <w:pStyle w:val="Caption"/>
        <w:keepNext/>
      </w:pPr>
      <w:r>
        <w:t xml:space="preserve">Table </w:t>
      </w:r>
      <w:fldSimple w:instr=" STYLEREF 1 \s ">
        <w:r w:rsidR="00F32107">
          <w:rPr>
            <w:noProof/>
          </w:rPr>
          <w:t>3</w:t>
        </w:r>
      </w:fldSimple>
      <w:r w:rsidR="008944FB">
        <w:t>.</w:t>
      </w:r>
      <w:fldSimple w:instr=" SEQ Table \* ARABIC \s 1 ">
        <w:r w:rsidR="00F32107">
          <w:rPr>
            <w:noProof/>
          </w:rPr>
          <w:t>2</w:t>
        </w:r>
      </w:fldSimple>
      <w:r>
        <w:t xml:space="preserve"> </w:t>
      </w:r>
      <w:r w:rsidR="00B6546E" w:rsidRPr="00B6546E">
        <w:rPr>
          <w:b/>
          <w:bCs/>
        </w:rPr>
        <w:t>REDACTED</w:t>
      </w:r>
      <w:r w:rsidR="00B6546E">
        <w:t xml:space="preserve"> - </w:t>
      </w:r>
      <w:r>
        <w:t>Number of complaints</w:t>
      </w:r>
      <w:r w:rsidR="00284DC0">
        <w:t xml:space="preserve"> received for audiology services</w:t>
      </w:r>
    </w:p>
    <w:tbl>
      <w:tblPr>
        <w:tblStyle w:val="BodyTable"/>
        <w:tblW w:w="0" w:type="auto"/>
        <w:tblLook w:val="04A0" w:firstRow="1" w:lastRow="0" w:firstColumn="1" w:lastColumn="0" w:noHBand="0" w:noVBand="1"/>
      </w:tblPr>
      <w:tblGrid>
        <w:gridCol w:w="1087"/>
        <w:gridCol w:w="2435"/>
        <w:gridCol w:w="1767"/>
        <w:gridCol w:w="1442"/>
        <w:gridCol w:w="1212"/>
      </w:tblGrid>
      <w:tr w:rsidR="00A551CA" w14:paraId="7B6B9F16" w14:textId="7D148A4D" w:rsidTr="007176F0">
        <w:trPr>
          <w:cnfStyle w:val="100000000000" w:firstRow="1" w:lastRow="0" w:firstColumn="0" w:lastColumn="0" w:oddVBand="0" w:evenVBand="0" w:oddHBand="0" w:evenHBand="0" w:firstRowFirstColumn="0" w:firstRowLastColumn="0" w:lastRowFirstColumn="0" w:lastRowLastColumn="0"/>
        </w:trPr>
        <w:tc>
          <w:tcPr>
            <w:tcW w:w="1087" w:type="dxa"/>
          </w:tcPr>
          <w:p w14:paraId="594E6404" w14:textId="3BFA1C25" w:rsidR="00A551CA" w:rsidRPr="008F40E3" w:rsidRDefault="00A551CA" w:rsidP="00C5260F">
            <w:pPr>
              <w:pStyle w:val="ListBullet"/>
              <w:numPr>
                <w:ilvl w:val="0"/>
                <w:numId w:val="0"/>
              </w:numPr>
              <w:spacing w:after="0"/>
              <w:rPr>
                <w:b/>
              </w:rPr>
            </w:pPr>
          </w:p>
        </w:tc>
        <w:tc>
          <w:tcPr>
            <w:tcW w:w="2435" w:type="dxa"/>
          </w:tcPr>
          <w:p w14:paraId="2F5FE2F1" w14:textId="6CE8D9D8" w:rsidR="00A551CA" w:rsidRPr="008F40E3" w:rsidRDefault="00A551CA" w:rsidP="00C5260F">
            <w:pPr>
              <w:pStyle w:val="ListBullet"/>
              <w:numPr>
                <w:ilvl w:val="0"/>
                <w:numId w:val="0"/>
              </w:numPr>
              <w:spacing w:after="0"/>
              <w:rPr>
                <w:b/>
              </w:rPr>
            </w:pPr>
          </w:p>
        </w:tc>
        <w:tc>
          <w:tcPr>
            <w:tcW w:w="1767" w:type="dxa"/>
          </w:tcPr>
          <w:p w14:paraId="0C920A33" w14:textId="42B9CC8B" w:rsidR="00A551CA" w:rsidRPr="008F40E3" w:rsidRDefault="00A551CA" w:rsidP="00C5260F">
            <w:pPr>
              <w:pStyle w:val="ListBullet"/>
              <w:numPr>
                <w:ilvl w:val="0"/>
                <w:numId w:val="0"/>
              </w:numPr>
              <w:spacing w:after="0"/>
              <w:rPr>
                <w:b/>
              </w:rPr>
            </w:pPr>
          </w:p>
        </w:tc>
        <w:tc>
          <w:tcPr>
            <w:tcW w:w="1442" w:type="dxa"/>
          </w:tcPr>
          <w:p w14:paraId="599E076A" w14:textId="5A031141" w:rsidR="00A551CA" w:rsidRPr="008F40E3" w:rsidRDefault="00A551CA" w:rsidP="00C5260F">
            <w:pPr>
              <w:pStyle w:val="ListBullet"/>
              <w:numPr>
                <w:ilvl w:val="0"/>
                <w:numId w:val="0"/>
              </w:numPr>
              <w:spacing w:after="0"/>
              <w:rPr>
                <w:b/>
              </w:rPr>
            </w:pPr>
          </w:p>
        </w:tc>
        <w:tc>
          <w:tcPr>
            <w:tcW w:w="1212" w:type="dxa"/>
          </w:tcPr>
          <w:p w14:paraId="1E8F52E3" w14:textId="3030C505" w:rsidR="00A551CA" w:rsidRPr="008F40E3" w:rsidRDefault="00A551CA" w:rsidP="00C5260F">
            <w:pPr>
              <w:pStyle w:val="ListBullet"/>
              <w:numPr>
                <w:ilvl w:val="0"/>
                <w:numId w:val="0"/>
              </w:numPr>
              <w:spacing w:after="0"/>
              <w:rPr>
                <w:b/>
              </w:rPr>
            </w:pPr>
          </w:p>
        </w:tc>
      </w:tr>
    </w:tbl>
    <w:p w14:paraId="6199A6AE" w14:textId="77777777" w:rsidR="004346A1" w:rsidRDefault="004346A1" w:rsidP="00C65A7E">
      <w:pPr>
        <w:pStyle w:val="Heading3"/>
      </w:pPr>
      <w:bookmarkStart w:id="123" w:name="_Ref170058255"/>
      <w:bookmarkStart w:id="124" w:name="_Toc171324749"/>
      <w:bookmarkStart w:id="125" w:name="_Toc198138594"/>
      <w:r>
        <w:t xml:space="preserve">Issues with powers and </w:t>
      </w:r>
      <w:r w:rsidRPr="004346A1">
        <w:t>functions</w:t>
      </w:r>
      <w:r>
        <w:t xml:space="preserve"> of complaints mechanisms</w:t>
      </w:r>
      <w:bookmarkEnd w:id="123"/>
      <w:bookmarkEnd w:id="124"/>
      <w:bookmarkEnd w:id="125"/>
    </w:p>
    <w:p w14:paraId="5E9C5EA4" w14:textId="13E0AF30" w:rsidR="004346A1" w:rsidRDefault="004346A1" w:rsidP="00157C10">
      <w:pPr>
        <w:pStyle w:val="BodyText"/>
      </w:pPr>
      <w:r>
        <w:t xml:space="preserve">The following observations are noted in relation to specified complaints entities. </w:t>
      </w:r>
    </w:p>
    <w:p w14:paraId="2FE795F7" w14:textId="6178AE4E" w:rsidR="004346A1" w:rsidRDefault="00F60445" w:rsidP="00157C10">
      <w:pPr>
        <w:pStyle w:val="Heading4"/>
      </w:pPr>
      <w:r>
        <w:t>HPCCB</w:t>
      </w:r>
    </w:p>
    <w:p w14:paraId="348FE2F3" w14:textId="0B28DF15" w:rsidR="004346A1" w:rsidRDefault="004346A1" w:rsidP="00840800">
      <w:pPr>
        <w:pStyle w:val="ListBullet"/>
      </w:pPr>
      <w:r>
        <w:t xml:space="preserve">Without mechanisms to force mandatory inclusion in </w:t>
      </w:r>
      <w:r w:rsidR="00F60445">
        <w:t>the HPCCB</w:t>
      </w:r>
      <w:r>
        <w:t xml:space="preserve"> scope, it is not possible for the </w:t>
      </w:r>
      <w:r w:rsidR="00F60445">
        <w:t>HPCCB</w:t>
      </w:r>
      <w:r>
        <w:t xml:space="preserve"> to provide a complaints handling function to the entire practising </w:t>
      </w:r>
      <w:r w:rsidR="00E43B7C">
        <w:t xml:space="preserve">audiology </w:t>
      </w:r>
      <w:r>
        <w:t xml:space="preserve">profession in Australia. </w:t>
      </w:r>
    </w:p>
    <w:p w14:paraId="0F024192" w14:textId="262AEDAB" w:rsidR="004346A1" w:rsidRDefault="004346A1" w:rsidP="00157C10">
      <w:pPr>
        <w:pStyle w:val="ListBullet"/>
      </w:pPr>
      <w:r>
        <w:t xml:space="preserve">The co-published sectoral </w:t>
      </w:r>
      <w:r w:rsidRPr="00A0708F">
        <w:rPr>
          <w:i/>
          <w:iCs/>
        </w:rPr>
        <w:t>Code of Conduct</w:t>
      </w:r>
      <w:r>
        <w:t xml:space="preserve"> states that it is </w:t>
      </w:r>
      <w:r w:rsidR="009C0B3B">
        <w:t>in line</w:t>
      </w:r>
      <w:r>
        <w:t xml:space="preserve"> with the National Code of Conduct. Hence, given the </w:t>
      </w:r>
      <w:r w:rsidR="00F60445">
        <w:t>HPCCB’s</w:t>
      </w:r>
      <w:r>
        <w:t xml:space="preserve"> stated scope is to manage complaints made in reference to the sectoral </w:t>
      </w:r>
      <w:r w:rsidRPr="00EF7ECA">
        <w:rPr>
          <w:i/>
          <w:iCs/>
        </w:rPr>
        <w:t>Code of Conduct</w:t>
      </w:r>
      <w:r>
        <w:t xml:space="preserve">, this would infer that the </w:t>
      </w:r>
      <w:r w:rsidR="00C64054">
        <w:t>HPCCB’s</w:t>
      </w:r>
      <w:r>
        <w:t xml:space="preserve"> remit is aligned to what a HCE would have in the Northern Territory and Tasmania in terms of powers against individual audiologists</w:t>
      </w:r>
      <w:r w:rsidR="00FA6E7B">
        <w:t>, however</w:t>
      </w:r>
      <w:r w:rsidR="000F5F1C">
        <w:t xml:space="preserve"> without the ability to prohibit practise.</w:t>
      </w:r>
      <w:r w:rsidR="00893BFB">
        <w:t xml:space="preserve"> </w:t>
      </w:r>
    </w:p>
    <w:p w14:paraId="649A47D7" w14:textId="509FED1D" w:rsidR="004346A1" w:rsidRDefault="004346A1" w:rsidP="00157C10">
      <w:pPr>
        <w:pStyle w:val="ListBullet"/>
      </w:pPr>
      <w:r>
        <w:t xml:space="preserve">Standard 9.1 of the sectoral </w:t>
      </w:r>
      <w:r w:rsidRPr="00160487">
        <w:rPr>
          <w:i/>
          <w:iCs/>
        </w:rPr>
        <w:t>Code of Conduct</w:t>
      </w:r>
      <w:r>
        <w:t xml:space="preserve"> states that </w:t>
      </w:r>
      <w:r w:rsidR="001F2277">
        <w:t>‘</w:t>
      </w:r>
      <w:r w:rsidRPr="00C15CD3">
        <w:rPr>
          <w:i/>
          <w:iCs/>
        </w:rPr>
        <w:t>Members who, in the course of providing hearing services, form the reasonable belief that another health care worker has placed or is placing clients at serious risk of harm must refer the matter to the relevant state or territory complaints entity</w:t>
      </w:r>
      <w:r>
        <w:t>.</w:t>
      </w:r>
      <w:r w:rsidR="00447E2B">
        <w:t>’</w:t>
      </w:r>
      <w:r>
        <w:rPr>
          <w:rStyle w:val="FootnoteReference"/>
        </w:rPr>
        <w:footnoteReference w:id="193"/>
      </w:r>
      <w:r>
        <w:t xml:space="preserve"> This generalised language (i.e. excluding hearing services) is common to each jurisdiction’s National Code of Conduct, except NSW where this standard is omitted from </w:t>
      </w:r>
      <w:r w:rsidRPr="00DF3AFE">
        <w:t>Schedule 3 in the</w:t>
      </w:r>
      <w:r w:rsidRPr="00C6376B">
        <w:rPr>
          <w:i/>
          <w:iCs/>
        </w:rPr>
        <w:t xml:space="preserve"> Public He</w:t>
      </w:r>
      <w:r>
        <w:rPr>
          <w:i/>
          <w:iCs/>
        </w:rPr>
        <w:t>al</w:t>
      </w:r>
      <w:r w:rsidRPr="00C6376B">
        <w:rPr>
          <w:i/>
          <w:iCs/>
        </w:rPr>
        <w:t>th Regulation 2022</w:t>
      </w:r>
      <w:r>
        <w:t xml:space="preserve">. </w:t>
      </w:r>
    </w:p>
    <w:p w14:paraId="0DC30017" w14:textId="4AEFBCFE" w:rsidR="004346A1" w:rsidRDefault="004346A1" w:rsidP="00157C10">
      <w:pPr>
        <w:pStyle w:val="ListBullet"/>
      </w:pPr>
      <w:r>
        <w:t xml:space="preserve">Standard 9.3 of the sectoral </w:t>
      </w:r>
      <w:r w:rsidRPr="006531A7">
        <w:rPr>
          <w:i/>
          <w:iCs/>
        </w:rPr>
        <w:t>Code of Conduct</w:t>
      </w:r>
      <w:r>
        <w:t xml:space="preserve"> state that </w:t>
      </w:r>
      <w:r w:rsidR="001120C7">
        <w:t>‘</w:t>
      </w:r>
      <w:r w:rsidRPr="007A136D">
        <w:rPr>
          <w:i/>
          <w:iCs/>
        </w:rPr>
        <w:t>Members must remain neutral and professional if a client has divulged details that the member thinks are/may be a case of unethical or unprofessional conduct by the other healthcare worker. This includes not commenting on the other health care worker’s conduct to the client</w:t>
      </w:r>
      <w:r>
        <w:t>.</w:t>
      </w:r>
      <w:r w:rsidR="001120C7">
        <w:t>’</w:t>
      </w:r>
      <w:r>
        <w:rPr>
          <w:rStyle w:val="FootnoteReference"/>
        </w:rPr>
        <w:footnoteReference w:id="194"/>
      </w:r>
      <w:r>
        <w:t xml:space="preserve"> This language does not appear in any jurisdiction’s National Code of Conduct.</w:t>
      </w:r>
    </w:p>
    <w:p w14:paraId="405CA79E" w14:textId="25B5883F" w:rsidR="004346A1" w:rsidRDefault="004346A1" w:rsidP="000E1DDE">
      <w:pPr>
        <w:pStyle w:val="ListBullet"/>
      </w:pPr>
      <w:r>
        <w:t xml:space="preserve">In instances of severe clinical harm, where the </w:t>
      </w:r>
      <w:r w:rsidR="0028516C">
        <w:t>HPCCB</w:t>
      </w:r>
      <w:r>
        <w:t xml:space="preserve"> has remit in relation to the practitioner the case remains ‘open’ but is referred to the jurisdictional HCE. The </w:t>
      </w:r>
      <w:r w:rsidR="000D63D3">
        <w:t>HPCCB</w:t>
      </w:r>
      <w:r>
        <w:t xml:space="preserve"> may undertake an urgent preliminary investigation in parallel, with the following process notes added: </w:t>
      </w:r>
    </w:p>
    <w:p w14:paraId="3D973576" w14:textId="185DCA13" w:rsidR="004346A1" w:rsidRDefault="004346A1" w:rsidP="000E1DDE">
      <w:pPr>
        <w:pStyle w:val="BulletList2Column"/>
      </w:pPr>
      <w:r>
        <w:t xml:space="preserve">Private Sector: Referring to Standard 1.2 of the sectoral </w:t>
      </w:r>
      <w:r w:rsidRPr="00BD6580">
        <w:t>Code of Conduct</w:t>
      </w:r>
      <w:r>
        <w:t xml:space="preserve">, </w:t>
      </w:r>
      <w:r w:rsidR="007E671E">
        <w:t>‘</w:t>
      </w:r>
      <w:r w:rsidRPr="007176F0">
        <w:rPr>
          <w:i/>
          <w:iCs/>
        </w:rPr>
        <w:t>members must cooperate fully with any review of their conduct by their professional body. This includes providing any information requested and communicating in a professional, honest and respectful manner with any reviewing body and other parties</w:t>
      </w:r>
      <w:r>
        <w:t>.</w:t>
      </w:r>
      <w:r w:rsidR="007E671E">
        <w:t>’</w:t>
      </w:r>
      <w:r>
        <w:rPr>
          <w:rStyle w:val="FootnoteReference"/>
        </w:rPr>
        <w:footnoteReference w:id="195"/>
      </w:r>
      <w:r>
        <w:t xml:space="preserve"> Thus, failure to comply with the </w:t>
      </w:r>
      <w:r w:rsidRPr="006B158A">
        <w:t>Code of Conduct</w:t>
      </w:r>
      <w:r>
        <w:t xml:space="preserve"> may result in sanction.</w:t>
      </w:r>
    </w:p>
    <w:p w14:paraId="6CEABA45" w14:textId="403893EE" w:rsidR="004346A1" w:rsidRDefault="004346A1" w:rsidP="000E1DDE">
      <w:pPr>
        <w:pStyle w:val="BulletList2Column"/>
      </w:pPr>
      <w:r>
        <w:t xml:space="preserve">Public Sector: The </w:t>
      </w:r>
      <w:r w:rsidR="00B50BD7">
        <w:t>HPCCB</w:t>
      </w:r>
      <w:r>
        <w:t xml:space="preserve"> has a more limited ability to compel hospital providers to provide information in relation to an investigation, relative to a HCE.  </w:t>
      </w:r>
    </w:p>
    <w:p w14:paraId="03F8D112" w14:textId="141D25CF" w:rsidR="004346A1" w:rsidRDefault="004346A1" w:rsidP="000E1DDE">
      <w:pPr>
        <w:pStyle w:val="ListBullet"/>
      </w:pPr>
      <w:r>
        <w:t xml:space="preserve">In relation to business practices, as previously referred to there are several standards within the sectoral </w:t>
      </w:r>
      <w:r w:rsidRPr="00F07FF9">
        <w:rPr>
          <w:i/>
          <w:iCs/>
        </w:rPr>
        <w:t>Code of Conduct</w:t>
      </w:r>
      <w:r>
        <w:t xml:space="preserve"> which relate to individual audiologists and issues such as financial incentives. Thus, sanctions are able to be applied at this level. However, the </w:t>
      </w:r>
      <w:r w:rsidRPr="00A45E67">
        <w:rPr>
          <w:i/>
          <w:iCs/>
        </w:rPr>
        <w:t>Code of Conduct</w:t>
      </w:r>
      <w:r>
        <w:t xml:space="preserve"> is not able to be enforced against people not within the </w:t>
      </w:r>
      <w:r w:rsidR="008B6199">
        <w:t>HPCCB’s</w:t>
      </w:r>
      <w:r>
        <w:t xml:space="preserve"> remit (e.g., business owners who are not audiologists). In relation to this, Audiology Australia states</w:t>
      </w:r>
      <w:r w:rsidR="00A45E67">
        <w:t>,</w:t>
      </w:r>
      <w:r>
        <w:t xml:space="preserve"> </w:t>
      </w:r>
      <w:r w:rsidR="00A45E67">
        <w:t>‘</w:t>
      </w:r>
      <w:r w:rsidRPr="00E92AC4">
        <w:rPr>
          <w:i/>
          <w:iCs/>
        </w:rPr>
        <w:t xml:space="preserve">We …. </w:t>
      </w:r>
      <w:r>
        <w:rPr>
          <w:i/>
          <w:iCs/>
        </w:rPr>
        <w:t>a</w:t>
      </w:r>
      <w:r w:rsidRPr="00E92AC4">
        <w:rPr>
          <w:i/>
          <w:iCs/>
        </w:rPr>
        <w:t>cknowledge that the vast majority of our members have a limited ability to change their personal employment conditions. We will continue to advocate for changes that facilitate ethical practice at an organisational level together with the Australian Government and the organisations that employ audiologists</w:t>
      </w:r>
      <w:r>
        <w:t>.</w:t>
      </w:r>
      <w:r w:rsidR="00A45E67">
        <w:t>’</w:t>
      </w:r>
      <w:r>
        <w:rPr>
          <w:rStyle w:val="FootnoteReference"/>
        </w:rPr>
        <w:footnoteReference w:id="196"/>
      </w:r>
      <w:r>
        <w:t xml:space="preserve"> The Australian College of Audiology states, </w:t>
      </w:r>
      <w:r w:rsidR="00A45E67">
        <w:t>‘</w:t>
      </w:r>
      <w:r w:rsidRPr="00BD5583">
        <w:rPr>
          <w:i/>
          <w:iCs/>
        </w:rPr>
        <w:t>Australian College of Audiology represents individual practitioners not businesses and can therefore not place restrictions on how companies conduct their business</w:t>
      </w:r>
      <w:r>
        <w:t>.</w:t>
      </w:r>
      <w:r w:rsidR="00A45E67">
        <w:t>’</w:t>
      </w:r>
      <w:r>
        <w:rPr>
          <w:rStyle w:val="FootnoteReference"/>
        </w:rPr>
        <w:footnoteReference w:id="197"/>
      </w:r>
    </w:p>
    <w:p w14:paraId="7B795782" w14:textId="77777777" w:rsidR="004346A1" w:rsidRDefault="004346A1" w:rsidP="00984E49">
      <w:pPr>
        <w:pStyle w:val="Heading4"/>
      </w:pPr>
      <w:r>
        <w:t xml:space="preserve">Health Complaints </w:t>
      </w:r>
      <w:r w:rsidRPr="00984E49">
        <w:t>Entities</w:t>
      </w:r>
    </w:p>
    <w:p w14:paraId="6B89DEC1" w14:textId="0621F54D" w:rsidR="004346A1" w:rsidRDefault="004346A1" w:rsidP="00DE55D2">
      <w:pPr>
        <w:pStyle w:val="ListBullet"/>
      </w:pPr>
      <w:r>
        <w:t>Jurisdictional HCEs have remit over both individual audiologists and health service providers. The remit of jurisdictional HCEs over health service providers was observed to be not well known among stakeholders.</w:t>
      </w:r>
    </w:p>
    <w:p w14:paraId="409EFD2C" w14:textId="27ABAE08" w:rsidR="004346A1" w:rsidRDefault="004346A1" w:rsidP="00DE55D2">
      <w:pPr>
        <w:pStyle w:val="ListBullet"/>
      </w:pPr>
      <w:r>
        <w:t>Jurisdictions practice mutual recognition of Interim Prohibition Orders and Prohibition Orders, notwithstanding potential lags in regulation updates when new jurisdictions implement the National Code. Hence, orders are able to be enforced across Australia (except in Northern Territory and Tasmania). However, it is recognised that consumers and employers are still required to individually search HCE website registers to understand the relevant professional sanction status of a health practitioner</w:t>
      </w:r>
      <w:r w:rsidR="009417E0">
        <w:t>, as this is not available in a centralised searchable register</w:t>
      </w:r>
      <w:r>
        <w:t xml:space="preserve">. </w:t>
      </w:r>
    </w:p>
    <w:p w14:paraId="5A7E6F32" w14:textId="77777777" w:rsidR="009C7D13" w:rsidRDefault="009C7D13" w:rsidP="00AC2797">
      <w:pPr>
        <w:pStyle w:val="BulletList2Column"/>
        <w:numPr>
          <w:ilvl w:val="0"/>
          <w:numId w:val="0"/>
        </w:numPr>
      </w:pPr>
    </w:p>
    <w:p w14:paraId="2D6264AA" w14:textId="77777777" w:rsidR="00B7130A" w:rsidRDefault="00B7130A">
      <w:pPr>
        <w:rPr>
          <w:rFonts w:eastAsiaTheme="majorEastAsia" w:cstheme="majorBidi"/>
          <w:iCs/>
          <w:color w:val="1880AD" w:themeColor="accent3" w:themeShade="BF"/>
          <w:kern w:val="21"/>
          <w:sz w:val="27"/>
          <w:lang w:val="en-AU"/>
          <w14:numSpacing w14:val="proportional"/>
        </w:rPr>
      </w:pPr>
      <w:r>
        <w:br w:type="page"/>
      </w:r>
    </w:p>
    <w:p w14:paraId="207CC4C7" w14:textId="291F4B09" w:rsidR="009C7D13" w:rsidRDefault="00367CC3" w:rsidP="009C7D13">
      <w:pPr>
        <w:pStyle w:val="Heading4"/>
      </w:pPr>
      <w:r>
        <w:t>External reviews – complaints handling</w:t>
      </w:r>
    </w:p>
    <w:tbl>
      <w:tblPr>
        <w:tblStyle w:val="TableGrid"/>
        <w:tblW w:w="0" w:type="auto"/>
        <w:tblLook w:val="04A0" w:firstRow="1" w:lastRow="0" w:firstColumn="1" w:lastColumn="0" w:noHBand="0" w:noVBand="1"/>
      </w:tblPr>
      <w:tblGrid>
        <w:gridCol w:w="8834"/>
      </w:tblGrid>
      <w:tr w:rsidR="00984E49" w14:paraId="6252705F" w14:textId="77777777" w:rsidTr="00E074B8">
        <w:tc>
          <w:tcPr>
            <w:tcW w:w="8834" w:type="dxa"/>
            <w:shd w:val="clear" w:color="auto" w:fill="F1F2F2" w:themeFill="background2"/>
          </w:tcPr>
          <w:p w14:paraId="49040F22" w14:textId="77777777" w:rsidR="00E074B8" w:rsidRPr="00640E2E" w:rsidRDefault="00E074B8" w:rsidP="00E074B8">
            <w:pPr>
              <w:keepNext/>
              <w:rPr>
                <w:b/>
                <w:bCs/>
              </w:rPr>
            </w:pPr>
            <w:r w:rsidRPr="00640E2E">
              <w:rPr>
                <w:b/>
                <w:bCs/>
              </w:rPr>
              <w:t>Box 3.4: Findings of public sector External Reviews</w:t>
            </w:r>
          </w:p>
          <w:p w14:paraId="3BC56125" w14:textId="77777777" w:rsidR="00E074B8" w:rsidRPr="001C527A" w:rsidRDefault="00E074B8" w:rsidP="00E074B8">
            <w:pPr>
              <w:keepNext/>
            </w:pPr>
            <w:r>
              <w:t>The process, timeline and outcomes of each complaints mechanism used in relation to the WCHN cluster event was not detailed in the review. The following facts are reprinted from the review:</w:t>
            </w:r>
            <w:r>
              <w:rPr>
                <w:rStyle w:val="FootnoteReference"/>
              </w:rPr>
              <w:footnoteReference w:id="198"/>
            </w:r>
          </w:p>
          <w:p w14:paraId="1E2CA175" w14:textId="743BABF4" w:rsidR="00E074B8" w:rsidRDefault="00887113" w:rsidP="00E074B8">
            <w:pPr>
              <w:pStyle w:val="ListBullet"/>
            </w:pPr>
            <w:r>
              <w:rPr>
                <w:i/>
                <w:iCs/>
              </w:rPr>
              <w:t>“</w:t>
            </w:r>
            <w:r w:rsidR="00E074B8" w:rsidRPr="00EE3AA4">
              <w:rPr>
                <w:i/>
              </w:rPr>
              <w:t>In late July 2022 the complaints had reached Audiology Australia and the Health and Community Services Complaints Commissioner</w:t>
            </w:r>
            <w:r w:rsidR="00E074B8">
              <w:t>.</w:t>
            </w:r>
            <w:r>
              <w:t>”</w:t>
            </w:r>
            <w:r w:rsidR="00E074B8">
              <w:rPr>
                <w:rStyle w:val="FootnoteReference"/>
              </w:rPr>
              <w:footnoteReference w:id="199"/>
            </w:r>
          </w:p>
          <w:p w14:paraId="313AD740" w14:textId="0D475272" w:rsidR="00E074B8" w:rsidRDefault="00887113" w:rsidP="00E074B8">
            <w:pPr>
              <w:pStyle w:val="ListBullet"/>
            </w:pPr>
            <w:r>
              <w:rPr>
                <w:i/>
                <w:iCs/>
              </w:rPr>
              <w:t>“</w:t>
            </w:r>
            <w:r w:rsidR="00E074B8" w:rsidRPr="00EE3AA4">
              <w:rPr>
                <w:i/>
              </w:rPr>
              <w:t>The Office of the Minister for Health and Wellbeing became formally aware in early August 2022 when it was notified by the external provider and the Department of Health and Wellbeing in September 2022</w:t>
            </w:r>
            <w:r w:rsidR="00E074B8">
              <w:t>.</w:t>
            </w:r>
            <w:r>
              <w:t>”</w:t>
            </w:r>
          </w:p>
          <w:p w14:paraId="3960929C" w14:textId="46F10208" w:rsidR="00E074B8" w:rsidRDefault="00887113" w:rsidP="00E074B8">
            <w:pPr>
              <w:pStyle w:val="ListBullet"/>
            </w:pPr>
            <w:r>
              <w:rPr>
                <w:i/>
                <w:iCs/>
              </w:rPr>
              <w:t>“</w:t>
            </w:r>
            <w:r w:rsidR="00E074B8" w:rsidRPr="00EE3AA4">
              <w:rPr>
                <w:i/>
              </w:rPr>
              <w:t>An initial brief was prepared for the Office of the Minister for Health and Wellbeing on 13 September 2022 providing a summary of actions undertaken by the WCHN in response to concerns raised by the external provider in its written communication to the Minister (5 August 2022</w:t>
            </w:r>
            <w:r w:rsidR="00E074B8" w:rsidRPr="00EE3AA4">
              <w:rPr>
                <w:i/>
                <w:iCs/>
              </w:rPr>
              <w:t>)</w:t>
            </w:r>
            <w:r w:rsidR="00E074B8">
              <w:t>.</w:t>
            </w:r>
            <w:r>
              <w:t>”</w:t>
            </w:r>
          </w:p>
          <w:p w14:paraId="430CEFA5" w14:textId="48E534C7" w:rsidR="00984E49" w:rsidRDefault="00E074B8" w:rsidP="00E074B8">
            <w:pPr>
              <w:pStyle w:val="BodyText"/>
            </w:pPr>
            <w:r>
              <w:t>This Decision RIS notes the escalating actions of complainants in relation to this event.</w:t>
            </w:r>
          </w:p>
        </w:tc>
      </w:tr>
    </w:tbl>
    <w:p w14:paraId="7C8D00C4" w14:textId="529CB603" w:rsidR="00053892" w:rsidRDefault="008271A6" w:rsidP="00F11933">
      <w:pPr>
        <w:pStyle w:val="BodyText"/>
      </w:pPr>
      <w:r>
        <w:t xml:space="preserve">Overall, </w:t>
      </w:r>
      <w:r w:rsidR="0006152E">
        <w:t xml:space="preserve">if </w:t>
      </w:r>
      <w:r w:rsidR="00172FB2">
        <w:t xml:space="preserve">stakeholder perceptions are valid and there is </w:t>
      </w:r>
      <w:r w:rsidR="0006152E">
        <w:t xml:space="preserve">under-reporting of substandard </w:t>
      </w:r>
      <w:r w:rsidR="00507A2A">
        <w:t xml:space="preserve">care, </w:t>
      </w:r>
      <w:r w:rsidR="00264972">
        <w:t xml:space="preserve">this </w:t>
      </w:r>
      <w:r w:rsidR="00053892">
        <w:t>may have:</w:t>
      </w:r>
    </w:p>
    <w:p w14:paraId="6EC72307" w14:textId="41D3C8FB" w:rsidR="00093EE7" w:rsidRDefault="00264972" w:rsidP="00053892">
      <w:pPr>
        <w:pStyle w:val="ListBullet"/>
      </w:pPr>
      <w:r>
        <w:t>significant impact</w:t>
      </w:r>
      <w:r w:rsidR="00B06E8F">
        <w:t>s on the patient (</w:t>
      </w:r>
      <w:r w:rsidR="00053892">
        <w:t xml:space="preserve">particularly if they are </w:t>
      </w:r>
      <w:r w:rsidR="006844DA">
        <w:t xml:space="preserve">unaware that </w:t>
      </w:r>
      <w:r w:rsidR="00E03EBC">
        <w:t>substandard care has occurred</w:t>
      </w:r>
      <w:r w:rsidR="00BF2399">
        <w:t xml:space="preserve"> as they would be unable to seek appropriate treatment or recompense)</w:t>
      </w:r>
    </w:p>
    <w:p w14:paraId="44DAD2C1" w14:textId="28954720" w:rsidR="00C02954" w:rsidRDefault="00A71FAD" w:rsidP="00A35550">
      <w:pPr>
        <w:pStyle w:val="ListBullet"/>
      </w:pPr>
      <w:r>
        <w:t>significant impacts on the audiologist (</w:t>
      </w:r>
      <w:r w:rsidR="005C6CB3">
        <w:t xml:space="preserve">as they </w:t>
      </w:r>
      <w:r w:rsidR="00BA4E76">
        <w:t>would not have the</w:t>
      </w:r>
      <w:r w:rsidR="003D4988">
        <w:t xml:space="preserve"> ability to undertake corrective actions</w:t>
      </w:r>
      <w:r w:rsidR="00B555D5">
        <w:t xml:space="preserve"> </w:t>
      </w:r>
      <w:r w:rsidR="001C5321">
        <w:t xml:space="preserve">to address </w:t>
      </w:r>
      <w:r w:rsidR="009D29D1">
        <w:t>skills issues</w:t>
      </w:r>
      <w:r w:rsidR="00443DA3">
        <w:t>,</w:t>
      </w:r>
      <w:r w:rsidR="009D29D1">
        <w:t xml:space="preserve"> </w:t>
      </w:r>
      <w:r w:rsidR="00382F93">
        <w:t>or would not face appropriate sanctions in the event of unethical treatment decisions</w:t>
      </w:r>
      <w:r w:rsidR="00F77DBF">
        <w:t>).</w:t>
      </w:r>
      <w:r w:rsidR="009D29D1">
        <w:t xml:space="preserve"> </w:t>
      </w:r>
    </w:p>
    <w:p w14:paraId="4D8609B5" w14:textId="1EB345E6" w:rsidR="00F856EC" w:rsidRDefault="00E25721" w:rsidP="00470863">
      <w:pPr>
        <w:pStyle w:val="ListBullet"/>
        <w:numPr>
          <w:ilvl w:val="0"/>
          <w:numId w:val="0"/>
        </w:numPr>
      </w:pPr>
      <w:r>
        <w:t xml:space="preserve">Stakeholder </w:t>
      </w:r>
      <w:r w:rsidR="0061685D">
        <w:t xml:space="preserve">descriptions of substandard care appear to </w:t>
      </w:r>
      <w:r w:rsidR="00594D4D">
        <w:t>describe events</w:t>
      </w:r>
      <w:r w:rsidR="00B71822">
        <w:t xml:space="preserve"> that are</w:t>
      </w:r>
      <w:r w:rsidR="0061685D">
        <w:t xml:space="preserve"> </w:t>
      </w:r>
      <w:r w:rsidR="005B2A72">
        <w:t>in breach of c</w:t>
      </w:r>
      <w:r>
        <w:t>urrent regulatory settings (</w:t>
      </w:r>
      <w:r w:rsidR="00176255">
        <w:t>e.g., the</w:t>
      </w:r>
      <w:r>
        <w:t xml:space="preserve"> sectoral </w:t>
      </w:r>
      <w:r w:rsidRPr="00176255">
        <w:rPr>
          <w:i/>
          <w:iCs/>
        </w:rPr>
        <w:t>Code of Conduct</w:t>
      </w:r>
      <w:r w:rsidR="005D6B64">
        <w:t>)</w:t>
      </w:r>
      <w:r w:rsidR="00F510FD">
        <w:t xml:space="preserve">. </w:t>
      </w:r>
      <w:r w:rsidR="00464BEF">
        <w:t xml:space="preserve">While </w:t>
      </w:r>
      <w:r w:rsidR="006F2136">
        <w:t xml:space="preserve">few </w:t>
      </w:r>
      <w:r w:rsidR="00126429">
        <w:t xml:space="preserve">stakeholders provided </w:t>
      </w:r>
      <w:r w:rsidR="004872DD">
        <w:t>reason</w:t>
      </w:r>
      <w:r w:rsidR="00D61A8D">
        <w:t xml:space="preserve">ing for </w:t>
      </w:r>
      <w:r w:rsidR="00A7327E">
        <w:t>not reporting</w:t>
      </w:r>
      <w:r w:rsidR="00A75242">
        <w:t xml:space="preserve"> (or factors that </w:t>
      </w:r>
      <w:r w:rsidR="00320E36">
        <w:t xml:space="preserve">contributed to decision-making </w:t>
      </w:r>
      <w:r w:rsidR="006E5AF4">
        <w:t>regarding whether to report</w:t>
      </w:r>
      <w:r w:rsidR="00320E36">
        <w:t>)</w:t>
      </w:r>
      <w:r w:rsidR="001A674D">
        <w:t>, issues</w:t>
      </w:r>
      <w:r w:rsidR="002658FD">
        <w:t xml:space="preserve"> </w:t>
      </w:r>
      <w:r w:rsidR="00320E36">
        <w:t>described included</w:t>
      </w:r>
      <w:r w:rsidR="002658FD">
        <w:t xml:space="preserve"> the </w:t>
      </w:r>
      <w:r w:rsidR="00233ABC">
        <w:t xml:space="preserve">inability for the </w:t>
      </w:r>
      <w:r w:rsidR="006F2136">
        <w:t xml:space="preserve">HPCCB </w:t>
      </w:r>
      <w:r w:rsidR="00233ABC">
        <w:t xml:space="preserve">to investigate business </w:t>
      </w:r>
      <w:r w:rsidR="00197A98">
        <w:t>practices</w:t>
      </w:r>
      <w:r w:rsidR="00B134E3">
        <w:t xml:space="preserve"> and </w:t>
      </w:r>
      <w:r w:rsidR="00D41FC4">
        <w:t>fear of potential re</w:t>
      </w:r>
      <w:r w:rsidR="006E5AF4">
        <w:t xml:space="preserve">taliation. </w:t>
      </w:r>
      <w:r w:rsidR="00367123">
        <w:t xml:space="preserve">It could also be inferred from stakeholder responses that there are gaps in awareness of the remit of HCEs to investigate health service providers. </w:t>
      </w:r>
      <w:r w:rsidR="006429B9">
        <w:t xml:space="preserve">Hence, to the extent that </w:t>
      </w:r>
      <w:r w:rsidR="00CD7FF6">
        <w:t xml:space="preserve">stakeholder perceptions are valid and </w:t>
      </w:r>
      <w:r w:rsidR="00EC76FF">
        <w:t xml:space="preserve">instances of substandard care are being under-reported, </w:t>
      </w:r>
      <w:r w:rsidR="002E3D03">
        <w:t xml:space="preserve">this represents an ineffective </w:t>
      </w:r>
      <w:r w:rsidR="00FD5001">
        <w:t>system of complaints management under the current state.</w:t>
      </w:r>
    </w:p>
    <w:p w14:paraId="6D11659A" w14:textId="2B041298" w:rsidR="00093EE7" w:rsidRDefault="00B324B4" w:rsidP="007A537E">
      <w:pPr>
        <w:pStyle w:val="Heading2"/>
      </w:pPr>
      <w:bookmarkStart w:id="126" w:name="_Toc198138595"/>
      <w:r>
        <w:t>Impact</w:t>
      </w:r>
      <w:r w:rsidR="00C77CEE">
        <w:t xml:space="preserve"> of not </w:t>
      </w:r>
      <w:r w:rsidR="00C77CEE" w:rsidRPr="007A537E">
        <w:t>addressing</w:t>
      </w:r>
      <w:r w:rsidR="00C77CEE">
        <w:t xml:space="preserve"> the policy problem</w:t>
      </w:r>
      <w:bookmarkEnd w:id="126"/>
    </w:p>
    <w:p w14:paraId="2AFE836C" w14:textId="77777777" w:rsidR="008927A6" w:rsidRDefault="00423444" w:rsidP="007A537E">
      <w:pPr>
        <w:pStyle w:val="BodyText"/>
      </w:pPr>
      <w:r>
        <w:t xml:space="preserve">The protection of the public from harm is a </w:t>
      </w:r>
      <w:r w:rsidR="00D66DB3">
        <w:t xml:space="preserve">core responsibility of </w:t>
      </w:r>
      <w:r w:rsidR="00966CF7">
        <w:t>government</w:t>
      </w:r>
      <w:r w:rsidR="003C599A">
        <w:t>. However, it is required to account</w:t>
      </w:r>
      <w:r w:rsidR="00966CF7">
        <w:t xml:space="preserve"> for community preferences </w:t>
      </w:r>
      <w:r w:rsidR="00330523">
        <w:t xml:space="preserve">in </w:t>
      </w:r>
      <w:r w:rsidR="003C599A">
        <w:t xml:space="preserve">consideration of the </w:t>
      </w:r>
      <w:r w:rsidR="00330523">
        <w:t xml:space="preserve">balance between regulatory burden and </w:t>
      </w:r>
      <w:r w:rsidR="003C599A">
        <w:t xml:space="preserve">overall risk to the public. </w:t>
      </w:r>
    </w:p>
    <w:p w14:paraId="21853391" w14:textId="4E98489F" w:rsidR="00A06C66" w:rsidRDefault="003C599A" w:rsidP="008927A6">
      <w:pPr>
        <w:pStyle w:val="ListBullet"/>
      </w:pPr>
      <w:r>
        <w:t>Fo</w:t>
      </w:r>
      <w:r w:rsidR="006F3DFD">
        <w:t xml:space="preserve">r </w:t>
      </w:r>
      <w:r w:rsidR="00D05C66">
        <w:t>audiology patients that receive substandard care</w:t>
      </w:r>
      <w:r w:rsidR="00227FD8">
        <w:t xml:space="preserve"> (including clinic</w:t>
      </w:r>
      <w:r w:rsidR="003D2F47">
        <w:t>al</w:t>
      </w:r>
      <w:r w:rsidR="00227FD8">
        <w:t xml:space="preserve"> and/or financial harm)</w:t>
      </w:r>
      <w:r w:rsidR="00D05C66">
        <w:t xml:space="preserve">, there </w:t>
      </w:r>
      <w:r w:rsidR="00A06C66">
        <w:t xml:space="preserve">are </w:t>
      </w:r>
      <w:r w:rsidR="008927A6">
        <w:t>profound</w:t>
      </w:r>
      <w:r w:rsidR="00B5238D">
        <w:t xml:space="preserve"> </w:t>
      </w:r>
      <w:r w:rsidR="00872D01">
        <w:t xml:space="preserve">social and emotional </w:t>
      </w:r>
      <w:r w:rsidR="00B5238D">
        <w:t>impacts on the patient and their families</w:t>
      </w:r>
      <w:r w:rsidR="00A06C66">
        <w:t xml:space="preserve"> </w:t>
      </w:r>
      <w:r w:rsidR="00B5238D">
        <w:t>a</w:t>
      </w:r>
      <w:r w:rsidR="00872D01">
        <w:t xml:space="preserve">s well as </w:t>
      </w:r>
      <w:r w:rsidR="00194D8F">
        <w:t>associated</w:t>
      </w:r>
      <w:r w:rsidR="00872D01">
        <w:t xml:space="preserve"> economic </w:t>
      </w:r>
      <w:r w:rsidR="00BF6B1D">
        <w:t>costs</w:t>
      </w:r>
      <w:r w:rsidR="000B7645">
        <w:t xml:space="preserve"> (please refer to Chapter </w:t>
      </w:r>
      <w:r w:rsidR="00747C20">
        <w:t>7</w:t>
      </w:r>
      <w:r w:rsidR="000B7645">
        <w:t>)</w:t>
      </w:r>
      <w:r w:rsidR="00194D8F">
        <w:t xml:space="preserve">. </w:t>
      </w:r>
    </w:p>
    <w:p w14:paraId="1EABD821" w14:textId="5E8D49E4" w:rsidR="00C77CEE" w:rsidRDefault="00A06C66" w:rsidP="008927A6">
      <w:pPr>
        <w:pStyle w:val="ListBullet"/>
      </w:pPr>
      <w:r>
        <w:t xml:space="preserve">For </w:t>
      </w:r>
      <w:r w:rsidR="000B7645">
        <w:t xml:space="preserve">government, </w:t>
      </w:r>
      <w:r w:rsidR="00BF6B1D">
        <w:t xml:space="preserve">a single episode of substandard care may result in materially increased use of </w:t>
      </w:r>
      <w:r w:rsidR="0074203F">
        <w:t xml:space="preserve">other health and social services, including Medicare, hospital services and the </w:t>
      </w:r>
      <w:r w:rsidR="00B864E0">
        <w:t>NDIS</w:t>
      </w:r>
      <w:r w:rsidR="00895AFA">
        <w:t xml:space="preserve">. </w:t>
      </w:r>
      <w:r w:rsidR="00CB6D58">
        <w:t>Here, lifetime costs may be expected to be higher for substandard care received by paediatric cohorts, particularly substandard care occurring in the prelingual</w:t>
      </w:r>
      <w:r w:rsidR="009F0509">
        <w:t xml:space="preserve"> phase of human development</w:t>
      </w:r>
      <w:r w:rsidR="001B39D6">
        <w:t xml:space="preserve"> (please refer to Chapter </w:t>
      </w:r>
      <w:r w:rsidR="00D1570F">
        <w:t>7</w:t>
      </w:r>
      <w:r w:rsidR="001B39D6">
        <w:t>)</w:t>
      </w:r>
      <w:r w:rsidR="009F0509">
        <w:t>.</w:t>
      </w:r>
    </w:p>
    <w:p w14:paraId="45349C69" w14:textId="77777777" w:rsidR="00F90331" w:rsidRDefault="00E9704F" w:rsidP="001B3CE5">
      <w:pPr>
        <w:pStyle w:val="ListBullet"/>
      </w:pPr>
      <w:r>
        <w:t>It</w:t>
      </w:r>
      <w:r w:rsidR="001B39D6">
        <w:t xml:space="preserve"> is additionally recognised </w:t>
      </w:r>
      <w:r w:rsidR="00B97478">
        <w:t xml:space="preserve">that </w:t>
      </w:r>
      <w:r w:rsidR="00EA7341">
        <w:t xml:space="preserve">the full value of compensation claims associated with </w:t>
      </w:r>
      <w:r w:rsidR="003467CB">
        <w:t>events such as those occurring in the public sector reviews are not known at this time</w:t>
      </w:r>
      <w:r w:rsidR="001B3CE5">
        <w:t>.</w:t>
      </w:r>
      <w:r w:rsidR="00A85158">
        <w:t xml:space="preserve"> </w:t>
      </w:r>
    </w:p>
    <w:p w14:paraId="706E21B9" w14:textId="4B6A81C6" w:rsidR="00347B8A" w:rsidRDefault="00F90331" w:rsidP="009156FD">
      <w:pPr>
        <w:pStyle w:val="ListBullet"/>
      </w:pPr>
      <w:r>
        <w:t>Given the ageing of the Australian population,</w:t>
      </w:r>
      <w:r w:rsidR="00F64C45">
        <w:t xml:space="preserve"> </w:t>
      </w:r>
      <w:r w:rsidR="009B4E0D">
        <w:t xml:space="preserve">increased </w:t>
      </w:r>
      <w:r w:rsidR="002A5F0A">
        <w:t>requirements for au</w:t>
      </w:r>
      <w:r w:rsidR="00AD06CB">
        <w:t>diology services</w:t>
      </w:r>
      <w:r w:rsidR="00E33ED1">
        <w:t xml:space="preserve"> </w:t>
      </w:r>
      <w:r w:rsidR="0016475D">
        <w:t>could increase the number of instances of substandard car</w:t>
      </w:r>
      <w:r w:rsidR="00835BA2">
        <w:t xml:space="preserve">e if regulatory settings are not appropriate. </w:t>
      </w:r>
    </w:p>
    <w:p w14:paraId="733234BB" w14:textId="6C87CD75" w:rsidR="006F7D77" w:rsidRDefault="006F7D77" w:rsidP="003501A3">
      <w:pPr>
        <w:pStyle w:val="ListBullet"/>
        <w:numPr>
          <w:ilvl w:val="0"/>
          <w:numId w:val="0"/>
        </w:numPr>
        <w:ind w:left="360" w:hanging="360"/>
      </w:pPr>
      <w:r>
        <w:t xml:space="preserve">The </w:t>
      </w:r>
      <w:r w:rsidR="0052336C" w:rsidRPr="0052336C">
        <w:rPr>
          <w:i/>
          <w:iCs/>
        </w:rPr>
        <w:t>Industry Self-Regulation in Consumer Markets</w:t>
      </w:r>
      <w:r w:rsidR="0052336C">
        <w:rPr>
          <w:rStyle w:val="FootnoteReference"/>
          <w:i/>
          <w:iCs/>
        </w:rPr>
        <w:footnoteReference w:id="200"/>
      </w:r>
      <w:r w:rsidR="0052336C">
        <w:t xml:space="preserve"> report</w:t>
      </w:r>
      <w:r w:rsidR="00F72725">
        <w:t xml:space="preserve"> </w:t>
      </w:r>
      <w:r w:rsidR="008B62FC">
        <w:t xml:space="preserve">states: </w:t>
      </w:r>
    </w:p>
    <w:p w14:paraId="5F1C2D7E" w14:textId="5FC1F327" w:rsidR="006F7D77" w:rsidRDefault="000461B4" w:rsidP="003E1D76">
      <w:pPr>
        <w:pStyle w:val="ListBullet"/>
      </w:pPr>
      <w:r>
        <w:t>Self-regulatory schemes tend to promote good practice and target specific problem</w:t>
      </w:r>
      <w:r w:rsidR="003E1D76">
        <w:t xml:space="preserve">s </w:t>
      </w:r>
      <w:r>
        <w:t>within industries, impose lower compliance costs on business, and offer quick, lo</w:t>
      </w:r>
      <w:r w:rsidR="003E1D76">
        <w:t xml:space="preserve">w </w:t>
      </w:r>
      <w:r>
        <w:t>cost dispute resolution procedures. Effective self-regulation can also avoid the often</w:t>
      </w:r>
      <w:r w:rsidR="003E1D76">
        <w:t xml:space="preserve"> </w:t>
      </w:r>
      <w:r>
        <w:t>overly prescriptive nature of regulation and allow industry the flexibility to provide</w:t>
      </w:r>
      <w:r w:rsidR="003E1D76">
        <w:t xml:space="preserve"> </w:t>
      </w:r>
      <w:r>
        <w:t>greater choice for consumers and to be more responsive to changing consumer</w:t>
      </w:r>
      <w:r w:rsidR="003E1D76">
        <w:t xml:space="preserve"> </w:t>
      </w:r>
      <w:r>
        <w:t>expectations.</w:t>
      </w:r>
    </w:p>
    <w:p w14:paraId="4E99182C" w14:textId="78BBFF2D" w:rsidR="00E93D95" w:rsidRDefault="005D14D9" w:rsidP="00347B8A">
      <w:pPr>
        <w:pStyle w:val="ListBullet"/>
      </w:pPr>
      <w:r>
        <w:t>Self-regulation is likely to be most effective where there are clearly defined problems but no high risk of serious or widespread harm to consumers</w:t>
      </w:r>
      <w:r w:rsidR="00307082">
        <w:t>.</w:t>
      </w:r>
    </w:p>
    <w:p w14:paraId="0AAD9EA7" w14:textId="49ABD974" w:rsidR="00971EA5" w:rsidRDefault="0031266C" w:rsidP="00347B8A">
      <w:pPr>
        <w:pStyle w:val="ListBullet"/>
      </w:pPr>
      <w:r>
        <w:t>Self-regulati</w:t>
      </w:r>
      <w:r w:rsidR="00BD15D0">
        <w:t xml:space="preserve">on should be considered where: </w:t>
      </w:r>
    </w:p>
    <w:p w14:paraId="3137C09C" w14:textId="0FE26579" w:rsidR="00E425B7" w:rsidRDefault="00E425B7" w:rsidP="00715860">
      <w:pPr>
        <w:pStyle w:val="BulletList2Column"/>
      </w:pPr>
      <w:r>
        <w:t>there is no strong public interest concern, in particular, no major public health</w:t>
      </w:r>
      <w:r w:rsidR="009102DC">
        <w:t xml:space="preserve"> </w:t>
      </w:r>
      <w:r>
        <w:t>and safety concern;</w:t>
      </w:r>
    </w:p>
    <w:p w14:paraId="3BBAAB68" w14:textId="599E5B87" w:rsidR="00E425B7" w:rsidRDefault="00E425B7" w:rsidP="00715860">
      <w:pPr>
        <w:pStyle w:val="BulletList2Column"/>
      </w:pPr>
      <w:r>
        <w:t>the problem is a low risk event, of low impact/significance, in other words the</w:t>
      </w:r>
      <w:r w:rsidR="009102DC">
        <w:t xml:space="preserve"> </w:t>
      </w:r>
      <w:r>
        <w:t>consequences of self-regulation failing to resolve a specific problem are small; and</w:t>
      </w:r>
    </w:p>
    <w:p w14:paraId="0F041967" w14:textId="0020AC07" w:rsidR="00BD15D0" w:rsidRDefault="00E425B7" w:rsidP="00715860">
      <w:pPr>
        <w:pStyle w:val="BulletList2Column"/>
      </w:pPr>
      <w:r>
        <w:t>the problem can be fixed by the market itself, in other words there is an incentive for individuals and groups to develop and comply with self-regulatory arrangements (e.g. for industry survival, or to gain a market advantage).</w:t>
      </w:r>
    </w:p>
    <w:p w14:paraId="3CA58844" w14:textId="015032F2" w:rsidR="00764CB8" w:rsidRDefault="002653EB" w:rsidP="00C552FF">
      <w:pPr>
        <w:pStyle w:val="ListBullet"/>
        <w:numPr>
          <w:ilvl w:val="0"/>
          <w:numId w:val="0"/>
        </w:numPr>
      </w:pPr>
      <w:r>
        <w:t xml:space="preserve">While the </w:t>
      </w:r>
      <w:r w:rsidR="00A635D1">
        <w:t xml:space="preserve">audiology </w:t>
      </w:r>
      <w:r>
        <w:t>sector has</w:t>
      </w:r>
      <w:r w:rsidR="002E5230">
        <w:t xml:space="preserve"> </w:t>
      </w:r>
      <w:r w:rsidR="00347B8A">
        <w:t xml:space="preserve">implemented </w:t>
      </w:r>
      <w:r w:rsidR="00307082">
        <w:t xml:space="preserve">a range of self-regulatory mechanisms (including university accreditation, </w:t>
      </w:r>
      <w:r w:rsidR="00AE3521">
        <w:t xml:space="preserve">complaints </w:t>
      </w:r>
      <w:r w:rsidR="001203C2">
        <w:t xml:space="preserve">mechanisms, a </w:t>
      </w:r>
      <w:r w:rsidR="001203C2" w:rsidRPr="000827A6">
        <w:rPr>
          <w:i/>
          <w:iCs/>
        </w:rPr>
        <w:t>Code of Conduct</w:t>
      </w:r>
      <w:r w:rsidR="000827A6">
        <w:t xml:space="preserve">) there is disconnect </w:t>
      </w:r>
      <w:r w:rsidR="00522DD1">
        <w:t>and disagreement between</w:t>
      </w:r>
      <w:r w:rsidR="00766007">
        <w:t xml:space="preserve"> </w:t>
      </w:r>
      <w:r w:rsidR="00A32B9C">
        <w:t>stakeholder</w:t>
      </w:r>
      <w:r w:rsidR="00056E68">
        <w:t>s</w:t>
      </w:r>
      <w:r w:rsidR="00A32B9C">
        <w:t xml:space="preserve"> </w:t>
      </w:r>
      <w:r w:rsidR="00056E68">
        <w:t xml:space="preserve">regarding </w:t>
      </w:r>
      <w:r w:rsidR="005B3AF9">
        <w:t>perceived levels of</w:t>
      </w:r>
      <w:r w:rsidR="00056E68">
        <w:t xml:space="preserve"> harms occurring </w:t>
      </w:r>
      <w:r w:rsidR="00B80579">
        <w:t xml:space="preserve">in the </w:t>
      </w:r>
      <w:r w:rsidR="005D2558">
        <w:t>current state</w:t>
      </w:r>
      <w:r w:rsidR="00A635D1">
        <w:t xml:space="preserve">. </w:t>
      </w:r>
      <w:r w:rsidR="00813F1D">
        <w:t>This Decision RIS recognises that stakeholders provided qualitative evidence of their perceptions of harm occurring, or their witnessing of harms occurring. In addition, the</w:t>
      </w:r>
      <w:r w:rsidR="00C739DA">
        <w:t xml:space="preserve"> three </w:t>
      </w:r>
      <w:r w:rsidR="009D59E2">
        <w:t xml:space="preserve">external reviews </w:t>
      </w:r>
      <w:r w:rsidR="00B81F01">
        <w:t>present evi</w:t>
      </w:r>
      <w:r w:rsidR="00345A84">
        <w:t xml:space="preserve">dence </w:t>
      </w:r>
      <w:r w:rsidR="00373B8D">
        <w:t>and data associated with instances of</w:t>
      </w:r>
      <w:r w:rsidR="00345A84">
        <w:t xml:space="preserve"> </w:t>
      </w:r>
      <w:r w:rsidR="0093602E">
        <w:t>severe clinical</w:t>
      </w:r>
      <w:r w:rsidR="00345A84">
        <w:t xml:space="preserve"> harm</w:t>
      </w:r>
      <w:r w:rsidR="005C2FFF">
        <w:t>. However,</w:t>
      </w:r>
      <w:r w:rsidR="00345A84">
        <w:t xml:space="preserve"> </w:t>
      </w:r>
      <w:r w:rsidR="00C25AC9">
        <w:t xml:space="preserve">complaints </w:t>
      </w:r>
      <w:r w:rsidR="0057616E">
        <w:t xml:space="preserve">data able to be provided for this Decision RIS from </w:t>
      </w:r>
      <w:r w:rsidR="00F3326E">
        <w:t xml:space="preserve">complaints entities </w:t>
      </w:r>
      <w:r w:rsidR="00CE3834">
        <w:t xml:space="preserve">did not include </w:t>
      </w:r>
      <w:r w:rsidR="00FE787A">
        <w:t>evidence</w:t>
      </w:r>
      <w:r w:rsidR="00080163">
        <w:t xml:space="preserve"> of ongoing</w:t>
      </w:r>
      <w:r w:rsidR="00277312">
        <w:t xml:space="preserve"> application of severe sanctions</w:t>
      </w:r>
      <w:r w:rsidR="004D5B75">
        <w:t xml:space="preserve"> to audiologists</w:t>
      </w:r>
      <w:r w:rsidR="00277312">
        <w:t xml:space="preserve">. </w:t>
      </w:r>
      <w:r w:rsidR="007701A4">
        <w:t>Hence</w:t>
      </w:r>
      <w:r w:rsidR="005038A9">
        <w:t>, t</w:t>
      </w:r>
      <w:r w:rsidR="00093FFC">
        <w:t xml:space="preserve">his Decision RIS is not able to determine whether this finding is </w:t>
      </w:r>
      <w:r w:rsidR="00307E34">
        <w:t>reflective of low levels of harm occurring</w:t>
      </w:r>
      <w:r w:rsidR="00CC5FCF">
        <w:t xml:space="preserve"> outside of the events of the external reviews</w:t>
      </w:r>
      <w:r w:rsidR="00307E34">
        <w:t xml:space="preserve">, or </w:t>
      </w:r>
      <w:r w:rsidR="00CE6143">
        <w:t xml:space="preserve">that instances of substandard care causing serious harms are going undetected or unreported. </w:t>
      </w:r>
      <w:r w:rsidR="00C552FF">
        <w:t>However, in recognition of the</w:t>
      </w:r>
      <w:r w:rsidR="008C44B3">
        <w:t xml:space="preserve"> severe clinical harms in evidence,</w:t>
      </w:r>
      <w:r w:rsidR="007662E9">
        <w:t xml:space="preserve"> </w:t>
      </w:r>
      <w:r w:rsidR="009D39C4">
        <w:t xml:space="preserve">the continued </w:t>
      </w:r>
      <w:r w:rsidR="007662E9">
        <w:t xml:space="preserve">self-regulation of the audiology profession </w:t>
      </w:r>
      <w:r w:rsidR="007D2F97">
        <w:t xml:space="preserve">as the preferred </w:t>
      </w:r>
      <w:r w:rsidR="0058237A">
        <w:t xml:space="preserve">mechanism </w:t>
      </w:r>
      <w:r w:rsidR="009D39C4">
        <w:t xml:space="preserve">of regulation requires further </w:t>
      </w:r>
      <w:r w:rsidR="00D23710">
        <w:t>assessment</w:t>
      </w:r>
      <w:r w:rsidR="009D39C4">
        <w:t>.</w:t>
      </w:r>
    </w:p>
    <w:p w14:paraId="3D6E9BA8" w14:textId="77777777" w:rsidR="000827A6" w:rsidRDefault="000827A6" w:rsidP="00E93D95">
      <w:pPr>
        <w:pStyle w:val="ListBullet"/>
        <w:numPr>
          <w:ilvl w:val="0"/>
          <w:numId w:val="0"/>
        </w:numPr>
      </w:pPr>
    </w:p>
    <w:p w14:paraId="70AE6ABC" w14:textId="77777777" w:rsidR="00093EE7" w:rsidRDefault="00093EE7" w:rsidP="00F11933">
      <w:pPr>
        <w:pStyle w:val="BodyText"/>
        <w:sectPr w:rsidR="00093EE7" w:rsidSect="007F4E7D">
          <w:pgSz w:w="11906" w:h="16838" w:code="9"/>
          <w:pgMar w:top="1531" w:right="1531" w:bottom="1531" w:left="1531" w:header="709" w:footer="709" w:gutter="0"/>
          <w:cols w:space="708"/>
          <w:docGrid w:linePitch="360"/>
        </w:sectPr>
      </w:pPr>
    </w:p>
    <w:p w14:paraId="23B9124F" w14:textId="7BBB3AB6" w:rsidR="00C97EA4" w:rsidRDefault="00C97EA4" w:rsidP="00952457">
      <w:pPr>
        <w:pStyle w:val="Heading1"/>
      </w:pPr>
      <w:bookmarkStart w:id="127" w:name="_Toc198138596"/>
      <w:r>
        <w:t>Why is government action needed?</w:t>
      </w:r>
      <w:bookmarkEnd w:id="127"/>
    </w:p>
    <w:tbl>
      <w:tblPr>
        <w:tblStyle w:val="TableGrid"/>
        <w:tblW w:w="0" w:type="auto"/>
        <w:tblLook w:val="04A0" w:firstRow="1" w:lastRow="0" w:firstColumn="1" w:lastColumn="0" w:noHBand="0" w:noVBand="1"/>
      </w:tblPr>
      <w:tblGrid>
        <w:gridCol w:w="8834"/>
      </w:tblGrid>
      <w:tr w:rsidR="007A369B" w14:paraId="32025DF4" w14:textId="77777777" w:rsidTr="007A369B">
        <w:tc>
          <w:tcPr>
            <w:tcW w:w="8834" w:type="dxa"/>
          </w:tcPr>
          <w:p w14:paraId="46269D02" w14:textId="6504F98E" w:rsidR="007A369B" w:rsidRPr="006138D4" w:rsidRDefault="006138D4" w:rsidP="00026ACD">
            <w:pPr>
              <w:pStyle w:val="BodyText"/>
              <w:rPr>
                <w:b/>
                <w:bCs/>
              </w:rPr>
            </w:pPr>
            <w:r w:rsidRPr="006138D4">
              <w:rPr>
                <w:b/>
                <w:bCs/>
              </w:rPr>
              <w:t xml:space="preserve">Chapter </w:t>
            </w:r>
            <w:r w:rsidR="00C64B11">
              <w:rPr>
                <w:b/>
                <w:bCs/>
              </w:rPr>
              <w:t>s</w:t>
            </w:r>
            <w:r w:rsidRPr="006138D4">
              <w:rPr>
                <w:b/>
                <w:bCs/>
              </w:rPr>
              <w:t>ummary</w:t>
            </w:r>
          </w:p>
          <w:p w14:paraId="6501ECD2" w14:textId="77777777" w:rsidR="00DA2C72" w:rsidRDefault="00DA2C72" w:rsidP="00491135">
            <w:pPr>
              <w:pStyle w:val="ListBullet"/>
            </w:pPr>
            <w:bookmarkStart w:id="128" w:name="_Hlk172789356"/>
            <w:r>
              <w:t>There is a legitimate reason for government intervention due to:</w:t>
            </w:r>
          </w:p>
          <w:p w14:paraId="15E71759" w14:textId="090C626B" w:rsidR="00DA2C72" w:rsidRDefault="00DA2C72" w:rsidP="00491135">
            <w:pPr>
              <w:pStyle w:val="BulletList2Column"/>
            </w:pPr>
            <w:r>
              <w:t>State and Territory government responsibility for public hospital services</w:t>
            </w:r>
            <w:r w:rsidR="009759B0">
              <w:t>.</w:t>
            </w:r>
          </w:p>
          <w:p w14:paraId="5D7769C0" w14:textId="1246FC4D" w:rsidR="00DA2C72" w:rsidRDefault="00DA2C72" w:rsidP="00491135">
            <w:pPr>
              <w:pStyle w:val="BulletList2Column"/>
            </w:pPr>
            <w:r>
              <w:t>The market for audiology services includes elements of information asymmetry, principal-agent issues and positive externalities</w:t>
            </w:r>
            <w:r w:rsidR="009759B0">
              <w:t>.</w:t>
            </w:r>
          </w:p>
          <w:p w14:paraId="4920E256" w14:textId="77777777" w:rsidR="00DA2C72" w:rsidRDefault="00DA2C72" w:rsidP="00491135">
            <w:pPr>
              <w:pStyle w:val="BulletList2Column"/>
            </w:pPr>
            <w:r>
              <w:t>Health workforce regulation is an established responsibility between the Australian Government and States and Territories. Here, government has shown the capacity to intervene through both broad-based mechanisms (e.g., implementation of the National Code) as well as profession-specific mechanisms (e.g., the inclusion of paramedicine in the National Scheme).</w:t>
            </w:r>
          </w:p>
          <w:p w14:paraId="0D97D330" w14:textId="4DE33287" w:rsidR="00DA2C72" w:rsidRDefault="00DA2C72" w:rsidP="00491135">
            <w:pPr>
              <w:pStyle w:val="BulletList2Column"/>
            </w:pPr>
            <w:r>
              <w:t>Government subsidisation of hearing services and devices in relation to the Hearing Services Program requires appropriate regulatory settings to ensure continued access for Australians</w:t>
            </w:r>
            <w:r w:rsidR="002426C7">
              <w:t>.</w:t>
            </w:r>
          </w:p>
          <w:bookmarkEnd w:id="128"/>
          <w:p w14:paraId="6952E9B1" w14:textId="77777777" w:rsidR="00075BED" w:rsidRDefault="00075BED" w:rsidP="00491135">
            <w:pPr>
              <w:pStyle w:val="ListBullet"/>
            </w:pPr>
            <w:r w:rsidRPr="00075BED">
              <w:t>The overarching goal of government action is to protect the Australian public by minimising the incidence of patient harm associated with delivery of audiology services. Harm is defined to include health, social, and economic (including financial) impacts, and recognises the long-term impacts that may arise from a single incident of harm.</w:t>
            </w:r>
          </w:p>
          <w:p w14:paraId="47D80498" w14:textId="4E59E27E" w:rsidR="005B421F" w:rsidRPr="00EB112B" w:rsidRDefault="002D2BEC" w:rsidP="002D2BEC">
            <w:pPr>
              <w:pStyle w:val="ListBullet"/>
            </w:pPr>
            <w:r>
              <w:t>Objectives for</w:t>
            </w:r>
            <w:r w:rsidR="004E7649">
              <w:t xml:space="preserve"> government action</w:t>
            </w:r>
            <w:r w:rsidR="005B421F">
              <w:t xml:space="preserve"> include:</w:t>
            </w:r>
          </w:p>
          <w:p w14:paraId="45350566" w14:textId="77777777" w:rsidR="005B421F" w:rsidRPr="00CD64CA" w:rsidRDefault="005B421F" w:rsidP="00CD64CA">
            <w:pPr>
              <w:pStyle w:val="BulletList2Column"/>
            </w:pPr>
            <w:r w:rsidRPr="00CD64CA">
              <w:rPr>
                <w:b/>
                <w:bCs/>
              </w:rPr>
              <w:t>Care quality assurance</w:t>
            </w:r>
            <w:r w:rsidRPr="00CD64CA">
              <w:t xml:space="preserve">. Ensure audiology services are delivered by practitioners who are supported by a clear scope of practice and profession-level goods. </w:t>
            </w:r>
          </w:p>
          <w:p w14:paraId="1E1CED27" w14:textId="77777777" w:rsidR="005B421F" w:rsidRPr="00CD64CA" w:rsidRDefault="005B421F" w:rsidP="00CD64CA">
            <w:pPr>
              <w:pStyle w:val="BulletList2Column"/>
            </w:pPr>
            <w:r w:rsidRPr="00CD64CA">
              <w:rPr>
                <w:b/>
                <w:bCs/>
              </w:rPr>
              <w:t>Regulatory consistency</w:t>
            </w:r>
            <w:r w:rsidRPr="00CD64CA">
              <w:t>. A regulatory context that provides consistent oversight of the whole profession, regardless of jurisdiction, elective membership or employment type.</w:t>
            </w:r>
          </w:p>
          <w:p w14:paraId="56C2B580" w14:textId="77777777" w:rsidR="005B421F" w:rsidRPr="00CD64CA" w:rsidRDefault="005B421F" w:rsidP="00CD64CA">
            <w:pPr>
              <w:pStyle w:val="BulletList2Column"/>
            </w:pPr>
            <w:r w:rsidRPr="00CD64CA">
              <w:rPr>
                <w:b/>
                <w:bCs/>
              </w:rPr>
              <w:t>Escalation systems</w:t>
            </w:r>
            <w:r w:rsidRPr="00CD64CA">
              <w:t xml:space="preserve">. Robust regulatory systems that maximise the identification of cases of substandard care and ensure they are appropriately treated. </w:t>
            </w:r>
          </w:p>
          <w:p w14:paraId="06B9E285" w14:textId="77777777" w:rsidR="005B421F" w:rsidRPr="00CD64CA" w:rsidRDefault="005B421F" w:rsidP="00CD64CA">
            <w:pPr>
              <w:pStyle w:val="BulletList2Column"/>
            </w:pPr>
            <w:r w:rsidRPr="00CD64CA">
              <w:rPr>
                <w:b/>
                <w:bCs/>
              </w:rPr>
              <w:t>Market awareness</w:t>
            </w:r>
            <w:r w:rsidRPr="00CD64CA">
              <w:t>. Mechanisms that increase market signalling, with a view to raising consumer and employer understanding of who is fit and proper to deliver different types of hearing health services.</w:t>
            </w:r>
          </w:p>
          <w:p w14:paraId="55E04E15" w14:textId="77777777" w:rsidR="005B421F" w:rsidRPr="00CD64CA" w:rsidRDefault="005B421F" w:rsidP="00CD64CA">
            <w:pPr>
              <w:pStyle w:val="BulletList2Column"/>
            </w:pPr>
            <w:r w:rsidRPr="00CD64CA">
              <w:rPr>
                <w:b/>
                <w:bCs/>
              </w:rPr>
              <w:t>Ethical practice</w:t>
            </w:r>
            <w:r w:rsidRPr="00CD64CA">
              <w:t xml:space="preserve">. Mechanisms that seek to minimise undue commercial influence on clinical practice, with the goal of preventing practitioner behaviours that are unethical or unsafe. </w:t>
            </w:r>
          </w:p>
          <w:p w14:paraId="2434B9E6" w14:textId="77777777" w:rsidR="00D16987" w:rsidRDefault="00D16987" w:rsidP="00D16987">
            <w:pPr>
              <w:pStyle w:val="ListBullet"/>
            </w:pPr>
            <w:r>
              <w:t xml:space="preserve">Constraints and barriers to government action </w:t>
            </w:r>
            <w:r w:rsidR="00954526">
              <w:t>include:</w:t>
            </w:r>
          </w:p>
          <w:p w14:paraId="479BB2E1" w14:textId="77777777" w:rsidR="00954526" w:rsidRDefault="00FD55B9" w:rsidP="001655D1">
            <w:pPr>
              <w:pStyle w:val="BulletList2Column"/>
            </w:pPr>
            <w:r>
              <w:t>p</w:t>
            </w:r>
            <w:r w:rsidRPr="00FD55B9">
              <w:t>recedent setting in the context of public sector employment frameworks</w:t>
            </w:r>
          </w:p>
          <w:p w14:paraId="38DFE233" w14:textId="77777777" w:rsidR="0014450A" w:rsidRDefault="0014450A" w:rsidP="001655D1">
            <w:pPr>
              <w:pStyle w:val="BulletList2Column"/>
            </w:pPr>
            <w:r>
              <w:t>v</w:t>
            </w:r>
            <w:r w:rsidRPr="0014450A">
              <w:t>ariation in site-specific issues identified in the external reviews</w:t>
            </w:r>
          </w:p>
          <w:p w14:paraId="232087B1" w14:textId="4A83E8A1" w:rsidR="00434F1B" w:rsidRDefault="00CB02F3" w:rsidP="001655D1">
            <w:pPr>
              <w:pStyle w:val="BulletList2Column"/>
            </w:pPr>
            <w:r>
              <w:t>l</w:t>
            </w:r>
            <w:r w:rsidRPr="00CB02F3">
              <w:t>ack of stakeholder consensus regarding the level of harm occurring under the current state</w:t>
            </w:r>
            <w:r>
              <w:t>.</w:t>
            </w:r>
          </w:p>
        </w:tc>
      </w:tr>
    </w:tbl>
    <w:p w14:paraId="7512EFFC" w14:textId="77777777" w:rsidR="007A369B" w:rsidRDefault="007A369B" w:rsidP="00026ACD">
      <w:pPr>
        <w:pStyle w:val="BodyText"/>
      </w:pPr>
    </w:p>
    <w:p w14:paraId="21C2A439" w14:textId="2E2FA67E" w:rsidR="00026ACD" w:rsidRPr="00F85FA5" w:rsidRDefault="00026ACD" w:rsidP="00026ACD">
      <w:pPr>
        <w:pStyle w:val="BodyText"/>
      </w:pPr>
      <w:r w:rsidRPr="00F85FA5">
        <w:t xml:space="preserve">This </w:t>
      </w:r>
      <w:r>
        <w:t xml:space="preserve">chapter provides an overview of the rationale for government intervention, alternatives to government action, objectives of government action and constraints and barriers to achieving stated objectives. </w:t>
      </w:r>
    </w:p>
    <w:p w14:paraId="4322EA4F" w14:textId="77777777" w:rsidR="00026ACD" w:rsidRDefault="00026ACD" w:rsidP="00F24996">
      <w:pPr>
        <w:pStyle w:val="Heading2"/>
        <w:numPr>
          <w:ilvl w:val="1"/>
          <w:numId w:val="27"/>
        </w:numPr>
      </w:pPr>
      <w:bookmarkStart w:id="129" w:name="_Toc171324751"/>
      <w:bookmarkStart w:id="130" w:name="_Toc198138597"/>
      <w:r>
        <w:t xml:space="preserve">Rationale for </w:t>
      </w:r>
      <w:r w:rsidRPr="00026ACD">
        <w:t>government</w:t>
      </w:r>
      <w:r>
        <w:t xml:space="preserve"> intervention</w:t>
      </w:r>
      <w:bookmarkEnd w:id="129"/>
      <w:bookmarkEnd w:id="130"/>
    </w:p>
    <w:p w14:paraId="2D83BD1B" w14:textId="3A28B955" w:rsidR="00026ACD" w:rsidRDefault="0051522A" w:rsidP="00026ACD">
      <w:pPr>
        <w:pStyle w:val="BodyText"/>
      </w:pPr>
      <w:r>
        <w:t xml:space="preserve">Government intervention is required when current regulatory and market settings are unable to achieve socially efficient outcomes, and when other non-regulatory approaches have failed. </w:t>
      </w:r>
      <w:r w:rsidR="00026ACD">
        <w:t>The following rationale is provided for government intervention.</w:t>
      </w:r>
    </w:p>
    <w:p w14:paraId="2A5E4D40" w14:textId="6239F155" w:rsidR="00A31DDE" w:rsidRDefault="00B57630" w:rsidP="001F0919">
      <w:pPr>
        <w:pStyle w:val="ListBullet"/>
      </w:pPr>
      <w:r w:rsidRPr="00E00B54">
        <w:rPr>
          <w:b/>
          <w:bCs/>
        </w:rPr>
        <w:t xml:space="preserve">State and Territory government </w:t>
      </w:r>
      <w:r w:rsidR="00E00B54" w:rsidRPr="00E00B54">
        <w:rPr>
          <w:b/>
          <w:bCs/>
        </w:rPr>
        <w:t>responsibility</w:t>
      </w:r>
      <w:r w:rsidR="005C5115" w:rsidRPr="00E00B54">
        <w:rPr>
          <w:b/>
          <w:bCs/>
        </w:rPr>
        <w:t xml:space="preserve"> </w:t>
      </w:r>
      <w:r w:rsidR="008119F9">
        <w:rPr>
          <w:b/>
          <w:bCs/>
        </w:rPr>
        <w:t>for public hospital services</w:t>
      </w:r>
      <w:r w:rsidR="00E00B54">
        <w:t xml:space="preserve">: </w:t>
      </w:r>
      <w:r w:rsidR="00300BE3">
        <w:t>The</w:t>
      </w:r>
      <w:r w:rsidR="004C6D7A">
        <w:t xml:space="preserve"> three </w:t>
      </w:r>
      <w:r w:rsidR="003144C3">
        <w:t xml:space="preserve">external reviews into </w:t>
      </w:r>
      <w:r w:rsidR="00AA60DF">
        <w:t>paediatric diagnostic and cochlear implant care services</w:t>
      </w:r>
      <w:r w:rsidR="00D8306D">
        <w:t xml:space="preserve"> </w:t>
      </w:r>
      <w:r w:rsidR="00275D48">
        <w:t xml:space="preserve">occurred </w:t>
      </w:r>
      <w:r w:rsidR="008B2739">
        <w:t>in public hospital settings</w:t>
      </w:r>
      <w:r w:rsidR="00AA60DF">
        <w:t xml:space="preserve">. </w:t>
      </w:r>
      <w:r w:rsidR="0042175A">
        <w:t xml:space="preserve">Under Australia’s health care system, </w:t>
      </w:r>
      <w:r w:rsidR="00FC7B44">
        <w:t xml:space="preserve">State and Territory governments manage public hospitals, </w:t>
      </w:r>
      <w:r w:rsidR="00DC5012">
        <w:t>with services</w:t>
      </w:r>
      <w:r w:rsidR="00FC7B44">
        <w:t xml:space="preserve"> </w:t>
      </w:r>
      <w:r w:rsidR="00DC5012">
        <w:t>funded primarily by State</w:t>
      </w:r>
      <w:r w:rsidR="00A31DDE">
        <w:t xml:space="preserve"> and Territory and Commonwealth governments.</w:t>
      </w:r>
      <w:r w:rsidR="008B2739">
        <w:rPr>
          <w:rStyle w:val="FootnoteReference"/>
        </w:rPr>
        <w:footnoteReference w:id="201"/>
      </w:r>
      <w:r w:rsidR="00A31DDE">
        <w:t xml:space="preserve"> </w:t>
      </w:r>
      <w:r w:rsidR="008B2739">
        <w:t xml:space="preserve">Therefore, </w:t>
      </w:r>
      <w:r w:rsidR="00971885">
        <w:t xml:space="preserve">government has </w:t>
      </w:r>
      <w:r w:rsidR="008B2739">
        <w:t xml:space="preserve">a core responsibility to ensure that </w:t>
      </w:r>
      <w:r w:rsidR="00971885">
        <w:t xml:space="preserve">services delivered are </w:t>
      </w:r>
      <w:r w:rsidR="00DE3B63">
        <w:t xml:space="preserve">safe and </w:t>
      </w:r>
      <w:r w:rsidR="00910C16">
        <w:t>of a high</w:t>
      </w:r>
      <w:r w:rsidR="00161448">
        <w:t xml:space="preserve"> </w:t>
      </w:r>
      <w:r w:rsidR="00910C16">
        <w:t>quality</w:t>
      </w:r>
      <w:r w:rsidR="0090287E">
        <w:t>. These strategic</w:t>
      </w:r>
      <w:r w:rsidR="00F9469E">
        <w:t xml:space="preserve"> priorities have been affirmed</w:t>
      </w:r>
      <w:r w:rsidR="009046E8">
        <w:t xml:space="preserve"> </w:t>
      </w:r>
      <w:r w:rsidR="00F9469E">
        <w:t xml:space="preserve">in the key sectoral </w:t>
      </w:r>
      <w:r w:rsidR="00B62BA2">
        <w:t>agree</w:t>
      </w:r>
      <w:r w:rsidR="009046E8">
        <w:t>ment</w:t>
      </w:r>
      <w:r w:rsidR="00196821">
        <w:t xml:space="preserve"> </w:t>
      </w:r>
      <w:r w:rsidR="00196821" w:rsidRPr="00196821">
        <w:rPr>
          <w:i/>
          <w:iCs/>
        </w:rPr>
        <w:t>2020-2025 National Health Reform Agreement</w:t>
      </w:r>
      <w:r w:rsidR="008C5D6E">
        <w:rPr>
          <w:i/>
          <w:iCs/>
        </w:rPr>
        <w:t xml:space="preserve"> </w:t>
      </w:r>
      <w:r w:rsidR="008C5D6E" w:rsidRPr="00A41737">
        <w:t>as</w:t>
      </w:r>
      <w:r w:rsidR="008C5D6E">
        <w:rPr>
          <w:i/>
          <w:iCs/>
        </w:rPr>
        <w:t xml:space="preserve"> ‘delivering </w:t>
      </w:r>
      <w:r w:rsidR="00A41737">
        <w:rPr>
          <w:i/>
          <w:iCs/>
        </w:rPr>
        <w:t>safe, high-quality care in the right place at the right time.’</w:t>
      </w:r>
      <w:r w:rsidR="00505768">
        <w:rPr>
          <w:rStyle w:val="FootnoteReference"/>
        </w:rPr>
        <w:footnoteReference w:id="202"/>
      </w:r>
      <w:r w:rsidR="00D56046">
        <w:t xml:space="preserve"> While </w:t>
      </w:r>
      <w:r w:rsidR="00713B81">
        <w:t xml:space="preserve">patients </w:t>
      </w:r>
      <w:r w:rsidR="00736E83">
        <w:t xml:space="preserve">may </w:t>
      </w:r>
      <w:r w:rsidR="006D5CF0">
        <w:t xml:space="preserve">exert choice and </w:t>
      </w:r>
      <w:r w:rsidR="009D0982">
        <w:t>receive services in the private hospital system</w:t>
      </w:r>
      <w:r w:rsidR="0092750B">
        <w:t xml:space="preserve">, </w:t>
      </w:r>
      <w:r w:rsidR="00696F44">
        <w:t>private health insurance</w:t>
      </w:r>
      <w:r w:rsidR="00294186">
        <w:t xml:space="preserve"> coverage is observed to be inequitably distributed across Australia. </w:t>
      </w:r>
      <w:r w:rsidR="00332D18">
        <w:t>In 2018-19</w:t>
      </w:r>
      <w:r w:rsidR="004C2876">
        <w:t>,</w:t>
      </w:r>
      <w:r w:rsidR="00332D18">
        <w:t xml:space="preserve"> 21% of Indigenous Australians aged 15 years and over in non-remote areas had private health insurance coverage, compared to 58% of non-Indigenous Australians.</w:t>
      </w:r>
      <w:r w:rsidR="00332D18">
        <w:rPr>
          <w:rStyle w:val="FootnoteReference"/>
        </w:rPr>
        <w:footnoteReference w:id="203"/>
      </w:r>
      <w:r w:rsidR="002716B1">
        <w:t xml:space="preserve"> Additionally, </w:t>
      </w:r>
      <w:r w:rsidR="0092750B">
        <w:t xml:space="preserve">according to the </w:t>
      </w:r>
      <w:r w:rsidR="007A5DB0">
        <w:t xml:space="preserve">ABS’ </w:t>
      </w:r>
      <w:r w:rsidR="007A5DB0" w:rsidRPr="00895B16">
        <w:rPr>
          <w:i/>
          <w:iCs/>
        </w:rPr>
        <w:t>Patient Experiences Survey 2022-23</w:t>
      </w:r>
      <w:r w:rsidR="001A4273">
        <w:t>:</w:t>
      </w:r>
      <w:r w:rsidR="0086616A">
        <w:rPr>
          <w:rStyle w:val="FootnoteReference"/>
        </w:rPr>
        <w:footnoteReference w:id="204"/>
      </w:r>
    </w:p>
    <w:p w14:paraId="2AF4B9C0" w14:textId="12887F5D" w:rsidR="001A4273" w:rsidRDefault="00541C08" w:rsidP="002716B1">
      <w:pPr>
        <w:pStyle w:val="BulletList2Column"/>
      </w:pPr>
      <w:r>
        <w:t>35.3% of people living in areas of most socioeconomic disadvantage reported having private health insurance coverage</w:t>
      </w:r>
      <w:r w:rsidR="00D43DE3">
        <w:t>, compare</w:t>
      </w:r>
      <w:r w:rsidR="00E740A7">
        <w:t>d</w:t>
      </w:r>
      <w:r w:rsidR="00D43DE3">
        <w:t xml:space="preserve"> to 78.6% of people living in areas of least socioeconomic disadvantage</w:t>
      </w:r>
    </w:p>
    <w:p w14:paraId="5B065FA1" w14:textId="71591B84" w:rsidR="0092750B" w:rsidRDefault="00CC5A56" w:rsidP="002716B1">
      <w:pPr>
        <w:pStyle w:val="BulletList2Column"/>
      </w:pPr>
      <w:r>
        <w:t>49.3% of people living in outer regional, remote or very remote areas reported having private health insurance coverage, compared to 61.1% of those living in major cities</w:t>
      </w:r>
      <w:r w:rsidR="0086616A">
        <w:t>.</w:t>
      </w:r>
    </w:p>
    <w:p w14:paraId="443020FB" w14:textId="36A3C7C9" w:rsidR="001E3FF2" w:rsidRPr="001E3FF2" w:rsidRDefault="00892773" w:rsidP="00C5353A">
      <w:pPr>
        <w:pStyle w:val="ListBullet"/>
        <w:numPr>
          <w:ilvl w:val="0"/>
          <w:numId w:val="0"/>
        </w:numPr>
        <w:ind w:left="360"/>
      </w:pPr>
      <w:r w:rsidRPr="009D0982">
        <w:t xml:space="preserve">Hence, </w:t>
      </w:r>
      <w:r w:rsidR="009D0982">
        <w:t xml:space="preserve">patients may be </w:t>
      </w:r>
      <w:r w:rsidR="00D857C3">
        <w:t xml:space="preserve">financially </w:t>
      </w:r>
      <w:r w:rsidR="009D0982">
        <w:t>constrained to receiv</w:t>
      </w:r>
      <w:r w:rsidR="001F0919">
        <w:t xml:space="preserve">ing </w:t>
      </w:r>
      <w:r w:rsidR="00D857C3">
        <w:t>public hospital services</w:t>
      </w:r>
      <w:r w:rsidR="003B20A1">
        <w:t>,</w:t>
      </w:r>
      <w:r w:rsidR="004124EB">
        <w:t xml:space="preserve"> increasing the</w:t>
      </w:r>
      <w:r w:rsidR="00DA621F">
        <w:t xml:space="preserve"> importance of </w:t>
      </w:r>
      <w:r w:rsidR="00905B0D">
        <w:t>appropriate regulatory settings to ensure services are safe and of a high quality.</w:t>
      </w:r>
    </w:p>
    <w:p w14:paraId="0E01B4E4" w14:textId="34985FB5" w:rsidR="00026ACD" w:rsidRDefault="0079526D" w:rsidP="00C5353A">
      <w:pPr>
        <w:pStyle w:val="ListBullet"/>
      </w:pPr>
      <w:r w:rsidRPr="001E3FF2">
        <w:rPr>
          <w:b/>
          <w:bCs/>
        </w:rPr>
        <w:t xml:space="preserve">The market for audiology services </w:t>
      </w:r>
      <w:r w:rsidR="004155EF">
        <w:rPr>
          <w:b/>
          <w:bCs/>
        </w:rPr>
        <w:t xml:space="preserve">includes </w:t>
      </w:r>
      <w:r w:rsidR="008303EB">
        <w:rPr>
          <w:b/>
          <w:bCs/>
        </w:rPr>
        <w:t>elements of information</w:t>
      </w:r>
      <w:r w:rsidR="00F415A7" w:rsidRPr="001E3FF2">
        <w:rPr>
          <w:b/>
          <w:bCs/>
        </w:rPr>
        <w:t xml:space="preserve"> asymmetry</w:t>
      </w:r>
      <w:r w:rsidR="008303EB">
        <w:rPr>
          <w:b/>
          <w:bCs/>
        </w:rPr>
        <w:t xml:space="preserve">, principal-agent </w:t>
      </w:r>
      <w:r w:rsidR="007407FF">
        <w:rPr>
          <w:b/>
          <w:bCs/>
        </w:rPr>
        <w:t>issues</w:t>
      </w:r>
      <w:r w:rsidR="00F415A7" w:rsidRPr="001E3FF2">
        <w:rPr>
          <w:b/>
          <w:bCs/>
        </w:rPr>
        <w:t xml:space="preserve"> and </w:t>
      </w:r>
      <w:r w:rsidR="001E3FF2" w:rsidRPr="001E3FF2">
        <w:rPr>
          <w:b/>
          <w:bCs/>
        </w:rPr>
        <w:t>positive externalities</w:t>
      </w:r>
      <w:r w:rsidR="001E3FF2">
        <w:t>:</w:t>
      </w:r>
      <w:r w:rsidR="00C42EDE">
        <w:t xml:space="preserve"> </w:t>
      </w:r>
      <w:r w:rsidR="00852567">
        <w:t xml:space="preserve">Intervention into markets may be justified when </w:t>
      </w:r>
      <w:r w:rsidR="00953249">
        <w:t>market distor</w:t>
      </w:r>
      <w:r w:rsidR="00C5353A">
        <w:t>tions are present. As described in</w:t>
      </w:r>
      <w:r w:rsidR="00026ACD">
        <w:t xml:space="preserve"> Chapter 3, </w:t>
      </w:r>
      <w:r w:rsidR="009600EB">
        <w:t xml:space="preserve">issues related to </w:t>
      </w:r>
      <w:r w:rsidR="00983D9E">
        <w:t xml:space="preserve">the provision of </w:t>
      </w:r>
      <w:r w:rsidR="00026ACD">
        <w:t xml:space="preserve">audiology </w:t>
      </w:r>
      <w:r w:rsidR="00C5353A">
        <w:t>services</w:t>
      </w:r>
      <w:r w:rsidR="00026ACD">
        <w:t xml:space="preserve"> </w:t>
      </w:r>
      <w:r w:rsidR="009600EB">
        <w:t>are summarised below.</w:t>
      </w:r>
    </w:p>
    <w:p w14:paraId="72853676" w14:textId="7D24480A" w:rsidR="00026ACD" w:rsidRDefault="00A80289" w:rsidP="00DD5B99">
      <w:pPr>
        <w:pStyle w:val="BulletList2Column"/>
      </w:pPr>
      <w:r>
        <w:t>Information asymmetries</w:t>
      </w:r>
      <w:r w:rsidR="00026ACD">
        <w:t xml:space="preserve"> between</w:t>
      </w:r>
      <w:r w:rsidR="009600EB">
        <w:t>:</w:t>
      </w:r>
    </w:p>
    <w:p w14:paraId="580955ED" w14:textId="02437562" w:rsidR="009600EB" w:rsidRDefault="00143E84" w:rsidP="009600EB">
      <w:pPr>
        <w:pStyle w:val="BulletList2Column"/>
        <w:numPr>
          <w:ilvl w:val="1"/>
          <w:numId w:val="5"/>
        </w:numPr>
        <w:ind w:left="1077" w:hanging="357"/>
      </w:pPr>
      <w:r>
        <w:t>p</w:t>
      </w:r>
      <w:r w:rsidR="00631C60">
        <w:t xml:space="preserve">atients and </w:t>
      </w:r>
      <w:r w:rsidR="004275CC">
        <w:t xml:space="preserve">hearing healthcare </w:t>
      </w:r>
      <w:r>
        <w:t>professionals</w:t>
      </w:r>
      <w:r w:rsidR="004275CC">
        <w:t xml:space="preserve"> in private sector settings (i.e. the qualifications and scope of practice of </w:t>
      </w:r>
      <w:r>
        <w:t>the treating provider)</w:t>
      </w:r>
      <w:r w:rsidR="00250ABC">
        <w:t xml:space="preserve"> leading to </w:t>
      </w:r>
      <w:r w:rsidR="001341D3">
        <w:t>stakeholder observations of harm</w:t>
      </w:r>
    </w:p>
    <w:p w14:paraId="19CB9FF4" w14:textId="6C0B81C9" w:rsidR="00157A74" w:rsidRDefault="00157A74" w:rsidP="009600EB">
      <w:pPr>
        <w:pStyle w:val="BulletList2Column"/>
        <w:numPr>
          <w:ilvl w:val="1"/>
          <w:numId w:val="5"/>
        </w:numPr>
        <w:ind w:left="1077" w:hanging="357"/>
      </w:pPr>
      <w:r>
        <w:t xml:space="preserve">audiologist applicants and </w:t>
      </w:r>
      <w:r w:rsidR="000A480A">
        <w:t xml:space="preserve">prospective </w:t>
      </w:r>
      <w:r>
        <w:t xml:space="preserve">employers </w:t>
      </w:r>
      <w:r w:rsidR="00671660">
        <w:t xml:space="preserve">in relation to </w:t>
      </w:r>
      <w:r w:rsidR="000A480A">
        <w:t xml:space="preserve">the audiologist’s scope of practice </w:t>
      </w:r>
      <w:r w:rsidR="00645FFE">
        <w:t xml:space="preserve">(leading </w:t>
      </w:r>
      <w:r w:rsidR="00E356F1">
        <w:t xml:space="preserve">to </w:t>
      </w:r>
      <w:r w:rsidR="001341D3">
        <w:t xml:space="preserve">stakeholder observations of </w:t>
      </w:r>
      <w:r w:rsidR="00E356F1">
        <w:t>difficulties matching applicants to role requirements</w:t>
      </w:r>
      <w:r w:rsidR="00E43A59">
        <w:t>)</w:t>
      </w:r>
    </w:p>
    <w:p w14:paraId="6B8541EB" w14:textId="198ECDA2" w:rsidR="000C7449" w:rsidRDefault="005B65B2" w:rsidP="009600EB">
      <w:pPr>
        <w:pStyle w:val="BulletList2Column"/>
        <w:numPr>
          <w:ilvl w:val="1"/>
          <w:numId w:val="5"/>
        </w:numPr>
        <w:ind w:left="1077" w:hanging="357"/>
      </w:pPr>
      <w:r>
        <w:t>audiologists outside of peer networks and referring audiologists in relation to the audiologist’s s</w:t>
      </w:r>
      <w:r w:rsidR="0062331A">
        <w:t>cope of practice</w:t>
      </w:r>
      <w:r w:rsidR="00F75170">
        <w:t xml:space="preserve"> (leading to </w:t>
      </w:r>
      <w:r w:rsidR="001341D3">
        <w:t xml:space="preserve">stakeholder observations of </w:t>
      </w:r>
      <w:r w:rsidR="00F75170">
        <w:t xml:space="preserve">difficulties </w:t>
      </w:r>
      <w:r w:rsidR="00F33E8B">
        <w:t>matching patients to audiol</w:t>
      </w:r>
      <w:r w:rsidR="00E356F1">
        <w:t>ogists)</w:t>
      </w:r>
    </w:p>
    <w:p w14:paraId="1EE91AAD" w14:textId="60C80D3D" w:rsidR="009600EB" w:rsidRDefault="00B57470" w:rsidP="0062331A">
      <w:pPr>
        <w:pStyle w:val="BulletList2Column"/>
        <w:numPr>
          <w:ilvl w:val="1"/>
          <w:numId w:val="5"/>
        </w:numPr>
        <w:ind w:left="1077" w:hanging="357"/>
      </w:pPr>
      <w:r>
        <w:t xml:space="preserve">audiologist interns and supervisors which </w:t>
      </w:r>
      <w:r w:rsidR="00FF049B">
        <w:t>do not have the opportunity to be addressed</w:t>
      </w:r>
      <w:r>
        <w:t xml:space="preserve"> via a formalised external assessment of competency at the conclusion of the internship</w:t>
      </w:r>
      <w:r w:rsidR="0062331A">
        <w:t>.</w:t>
      </w:r>
    </w:p>
    <w:p w14:paraId="7B875070" w14:textId="002D59FA" w:rsidR="00026ACD" w:rsidRDefault="0062331A" w:rsidP="00DD5B99">
      <w:pPr>
        <w:pStyle w:val="BulletList2Column"/>
      </w:pPr>
      <w:r>
        <w:t>P</w:t>
      </w:r>
      <w:r w:rsidR="00026ACD">
        <w:t xml:space="preserve">rincipal-agent issues </w:t>
      </w:r>
      <w:r w:rsidR="003C5FD6">
        <w:t xml:space="preserve">between the patient (principal) and the audiologist (agent) </w:t>
      </w:r>
      <w:r w:rsidR="00741C47">
        <w:t xml:space="preserve">in which </w:t>
      </w:r>
      <w:r w:rsidR="00026ACD">
        <w:t>financial conflicts of interest may lead to treatment decisions</w:t>
      </w:r>
      <w:r w:rsidR="00741C47">
        <w:t xml:space="preserve"> or recommendations</w:t>
      </w:r>
      <w:r w:rsidR="00026ACD">
        <w:t xml:space="preserve"> that are not representative of patient preferences</w:t>
      </w:r>
      <w:r w:rsidR="00741C47">
        <w:t>.</w:t>
      </w:r>
    </w:p>
    <w:p w14:paraId="1125D765" w14:textId="13878DFA" w:rsidR="00026ACD" w:rsidRDefault="00741C47" w:rsidP="00DD5B99">
      <w:pPr>
        <w:pStyle w:val="BulletList2Column"/>
      </w:pPr>
      <w:r>
        <w:t>I</w:t>
      </w:r>
      <w:r w:rsidR="00026ACD">
        <w:t>nsufficient production of profession-level goods and services that produce high-quality care (e.g., training and clinical guidance documentation).</w:t>
      </w:r>
    </w:p>
    <w:p w14:paraId="1341D453" w14:textId="77777777" w:rsidR="00260EA2" w:rsidRDefault="00026ACD" w:rsidP="00026ACD">
      <w:pPr>
        <w:pStyle w:val="ListBullet"/>
      </w:pPr>
      <w:bookmarkStart w:id="131" w:name="_Toc171324753"/>
      <w:r w:rsidRPr="00EA10A6">
        <w:rPr>
          <w:b/>
          <w:bCs/>
        </w:rPr>
        <w:t>Health workforce regulation is an established responsibility between the Australian Government and the States and Territories</w:t>
      </w:r>
      <w:bookmarkEnd w:id="131"/>
      <w:r w:rsidR="00EA10A6">
        <w:t xml:space="preserve">: </w:t>
      </w:r>
      <w:r>
        <w:t xml:space="preserve">Health workforce regulation is an established area of government intervention, in order to deliver on national priorities in relation to access, equity, quality and efficiency of health services. While there are a number of regulatory regimes in relation to different health professions, the government has a role in ensuring that regulatory mechanisms that are applied to each health profession are sufficient to protect the public from harm. </w:t>
      </w:r>
      <w:r w:rsidR="000B096A">
        <w:t xml:space="preserve">Different mechanisms of regulation may </w:t>
      </w:r>
      <w:r w:rsidR="00260EA2">
        <w:t>include:</w:t>
      </w:r>
    </w:p>
    <w:p w14:paraId="4D41ABB6" w14:textId="77777777" w:rsidR="00C6367F" w:rsidRDefault="00B9577E" w:rsidP="00260EA2">
      <w:pPr>
        <w:pStyle w:val="BulletList2Column"/>
      </w:pPr>
      <w:r>
        <w:t xml:space="preserve">broad regulation of the health workforce and </w:t>
      </w:r>
      <w:r w:rsidR="00C6367F">
        <w:t>health service providers (as evidenced by the National Code of Conduct)</w:t>
      </w:r>
    </w:p>
    <w:p w14:paraId="5D98BE09" w14:textId="4DC27F84" w:rsidR="00026ACD" w:rsidRDefault="003613BA" w:rsidP="00260EA2">
      <w:pPr>
        <w:pStyle w:val="BulletList2Column"/>
      </w:pPr>
      <w:r>
        <w:t xml:space="preserve">specific regulation of individual professions (as evidenced by </w:t>
      </w:r>
      <w:r w:rsidR="00421FE4">
        <w:t xml:space="preserve">the </w:t>
      </w:r>
      <w:r w:rsidR="004C29F3">
        <w:t>structure of the</w:t>
      </w:r>
      <w:r>
        <w:t xml:space="preserve"> National Scheme and the inclusion of </w:t>
      </w:r>
      <w:r w:rsidR="004C29F3">
        <w:t xml:space="preserve">paramedicine in </w:t>
      </w:r>
      <w:r w:rsidR="00384C65">
        <w:t>2018</w:t>
      </w:r>
      <w:r w:rsidR="00242B1D">
        <w:t xml:space="preserve"> </w:t>
      </w:r>
      <w:r w:rsidR="004D78A4">
        <w:t xml:space="preserve">– see Box </w:t>
      </w:r>
      <w:r w:rsidR="00BF36AC">
        <w:t>4.1</w:t>
      </w:r>
      <w:r w:rsidR="00384C65">
        <w:t>)</w:t>
      </w:r>
    </w:p>
    <w:p w14:paraId="07D751D9" w14:textId="7AE51CED" w:rsidR="0044134C" w:rsidRDefault="00CC374F" w:rsidP="00260EA2">
      <w:pPr>
        <w:pStyle w:val="BulletList2Column"/>
      </w:pPr>
      <w:r>
        <w:t xml:space="preserve">regulatory requirements to receive funding </w:t>
      </w:r>
      <w:r w:rsidR="00CC1FAD">
        <w:t xml:space="preserve">for the provision of services under specific programs (as evidenced by the Department of Health and Aged Care’s </w:t>
      </w:r>
      <w:r w:rsidR="00083733">
        <w:t>requirements for</w:t>
      </w:r>
      <w:r w:rsidR="0092733C">
        <w:t xml:space="preserve"> HSP and</w:t>
      </w:r>
      <w:r w:rsidR="00083733">
        <w:t xml:space="preserve"> </w:t>
      </w:r>
      <w:r w:rsidR="005679A6">
        <w:t>Medicare).</w:t>
      </w:r>
    </w:p>
    <w:p w14:paraId="24A5714B" w14:textId="0C7539A2" w:rsidR="00E2038F" w:rsidRDefault="00C171BB" w:rsidP="00C171BB">
      <w:pPr>
        <w:pStyle w:val="ListBullet"/>
        <w:numPr>
          <w:ilvl w:val="0"/>
          <w:numId w:val="0"/>
        </w:numPr>
        <w:ind w:left="360"/>
      </w:pPr>
      <w:r>
        <w:t xml:space="preserve">Hence, the government has </w:t>
      </w:r>
      <w:r w:rsidR="002D7A87">
        <w:t>shown the capacity to intervene in health workforc</w:t>
      </w:r>
      <w:r w:rsidR="005759FE">
        <w:t>e and health service regulation in order to achieve regulatory goals.</w:t>
      </w:r>
    </w:p>
    <w:tbl>
      <w:tblPr>
        <w:tblStyle w:val="TableGrid"/>
        <w:tblW w:w="0" w:type="auto"/>
        <w:tblLook w:val="04A0" w:firstRow="1" w:lastRow="0" w:firstColumn="1" w:lastColumn="0" w:noHBand="0" w:noVBand="1"/>
      </w:tblPr>
      <w:tblGrid>
        <w:gridCol w:w="8834"/>
      </w:tblGrid>
      <w:tr w:rsidR="00406449" w14:paraId="790697C0" w14:textId="77777777">
        <w:tc>
          <w:tcPr>
            <w:tcW w:w="8834" w:type="dxa"/>
            <w:shd w:val="clear" w:color="auto" w:fill="F1F2F2" w:themeFill="background2"/>
          </w:tcPr>
          <w:p w14:paraId="04783BD4" w14:textId="2875431B" w:rsidR="00406449" w:rsidRPr="00640E2E" w:rsidRDefault="00406449">
            <w:pPr>
              <w:keepNext/>
              <w:rPr>
                <w:b/>
                <w:bCs/>
              </w:rPr>
            </w:pPr>
            <w:r w:rsidRPr="00640E2E">
              <w:rPr>
                <w:b/>
                <w:bCs/>
              </w:rPr>
              <w:t xml:space="preserve">Box </w:t>
            </w:r>
            <w:r>
              <w:rPr>
                <w:b/>
                <w:bCs/>
              </w:rPr>
              <w:t>4.1</w:t>
            </w:r>
            <w:r w:rsidRPr="00640E2E">
              <w:rPr>
                <w:b/>
                <w:bCs/>
              </w:rPr>
              <w:t xml:space="preserve">: </w:t>
            </w:r>
            <w:r>
              <w:rPr>
                <w:b/>
                <w:bCs/>
              </w:rPr>
              <w:t>Inclusion of paramedicine in the National Scheme</w:t>
            </w:r>
          </w:p>
          <w:p w14:paraId="2EE04AC0" w14:textId="737DCFE4" w:rsidR="00406449" w:rsidRDefault="00406449" w:rsidP="009E76D4">
            <w:pPr>
              <w:keepNext/>
            </w:pPr>
            <w:r>
              <w:t xml:space="preserve">The </w:t>
            </w:r>
            <w:r w:rsidR="009E76D4">
              <w:t xml:space="preserve">National Scheme originally included </w:t>
            </w:r>
            <w:r w:rsidR="009146B7">
              <w:t>ten professions</w:t>
            </w:r>
            <w:r w:rsidR="002B5B9D">
              <w:t>:</w:t>
            </w:r>
            <w:r w:rsidR="00812AA5">
              <w:rPr>
                <w:rStyle w:val="FootnoteReference"/>
              </w:rPr>
              <w:t xml:space="preserve"> </w:t>
            </w:r>
            <w:r w:rsidR="00812AA5">
              <w:rPr>
                <w:rStyle w:val="FootnoteReference"/>
              </w:rPr>
              <w:footnoteReference w:id="205"/>
            </w:r>
          </w:p>
          <w:p w14:paraId="2D3743CF" w14:textId="1964C003" w:rsidR="002B5B9D" w:rsidRDefault="002B5B9D" w:rsidP="00342332">
            <w:pPr>
              <w:pStyle w:val="ListBullet"/>
            </w:pPr>
            <w:r>
              <w:t xml:space="preserve">nine professions registered in each State and Territory </w:t>
            </w:r>
            <w:r w:rsidR="00B82F95">
              <w:t>under</w:t>
            </w:r>
            <w:r w:rsidR="00DD57BD">
              <w:t xml:space="preserve"> state-based schemes </w:t>
            </w:r>
            <w:r>
              <w:t>(</w:t>
            </w:r>
            <w:r w:rsidR="009D4291">
              <w:t>medical, nursing and midwifery, pharmacy, physiotherapy, dental (dentists, dental prosthetists, dental therapists, dental hygienists), psychology, optometry, osteopathy and chiropract</w:t>
            </w:r>
            <w:r w:rsidR="003E29B4">
              <w:t>ors</w:t>
            </w:r>
            <w:r w:rsidR="001C6DCA">
              <w:t>;</w:t>
            </w:r>
          </w:p>
          <w:p w14:paraId="38DAA243" w14:textId="374A0915" w:rsidR="00260F5F" w:rsidRDefault="00260F5F" w:rsidP="00342332">
            <w:pPr>
              <w:pStyle w:val="ListBullet"/>
            </w:pPr>
            <w:r>
              <w:t>podiatry (registered in every jurisdiction except the Northern Territory, where there were insufficient numbers to make registration viable).</w:t>
            </w:r>
          </w:p>
          <w:p w14:paraId="12E61A65" w14:textId="25BAF048" w:rsidR="00260F5F" w:rsidRDefault="009351C0" w:rsidP="00A95931">
            <w:pPr>
              <w:keepNext/>
            </w:pPr>
            <w:r>
              <w:t>As part</w:t>
            </w:r>
            <w:r w:rsidR="00D21D33">
              <w:t xml:space="preserve"> of the original design, four professions which had been partially regulated were to be </w:t>
            </w:r>
            <w:r w:rsidR="004A043C">
              <w:t xml:space="preserve">included in the National Scheme </w:t>
            </w:r>
            <w:r w:rsidR="00C35044">
              <w:t>with a lagged start date. These included:</w:t>
            </w:r>
            <w:r w:rsidR="00505488">
              <w:rPr>
                <w:rStyle w:val="FootnoteReference"/>
              </w:rPr>
              <w:footnoteReference w:id="206"/>
            </w:r>
          </w:p>
          <w:p w14:paraId="53C500FD" w14:textId="77777777" w:rsidR="00C35044" w:rsidRDefault="008A4EDD" w:rsidP="001E7674">
            <w:pPr>
              <w:pStyle w:val="ListBullet"/>
            </w:pPr>
            <w:r>
              <w:t>Aboriginal and Torres Strait Islander health practice</w:t>
            </w:r>
          </w:p>
          <w:p w14:paraId="2405AEF2" w14:textId="77777777" w:rsidR="008A4EDD" w:rsidRDefault="008A4EDD" w:rsidP="001E7674">
            <w:pPr>
              <w:pStyle w:val="ListBullet"/>
            </w:pPr>
            <w:r>
              <w:t>Chinese medicine</w:t>
            </w:r>
          </w:p>
          <w:p w14:paraId="32A4951E" w14:textId="423CB3EB" w:rsidR="008A4EDD" w:rsidRDefault="00022E9C" w:rsidP="001E7674">
            <w:pPr>
              <w:pStyle w:val="ListBullet"/>
            </w:pPr>
            <w:r>
              <w:t>m</w:t>
            </w:r>
            <w:r w:rsidR="008A4EDD">
              <w:t>edical radiation practice</w:t>
            </w:r>
          </w:p>
          <w:p w14:paraId="1D5B7238" w14:textId="7D7BDA4D" w:rsidR="008A4EDD" w:rsidRDefault="00022E9C" w:rsidP="001E7674">
            <w:pPr>
              <w:pStyle w:val="ListBullet"/>
            </w:pPr>
            <w:r>
              <w:t>o</w:t>
            </w:r>
            <w:r w:rsidR="008A4EDD">
              <w:t>ccupational therapy.</w:t>
            </w:r>
          </w:p>
          <w:p w14:paraId="64DC060D" w14:textId="5F82F688" w:rsidR="00532875" w:rsidRDefault="00BB0629" w:rsidP="008A4EDD">
            <w:pPr>
              <w:keepNext/>
            </w:pPr>
            <w:r>
              <w:t xml:space="preserve">In 2010, </w:t>
            </w:r>
            <w:r w:rsidR="000A6A56">
              <w:t>initial advice was requested by the Australian Health Workforce Ministerial Council on whether to include paramedi</w:t>
            </w:r>
            <w:r w:rsidR="006D7F79">
              <w:t xml:space="preserve">cs as a profession in the National Scheme. The Decision RIS (published in 2015) </w:t>
            </w:r>
            <w:r w:rsidR="00532875">
              <w:t>identified three problems:</w:t>
            </w:r>
            <w:r w:rsidR="00266E8A">
              <w:rPr>
                <w:rStyle w:val="FootnoteReference"/>
              </w:rPr>
              <w:footnoteReference w:id="207"/>
            </w:r>
          </w:p>
          <w:p w14:paraId="0A8E3C67" w14:textId="77777777" w:rsidR="006E25CA" w:rsidRDefault="006E25CA" w:rsidP="00257C8C">
            <w:pPr>
              <w:pStyle w:val="ListBullet"/>
            </w:pPr>
            <w:r>
              <w:t>the potential for harm (serious injury and/or death) to the community</w:t>
            </w:r>
          </w:p>
          <w:p w14:paraId="4C0895DE" w14:textId="77777777" w:rsidR="006E25CA" w:rsidRDefault="006E25CA" w:rsidP="00257C8C">
            <w:pPr>
              <w:pStyle w:val="ListBullet"/>
            </w:pPr>
            <w:r>
              <w:t>confusion about who is a paramedic, arising from inconsistencies in training and qualifications required for employment as a paramedic</w:t>
            </w:r>
          </w:p>
          <w:p w14:paraId="6FEAD64B" w14:textId="77777777" w:rsidR="008A4EDD" w:rsidRDefault="006E25CA" w:rsidP="00257C8C">
            <w:pPr>
              <w:pStyle w:val="ListBullet"/>
            </w:pPr>
            <w:r>
              <w:t>cost to employers of identifying and employing</w:t>
            </w:r>
            <w:r w:rsidR="006378C7">
              <w:t xml:space="preserve"> </w:t>
            </w:r>
            <w:r>
              <w:t>a suitable paramedic</w:t>
            </w:r>
            <w:r w:rsidR="006378C7">
              <w:t>.</w:t>
            </w:r>
          </w:p>
          <w:p w14:paraId="1669EF1B" w14:textId="221875C2" w:rsidR="00327CFB" w:rsidRDefault="008348CF" w:rsidP="00327CFB">
            <w:pPr>
              <w:keepNext/>
            </w:pPr>
            <w:r>
              <w:t xml:space="preserve">Paramedicine was included in the National Scheme </w:t>
            </w:r>
            <w:r w:rsidR="00205481">
              <w:t>in 2018</w:t>
            </w:r>
            <w:r w:rsidR="000901EE">
              <w:rPr>
                <w:rStyle w:val="FootnoteReference"/>
              </w:rPr>
              <w:footnoteReference w:id="208"/>
            </w:r>
            <w:r w:rsidR="00D804E9">
              <w:t xml:space="preserve">, and remains the only </w:t>
            </w:r>
            <w:r w:rsidR="006C3FDB">
              <w:t xml:space="preserve">new </w:t>
            </w:r>
            <w:r w:rsidR="00D804E9">
              <w:t xml:space="preserve">health profession </w:t>
            </w:r>
            <w:r w:rsidR="006C3FDB">
              <w:t xml:space="preserve">entrant since the </w:t>
            </w:r>
            <w:r w:rsidR="00F72DD2">
              <w:t>original National Scheme design</w:t>
            </w:r>
            <w:r w:rsidR="009052BC">
              <w:t xml:space="preserve">. </w:t>
            </w:r>
            <w:r w:rsidR="00A946A3">
              <w:t xml:space="preserve">Across consultation, stakeholders spoke of a number of professions </w:t>
            </w:r>
            <w:r w:rsidR="00A00CCB">
              <w:t>that have</w:t>
            </w:r>
            <w:r w:rsidR="00A946A3">
              <w:t xml:space="preserve"> advocated for inclusion i</w:t>
            </w:r>
            <w:r w:rsidR="007432EC">
              <w:t>n the National Scheme over the past ten years, including speech pathology and social work.</w:t>
            </w:r>
            <w:r w:rsidR="00623563">
              <w:t xml:space="preserve"> </w:t>
            </w:r>
          </w:p>
        </w:tc>
      </w:tr>
    </w:tbl>
    <w:p w14:paraId="4EEEC86D" w14:textId="77777777" w:rsidR="005679A6" w:rsidRDefault="005679A6" w:rsidP="005679A6">
      <w:pPr>
        <w:pStyle w:val="BulletList2Column"/>
        <w:numPr>
          <w:ilvl w:val="0"/>
          <w:numId w:val="0"/>
        </w:numPr>
      </w:pPr>
    </w:p>
    <w:p w14:paraId="289256BC" w14:textId="43D3BD06" w:rsidR="00026ACD" w:rsidRPr="000910B3" w:rsidRDefault="00EF0324" w:rsidP="003F0E95">
      <w:pPr>
        <w:pStyle w:val="ListBullet"/>
        <w:rPr>
          <w:b/>
          <w:bCs/>
        </w:rPr>
      </w:pPr>
      <w:bookmarkStart w:id="132" w:name="_Toc171324754"/>
      <w:r>
        <w:rPr>
          <w:b/>
          <w:bCs/>
        </w:rPr>
        <w:t>G</w:t>
      </w:r>
      <w:r w:rsidR="00CF37EE">
        <w:rPr>
          <w:b/>
          <w:bCs/>
        </w:rPr>
        <w:t>overnment</w:t>
      </w:r>
      <w:r w:rsidR="00F01CA7">
        <w:rPr>
          <w:b/>
          <w:bCs/>
        </w:rPr>
        <w:t xml:space="preserve"> subsidisation of he</w:t>
      </w:r>
      <w:r w:rsidR="00D05704">
        <w:rPr>
          <w:b/>
          <w:bCs/>
        </w:rPr>
        <w:t xml:space="preserve">aring services and devices </w:t>
      </w:r>
      <w:r w:rsidR="002D0357">
        <w:rPr>
          <w:b/>
          <w:bCs/>
        </w:rPr>
        <w:t xml:space="preserve">in </w:t>
      </w:r>
      <w:r w:rsidR="00026ACD" w:rsidRPr="00CB5197">
        <w:rPr>
          <w:b/>
          <w:bCs/>
        </w:rPr>
        <w:t xml:space="preserve">relation to the </w:t>
      </w:r>
      <w:bookmarkEnd w:id="132"/>
      <w:r w:rsidR="00A10073">
        <w:rPr>
          <w:b/>
          <w:bCs/>
        </w:rPr>
        <w:t>HSP</w:t>
      </w:r>
      <w:r w:rsidR="0073337B">
        <w:rPr>
          <w:b/>
          <w:bCs/>
        </w:rPr>
        <w:t xml:space="preserve"> requires appropriate regul</w:t>
      </w:r>
      <w:r w:rsidR="00F96F67">
        <w:rPr>
          <w:b/>
          <w:bCs/>
        </w:rPr>
        <w:t>atory settings</w:t>
      </w:r>
      <w:r w:rsidR="00D231CE">
        <w:rPr>
          <w:b/>
          <w:bCs/>
        </w:rPr>
        <w:t xml:space="preserve"> to ensure </w:t>
      </w:r>
      <w:r w:rsidR="004309A0">
        <w:rPr>
          <w:b/>
          <w:bCs/>
        </w:rPr>
        <w:t>continued</w:t>
      </w:r>
      <w:r w:rsidR="00F87308">
        <w:rPr>
          <w:b/>
          <w:bCs/>
        </w:rPr>
        <w:t xml:space="preserve"> access for </w:t>
      </w:r>
      <w:r w:rsidR="007929FA">
        <w:rPr>
          <w:b/>
          <w:bCs/>
        </w:rPr>
        <w:t>Australians</w:t>
      </w:r>
      <w:r w:rsidR="00CB5197">
        <w:rPr>
          <w:b/>
          <w:bCs/>
        </w:rPr>
        <w:t xml:space="preserve">: </w:t>
      </w:r>
      <w:r w:rsidR="0056736F">
        <w:t>The</w:t>
      </w:r>
      <w:r w:rsidR="00AF2FB9">
        <w:t xml:space="preserve"> Australian Government </w:t>
      </w:r>
      <w:r w:rsidR="00770AD2">
        <w:t>subsidises</w:t>
      </w:r>
      <w:r w:rsidR="00AF2FB9">
        <w:t xml:space="preserve"> </w:t>
      </w:r>
      <w:r w:rsidR="00AE1620">
        <w:t xml:space="preserve">access to hearing services and devices under the </w:t>
      </w:r>
      <w:r w:rsidR="00F722B9">
        <w:t>HSP</w:t>
      </w:r>
      <w:r w:rsidR="00AE1620">
        <w:t>.</w:t>
      </w:r>
      <w:r w:rsidR="00AE1620">
        <w:rPr>
          <w:rStyle w:val="FootnoteReference"/>
        </w:rPr>
        <w:footnoteReference w:id="209"/>
      </w:r>
      <w:r w:rsidR="00AE1620">
        <w:t xml:space="preserve"> </w:t>
      </w:r>
      <w:r w:rsidR="00026ACD">
        <w:t xml:space="preserve">The </w:t>
      </w:r>
      <w:r w:rsidR="00026ACD" w:rsidRPr="000910B3">
        <w:rPr>
          <w:i/>
          <w:iCs/>
        </w:rPr>
        <w:t>Hearing Services Program Administration Act 1997</w:t>
      </w:r>
      <w:r w:rsidR="00026ACD">
        <w:t xml:space="preserve"> Part 1 8(1a) states:</w:t>
      </w:r>
    </w:p>
    <w:p w14:paraId="1116408B" w14:textId="77777777" w:rsidR="00026ACD" w:rsidRDefault="00026ACD" w:rsidP="00026ACD">
      <w:pPr>
        <w:pStyle w:val="BodyText"/>
        <w:ind w:left="720"/>
      </w:pPr>
      <w:r>
        <w:t>“</w:t>
      </w:r>
      <w:r w:rsidRPr="00E64C5E">
        <w:rPr>
          <w:i/>
          <w:iCs/>
        </w:rPr>
        <w:t>In administering this Act, due regard must be had to the limited resources available to provide services and programs under this Act</w:t>
      </w:r>
      <w:r>
        <w:t>”.</w:t>
      </w:r>
      <w:r>
        <w:rPr>
          <w:rStyle w:val="FootnoteReference"/>
        </w:rPr>
        <w:footnoteReference w:id="210"/>
      </w:r>
    </w:p>
    <w:p w14:paraId="1DB6CA99" w14:textId="769BEE40" w:rsidR="00026ACD" w:rsidRPr="00B67ADB" w:rsidRDefault="000910B3" w:rsidP="002D7FE0">
      <w:pPr>
        <w:pStyle w:val="ListBullet"/>
        <w:numPr>
          <w:ilvl w:val="0"/>
          <w:numId w:val="0"/>
        </w:numPr>
        <w:ind w:left="360"/>
      </w:pPr>
      <w:r>
        <w:t xml:space="preserve">Due to </w:t>
      </w:r>
      <w:r w:rsidR="006E062E">
        <w:t>population growth and</w:t>
      </w:r>
      <w:r>
        <w:t xml:space="preserve"> ageing of the population, it is expected that the Australian Government’s financial obligations in relation to the </w:t>
      </w:r>
      <w:r w:rsidR="0077736B">
        <w:t>HSP</w:t>
      </w:r>
      <w:r>
        <w:t xml:space="preserve"> will </w:t>
      </w:r>
      <w:r w:rsidR="002C1D6A">
        <w:t xml:space="preserve">increase </w:t>
      </w:r>
      <w:r>
        <w:t xml:space="preserve">over time. </w:t>
      </w:r>
      <w:r w:rsidR="00026ACD">
        <w:t xml:space="preserve">Hence, </w:t>
      </w:r>
      <w:r w:rsidR="00987FB7">
        <w:t xml:space="preserve">in order to ensure that </w:t>
      </w:r>
      <w:r w:rsidR="009F6E86">
        <w:t xml:space="preserve">the </w:t>
      </w:r>
      <w:r w:rsidR="0077736B">
        <w:t>HSP</w:t>
      </w:r>
      <w:r w:rsidR="009F6E86">
        <w:t xml:space="preserve"> remains sustainable (thereby facilitating </w:t>
      </w:r>
      <w:r w:rsidR="009E3B76">
        <w:t xml:space="preserve">continued </w:t>
      </w:r>
      <w:r w:rsidR="0051184F">
        <w:t xml:space="preserve">subsidised </w:t>
      </w:r>
      <w:r w:rsidR="00352D21">
        <w:t xml:space="preserve">access to services and devices </w:t>
      </w:r>
      <w:r w:rsidR="0051184F">
        <w:t xml:space="preserve">for </w:t>
      </w:r>
      <w:r w:rsidR="00A52AC1">
        <w:t xml:space="preserve">eligible patient </w:t>
      </w:r>
      <w:r w:rsidR="00993742">
        <w:t>groups</w:t>
      </w:r>
      <w:r w:rsidR="009E3B76">
        <w:t xml:space="preserve"> into the future</w:t>
      </w:r>
      <w:r w:rsidR="00993742">
        <w:t>), appropriate</w:t>
      </w:r>
      <w:r w:rsidR="00026ACD">
        <w:t xml:space="preserve"> regulatory settings </w:t>
      </w:r>
      <w:r w:rsidR="002E0E9B">
        <w:t>are necessary to</w:t>
      </w:r>
      <w:r w:rsidR="00026ACD">
        <w:t xml:space="preserve"> promote efficient and ethical use of funds.</w:t>
      </w:r>
      <w:r w:rsidR="00D54491">
        <w:t xml:space="preserve"> </w:t>
      </w:r>
    </w:p>
    <w:p w14:paraId="0887089B" w14:textId="77777777" w:rsidR="00026ACD" w:rsidRDefault="00026ACD" w:rsidP="00952457">
      <w:pPr>
        <w:pStyle w:val="Heading2"/>
      </w:pPr>
      <w:bookmarkStart w:id="133" w:name="_Ref170205247"/>
      <w:bookmarkStart w:id="134" w:name="_Toc171324755"/>
      <w:bookmarkStart w:id="135" w:name="_Toc198138598"/>
      <w:r w:rsidRPr="00026ACD">
        <w:t>Alternatives</w:t>
      </w:r>
      <w:r>
        <w:t xml:space="preserve"> to government action</w:t>
      </w:r>
      <w:bookmarkEnd w:id="133"/>
      <w:bookmarkEnd w:id="134"/>
      <w:bookmarkEnd w:id="135"/>
    </w:p>
    <w:p w14:paraId="3F61DE8D" w14:textId="77777777" w:rsidR="00026ACD" w:rsidRDefault="00026ACD" w:rsidP="00026ACD">
      <w:pPr>
        <w:pStyle w:val="BodyText"/>
      </w:pPr>
      <w:r>
        <w:t xml:space="preserve">Under the current state, a number of alternatives to government action are operating currently, including: </w:t>
      </w:r>
    </w:p>
    <w:p w14:paraId="7F79ACD7" w14:textId="2197E059" w:rsidR="005839DE" w:rsidRPr="005839DE" w:rsidRDefault="00026ACD" w:rsidP="00294BBC">
      <w:pPr>
        <w:pStyle w:val="ListBullet"/>
      </w:pPr>
      <w:r w:rsidRPr="00950E7E">
        <w:rPr>
          <w:b/>
          <w:bCs/>
        </w:rPr>
        <w:t>Audiology as a self-regulated profession</w:t>
      </w:r>
      <w:r>
        <w:t xml:space="preserve">. This represents an alternative to government action under the current state. It is noted that due to </w:t>
      </w:r>
      <w:r w:rsidR="00816E55">
        <w:t>AudA</w:t>
      </w:r>
      <w:r>
        <w:t xml:space="preserve"> and </w:t>
      </w:r>
      <w:r w:rsidR="003B01A4">
        <w:t xml:space="preserve">AcAud inc. </w:t>
      </w:r>
      <w:r w:rsidR="003D580D">
        <w:t xml:space="preserve">HAASA’s  </w:t>
      </w:r>
      <w:r>
        <w:t xml:space="preserve">alignment with NASRHP standards, this is recognised by most stakeholders to represent reasonably close equivalence to </w:t>
      </w:r>
      <w:r w:rsidR="001358EA">
        <w:t>Ahpra</w:t>
      </w:r>
      <w:r>
        <w:t xml:space="preserve"> under a self-regulation model.</w:t>
      </w:r>
    </w:p>
    <w:p w14:paraId="28A031E6" w14:textId="3BC7EA70" w:rsidR="00026ACD" w:rsidRDefault="00026ACD" w:rsidP="00026ACD">
      <w:pPr>
        <w:pStyle w:val="ListBullet"/>
      </w:pPr>
      <w:r>
        <w:rPr>
          <w:b/>
          <w:bCs/>
        </w:rPr>
        <w:t>Government subsidies of profession</w:t>
      </w:r>
      <w:r w:rsidRPr="00EF073D">
        <w:rPr>
          <w:b/>
          <w:bCs/>
        </w:rPr>
        <w:t>-level goods and services</w:t>
      </w:r>
      <w:r>
        <w:t>. The current state over the evaluation period includes government funding of:</w:t>
      </w:r>
    </w:p>
    <w:p w14:paraId="24A71840" w14:textId="77777777" w:rsidR="00026ACD" w:rsidRDefault="00026ACD" w:rsidP="00026ACD">
      <w:pPr>
        <w:pStyle w:val="BulletList2Column"/>
      </w:pPr>
      <w:r>
        <w:t xml:space="preserve">a </w:t>
      </w:r>
      <w:r w:rsidRPr="008012A8">
        <w:t>national consensus statement on frequency of testing post implantation and national guidelines for paediatric cochlear implant and care</w:t>
      </w:r>
    </w:p>
    <w:p w14:paraId="395A24F8" w14:textId="15227C51" w:rsidR="00026ACD" w:rsidRDefault="00026ACD" w:rsidP="00026ACD">
      <w:pPr>
        <w:pStyle w:val="BulletList2Column"/>
      </w:pPr>
      <w:r>
        <w:t xml:space="preserve">clinical audits (where government subsidies are provided in the form of a budget allocation decision) across a number of public sector sites and including the </w:t>
      </w:r>
      <w:r w:rsidR="002146ED">
        <w:t>HSP</w:t>
      </w:r>
      <w:r>
        <w:t xml:space="preserve">. </w:t>
      </w:r>
    </w:p>
    <w:p w14:paraId="52491024" w14:textId="77777777" w:rsidR="00026ACD" w:rsidRDefault="00026ACD" w:rsidP="00026ACD">
      <w:pPr>
        <w:pStyle w:val="BodyText"/>
      </w:pPr>
      <w:r>
        <w:t>Additional alternatives to government action include:</w:t>
      </w:r>
      <w:r>
        <w:rPr>
          <w:rStyle w:val="FootnoteReference"/>
        </w:rPr>
        <w:footnoteReference w:id="211"/>
      </w:r>
    </w:p>
    <w:p w14:paraId="57FD0AF2" w14:textId="722EB1C5" w:rsidR="00026ACD" w:rsidRDefault="00026ACD" w:rsidP="00026ACD">
      <w:pPr>
        <w:pStyle w:val="ListBullet"/>
      </w:pPr>
      <w:r w:rsidRPr="00C039A8">
        <w:rPr>
          <w:b/>
          <w:bCs/>
        </w:rPr>
        <w:t xml:space="preserve">Consumer awareness campaign in relation to </w:t>
      </w:r>
      <w:r>
        <w:rPr>
          <w:b/>
          <w:bCs/>
        </w:rPr>
        <w:t xml:space="preserve">the differences between the </w:t>
      </w:r>
      <w:r w:rsidRPr="00C039A8">
        <w:rPr>
          <w:b/>
          <w:bCs/>
        </w:rPr>
        <w:t>audiology and audiometry professions</w:t>
      </w:r>
      <w:r>
        <w:t xml:space="preserve">. A consumer awareness campaign may partially resolve some of the information asymmetry problems operating currently, </w:t>
      </w:r>
      <w:r w:rsidR="008B6D55">
        <w:t xml:space="preserve">by </w:t>
      </w:r>
      <w:r w:rsidR="00460FAC">
        <w:t xml:space="preserve">encouraging </w:t>
      </w:r>
      <w:r w:rsidR="009C53A8">
        <w:t xml:space="preserve">consumers to ask additional questions of </w:t>
      </w:r>
      <w:r w:rsidR="007D4620">
        <w:t xml:space="preserve">hearing health professionals where </w:t>
      </w:r>
      <w:r w:rsidR="00D66D64">
        <w:t xml:space="preserve">qualifications may not be clear. </w:t>
      </w:r>
      <w:r w:rsidR="00240E4F">
        <w:t xml:space="preserve">However, it </w:t>
      </w:r>
      <w:r w:rsidR="00FF7847">
        <w:t>would not address</w:t>
      </w:r>
      <w:r>
        <w:t xml:space="preserve"> other issues including production of profession-level goods and services and current complaints issues.</w:t>
      </w:r>
    </w:p>
    <w:p w14:paraId="2199C5E6" w14:textId="5A868288" w:rsidR="00026ACD" w:rsidRPr="00F20C42" w:rsidRDefault="00026ACD" w:rsidP="00026ACD">
      <w:pPr>
        <w:pStyle w:val="ListBullet"/>
      </w:pPr>
      <w:r w:rsidRPr="00326732">
        <w:rPr>
          <w:b/>
        </w:rPr>
        <w:t xml:space="preserve">Health practitioner awareness campaign in relation to the role of the jurisdictional </w:t>
      </w:r>
      <w:r w:rsidR="000E6CD8">
        <w:rPr>
          <w:b/>
        </w:rPr>
        <w:t>HCEs.</w:t>
      </w:r>
      <w:r>
        <w:rPr>
          <w:b/>
          <w:bCs/>
        </w:rPr>
        <w:t xml:space="preserve"> </w:t>
      </w:r>
      <w:r>
        <w:t>A health practitioner awareness campaign may partially resolve some of the lack of awareness issues operating currently (including for other professions), however it won’t impact practitioners in Northern Territory and Tasmania and it doesn’t address other issues including production of profession-level goods and services and information asymmetries.</w:t>
      </w:r>
    </w:p>
    <w:p w14:paraId="2349D62F" w14:textId="2C54BBB7" w:rsidR="00026ACD" w:rsidRDefault="00026ACD" w:rsidP="00952457">
      <w:pPr>
        <w:pStyle w:val="Heading2"/>
      </w:pPr>
      <w:bookmarkStart w:id="136" w:name="_Ref170982488"/>
      <w:bookmarkStart w:id="137" w:name="_Toc171324756"/>
      <w:bookmarkStart w:id="138" w:name="_Toc198138599"/>
      <w:r>
        <w:t xml:space="preserve">Objectives of government </w:t>
      </w:r>
      <w:r w:rsidRPr="00026ACD">
        <w:t>action</w:t>
      </w:r>
      <w:bookmarkEnd w:id="136"/>
      <w:bookmarkEnd w:id="137"/>
      <w:bookmarkEnd w:id="138"/>
    </w:p>
    <w:p w14:paraId="62AA8371" w14:textId="77777777" w:rsidR="00026ACD" w:rsidRDefault="00026ACD" w:rsidP="00026ACD">
      <w:pPr>
        <w:pStyle w:val="BodyText"/>
      </w:pPr>
      <w:r>
        <w:t>The overarching goal of government action is to p</w:t>
      </w:r>
      <w:r w:rsidRPr="00EB112B">
        <w:t>rotect the Australian public by minimising the incidence of</w:t>
      </w:r>
      <w:r>
        <w:t xml:space="preserve"> patient</w:t>
      </w:r>
      <w:r w:rsidRPr="00EB112B">
        <w:t xml:space="preserve"> harm associated with delivery of audiology services. </w:t>
      </w:r>
      <w:r>
        <w:t>H</w:t>
      </w:r>
      <w:r w:rsidRPr="00EB112B">
        <w:t>arm is defined to include health, social, and economic (including financial) impacts, and recognises the long-term impacts that may arise from a</w:t>
      </w:r>
      <w:r>
        <w:t xml:space="preserve"> single</w:t>
      </w:r>
      <w:r w:rsidRPr="00EB112B">
        <w:t xml:space="preserve"> incident of harm. </w:t>
      </w:r>
    </w:p>
    <w:p w14:paraId="428172FF" w14:textId="77777777" w:rsidR="00026ACD" w:rsidRPr="00EB112B" w:rsidRDefault="00026ACD" w:rsidP="00026ACD">
      <w:pPr>
        <w:pStyle w:val="BodyText"/>
      </w:pPr>
      <w:r>
        <w:t>Given the problem statements earlier identified, the objectives of action to achieve this goal include:</w:t>
      </w:r>
    </w:p>
    <w:p w14:paraId="7B257E85" w14:textId="3D921AB3" w:rsidR="00026ACD" w:rsidRPr="00EB112B" w:rsidRDefault="00026ACD" w:rsidP="00026ACD">
      <w:pPr>
        <w:pStyle w:val="ListBullet"/>
      </w:pPr>
      <w:r>
        <w:rPr>
          <w:b/>
          <w:bCs/>
        </w:rPr>
        <w:t>Care quality assurance</w:t>
      </w:r>
      <w:r w:rsidRPr="00040DB3">
        <w:rPr>
          <w:b/>
          <w:bCs/>
        </w:rPr>
        <w:t>.</w:t>
      </w:r>
      <w:r>
        <w:t xml:space="preserve"> Ensure audiology services </w:t>
      </w:r>
      <w:r w:rsidR="006C302E">
        <w:t>are</w:t>
      </w:r>
      <w:r>
        <w:t xml:space="preserve"> delivered by practitioners who are </w:t>
      </w:r>
      <w:r w:rsidR="00460190">
        <w:t>su</w:t>
      </w:r>
      <w:r w:rsidR="00393C27">
        <w:t xml:space="preserve">pported by </w:t>
      </w:r>
      <w:r w:rsidR="006C302E">
        <w:t xml:space="preserve">a clear scope of practice and profession-level goods. </w:t>
      </w:r>
    </w:p>
    <w:p w14:paraId="6873A502" w14:textId="77777777" w:rsidR="00026ACD" w:rsidRDefault="00026ACD" w:rsidP="00026ACD">
      <w:pPr>
        <w:pStyle w:val="ListBullet"/>
      </w:pPr>
      <w:r>
        <w:rPr>
          <w:b/>
          <w:bCs/>
        </w:rPr>
        <w:t>Regulatory c</w:t>
      </w:r>
      <w:r w:rsidRPr="00040DB3">
        <w:rPr>
          <w:b/>
          <w:bCs/>
        </w:rPr>
        <w:t>onsistency.</w:t>
      </w:r>
      <w:r>
        <w:t xml:space="preserve"> A </w:t>
      </w:r>
      <w:r w:rsidRPr="00EB112B">
        <w:t xml:space="preserve">regulatory context that </w:t>
      </w:r>
      <w:r>
        <w:t>provides consistent oversight of the whole profession, regardless of jurisdiction, elective membership or employment type.</w:t>
      </w:r>
    </w:p>
    <w:p w14:paraId="378E1EC2" w14:textId="53CC114B" w:rsidR="00026ACD" w:rsidRDefault="00026ACD" w:rsidP="00026ACD">
      <w:pPr>
        <w:pStyle w:val="ListBullet"/>
      </w:pPr>
      <w:r w:rsidRPr="00040DB3">
        <w:rPr>
          <w:b/>
          <w:bCs/>
        </w:rPr>
        <w:t>Escalation systems</w:t>
      </w:r>
      <w:r>
        <w:t>. Robust regulatory systems that maximise the identification of cases of substandard care</w:t>
      </w:r>
      <w:r w:rsidR="00CD2E70">
        <w:t xml:space="preserve"> and ensure they are appropriately treated</w:t>
      </w:r>
      <w:r>
        <w:t xml:space="preserve">. </w:t>
      </w:r>
    </w:p>
    <w:p w14:paraId="623EDAEE" w14:textId="28FEA352" w:rsidR="00026ACD" w:rsidRDefault="00026ACD" w:rsidP="00026ACD">
      <w:pPr>
        <w:pStyle w:val="ListBullet"/>
      </w:pPr>
      <w:r w:rsidRPr="00EB6DE4">
        <w:rPr>
          <w:b/>
          <w:bCs/>
        </w:rPr>
        <w:t>Market</w:t>
      </w:r>
      <w:r>
        <w:rPr>
          <w:b/>
          <w:bCs/>
        </w:rPr>
        <w:t xml:space="preserve"> awareness</w:t>
      </w:r>
      <w:r w:rsidRPr="00EB6DE4">
        <w:rPr>
          <w:b/>
          <w:bCs/>
        </w:rPr>
        <w:t xml:space="preserve">. </w:t>
      </w:r>
      <w:r w:rsidRPr="00EB6DE4">
        <w:t>Mechan</w:t>
      </w:r>
      <w:r>
        <w:t>i</w:t>
      </w:r>
      <w:r w:rsidRPr="00EB6DE4">
        <w:t xml:space="preserve">sms that </w:t>
      </w:r>
      <w:r>
        <w:t xml:space="preserve">increase </w:t>
      </w:r>
      <w:r w:rsidR="00D623F7">
        <w:t xml:space="preserve">market </w:t>
      </w:r>
      <w:r w:rsidR="00D53F4C">
        <w:t>signalling</w:t>
      </w:r>
      <w:r w:rsidR="00CD2E70">
        <w:t>, with a view</w:t>
      </w:r>
      <w:r w:rsidR="00D53F4C">
        <w:t xml:space="preserve"> to </w:t>
      </w:r>
      <w:r w:rsidR="00CD2E70">
        <w:t xml:space="preserve">raising </w:t>
      </w:r>
      <w:r w:rsidRPr="00EB6DE4">
        <w:t>consumer</w:t>
      </w:r>
      <w:r w:rsidR="00CD2E70">
        <w:t xml:space="preserve"> </w:t>
      </w:r>
      <w:r w:rsidR="00687341">
        <w:t xml:space="preserve">and employer </w:t>
      </w:r>
      <w:r w:rsidR="00CD2E70">
        <w:t>understanding of</w:t>
      </w:r>
      <w:r w:rsidRPr="00EB6DE4">
        <w:t xml:space="preserve"> </w:t>
      </w:r>
      <w:r>
        <w:t xml:space="preserve">who is fit and proper to deliver different types of </w:t>
      </w:r>
      <w:r w:rsidR="00C27395">
        <w:t>hearing health</w:t>
      </w:r>
      <w:r>
        <w:t xml:space="preserve"> services.</w:t>
      </w:r>
    </w:p>
    <w:p w14:paraId="2061D03A" w14:textId="77777777" w:rsidR="00026ACD" w:rsidRPr="00EB6DE4" w:rsidRDefault="00026ACD" w:rsidP="00026ACD">
      <w:pPr>
        <w:pStyle w:val="ListBullet"/>
      </w:pPr>
      <w:r>
        <w:rPr>
          <w:b/>
          <w:bCs/>
        </w:rPr>
        <w:t xml:space="preserve">Ethical practice. </w:t>
      </w:r>
      <w:r>
        <w:t xml:space="preserve">Mechanisms that seek to minimise undue commercial influence on clinical practice, with the goal of preventing practitioner behaviours that are unethical or unsafe. </w:t>
      </w:r>
    </w:p>
    <w:p w14:paraId="4A0E7643" w14:textId="20946E78" w:rsidR="00970DBF" w:rsidRDefault="00970DBF" w:rsidP="00026ACD">
      <w:pPr>
        <w:pStyle w:val="BodyText"/>
      </w:pPr>
      <w:r>
        <w:t xml:space="preserve">Recognising the complexity of the problems identified and </w:t>
      </w:r>
      <w:r w:rsidR="00072CB6">
        <w:t>length of the</w:t>
      </w:r>
      <w:r>
        <w:t xml:space="preserve"> implementation</w:t>
      </w:r>
      <w:r w:rsidR="00072CB6">
        <w:t xml:space="preserve"> process</w:t>
      </w:r>
      <w:r>
        <w:t xml:space="preserve">, the targeted </w:t>
      </w:r>
      <w:r w:rsidR="00E81479">
        <w:t xml:space="preserve">timeframe for </w:t>
      </w:r>
      <w:r>
        <w:t xml:space="preserve">achievement </w:t>
      </w:r>
      <w:r w:rsidR="00E81479">
        <w:t>of four of these</w:t>
      </w:r>
      <w:r>
        <w:t xml:space="preserve"> objectives </w:t>
      </w:r>
      <w:r w:rsidR="009E1A09">
        <w:t xml:space="preserve">is </w:t>
      </w:r>
      <w:r>
        <w:t>10 years</w:t>
      </w:r>
      <w:r w:rsidR="009E1A09">
        <w:t>. The exception to this is ‘Regulatory consistency</w:t>
      </w:r>
      <w:r w:rsidR="001F2F05">
        <w:t>’. To</w:t>
      </w:r>
      <w:r w:rsidR="009E1A09">
        <w:t xml:space="preserve"> the </w:t>
      </w:r>
      <w:r w:rsidR="00041D55">
        <w:t xml:space="preserve">extent </w:t>
      </w:r>
      <w:r w:rsidR="005501B1">
        <w:t>that this is</w:t>
      </w:r>
      <w:r w:rsidR="00041D55">
        <w:t xml:space="preserve"> achieved via the preferred option it </w:t>
      </w:r>
      <w:r w:rsidR="00CC0CFA">
        <w:t>would</w:t>
      </w:r>
      <w:r w:rsidR="00041D55">
        <w:t xml:space="preserve"> be achieved </w:t>
      </w:r>
      <w:r w:rsidR="005501B1">
        <w:t>upon implementation, with limited change over time.</w:t>
      </w:r>
    </w:p>
    <w:p w14:paraId="3867D3F5" w14:textId="69538B2F" w:rsidR="00246539" w:rsidRDefault="00417FA1" w:rsidP="00026ACD">
      <w:pPr>
        <w:pStyle w:val="BodyText"/>
      </w:pPr>
      <w:r>
        <w:t>O</w:t>
      </w:r>
      <w:r w:rsidR="00026ACD">
        <w:t>bjectives</w:t>
      </w:r>
      <w:r w:rsidR="00246539">
        <w:t xml:space="preserve"> are mapped to </w:t>
      </w:r>
      <w:r w:rsidR="00BA3B1E">
        <w:t>problem statement</w:t>
      </w:r>
      <w:r w:rsidR="00CB53F1">
        <w:t xml:space="preserve"> issues</w:t>
      </w:r>
      <w:r w:rsidR="00022AD3">
        <w:t xml:space="preserve"> </w:t>
      </w:r>
      <w:r w:rsidR="007B2DE2">
        <w:t xml:space="preserve">in </w:t>
      </w:r>
      <w:r w:rsidR="00E5113F">
        <w:fldChar w:fldCharType="begin"/>
      </w:r>
      <w:r w:rsidR="00E5113F">
        <w:instrText xml:space="preserve"> REF _Ref172634845 \h </w:instrText>
      </w:r>
      <w:r w:rsidR="00E5113F">
        <w:fldChar w:fldCharType="separate"/>
      </w:r>
      <w:r w:rsidR="00F32107">
        <w:t xml:space="preserve">Table </w:t>
      </w:r>
      <w:r w:rsidR="00F32107">
        <w:rPr>
          <w:noProof/>
        </w:rPr>
        <w:t>4</w:t>
      </w:r>
      <w:r w:rsidR="00F32107">
        <w:t>.</w:t>
      </w:r>
      <w:r w:rsidR="00F32107">
        <w:rPr>
          <w:noProof/>
        </w:rPr>
        <w:t>1</w:t>
      </w:r>
      <w:r w:rsidR="00E5113F">
        <w:fldChar w:fldCharType="end"/>
      </w:r>
      <w:r w:rsidR="00022AD3">
        <w:t xml:space="preserve">, with residual issues discussed in the constraints and barriers section. </w:t>
      </w:r>
      <w:r>
        <w:t>Please note that problem statement</w:t>
      </w:r>
      <w:r w:rsidR="00677208">
        <w:t xml:space="preserve"> issues</w:t>
      </w:r>
      <w:r>
        <w:t xml:space="preserve"> </w:t>
      </w:r>
      <w:r w:rsidR="00B831EE">
        <w:t>may be</w:t>
      </w:r>
      <w:r>
        <w:t xml:space="preserve"> linked by causal factors (i.e. the impact of availability of profession-level goods on identifying instances of substandard care to initiate a complaint), and hence </w:t>
      </w:r>
      <w:r w:rsidR="008F608F">
        <w:t xml:space="preserve">the mapping shown </w:t>
      </w:r>
      <w:r w:rsidR="002477D9">
        <w:t>identifies main linkage</w:t>
      </w:r>
      <w:r w:rsidR="006F554E">
        <w:t>s</w:t>
      </w:r>
      <w:r w:rsidR="002477D9">
        <w:t xml:space="preserve"> only</w:t>
      </w:r>
      <w:r>
        <w:t>.</w:t>
      </w:r>
    </w:p>
    <w:p w14:paraId="47C80F89" w14:textId="4E1009EF" w:rsidR="007B2DE2" w:rsidRDefault="007B2DE2" w:rsidP="007B2DE2">
      <w:pPr>
        <w:pStyle w:val="Caption"/>
        <w:keepNext/>
      </w:pPr>
      <w:bookmarkStart w:id="139" w:name="_Ref172634845"/>
      <w:r>
        <w:t xml:space="preserve">Table </w:t>
      </w:r>
      <w:fldSimple w:instr=" STYLEREF 1 \s ">
        <w:r w:rsidR="00F32107">
          <w:rPr>
            <w:noProof/>
          </w:rPr>
          <w:t>4</w:t>
        </w:r>
      </w:fldSimple>
      <w:r w:rsidR="008944FB">
        <w:t>.</w:t>
      </w:r>
      <w:fldSimple w:instr=" SEQ Table \* ARABIC \s 1 ">
        <w:r w:rsidR="00F32107">
          <w:rPr>
            <w:noProof/>
          </w:rPr>
          <w:t>1</w:t>
        </w:r>
      </w:fldSimple>
      <w:bookmarkEnd w:id="139"/>
      <w:r>
        <w:t xml:space="preserve"> Mapping of problem statements to government objectives</w:t>
      </w:r>
    </w:p>
    <w:tbl>
      <w:tblPr>
        <w:tblStyle w:val="BodyTable"/>
        <w:tblW w:w="0" w:type="auto"/>
        <w:tblLook w:val="04A0" w:firstRow="1" w:lastRow="0" w:firstColumn="1" w:lastColumn="0" w:noHBand="0" w:noVBand="1"/>
      </w:tblPr>
      <w:tblGrid>
        <w:gridCol w:w="3686"/>
        <w:gridCol w:w="283"/>
        <w:gridCol w:w="4875"/>
      </w:tblGrid>
      <w:tr w:rsidR="008E5B92" w14:paraId="623F0DA1" w14:textId="77777777" w:rsidTr="007176F0">
        <w:trPr>
          <w:cnfStyle w:val="100000000000" w:firstRow="1" w:lastRow="0" w:firstColumn="0" w:lastColumn="0" w:oddVBand="0" w:evenVBand="0" w:oddHBand="0" w:evenHBand="0" w:firstRowFirstColumn="0" w:firstRowLastColumn="0" w:lastRowFirstColumn="0" w:lastRowLastColumn="0"/>
          <w:trHeight w:val="296"/>
        </w:trPr>
        <w:tc>
          <w:tcPr>
            <w:tcW w:w="3686" w:type="dxa"/>
          </w:tcPr>
          <w:p w14:paraId="6AF8AD6B" w14:textId="0B928765" w:rsidR="008E5B92" w:rsidRPr="007B2DE2" w:rsidRDefault="008E5B92" w:rsidP="00B7130A">
            <w:pPr>
              <w:pStyle w:val="BodyText"/>
              <w:keepNext/>
              <w:spacing w:before="0" w:after="0"/>
              <w:rPr>
                <w:b/>
                <w:bCs/>
              </w:rPr>
            </w:pPr>
            <w:r w:rsidRPr="007B2DE2">
              <w:rPr>
                <w:b/>
                <w:bCs/>
              </w:rPr>
              <w:t>Problem Statement Issues</w:t>
            </w:r>
          </w:p>
        </w:tc>
        <w:tc>
          <w:tcPr>
            <w:tcW w:w="283" w:type="dxa"/>
          </w:tcPr>
          <w:p w14:paraId="439D55BB" w14:textId="77777777" w:rsidR="008E5B92" w:rsidRPr="007B2DE2" w:rsidRDefault="008E5B92" w:rsidP="00B7130A">
            <w:pPr>
              <w:pStyle w:val="BodyText"/>
              <w:keepNext/>
              <w:spacing w:before="0" w:after="0"/>
              <w:rPr>
                <w:b/>
                <w:bCs/>
              </w:rPr>
            </w:pPr>
          </w:p>
        </w:tc>
        <w:tc>
          <w:tcPr>
            <w:tcW w:w="4875" w:type="dxa"/>
          </w:tcPr>
          <w:p w14:paraId="6121CA05" w14:textId="1A5B822A" w:rsidR="008E5B92" w:rsidRPr="007B2DE2" w:rsidRDefault="008E5B92" w:rsidP="00B7130A">
            <w:pPr>
              <w:pStyle w:val="BodyText"/>
              <w:keepNext/>
              <w:spacing w:before="0" w:after="0"/>
              <w:rPr>
                <w:b/>
                <w:bCs/>
              </w:rPr>
            </w:pPr>
            <w:r w:rsidRPr="007B2DE2">
              <w:rPr>
                <w:b/>
                <w:bCs/>
              </w:rPr>
              <w:t>Treatment</w:t>
            </w:r>
          </w:p>
        </w:tc>
      </w:tr>
      <w:tr w:rsidR="008E5B92" w14:paraId="03782056" w14:textId="77777777" w:rsidTr="007176F0">
        <w:tc>
          <w:tcPr>
            <w:tcW w:w="3686" w:type="dxa"/>
          </w:tcPr>
          <w:p w14:paraId="27FAC0AB" w14:textId="63965ABB" w:rsidR="008E5B92" w:rsidRDefault="008E5B92" w:rsidP="00B7130A">
            <w:pPr>
              <w:pStyle w:val="BodyText"/>
              <w:keepNext/>
              <w:spacing w:before="0" w:after="0"/>
            </w:pPr>
            <w:r>
              <w:t>Problem Statement 1 – Information Asymmetry (Scope of Practice)</w:t>
            </w:r>
          </w:p>
        </w:tc>
        <w:tc>
          <w:tcPr>
            <w:tcW w:w="283" w:type="dxa"/>
          </w:tcPr>
          <w:p w14:paraId="3028D7FC" w14:textId="77777777" w:rsidR="008E5B92" w:rsidRDefault="008E5B92" w:rsidP="00B7130A">
            <w:pPr>
              <w:pStyle w:val="BodyText"/>
              <w:keepNext/>
              <w:spacing w:before="0" w:after="0"/>
            </w:pPr>
          </w:p>
        </w:tc>
        <w:tc>
          <w:tcPr>
            <w:tcW w:w="4875" w:type="dxa"/>
          </w:tcPr>
          <w:p w14:paraId="59BE182B" w14:textId="0BE375BF" w:rsidR="008E5B92" w:rsidRDefault="008E5B92" w:rsidP="00B7130A">
            <w:pPr>
              <w:pStyle w:val="BodyText"/>
              <w:keepNext/>
              <w:spacing w:before="0" w:after="0"/>
            </w:pPr>
            <w:r>
              <w:t>Objective – Care Quality Assurance</w:t>
            </w:r>
          </w:p>
        </w:tc>
      </w:tr>
      <w:tr w:rsidR="008E5B92" w14:paraId="723727F4" w14:textId="77777777" w:rsidTr="007176F0">
        <w:tc>
          <w:tcPr>
            <w:tcW w:w="3686" w:type="dxa"/>
          </w:tcPr>
          <w:p w14:paraId="57EDC4BF" w14:textId="03C135EE" w:rsidR="008E5B92" w:rsidRDefault="008E5B92" w:rsidP="00B7130A">
            <w:pPr>
              <w:pStyle w:val="BodyText"/>
              <w:keepNext/>
              <w:spacing w:before="0" w:after="0"/>
            </w:pPr>
            <w:r>
              <w:t>Problem Statement 1 – Information Asymmetry (Protection of Title)</w:t>
            </w:r>
          </w:p>
        </w:tc>
        <w:tc>
          <w:tcPr>
            <w:tcW w:w="283" w:type="dxa"/>
          </w:tcPr>
          <w:p w14:paraId="6D95766A" w14:textId="77777777" w:rsidR="008E5B92" w:rsidRDefault="008E5B92" w:rsidP="00B7130A">
            <w:pPr>
              <w:pStyle w:val="BodyText"/>
              <w:keepNext/>
              <w:spacing w:before="0" w:after="0"/>
            </w:pPr>
          </w:p>
        </w:tc>
        <w:tc>
          <w:tcPr>
            <w:tcW w:w="4875" w:type="dxa"/>
          </w:tcPr>
          <w:p w14:paraId="57A1B8B0" w14:textId="5D0A4211" w:rsidR="008E5B92" w:rsidRDefault="008E5B92" w:rsidP="00B7130A">
            <w:pPr>
              <w:pStyle w:val="BodyText"/>
              <w:keepNext/>
              <w:spacing w:before="0" w:after="0"/>
            </w:pPr>
            <w:r>
              <w:t>Objective – Market Awareness</w:t>
            </w:r>
          </w:p>
        </w:tc>
      </w:tr>
      <w:tr w:rsidR="008E5B92" w14:paraId="5456AC03" w14:textId="77777777" w:rsidTr="007176F0">
        <w:tc>
          <w:tcPr>
            <w:tcW w:w="3686" w:type="dxa"/>
          </w:tcPr>
          <w:p w14:paraId="327D421C" w14:textId="754A9131" w:rsidR="008E5B92" w:rsidRDefault="008E5B92" w:rsidP="00B7130A">
            <w:pPr>
              <w:pStyle w:val="BodyText"/>
              <w:keepNext/>
              <w:spacing w:before="0" w:after="0"/>
            </w:pPr>
            <w:r>
              <w:t>Problem Statement 2 – Insufficient production of profession-level</w:t>
            </w:r>
            <w:r w:rsidR="00AC7DC7">
              <w:t xml:space="preserve"> </w:t>
            </w:r>
            <w:r>
              <w:t>goods</w:t>
            </w:r>
          </w:p>
        </w:tc>
        <w:tc>
          <w:tcPr>
            <w:tcW w:w="283" w:type="dxa"/>
          </w:tcPr>
          <w:p w14:paraId="3F8B432F" w14:textId="77777777" w:rsidR="008E5B92" w:rsidRDefault="008E5B92" w:rsidP="00B7130A">
            <w:pPr>
              <w:pStyle w:val="BodyText"/>
              <w:keepNext/>
              <w:spacing w:before="0" w:after="0"/>
            </w:pPr>
          </w:p>
        </w:tc>
        <w:tc>
          <w:tcPr>
            <w:tcW w:w="4875" w:type="dxa"/>
          </w:tcPr>
          <w:p w14:paraId="0A5DEEDD" w14:textId="5A8BC82D" w:rsidR="008E5B92" w:rsidRDefault="008E5B92" w:rsidP="00B7130A">
            <w:pPr>
              <w:pStyle w:val="BodyText"/>
              <w:keepNext/>
              <w:spacing w:before="0" w:after="0"/>
            </w:pPr>
            <w:r>
              <w:t>Objective – Care Quality Assurance</w:t>
            </w:r>
          </w:p>
        </w:tc>
      </w:tr>
      <w:tr w:rsidR="008E5B92" w14:paraId="07671EE4" w14:textId="77777777" w:rsidTr="007176F0">
        <w:tc>
          <w:tcPr>
            <w:tcW w:w="3686" w:type="dxa"/>
          </w:tcPr>
          <w:p w14:paraId="1C11E302" w14:textId="5AA1F2FB" w:rsidR="008E5B92" w:rsidRDefault="008E5B92" w:rsidP="00B7130A">
            <w:pPr>
              <w:pStyle w:val="BodyText"/>
              <w:keepNext/>
              <w:spacing w:before="0" w:after="0"/>
            </w:pPr>
            <w:r>
              <w:t>Problem Statement 3 – Organisational pressures (public sector)</w:t>
            </w:r>
          </w:p>
        </w:tc>
        <w:tc>
          <w:tcPr>
            <w:tcW w:w="283" w:type="dxa"/>
          </w:tcPr>
          <w:p w14:paraId="2EF8ACA6" w14:textId="77777777" w:rsidR="008E5B92" w:rsidRDefault="008E5B92" w:rsidP="00B7130A">
            <w:pPr>
              <w:pStyle w:val="BodyText"/>
              <w:keepNext/>
              <w:spacing w:before="0" w:after="0"/>
            </w:pPr>
          </w:p>
        </w:tc>
        <w:tc>
          <w:tcPr>
            <w:tcW w:w="4875" w:type="dxa"/>
          </w:tcPr>
          <w:p w14:paraId="753E7720" w14:textId="098784A7" w:rsidR="008E5B92" w:rsidRDefault="008E5B92" w:rsidP="00B7130A">
            <w:pPr>
              <w:pStyle w:val="BodyText"/>
              <w:keepNext/>
              <w:spacing w:before="0" w:after="0"/>
            </w:pPr>
            <w:r>
              <w:t>Constraints and Barriers</w:t>
            </w:r>
          </w:p>
        </w:tc>
      </w:tr>
      <w:tr w:rsidR="008E5B92" w14:paraId="3DAE0803" w14:textId="77777777" w:rsidTr="007176F0">
        <w:tc>
          <w:tcPr>
            <w:tcW w:w="3686" w:type="dxa"/>
          </w:tcPr>
          <w:p w14:paraId="56A45BB8" w14:textId="0B7CF08D" w:rsidR="008E5B92" w:rsidRDefault="008E5B92" w:rsidP="00B7130A">
            <w:pPr>
              <w:pStyle w:val="BodyText"/>
              <w:keepNext/>
              <w:spacing w:before="0" w:after="0"/>
            </w:pPr>
            <w:r>
              <w:t>Problem Statement 3 – Organisational pressures (private sector)</w:t>
            </w:r>
          </w:p>
        </w:tc>
        <w:tc>
          <w:tcPr>
            <w:tcW w:w="283" w:type="dxa"/>
          </w:tcPr>
          <w:p w14:paraId="51FA8A86" w14:textId="77777777" w:rsidR="008E5B92" w:rsidRDefault="008E5B92" w:rsidP="00B7130A">
            <w:pPr>
              <w:pStyle w:val="BodyText"/>
              <w:keepNext/>
              <w:spacing w:before="0" w:after="0"/>
            </w:pPr>
          </w:p>
        </w:tc>
        <w:tc>
          <w:tcPr>
            <w:tcW w:w="4875" w:type="dxa"/>
          </w:tcPr>
          <w:p w14:paraId="17A080BC" w14:textId="0B9E4645" w:rsidR="008E5B92" w:rsidRDefault="008E5B92" w:rsidP="00B7130A">
            <w:pPr>
              <w:pStyle w:val="BodyText"/>
              <w:keepNext/>
              <w:spacing w:before="0" w:after="0"/>
            </w:pPr>
            <w:r>
              <w:t>Objective – Ethical Practice</w:t>
            </w:r>
          </w:p>
          <w:p w14:paraId="7A5F863F" w14:textId="5C0C397B" w:rsidR="008E5B92" w:rsidRDefault="008E5B92" w:rsidP="00B7130A">
            <w:pPr>
              <w:pStyle w:val="BodyText"/>
              <w:keepNext/>
              <w:spacing w:before="0" w:after="0"/>
            </w:pPr>
            <w:r>
              <w:t>Constraints and barriers (where indicated)</w:t>
            </w:r>
          </w:p>
        </w:tc>
      </w:tr>
      <w:tr w:rsidR="008E5B92" w14:paraId="4CA353BE" w14:textId="77777777" w:rsidTr="007176F0">
        <w:tc>
          <w:tcPr>
            <w:tcW w:w="3686" w:type="dxa"/>
          </w:tcPr>
          <w:p w14:paraId="1A18BF5C" w14:textId="7C6B6F0F" w:rsidR="008E5B92" w:rsidRDefault="008E5B92" w:rsidP="00B7130A">
            <w:pPr>
              <w:pStyle w:val="BodyText"/>
              <w:keepNext/>
              <w:spacing w:before="0" w:after="0"/>
            </w:pPr>
            <w:r>
              <w:t xml:space="preserve">Problem Statement 4 </w:t>
            </w:r>
          </w:p>
        </w:tc>
        <w:tc>
          <w:tcPr>
            <w:tcW w:w="283" w:type="dxa"/>
          </w:tcPr>
          <w:p w14:paraId="69FA8DBC" w14:textId="77777777" w:rsidR="008E5B92" w:rsidRDefault="008E5B92" w:rsidP="00B7130A">
            <w:pPr>
              <w:pStyle w:val="BodyText"/>
              <w:keepNext/>
              <w:spacing w:before="0" w:after="0"/>
            </w:pPr>
          </w:p>
        </w:tc>
        <w:tc>
          <w:tcPr>
            <w:tcW w:w="4875" w:type="dxa"/>
          </w:tcPr>
          <w:p w14:paraId="42F26906" w14:textId="77777777" w:rsidR="008E5B92" w:rsidRDefault="008E5B92" w:rsidP="00B7130A">
            <w:pPr>
              <w:pStyle w:val="BodyText"/>
              <w:keepNext/>
              <w:spacing w:before="0" w:after="0"/>
            </w:pPr>
            <w:r>
              <w:t>Objective – Escalation systems</w:t>
            </w:r>
          </w:p>
          <w:p w14:paraId="4271FE8B" w14:textId="1D590706" w:rsidR="00932F3B" w:rsidRDefault="00932F3B" w:rsidP="00B7130A">
            <w:pPr>
              <w:pStyle w:val="BodyText"/>
              <w:keepNext/>
              <w:spacing w:before="0" w:after="0"/>
            </w:pPr>
            <w:r>
              <w:t>Objective – Regulatory consistency</w:t>
            </w:r>
          </w:p>
        </w:tc>
      </w:tr>
    </w:tbl>
    <w:p w14:paraId="0BEB7BBC" w14:textId="77777777" w:rsidR="00022AD3" w:rsidRDefault="00022AD3" w:rsidP="00B7130A">
      <w:pPr>
        <w:pStyle w:val="BodyText"/>
        <w:spacing w:before="0" w:after="0"/>
      </w:pPr>
    </w:p>
    <w:p w14:paraId="637E0CE5" w14:textId="3FEE58D0" w:rsidR="00026ACD" w:rsidRPr="00EB6DE4" w:rsidRDefault="004B5C45" w:rsidP="00026ACD">
      <w:pPr>
        <w:pStyle w:val="BodyText"/>
      </w:pPr>
      <w:r>
        <w:t xml:space="preserve">Government objectives </w:t>
      </w:r>
      <w:r w:rsidR="00026ACD">
        <w:t xml:space="preserve">are returned to in the </w:t>
      </w:r>
      <w:r w:rsidR="00EC7862">
        <w:t>multi-criteria analysis</w:t>
      </w:r>
      <w:r w:rsidR="00026ACD">
        <w:t xml:space="preserve"> for each shortlisted option. Please refer to Section </w:t>
      </w:r>
      <w:r w:rsidR="00026ACD">
        <w:fldChar w:fldCharType="begin"/>
      </w:r>
      <w:r w:rsidR="00026ACD">
        <w:instrText xml:space="preserve"> REF _Ref170896363 \r \h  \* MERGEFORMAT </w:instrText>
      </w:r>
      <w:r w:rsidR="00026ACD">
        <w:fldChar w:fldCharType="separate"/>
      </w:r>
      <w:r w:rsidR="00F32107">
        <w:t>7.4</w:t>
      </w:r>
      <w:r w:rsidR="00026ACD">
        <w:fldChar w:fldCharType="end"/>
      </w:r>
      <w:r w:rsidR="00026ACD">
        <w:t>.</w:t>
      </w:r>
    </w:p>
    <w:p w14:paraId="75C1A67F" w14:textId="77777777" w:rsidR="00026ACD" w:rsidRDefault="00026ACD" w:rsidP="00170154">
      <w:pPr>
        <w:pStyle w:val="Heading2"/>
      </w:pPr>
      <w:bookmarkStart w:id="140" w:name="_Ref169731032"/>
      <w:bookmarkStart w:id="141" w:name="_Toc171324757"/>
      <w:bookmarkStart w:id="142" w:name="_Toc198138600"/>
      <w:r>
        <w:t>Constraints and barriers</w:t>
      </w:r>
      <w:bookmarkEnd w:id="140"/>
      <w:bookmarkEnd w:id="141"/>
      <w:bookmarkEnd w:id="142"/>
    </w:p>
    <w:p w14:paraId="5A57AF9C" w14:textId="0611C0EB" w:rsidR="009022E6" w:rsidRPr="009022E6" w:rsidRDefault="009022E6" w:rsidP="009022E6">
      <w:pPr>
        <w:pStyle w:val="BodyText"/>
        <w:rPr>
          <w:lang w:eastAsia="en-AU"/>
        </w:rPr>
      </w:pPr>
      <w:r>
        <w:rPr>
          <w:lang w:eastAsia="en-AU"/>
        </w:rPr>
        <w:t xml:space="preserve">The following constraints and barriers to government action are noted. </w:t>
      </w:r>
    </w:p>
    <w:p w14:paraId="2EC5BE6F" w14:textId="638BEC93" w:rsidR="003A77DB" w:rsidRDefault="009022E6" w:rsidP="00C82B10">
      <w:pPr>
        <w:pStyle w:val="ListBullet"/>
      </w:pPr>
      <w:r w:rsidRPr="009022E6">
        <w:rPr>
          <w:b/>
          <w:bCs/>
        </w:rPr>
        <w:t xml:space="preserve">Precedent setting in the context of </w:t>
      </w:r>
      <w:r w:rsidR="004174B1">
        <w:rPr>
          <w:b/>
          <w:bCs/>
        </w:rPr>
        <w:t xml:space="preserve">public sector </w:t>
      </w:r>
      <w:r w:rsidRPr="009022E6">
        <w:rPr>
          <w:b/>
          <w:bCs/>
        </w:rPr>
        <w:t>employment frameworks</w:t>
      </w:r>
      <w:r>
        <w:t xml:space="preserve">. </w:t>
      </w:r>
      <w:r w:rsidR="00691F9F">
        <w:t xml:space="preserve">As </w:t>
      </w:r>
      <w:r w:rsidR="00691CFC">
        <w:t>previously described</w:t>
      </w:r>
      <w:r w:rsidR="00F14A11">
        <w:t xml:space="preserve">, </w:t>
      </w:r>
      <w:r w:rsidR="00444578">
        <w:t xml:space="preserve">audiology as a self-regulated profession does not require </w:t>
      </w:r>
      <w:r w:rsidR="009F696D">
        <w:t xml:space="preserve">current clinical certification </w:t>
      </w:r>
      <w:r w:rsidR="0018685F">
        <w:t xml:space="preserve">as a legislative requirement </w:t>
      </w:r>
      <w:r w:rsidR="009F696D">
        <w:t xml:space="preserve">in order to practise. </w:t>
      </w:r>
      <w:r w:rsidR="00EA33B0">
        <w:t xml:space="preserve">Based on </w:t>
      </w:r>
      <w:r w:rsidR="00FF1E10">
        <w:t>advi</w:t>
      </w:r>
      <w:r w:rsidR="00396D97">
        <w:t>ce from jurisdictions regarding current employment frameworks</w:t>
      </w:r>
      <w:r w:rsidR="00EA33B0">
        <w:t xml:space="preserve">, government action which imposes higher standards on </w:t>
      </w:r>
      <w:r w:rsidR="00F97F9D">
        <w:t xml:space="preserve">one self-regulated profession </w:t>
      </w:r>
      <w:r w:rsidR="000A5AFF">
        <w:t>may set a precedent for other self-regulated professions under the same employment framework</w:t>
      </w:r>
      <w:r w:rsidR="00F50FDC">
        <w:t xml:space="preserve">. This issue is returned to in Chapter </w:t>
      </w:r>
      <w:r w:rsidR="006C000A">
        <w:t>8</w:t>
      </w:r>
      <w:r w:rsidR="0018685F">
        <w:t>.</w:t>
      </w:r>
    </w:p>
    <w:p w14:paraId="00CC4998" w14:textId="7B77EB88" w:rsidR="0018685F" w:rsidRPr="004B3C08" w:rsidRDefault="00E073C9" w:rsidP="0060316E">
      <w:pPr>
        <w:pStyle w:val="ListBullet"/>
        <w:rPr>
          <w:b/>
          <w:bCs/>
        </w:rPr>
      </w:pPr>
      <w:r w:rsidRPr="004B3C08">
        <w:rPr>
          <w:b/>
          <w:bCs/>
        </w:rPr>
        <w:t xml:space="preserve">Intrinsic challenges </w:t>
      </w:r>
      <w:r w:rsidR="004B3C08">
        <w:rPr>
          <w:b/>
          <w:bCs/>
        </w:rPr>
        <w:t>in</w:t>
      </w:r>
      <w:r w:rsidR="00EC6479">
        <w:rPr>
          <w:b/>
          <w:bCs/>
        </w:rPr>
        <w:t xml:space="preserve"> </w:t>
      </w:r>
      <w:r w:rsidR="00DF6738">
        <w:rPr>
          <w:b/>
          <w:bCs/>
        </w:rPr>
        <w:t>identification and notification of episodes of substandard care</w:t>
      </w:r>
      <w:r w:rsidR="009459E2">
        <w:rPr>
          <w:b/>
          <w:bCs/>
        </w:rPr>
        <w:t xml:space="preserve">. </w:t>
      </w:r>
      <w:r w:rsidR="009459E2">
        <w:t xml:space="preserve">It is recognised that </w:t>
      </w:r>
      <w:r w:rsidR="00175DFC">
        <w:t xml:space="preserve">government has </w:t>
      </w:r>
      <w:r w:rsidR="006C7354">
        <w:t>limitations in its ability to address</w:t>
      </w:r>
      <w:r w:rsidR="009459E2">
        <w:t xml:space="preserve"> underlying challenges associated with patient</w:t>
      </w:r>
      <w:r w:rsidR="00997C7D">
        <w:t>s and/or families</w:t>
      </w:r>
      <w:r w:rsidR="009459E2">
        <w:t xml:space="preserve"> recognising episodes of substandard care</w:t>
      </w:r>
      <w:r w:rsidR="006C7354">
        <w:t xml:space="preserve">. </w:t>
      </w:r>
      <w:r w:rsidR="00C365EF">
        <w:t xml:space="preserve">Due to this, government action </w:t>
      </w:r>
      <w:r w:rsidR="0060316E">
        <w:t xml:space="preserve">needs to ensure that appropriate regulatory settings are in place to </w:t>
      </w:r>
      <w:r w:rsidR="00E10152">
        <w:t>facilitate the notification</w:t>
      </w:r>
      <w:r w:rsidR="007620EE">
        <w:t xml:space="preserve"> and reporting of instances of substandard care</w:t>
      </w:r>
      <w:r w:rsidR="002B5D08">
        <w:t xml:space="preserve"> when they are identified</w:t>
      </w:r>
      <w:r w:rsidR="001817DE">
        <w:t>, and to prevent them from occurring</w:t>
      </w:r>
      <w:r w:rsidR="00235E12">
        <w:t xml:space="preserve"> where possible</w:t>
      </w:r>
      <w:r w:rsidR="002B5D08">
        <w:t>.</w:t>
      </w:r>
    </w:p>
    <w:p w14:paraId="51F8E5A2" w14:textId="0BC741EE" w:rsidR="00285EE5" w:rsidRDefault="00930C1B" w:rsidP="003B1356">
      <w:pPr>
        <w:pStyle w:val="ListBullet"/>
      </w:pPr>
      <w:r w:rsidRPr="00EB457A">
        <w:rPr>
          <w:b/>
          <w:bCs/>
        </w:rPr>
        <w:t>Variation in site-</w:t>
      </w:r>
      <w:r w:rsidR="00EB457A" w:rsidRPr="00EB457A">
        <w:rPr>
          <w:b/>
          <w:bCs/>
        </w:rPr>
        <w:t>specific issues identified in the external reviews</w:t>
      </w:r>
      <w:r w:rsidR="00EB457A">
        <w:t xml:space="preserve">. </w:t>
      </w:r>
      <w:r w:rsidR="008338EE">
        <w:t xml:space="preserve">The external reviews </w:t>
      </w:r>
      <w:r w:rsidR="009E2D46">
        <w:t>i</w:t>
      </w:r>
      <w:r w:rsidR="00EB7462">
        <w:t xml:space="preserve">dentified </w:t>
      </w:r>
      <w:r w:rsidR="00990DA2">
        <w:t>a range of site-specific issues</w:t>
      </w:r>
      <w:r w:rsidR="00DD739D">
        <w:t xml:space="preserve"> </w:t>
      </w:r>
      <w:r w:rsidR="00700E5D">
        <w:t>across the three sites</w:t>
      </w:r>
      <w:r w:rsidR="00C322EC">
        <w:t>. For example, at Townsvil</w:t>
      </w:r>
      <w:r w:rsidR="005A582B">
        <w:t>l</w:t>
      </w:r>
      <w:r w:rsidR="00C322EC">
        <w:t>e University Hospital this included</w:t>
      </w:r>
      <w:r w:rsidR="00DD739D">
        <w:t xml:space="preserve"> </w:t>
      </w:r>
      <w:r w:rsidR="003B1356">
        <w:t xml:space="preserve">concerns </w:t>
      </w:r>
      <w:r w:rsidR="00285EE5">
        <w:t>in relation to work environment (including room set-up)</w:t>
      </w:r>
      <w:r w:rsidR="003B1356">
        <w:t xml:space="preserve">, </w:t>
      </w:r>
      <w:r w:rsidR="00B75F9E">
        <w:t>t</w:t>
      </w:r>
      <w:r w:rsidR="00285EE5">
        <w:t>eam composition (unusual hierarchy of roles) and allocation of caseloads</w:t>
      </w:r>
      <w:r w:rsidR="00C863E8">
        <w:t xml:space="preserve">. </w:t>
      </w:r>
      <w:r w:rsidR="00C73387">
        <w:t xml:space="preserve">The ability for government action </w:t>
      </w:r>
      <w:r w:rsidR="00C134D4">
        <w:t xml:space="preserve">in the form of regulation </w:t>
      </w:r>
      <w:r w:rsidR="009727FA">
        <w:t xml:space="preserve">to </w:t>
      </w:r>
      <w:r w:rsidR="005A582B">
        <w:t xml:space="preserve">comprehensively identify </w:t>
      </w:r>
      <w:r w:rsidR="00C96C41">
        <w:t xml:space="preserve">and </w:t>
      </w:r>
      <w:r w:rsidR="008B5E02">
        <w:t>compel the resolution</w:t>
      </w:r>
      <w:r w:rsidR="008747E8">
        <w:t xml:space="preserve"> of</w:t>
      </w:r>
      <w:r w:rsidR="008B5E02">
        <w:t xml:space="preserve"> </w:t>
      </w:r>
      <w:r w:rsidR="004A4D8B">
        <w:t xml:space="preserve">identified </w:t>
      </w:r>
      <w:r w:rsidR="00F50F4C">
        <w:t xml:space="preserve">site-specific issues </w:t>
      </w:r>
      <w:r w:rsidR="00A4521A">
        <w:t xml:space="preserve">is </w:t>
      </w:r>
      <w:r w:rsidR="00002E6B">
        <w:t>constrained</w:t>
      </w:r>
      <w:r w:rsidR="007477CE">
        <w:t>. This is due to</w:t>
      </w:r>
      <w:r w:rsidR="00DE4DB7">
        <w:t xml:space="preserve"> the likely cost of </w:t>
      </w:r>
      <w:r w:rsidR="007A0351">
        <w:t>regulatory burden</w:t>
      </w:r>
      <w:r w:rsidR="007477CE">
        <w:t xml:space="preserve">, </w:t>
      </w:r>
      <w:r w:rsidR="007D4568">
        <w:t xml:space="preserve">including </w:t>
      </w:r>
      <w:r w:rsidR="00655EE9">
        <w:t>challenges accommodating</w:t>
      </w:r>
      <w:r w:rsidR="00074233">
        <w:t xml:space="preserve"> </w:t>
      </w:r>
      <w:r w:rsidR="0015651A">
        <w:t xml:space="preserve">fit-for-purpose site-specific factors that improve care </w:t>
      </w:r>
      <w:r w:rsidR="0004652F">
        <w:t>delivery.</w:t>
      </w:r>
      <w:r w:rsidR="00C440A8">
        <w:t xml:space="preserve"> </w:t>
      </w:r>
    </w:p>
    <w:p w14:paraId="44C52935" w14:textId="6D31F0C0" w:rsidR="00B97E4F" w:rsidRDefault="00387AA6" w:rsidP="00C82B10">
      <w:pPr>
        <w:pStyle w:val="ListBullet"/>
      </w:pPr>
      <w:r w:rsidRPr="00387AA6">
        <w:rPr>
          <w:b/>
          <w:bCs/>
        </w:rPr>
        <w:t>Extent of private sector market intervention</w:t>
      </w:r>
      <w:r>
        <w:t xml:space="preserve">. </w:t>
      </w:r>
      <w:r w:rsidR="00633D68">
        <w:t xml:space="preserve">Issues raised </w:t>
      </w:r>
      <w:r w:rsidR="00932E59">
        <w:t>in stakeholder consultation and the</w:t>
      </w:r>
      <w:r w:rsidR="002152D4">
        <w:t xml:space="preserve"> ACCC report include </w:t>
      </w:r>
      <w:r w:rsidR="005A73E9">
        <w:t>high profit margins</w:t>
      </w:r>
      <w:r w:rsidR="00CA51CB">
        <w:t xml:space="preserve"> on hearing aids</w:t>
      </w:r>
      <w:r w:rsidR="00EE0BFD">
        <w:t xml:space="preserve">. </w:t>
      </w:r>
      <w:r w:rsidR="00C4338C">
        <w:t xml:space="preserve">Here, constraints to government </w:t>
      </w:r>
      <w:r w:rsidR="00E65579">
        <w:t>action</w:t>
      </w:r>
      <w:r w:rsidR="00C4338C">
        <w:t xml:space="preserve"> include </w:t>
      </w:r>
      <w:r w:rsidR="00921F61">
        <w:t>government preferences against</w:t>
      </w:r>
      <w:r w:rsidR="00E65579">
        <w:t xml:space="preserve"> price controls due to distortionary market effects</w:t>
      </w:r>
      <w:r w:rsidR="001D6883">
        <w:t>.</w:t>
      </w:r>
    </w:p>
    <w:p w14:paraId="03279B47" w14:textId="07FDEF46" w:rsidR="001D6883" w:rsidRDefault="00F12954" w:rsidP="00C82B10">
      <w:pPr>
        <w:pStyle w:val="ListBullet"/>
      </w:pPr>
      <w:r>
        <w:rPr>
          <w:b/>
          <w:bCs/>
        </w:rPr>
        <w:t>Lack of stakeholder consensus</w:t>
      </w:r>
      <w:r w:rsidR="00684103">
        <w:rPr>
          <w:b/>
          <w:bCs/>
        </w:rPr>
        <w:t xml:space="preserve"> regarding </w:t>
      </w:r>
      <w:r w:rsidR="000D0664">
        <w:rPr>
          <w:b/>
          <w:bCs/>
        </w:rPr>
        <w:t>the level of harm occurring under the current state</w:t>
      </w:r>
      <w:r w:rsidRPr="00F12954">
        <w:t>.</w:t>
      </w:r>
      <w:r>
        <w:t xml:space="preserve"> </w:t>
      </w:r>
      <w:r w:rsidR="00544AD8">
        <w:t>While a lack of stakeholder consensus is not a</w:t>
      </w:r>
      <w:r w:rsidR="00AD450A">
        <w:t xml:space="preserve"> justification for inaction, </w:t>
      </w:r>
      <w:r w:rsidR="00BC5CD4">
        <w:t>as previously stated there is dis</w:t>
      </w:r>
      <w:r w:rsidR="00F20AE6">
        <w:t xml:space="preserve">connect and disagreement between stakeholders </w:t>
      </w:r>
      <w:r w:rsidR="00613035">
        <w:t xml:space="preserve">on </w:t>
      </w:r>
      <w:r w:rsidR="004D2AAE">
        <w:t xml:space="preserve">the </w:t>
      </w:r>
      <w:r w:rsidR="008E2C4C">
        <w:t>perceived risk of harm and</w:t>
      </w:r>
      <w:r w:rsidR="006372B2">
        <w:t>/or</w:t>
      </w:r>
      <w:r w:rsidR="008E2C4C">
        <w:t xml:space="preserve"> level of harm occurring in the current state. </w:t>
      </w:r>
      <w:r w:rsidR="00DB5372">
        <w:t>From</w:t>
      </w:r>
      <w:r w:rsidR="006E245E">
        <w:t xml:space="preserve"> stakeholder consultation</w:t>
      </w:r>
      <w:r w:rsidR="00DB5372">
        <w:t>, it was common for</w:t>
      </w:r>
      <w:r w:rsidR="00F66132">
        <w:t xml:space="preserve"> sentiment expressing</w:t>
      </w:r>
      <w:r w:rsidR="006E245E">
        <w:t xml:space="preserve"> </w:t>
      </w:r>
      <w:r w:rsidR="00DB5372">
        <w:t xml:space="preserve">a perceived increased risk of harm or level of </w:t>
      </w:r>
      <w:r w:rsidR="00F66132">
        <w:t xml:space="preserve">harm occurring to be linked to </w:t>
      </w:r>
      <w:r w:rsidR="009E6BD2">
        <w:t xml:space="preserve">preferences for </w:t>
      </w:r>
      <w:r w:rsidR="00630C47">
        <w:t xml:space="preserve">increasing regulatory intervention. </w:t>
      </w:r>
      <w:r w:rsidR="00A2715F">
        <w:t xml:space="preserve">Hence, </w:t>
      </w:r>
      <w:r w:rsidR="007F5317">
        <w:t xml:space="preserve">successful </w:t>
      </w:r>
      <w:r w:rsidR="006873F2">
        <w:t xml:space="preserve">regulatory reform may require </w:t>
      </w:r>
      <w:r w:rsidR="004B08C2">
        <w:t>a compre</w:t>
      </w:r>
      <w:r w:rsidR="00C20197">
        <w:t>hensive consultation strategy with sectoral stakeholders</w:t>
      </w:r>
      <w:r w:rsidR="00075114">
        <w:t>,</w:t>
      </w:r>
      <w:r w:rsidR="00C20197">
        <w:t xml:space="preserve"> to achieve buy-in and </w:t>
      </w:r>
      <w:r w:rsidR="0059713C">
        <w:t>maximise the likelihood of achievement of objectives.</w:t>
      </w:r>
      <w:r w:rsidR="00C20197">
        <w:t xml:space="preserve"> </w:t>
      </w:r>
    </w:p>
    <w:p w14:paraId="1DF3F317" w14:textId="77777777" w:rsidR="00577E14" w:rsidRPr="00577E14" w:rsidRDefault="00577E14" w:rsidP="00577E14">
      <w:pPr>
        <w:pStyle w:val="BodyText"/>
      </w:pPr>
    </w:p>
    <w:p w14:paraId="3EB49716" w14:textId="77777777" w:rsidR="00577E14" w:rsidRDefault="00577E14" w:rsidP="00577E14">
      <w:pPr>
        <w:pStyle w:val="BodyText"/>
        <w:sectPr w:rsidR="00577E14" w:rsidSect="007F4E7D">
          <w:pgSz w:w="11906" w:h="16838" w:code="9"/>
          <w:pgMar w:top="1531" w:right="1531" w:bottom="1531" w:left="1531" w:header="709" w:footer="709" w:gutter="0"/>
          <w:cols w:space="708"/>
          <w:docGrid w:linePitch="360"/>
        </w:sectPr>
      </w:pPr>
    </w:p>
    <w:p w14:paraId="17D48044" w14:textId="21C274F9" w:rsidR="00C97EA4" w:rsidRDefault="00952457" w:rsidP="00577E14">
      <w:pPr>
        <w:pStyle w:val="Heading1"/>
      </w:pPr>
      <w:bookmarkStart w:id="143" w:name="_Toc198138601"/>
      <w:r>
        <w:t>What policy options are to be considered?</w:t>
      </w:r>
      <w:bookmarkEnd w:id="143"/>
    </w:p>
    <w:tbl>
      <w:tblPr>
        <w:tblStyle w:val="TableGrid"/>
        <w:tblW w:w="0" w:type="auto"/>
        <w:tblLook w:val="04A0" w:firstRow="1" w:lastRow="0" w:firstColumn="1" w:lastColumn="0" w:noHBand="0" w:noVBand="1"/>
      </w:tblPr>
      <w:tblGrid>
        <w:gridCol w:w="8834"/>
      </w:tblGrid>
      <w:tr w:rsidR="005478CC" w14:paraId="540A213C" w14:textId="77777777" w:rsidTr="005478CC">
        <w:tc>
          <w:tcPr>
            <w:tcW w:w="8834" w:type="dxa"/>
          </w:tcPr>
          <w:p w14:paraId="6D08CF25" w14:textId="2677AE1E" w:rsidR="00C64B11" w:rsidRPr="00C64B11" w:rsidRDefault="00C64B11" w:rsidP="00C64B11">
            <w:pPr>
              <w:pStyle w:val="ListBullet"/>
              <w:numPr>
                <w:ilvl w:val="0"/>
                <w:numId w:val="0"/>
              </w:numPr>
              <w:ind w:left="360" w:hanging="360"/>
              <w:rPr>
                <w:b/>
                <w:bCs/>
              </w:rPr>
            </w:pPr>
            <w:r w:rsidRPr="00C64B11">
              <w:rPr>
                <w:b/>
                <w:bCs/>
              </w:rPr>
              <w:t>Chapter summary</w:t>
            </w:r>
          </w:p>
          <w:p w14:paraId="460AE06E" w14:textId="48B0F352" w:rsidR="005478CC" w:rsidRDefault="00A35F3E" w:rsidP="00A35F3E">
            <w:pPr>
              <w:pStyle w:val="ListBullet"/>
            </w:pPr>
            <w:r>
              <w:t xml:space="preserve">Consultation Paper </w:t>
            </w:r>
            <w:r w:rsidR="00E30506">
              <w:t xml:space="preserve">1 </w:t>
            </w:r>
            <w:r>
              <w:t>released as part of this Decision RIS included seven longlisted options</w:t>
            </w:r>
            <w:r w:rsidR="00BE56E9">
              <w:t xml:space="preserve">, with </w:t>
            </w:r>
            <w:r w:rsidR="001A3899">
              <w:t>asterisked options preliminarily shortlisted</w:t>
            </w:r>
            <w:r>
              <w:t>:</w:t>
            </w:r>
          </w:p>
          <w:p w14:paraId="1D7B78A4" w14:textId="2CC78615" w:rsidR="00A35F3E" w:rsidRPr="004B6B2D" w:rsidRDefault="003437D2" w:rsidP="007176F0">
            <w:pPr>
              <w:pStyle w:val="BulletList2Column"/>
            </w:pPr>
            <w:r w:rsidRPr="004B6B2D">
              <w:t>Option 1: Status Quo</w:t>
            </w:r>
            <w:r w:rsidR="009253ED" w:rsidRPr="004B6B2D">
              <w:t>*</w:t>
            </w:r>
          </w:p>
          <w:p w14:paraId="799BB897" w14:textId="77777777" w:rsidR="003437D2" w:rsidRPr="004B6B2D" w:rsidRDefault="00300475" w:rsidP="007176F0">
            <w:pPr>
              <w:pStyle w:val="BulletList2Column"/>
            </w:pPr>
            <w:r w:rsidRPr="004B6B2D">
              <w:t xml:space="preserve">Option </w:t>
            </w:r>
            <w:r w:rsidR="007E319D" w:rsidRPr="004B6B2D">
              <w:t xml:space="preserve">2: </w:t>
            </w:r>
            <w:r w:rsidR="00332A6E" w:rsidRPr="004B6B2D">
              <w:t>Consolidation of the two audiology-specific PPBs to a single PPB</w:t>
            </w:r>
          </w:p>
          <w:p w14:paraId="4797016A" w14:textId="77777777" w:rsidR="00332A6E" w:rsidRPr="004B6B2D" w:rsidRDefault="00332A6E" w:rsidP="007176F0">
            <w:pPr>
              <w:pStyle w:val="BulletList2Column"/>
            </w:pPr>
            <w:r w:rsidRPr="004B6B2D">
              <w:t>Option 3: Mandatory membership of a PPB</w:t>
            </w:r>
          </w:p>
          <w:p w14:paraId="3494E53D" w14:textId="77777777" w:rsidR="00450EA2" w:rsidRPr="004B6B2D" w:rsidRDefault="001E7B3F" w:rsidP="007176F0">
            <w:pPr>
              <w:pStyle w:val="BulletList2Column"/>
            </w:pPr>
            <w:r w:rsidRPr="004B6B2D">
              <w:t>Option 4: License private providers of audiology services</w:t>
            </w:r>
          </w:p>
          <w:p w14:paraId="1D8DB680" w14:textId="28500971" w:rsidR="00EB655E" w:rsidRPr="004B6B2D" w:rsidRDefault="00EB655E" w:rsidP="007176F0">
            <w:pPr>
              <w:pStyle w:val="BulletList2Column"/>
            </w:pPr>
            <w:r w:rsidRPr="004B6B2D">
              <w:t xml:space="preserve">Option 5: </w:t>
            </w:r>
            <w:r w:rsidR="00B73E5C" w:rsidRPr="004B6B2D">
              <w:t>Regulation of audiologists that perform paediatric diagnostic and cochlear implant care services</w:t>
            </w:r>
            <w:r w:rsidR="009253ED" w:rsidRPr="004B6B2D">
              <w:t>*</w:t>
            </w:r>
          </w:p>
          <w:p w14:paraId="7072D641" w14:textId="6E571519" w:rsidR="00B73E5C" w:rsidRPr="004B6B2D" w:rsidRDefault="00B73E5C" w:rsidP="007176F0">
            <w:pPr>
              <w:pStyle w:val="BulletList2Column"/>
            </w:pPr>
            <w:r w:rsidRPr="004B6B2D">
              <w:t xml:space="preserve">Option 6: Jurisdictional </w:t>
            </w:r>
            <w:r w:rsidR="005E3435">
              <w:t>R</w:t>
            </w:r>
            <w:r w:rsidR="004B6B2D" w:rsidRPr="004B6B2D">
              <w:t xml:space="preserve">egistration </w:t>
            </w:r>
            <w:r w:rsidRPr="004B6B2D">
              <w:t>of the audiology profession</w:t>
            </w:r>
            <w:r w:rsidR="009253ED" w:rsidRPr="004B6B2D">
              <w:t>*</w:t>
            </w:r>
          </w:p>
          <w:p w14:paraId="3169F7FC" w14:textId="047321C1" w:rsidR="00B73E5C" w:rsidRPr="004B6B2D" w:rsidRDefault="00B73E5C" w:rsidP="007176F0">
            <w:pPr>
              <w:pStyle w:val="BulletList2Column"/>
            </w:pPr>
            <w:r w:rsidRPr="004B6B2D">
              <w:t xml:space="preserve">Option </w:t>
            </w:r>
            <w:r w:rsidR="006B1410" w:rsidRPr="004B6B2D">
              <w:t xml:space="preserve">7: National </w:t>
            </w:r>
            <w:r w:rsidR="005E3435">
              <w:t>R</w:t>
            </w:r>
            <w:r w:rsidR="006B1410" w:rsidRPr="004B6B2D">
              <w:t>egistration of the audiology profession under the National Scheme</w:t>
            </w:r>
            <w:r w:rsidR="009253ED" w:rsidRPr="004B6B2D">
              <w:t>*</w:t>
            </w:r>
            <w:r w:rsidR="006B1410" w:rsidRPr="004B6B2D">
              <w:t>.</w:t>
            </w:r>
          </w:p>
          <w:p w14:paraId="282C47BF" w14:textId="3A21309B" w:rsidR="00C03B96" w:rsidRDefault="00DA2D45" w:rsidP="00F457ED">
            <w:pPr>
              <w:pStyle w:val="ListBullet"/>
            </w:pPr>
            <w:r>
              <w:t xml:space="preserve">Option 3 </w:t>
            </w:r>
            <w:r w:rsidR="003C73FF">
              <w:t>was not part of the preliminary shortlisted options</w:t>
            </w:r>
            <w:r w:rsidR="006E6C7E">
              <w:t>. However, ba</w:t>
            </w:r>
            <w:r w:rsidR="006E6C7E" w:rsidRPr="006E6C7E">
              <w:t xml:space="preserve">sed on stakeholder feedback received </w:t>
            </w:r>
            <w:r w:rsidR="00AD1BD4">
              <w:t>a</w:t>
            </w:r>
            <w:r w:rsidR="00253AFA">
              <w:t xml:space="preserve"> modified </w:t>
            </w:r>
            <w:r w:rsidR="00AD1BD4">
              <w:t>version</w:t>
            </w:r>
            <w:r w:rsidR="00D82AE2">
              <w:t xml:space="preserve"> of this option was retained for impact analysis.</w:t>
            </w:r>
            <w:r w:rsidR="006F5919">
              <w:t xml:space="preserve"> </w:t>
            </w:r>
            <w:r w:rsidR="00BE2255">
              <w:t>‘</w:t>
            </w:r>
            <w:r w:rsidR="004F382F">
              <w:t xml:space="preserve">Strengthened Status Quo - </w:t>
            </w:r>
            <w:r w:rsidR="002A0DF2">
              <w:t xml:space="preserve">Jurisdictional </w:t>
            </w:r>
            <w:r w:rsidR="00DB55BF">
              <w:t xml:space="preserve">mandatory </w:t>
            </w:r>
            <w:r w:rsidR="002A0DF2">
              <w:t xml:space="preserve">current clinical certification </w:t>
            </w:r>
            <w:r w:rsidR="00DB55BF">
              <w:t xml:space="preserve">of </w:t>
            </w:r>
            <w:r w:rsidR="002A0DF2">
              <w:t xml:space="preserve">public sector audiologists and </w:t>
            </w:r>
            <w:r w:rsidR="004F382F">
              <w:t xml:space="preserve">uplift </w:t>
            </w:r>
            <w:r w:rsidR="00DB55BF">
              <w:t xml:space="preserve">in </w:t>
            </w:r>
            <w:r w:rsidR="004F382F">
              <w:t>CPD’</w:t>
            </w:r>
            <w:r w:rsidR="006B29CC">
              <w:t xml:space="preserve"> reflect</w:t>
            </w:r>
            <w:r w:rsidR="00C03B96">
              <w:t xml:space="preserve">s </w:t>
            </w:r>
            <w:r w:rsidR="006B29CC">
              <w:t>that</w:t>
            </w:r>
            <w:r w:rsidR="00C03B96">
              <w:t>:</w:t>
            </w:r>
          </w:p>
          <w:p w14:paraId="30A54B39" w14:textId="0FE5B1B6" w:rsidR="00C03B96" w:rsidRDefault="006B29CC" w:rsidP="007176F0">
            <w:pPr>
              <w:pStyle w:val="BulletList2Column"/>
            </w:pPr>
            <w:r>
              <w:t xml:space="preserve">current clinical certification is </w:t>
            </w:r>
            <w:r w:rsidR="00337BDD">
              <w:t>a more accurate reflection</w:t>
            </w:r>
            <w:r w:rsidR="00B12275">
              <w:t xml:space="preserve"> of currency of clinical skills</w:t>
            </w:r>
            <w:r w:rsidR="00BF0C91">
              <w:t xml:space="preserve"> </w:t>
            </w:r>
            <w:r w:rsidR="00741AB8">
              <w:t>than</w:t>
            </w:r>
            <w:r w:rsidR="00BF0C91">
              <w:t xml:space="preserve"> membership</w:t>
            </w:r>
          </w:p>
          <w:p w14:paraId="21B3E6AB" w14:textId="77777777" w:rsidR="00516BDB" w:rsidRDefault="00C03B96" w:rsidP="007176F0">
            <w:pPr>
              <w:pStyle w:val="BulletList2Column"/>
            </w:pPr>
            <w:r>
              <w:t xml:space="preserve">private sector audiologists </w:t>
            </w:r>
            <w:r w:rsidR="00A6002F">
              <w:t>already require current clinical certification to receive funding under a range of government programs</w:t>
            </w:r>
            <w:r w:rsidR="00970C75">
              <w:t xml:space="preserve"> whereas public sector audiologists do not face these </w:t>
            </w:r>
            <w:r w:rsidR="00597B44">
              <w:t>dynamics</w:t>
            </w:r>
            <w:r w:rsidR="00D04197">
              <w:t>.</w:t>
            </w:r>
          </w:p>
          <w:p w14:paraId="7056C74B" w14:textId="77777777" w:rsidR="003D4816" w:rsidRDefault="00095533" w:rsidP="00516BDB">
            <w:pPr>
              <w:pStyle w:val="ListBullet"/>
            </w:pPr>
            <w:r>
              <w:t>While</w:t>
            </w:r>
            <w:r w:rsidR="00C70DBE">
              <w:t xml:space="preserve"> Option 5 was preliminarily shortlisted</w:t>
            </w:r>
            <w:r w:rsidR="00143B76">
              <w:t>,</w:t>
            </w:r>
            <w:r w:rsidR="00C70DBE">
              <w:t xml:space="preserve"> stakeholder feedback from consultation showed low support for this option and</w:t>
            </w:r>
            <w:r w:rsidR="003362A2">
              <w:t xml:space="preserve"> raised strong feasibility </w:t>
            </w:r>
            <w:r w:rsidR="00F66E04">
              <w:t>concerns. Hence, this option was</w:t>
            </w:r>
            <w:r w:rsidR="00565D41">
              <w:t xml:space="preserve"> ultimately</w:t>
            </w:r>
            <w:r w:rsidR="00F66E04">
              <w:t xml:space="preserve"> not </w:t>
            </w:r>
            <w:r w:rsidR="00143B76">
              <w:t>retained for impact analysis.</w:t>
            </w:r>
            <w:r w:rsidR="004F382F">
              <w:t xml:space="preserve"> </w:t>
            </w:r>
          </w:p>
          <w:p w14:paraId="047D9A84" w14:textId="60EFCEEA" w:rsidR="009B146D" w:rsidRDefault="001770F6" w:rsidP="0007458C">
            <w:pPr>
              <w:pStyle w:val="ListBullet"/>
            </w:pPr>
            <w:r>
              <w:t>Overall, f</w:t>
            </w:r>
            <w:r w:rsidR="00AF5B3F">
              <w:t>our options were retained for impact analysis</w:t>
            </w:r>
            <w:r>
              <w:t xml:space="preserve"> as sh</w:t>
            </w:r>
            <w:r w:rsidR="001C25C4">
              <w:t>own below (</w:t>
            </w:r>
            <w:r w:rsidR="00293A02">
              <w:t>options not retained shown in grey).</w:t>
            </w:r>
          </w:p>
          <w:p w14:paraId="7B7509E9" w14:textId="1E4863BF" w:rsidR="00C02A4D" w:rsidRDefault="00FD1D9A" w:rsidP="0007458C">
            <w:pPr>
              <w:pStyle w:val="BulletList2Column"/>
              <w:numPr>
                <w:ilvl w:val="0"/>
                <w:numId w:val="0"/>
              </w:numPr>
              <w:ind w:left="357" w:hanging="357"/>
              <w:jc w:val="center"/>
            </w:pPr>
            <w:r w:rsidRPr="00FD1D9A">
              <w:rPr>
                <w:noProof/>
              </w:rPr>
              <w:drawing>
                <wp:inline distT="0" distB="0" distL="0" distR="0" wp14:anchorId="30DAC955" wp14:editId="7DA0EFBC">
                  <wp:extent cx="5029200" cy="2355462"/>
                  <wp:effectExtent l="0" t="0" r="0" b="6985"/>
                  <wp:docPr id="98310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5412" cy="2358372"/>
                          </a:xfrm>
                          <a:prstGeom prst="rect">
                            <a:avLst/>
                          </a:prstGeom>
                          <a:noFill/>
                          <a:ln>
                            <a:noFill/>
                          </a:ln>
                        </pic:spPr>
                      </pic:pic>
                    </a:graphicData>
                  </a:graphic>
                </wp:inline>
              </w:drawing>
            </w:r>
          </w:p>
        </w:tc>
      </w:tr>
    </w:tbl>
    <w:p w14:paraId="7F2AD23E" w14:textId="77777777" w:rsidR="009F5380" w:rsidRDefault="009F5380" w:rsidP="005478CC">
      <w:pPr>
        <w:pStyle w:val="BodyText"/>
        <w:sectPr w:rsidR="009F5380" w:rsidSect="007F4E7D">
          <w:pgSz w:w="11906" w:h="16838" w:code="9"/>
          <w:pgMar w:top="1531" w:right="1531" w:bottom="1531" w:left="1531" w:header="709" w:footer="709" w:gutter="0"/>
          <w:cols w:space="708"/>
          <w:docGrid w:linePitch="360"/>
        </w:sectPr>
      </w:pPr>
    </w:p>
    <w:p w14:paraId="7231C504" w14:textId="0B5A89A2" w:rsidR="008518C7" w:rsidRDefault="007E5A02" w:rsidP="009F5380">
      <w:pPr>
        <w:pStyle w:val="Heading2"/>
      </w:pPr>
      <w:bookmarkStart w:id="144" w:name="_Toc198138602"/>
      <w:r>
        <w:t>Options</w:t>
      </w:r>
      <w:r w:rsidR="00FA2133">
        <w:t xml:space="preserve"> excluded from impact analysis</w:t>
      </w:r>
      <w:bookmarkEnd w:id="144"/>
    </w:p>
    <w:p w14:paraId="44433892" w14:textId="260CAAC9" w:rsidR="00A03D55" w:rsidRDefault="008518C7" w:rsidP="00E27892">
      <w:pPr>
        <w:pStyle w:val="BodyText"/>
      </w:pPr>
      <w:r>
        <w:t>This Decision RIS considered seven longlisted options</w:t>
      </w:r>
      <w:r w:rsidR="00A03D55">
        <w:t xml:space="preserve"> as part of the development of Consultation Paper 1 to support Consultation Phase 1. </w:t>
      </w:r>
      <w:r w:rsidR="00342677">
        <w:t xml:space="preserve">Four options were preliminarily shortlisted for impact analysis, with stakeholder feedback sought on </w:t>
      </w:r>
      <w:r w:rsidR="00211003">
        <w:t>these options in Consultation Phase 1</w:t>
      </w:r>
      <w:r w:rsidR="00342677">
        <w:t xml:space="preserve"> </w:t>
      </w:r>
      <w:r w:rsidR="00900FEF">
        <w:t xml:space="preserve">. </w:t>
      </w:r>
      <w:r w:rsidR="00C679BC">
        <w:t xml:space="preserve">Stakeholder feedback from </w:t>
      </w:r>
      <w:r w:rsidR="006105DB">
        <w:t xml:space="preserve">Consultation Phase 1 led to: </w:t>
      </w:r>
    </w:p>
    <w:p w14:paraId="033B83E7" w14:textId="7D827C24" w:rsidR="006105DB" w:rsidRDefault="00F52E0E" w:rsidP="00AF6E46">
      <w:pPr>
        <w:pStyle w:val="ListBullet"/>
      </w:pPr>
      <w:r>
        <w:t>m</w:t>
      </w:r>
      <w:r w:rsidR="006105DB">
        <w:t xml:space="preserve">odification of </w:t>
      </w:r>
      <w:r w:rsidR="004E0741">
        <w:t>Option 3</w:t>
      </w:r>
      <w:r>
        <w:t xml:space="preserve"> (and shortlisting of this option for impact analysis)</w:t>
      </w:r>
    </w:p>
    <w:p w14:paraId="494CE3A2" w14:textId="6B082B9B" w:rsidR="00F52E0E" w:rsidRDefault="00222D06" w:rsidP="00AF6E46">
      <w:pPr>
        <w:pStyle w:val="ListBullet"/>
      </w:pPr>
      <w:r>
        <w:t>exclusion</w:t>
      </w:r>
      <w:r w:rsidR="003F36CA">
        <w:t xml:space="preserve"> of Option 5 from progression to impact analysis. </w:t>
      </w:r>
    </w:p>
    <w:p w14:paraId="3B6AFB36" w14:textId="64D1B28D" w:rsidR="0056147F" w:rsidRDefault="00222D06" w:rsidP="0041160E">
      <w:pPr>
        <w:pStyle w:val="BodyText"/>
      </w:pPr>
      <w:r>
        <w:t xml:space="preserve">This process is shown below in </w:t>
      </w:r>
      <w:r>
        <w:fldChar w:fldCharType="begin"/>
      </w:r>
      <w:r>
        <w:instrText xml:space="preserve"> REF _Ref196391025 \h </w:instrText>
      </w:r>
      <w:r w:rsidR="0041160E">
        <w:instrText xml:space="preserve"> \* MERGEFORMAT </w:instrText>
      </w:r>
      <w:r>
        <w:fldChar w:fldCharType="separate"/>
      </w:r>
      <w:r w:rsidR="00F32107">
        <w:t xml:space="preserve">Figure </w:t>
      </w:r>
      <w:r w:rsidR="00F32107">
        <w:rPr>
          <w:noProof/>
        </w:rPr>
        <w:t>5.1</w:t>
      </w:r>
      <w:r>
        <w:fldChar w:fldCharType="end"/>
      </w:r>
      <w:r w:rsidR="0041160E">
        <w:t>, with options not progressed to impact analysis shown in grey</w:t>
      </w:r>
      <w:r>
        <w:t xml:space="preserve">. </w:t>
      </w:r>
    </w:p>
    <w:p w14:paraId="5A8ACC30" w14:textId="57D59137" w:rsidR="00222D06" w:rsidRDefault="00222D06" w:rsidP="0007458C">
      <w:pPr>
        <w:pStyle w:val="Caption"/>
        <w:keepNext/>
        <w:spacing w:after="120"/>
      </w:pPr>
      <w:bookmarkStart w:id="145" w:name="_Ref196391025"/>
      <w:r>
        <w:t xml:space="preserve">Figure </w:t>
      </w:r>
      <w:fldSimple w:instr=" STYLEREF 1 \s ">
        <w:r w:rsidR="00F32107">
          <w:rPr>
            <w:noProof/>
          </w:rPr>
          <w:t>5</w:t>
        </w:r>
      </w:fldSimple>
      <w:r>
        <w:t>.</w:t>
      </w:r>
      <w:fldSimple w:instr=" SEQ Figure \* ARABIC \s 1 ">
        <w:r w:rsidR="00F32107">
          <w:rPr>
            <w:noProof/>
          </w:rPr>
          <w:t>1</w:t>
        </w:r>
      </w:fldSimple>
      <w:bookmarkEnd w:id="145"/>
      <w:r>
        <w:t xml:space="preserve"> Options shortlisting for impact analysis</w:t>
      </w:r>
    </w:p>
    <w:p w14:paraId="18005610" w14:textId="3C52920F" w:rsidR="00A03D55" w:rsidRDefault="00C679BC" w:rsidP="00E27892">
      <w:pPr>
        <w:pStyle w:val="BodyText"/>
      </w:pPr>
      <w:r w:rsidRPr="00C679BC">
        <w:rPr>
          <w:noProof/>
          <w:lang w:eastAsia="en-AU"/>
        </w:rPr>
        <w:drawing>
          <wp:inline distT="0" distB="0" distL="0" distR="0" wp14:anchorId="0036BBED" wp14:editId="413F86DB">
            <wp:extent cx="5615940" cy="2630170"/>
            <wp:effectExtent l="0" t="0" r="3810" b="0"/>
            <wp:docPr id="653699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5940" cy="2630170"/>
                    </a:xfrm>
                    <a:prstGeom prst="rect">
                      <a:avLst/>
                    </a:prstGeom>
                    <a:noFill/>
                    <a:ln>
                      <a:noFill/>
                    </a:ln>
                  </pic:spPr>
                </pic:pic>
              </a:graphicData>
            </a:graphic>
          </wp:inline>
        </w:drawing>
      </w:r>
    </w:p>
    <w:p w14:paraId="7A60275B" w14:textId="7A330AC3" w:rsidR="008518C7" w:rsidRDefault="008518C7" w:rsidP="00E27892">
      <w:pPr>
        <w:pStyle w:val="BodyText"/>
      </w:pPr>
      <w:r>
        <w:t xml:space="preserve">The options </w:t>
      </w:r>
      <w:r w:rsidR="001B09B1">
        <w:t xml:space="preserve">ultimately </w:t>
      </w:r>
      <w:r>
        <w:t xml:space="preserve">excluded </w:t>
      </w:r>
      <w:r w:rsidR="00CC3337">
        <w:t>from impact analysis in Chapters</w:t>
      </w:r>
      <w:r w:rsidR="006C698C">
        <w:t xml:space="preserve"> </w:t>
      </w:r>
      <w:r w:rsidR="00780F8D">
        <w:t>7</w:t>
      </w:r>
      <w:r w:rsidR="006C698C">
        <w:t xml:space="preserve"> and </w:t>
      </w:r>
      <w:r w:rsidR="00780F8D">
        <w:t>8</w:t>
      </w:r>
      <w:r w:rsidR="00222D06">
        <w:t xml:space="preserve"> (Option </w:t>
      </w:r>
      <w:r w:rsidR="00FA03C5">
        <w:t>2,</w:t>
      </w:r>
      <w:r w:rsidR="00D1609F">
        <w:t xml:space="preserve"> </w:t>
      </w:r>
      <w:r w:rsidR="00FA03C5">
        <w:t>4 and 5)</w:t>
      </w:r>
      <w:r w:rsidR="006C698C">
        <w:t xml:space="preserve"> </w:t>
      </w:r>
      <w:r>
        <w:t>are outlined below with their rationale for exclusion.</w:t>
      </w:r>
    </w:p>
    <w:p w14:paraId="55D2C678" w14:textId="77777777" w:rsidR="008518C7" w:rsidRDefault="008518C7" w:rsidP="00E27892">
      <w:pPr>
        <w:pStyle w:val="Heading3"/>
      </w:pPr>
      <w:bookmarkStart w:id="146" w:name="_Toc171324760"/>
      <w:bookmarkStart w:id="147" w:name="_Toc198138603"/>
      <w:r>
        <w:t>Consolidation of the two audiology-specific PPBs to a single PPB</w:t>
      </w:r>
      <w:bookmarkEnd w:id="146"/>
      <w:bookmarkEnd w:id="147"/>
    </w:p>
    <w:p w14:paraId="1214BF8A" w14:textId="488516BF" w:rsidR="008518C7" w:rsidRDefault="008518C7" w:rsidP="0052676D">
      <w:pPr>
        <w:pStyle w:val="BodyText"/>
      </w:pPr>
      <w:r>
        <w:t>This option involves government working with industry to enact an industry-led consolidation of the two current audiology PPBs (</w:t>
      </w:r>
      <w:r w:rsidR="00744D26">
        <w:t>AudA</w:t>
      </w:r>
      <w:r>
        <w:t xml:space="preserve"> and </w:t>
      </w:r>
      <w:r w:rsidR="00744D26">
        <w:t>Ac</w:t>
      </w:r>
      <w:r w:rsidR="00D66D59">
        <w:t>Aud inc. HAASA</w:t>
      </w:r>
      <w:r>
        <w:t>) to a single PPB.</w:t>
      </w:r>
      <w:r w:rsidR="00052B38">
        <w:rPr>
          <w:rStyle w:val="FootnoteReference"/>
        </w:rPr>
        <w:footnoteReference w:id="212"/>
      </w:r>
    </w:p>
    <w:p w14:paraId="4104D1B9" w14:textId="4FF619D0" w:rsidR="008518C7" w:rsidRPr="00D04043" w:rsidRDefault="008518C7" w:rsidP="0052676D">
      <w:pPr>
        <w:pStyle w:val="BodyText"/>
        <w:rPr>
          <w:b/>
          <w:bCs/>
        </w:rPr>
      </w:pPr>
      <w:r w:rsidRPr="00D04043">
        <w:rPr>
          <w:b/>
          <w:bCs/>
        </w:rPr>
        <w:t xml:space="preserve">Stakeholder feedback: </w:t>
      </w:r>
      <w:r>
        <w:t xml:space="preserve">Stakeholders identified that due to mutual recognition of sanctions under the </w:t>
      </w:r>
      <w:r w:rsidR="0044350F">
        <w:t>HPCCB</w:t>
      </w:r>
      <w:r>
        <w:t xml:space="preserve">, it is not possible for audiologists to evade sanctions by joining the other PPB. Also, due to </w:t>
      </w:r>
      <w:r w:rsidR="006811D8">
        <w:t>AcAud inc. HAA</w:t>
      </w:r>
      <w:r w:rsidR="00593B30">
        <w:t>S</w:t>
      </w:r>
      <w:r w:rsidR="006811D8">
        <w:t>A</w:t>
      </w:r>
      <w:r>
        <w:t xml:space="preserve"> </w:t>
      </w:r>
      <w:r w:rsidR="001C6526">
        <w:t>aligning with NASRHP standards</w:t>
      </w:r>
      <w:r w:rsidR="00593B30">
        <w:t xml:space="preserve"> (as</w:t>
      </w:r>
      <w:r w:rsidR="001C6526">
        <w:t xml:space="preserve"> </w:t>
      </w:r>
      <w:r>
        <w:t xml:space="preserve">described in Section </w:t>
      </w:r>
      <w:r>
        <w:fldChar w:fldCharType="begin"/>
      </w:r>
      <w:r>
        <w:instrText xml:space="preserve"> REF _Ref170130804 \r \h </w:instrText>
      </w:r>
      <w:r w:rsidR="0052676D">
        <w:instrText xml:space="preserve"> \* MERGEFORMAT </w:instrText>
      </w:r>
      <w:r>
        <w:fldChar w:fldCharType="separate"/>
      </w:r>
      <w:r w:rsidR="00F32107">
        <w:t>2.3.2</w:t>
      </w:r>
      <w:r>
        <w:fldChar w:fldCharType="end"/>
      </w:r>
      <w:r>
        <w:t xml:space="preserve"> and Section </w:t>
      </w:r>
      <w:r w:rsidR="00BD70CD">
        <w:fldChar w:fldCharType="begin"/>
      </w:r>
      <w:r w:rsidR="00BD70CD">
        <w:instrText xml:space="preserve"> REF _Ref172650802 \r \h </w:instrText>
      </w:r>
      <w:r w:rsidR="00BD70CD">
        <w:fldChar w:fldCharType="separate"/>
      </w:r>
      <w:r w:rsidR="00F32107">
        <w:t>2.3.3</w:t>
      </w:r>
      <w:r w:rsidR="00BD70CD">
        <w:fldChar w:fldCharType="end"/>
      </w:r>
      <w:r w:rsidR="00A77CD4">
        <w:t>)</w:t>
      </w:r>
      <w:r>
        <w:t xml:space="preserve">, there will be limited differences </w:t>
      </w:r>
      <w:r w:rsidR="003E600B">
        <w:t>moving forward</w:t>
      </w:r>
      <w:r>
        <w:t xml:space="preserve"> in the clinical internship and current clinical certification requirements between both PPBs.</w:t>
      </w:r>
    </w:p>
    <w:p w14:paraId="70EE6FB6" w14:textId="03038285" w:rsidR="008518C7" w:rsidRDefault="008518C7" w:rsidP="0052676D">
      <w:pPr>
        <w:pStyle w:val="BodyText"/>
      </w:pPr>
      <w:r w:rsidRPr="00D04043">
        <w:rPr>
          <w:b/>
          <w:bCs/>
        </w:rPr>
        <w:t xml:space="preserve">Rational for exclusion: </w:t>
      </w:r>
      <w:r>
        <w:t xml:space="preserve">The </w:t>
      </w:r>
      <w:r w:rsidR="009B4D38">
        <w:t>ability of this</w:t>
      </w:r>
      <w:r>
        <w:t xml:space="preserve"> option </w:t>
      </w:r>
      <w:r w:rsidR="009B4D38">
        <w:t>to address</w:t>
      </w:r>
      <w:r w:rsidR="00FF5FC7">
        <w:t xml:space="preserve"> the</w:t>
      </w:r>
      <w:r>
        <w:t xml:space="preserve"> problem statement</w:t>
      </w:r>
      <w:r w:rsidR="00FF5FC7">
        <w:t xml:space="preserve"> issues</w:t>
      </w:r>
      <w:r>
        <w:t xml:space="preserve"> is </w:t>
      </w:r>
      <w:r w:rsidR="00720F5C">
        <w:t xml:space="preserve">shown in </w:t>
      </w:r>
      <w:r w:rsidR="00B45340">
        <w:fldChar w:fldCharType="begin"/>
      </w:r>
      <w:r w:rsidR="00B45340">
        <w:instrText xml:space="preserve"> REF _Ref172652420 \h </w:instrText>
      </w:r>
      <w:r w:rsidR="00B45340">
        <w:fldChar w:fldCharType="separate"/>
      </w:r>
      <w:r w:rsidR="00F32107">
        <w:t xml:space="preserve">Table </w:t>
      </w:r>
      <w:r w:rsidR="00F32107">
        <w:rPr>
          <w:noProof/>
        </w:rPr>
        <w:t>5</w:t>
      </w:r>
      <w:r w:rsidR="00F32107">
        <w:t>.</w:t>
      </w:r>
      <w:r w:rsidR="00F32107">
        <w:rPr>
          <w:noProof/>
        </w:rPr>
        <w:t>1</w:t>
      </w:r>
      <w:r w:rsidR="00B45340">
        <w:fldChar w:fldCharType="end"/>
      </w:r>
      <w:r w:rsidR="003764DA">
        <w:t>.</w:t>
      </w:r>
    </w:p>
    <w:p w14:paraId="43B59B4A" w14:textId="725F18BF" w:rsidR="00567BA7" w:rsidRDefault="00567BA7" w:rsidP="00567BA7">
      <w:pPr>
        <w:pStyle w:val="Caption"/>
        <w:keepNext/>
      </w:pPr>
      <w:bookmarkStart w:id="148" w:name="_Ref172652420"/>
      <w:r>
        <w:t xml:space="preserve">Table </w:t>
      </w:r>
      <w:fldSimple w:instr=" STYLEREF 1 \s ">
        <w:r w:rsidR="00F32107">
          <w:rPr>
            <w:noProof/>
          </w:rPr>
          <w:t>5</w:t>
        </w:r>
      </w:fldSimple>
      <w:r w:rsidR="008944FB">
        <w:t>.</w:t>
      </w:r>
      <w:fldSimple w:instr=" SEQ Table \* ARABIC \s 1 ">
        <w:r w:rsidR="00F32107">
          <w:rPr>
            <w:noProof/>
          </w:rPr>
          <w:t>1</w:t>
        </w:r>
      </w:fldSimple>
      <w:bookmarkEnd w:id="148"/>
      <w:r>
        <w:t xml:space="preserve"> Qualitative assessment of </w:t>
      </w:r>
      <w:r w:rsidR="00E004BE">
        <w:t>Option 2</w:t>
      </w:r>
      <w:r>
        <w:t xml:space="preserve"> against problem statement issues</w:t>
      </w:r>
    </w:p>
    <w:tbl>
      <w:tblPr>
        <w:tblStyle w:val="BodyTable"/>
        <w:tblW w:w="0" w:type="auto"/>
        <w:tblLook w:val="04A0" w:firstRow="1" w:lastRow="0" w:firstColumn="1" w:lastColumn="0" w:noHBand="0" w:noVBand="1"/>
      </w:tblPr>
      <w:tblGrid>
        <w:gridCol w:w="6374"/>
        <w:gridCol w:w="2460"/>
      </w:tblGrid>
      <w:tr w:rsidR="000B087C" w:rsidRPr="00430020" w14:paraId="1A7396FF" w14:textId="77777777" w:rsidTr="001849D9">
        <w:trPr>
          <w:cnfStyle w:val="100000000000" w:firstRow="1" w:lastRow="0" w:firstColumn="0" w:lastColumn="0" w:oddVBand="0" w:evenVBand="0" w:oddHBand="0" w:evenHBand="0" w:firstRowFirstColumn="0" w:firstRowLastColumn="0" w:lastRowFirstColumn="0" w:lastRowLastColumn="0"/>
        </w:trPr>
        <w:tc>
          <w:tcPr>
            <w:tcW w:w="6374" w:type="dxa"/>
          </w:tcPr>
          <w:p w14:paraId="745194BE" w14:textId="5B91F5B1" w:rsidR="000B087C" w:rsidRPr="00430020" w:rsidRDefault="000B087C" w:rsidP="001849D9">
            <w:pPr>
              <w:pStyle w:val="BodyText"/>
              <w:spacing w:before="0" w:after="0"/>
              <w:rPr>
                <w:b/>
                <w:sz w:val="16"/>
                <w:szCs w:val="16"/>
              </w:rPr>
            </w:pPr>
            <w:r w:rsidRPr="00430020">
              <w:rPr>
                <w:b/>
                <w:sz w:val="16"/>
                <w:szCs w:val="16"/>
              </w:rPr>
              <w:t>Objective</w:t>
            </w:r>
          </w:p>
        </w:tc>
        <w:tc>
          <w:tcPr>
            <w:tcW w:w="2460" w:type="dxa"/>
          </w:tcPr>
          <w:p w14:paraId="78C436B4" w14:textId="4AC0BD4B" w:rsidR="000B087C" w:rsidRPr="00430020" w:rsidRDefault="00592636" w:rsidP="001849D9">
            <w:pPr>
              <w:pStyle w:val="BodyText"/>
              <w:spacing w:before="0" w:after="0"/>
              <w:rPr>
                <w:b/>
                <w:sz w:val="16"/>
                <w:szCs w:val="16"/>
              </w:rPr>
            </w:pPr>
            <w:r>
              <w:rPr>
                <w:b/>
                <w:sz w:val="16"/>
                <w:szCs w:val="16"/>
              </w:rPr>
              <w:t>Positi</w:t>
            </w:r>
            <w:r w:rsidR="00757213">
              <w:rPr>
                <w:b/>
                <w:sz w:val="16"/>
                <w:szCs w:val="16"/>
              </w:rPr>
              <w:t>ve</w:t>
            </w:r>
            <w:r w:rsidR="000B087C" w:rsidRPr="00430020">
              <w:rPr>
                <w:b/>
                <w:sz w:val="16"/>
                <w:szCs w:val="16"/>
              </w:rPr>
              <w:t xml:space="preserve"> </w:t>
            </w:r>
            <w:r w:rsidR="00430020" w:rsidRPr="00430020">
              <w:rPr>
                <w:b/>
                <w:sz w:val="16"/>
                <w:szCs w:val="16"/>
              </w:rPr>
              <w:t xml:space="preserve">change </w:t>
            </w:r>
            <w:r w:rsidR="006A6B2C">
              <w:rPr>
                <w:b/>
                <w:sz w:val="16"/>
                <w:szCs w:val="16"/>
              </w:rPr>
              <w:t>relative</w:t>
            </w:r>
            <w:r w:rsidR="00430020" w:rsidRPr="00430020">
              <w:rPr>
                <w:b/>
                <w:sz w:val="16"/>
                <w:szCs w:val="16"/>
              </w:rPr>
              <w:t xml:space="preserve"> to Status Quo</w:t>
            </w:r>
          </w:p>
        </w:tc>
      </w:tr>
      <w:tr w:rsidR="00DC633F" w:rsidRPr="00430020" w14:paraId="0F09D9D7" w14:textId="77777777" w:rsidTr="001849D9">
        <w:tc>
          <w:tcPr>
            <w:tcW w:w="6374" w:type="dxa"/>
          </w:tcPr>
          <w:p w14:paraId="5F747500" w14:textId="54E9A5D2" w:rsidR="00DC633F" w:rsidRPr="00DC633F" w:rsidRDefault="00DC633F" w:rsidP="001849D9">
            <w:pPr>
              <w:pStyle w:val="BodyText"/>
              <w:spacing w:before="0" w:after="0"/>
              <w:rPr>
                <w:b/>
                <w:sz w:val="16"/>
                <w:szCs w:val="16"/>
              </w:rPr>
            </w:pPr>
            <w:r w:rsidRPr="00DC633F">
              <w:rPr>
                <w:sz w:val="16"/>
                <w:szCs w:val="16"/>
              </w:rPr>
              <w:t>Problem Statement 1 – Information Asymmetry (Scope of Practice)</w:t>
            </w:r>
          </w:p>
        </w:tc>
        <w:tc>
          <w:tcPr>
            <w:tcW w:w="2460" w:type="dxa"/>
          </w:tcPr>
          <w:p w14:paraId="11B95BF7" w14:textId="3D1A081E" w:rsidR="00DC633F" w:rsidRPr="00430020" w:rsidRDefault="00DC633F" w:rsidP="001849D9">
            <w:pPr>
              <w:pStyle w:val="BodyText"/>
              <w:spacing w:before="0" w:after="0"/>
              <w:rPr>
                <w:b/>
                <w:sz w:val="16"/>
                <w:szCs w:val="16"/>
              </w:rPr>
            </w:pPr>
            <w:r>
              <w:rPr>
                <w:b/>
                <w:noProof/>
                <w:sz w:val="16"/>
                <w:szCs w:val="16"/>
                <w:lang w:eastAsia="en-AU"/>
                <w14:numSpacing w14:val="default"/>
              </w:rPr>
              <w:drawing>
                <wp:inline distT="0" distB="0" distL="0" distR="0" wp14:anchorId="7AC1A8EE" wp14:editId="63FD4112">
                  <wp:extent cx="198783" cy="198783"/>
                  <wp:effectExtent l="0" t="0" r="0" b="0"/>
                  <wp:docPr id="2" name="Graphic 2"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DC633F" w:rsidRPr="00430020" w14:paraId="7E0097C2" w14:textId="77777777" w:rsidTr="001849D9">
        <w:tc>
          <w:tcPr>
            <w:tcW w:w="6374" w:type="dxa"/>
          </w:tcPr>
          <w:p w14:paraId="07F6CF0C" w14:textId="532DDF93" w:rsidR="00DC633F" w:rsidRPr="00DC633F" w:rsidRDefault="00DC633F" w:rsidP="001849D9">
            <w:pPr>
              <w:pStyle w:val="BodyText"/>
              <w:spacing w:before="0" w:after="0"/>
              <w:rPr>
                <w:b/>
                <w:sz w:val="16"/>
                <w:szCs w:val="16"/>
              </w:rPr>
            </w:pPr>
            <w:r w:rsidRPr="00DC633F">
              <w:rPr>
                <w:sz w:val="16"/>
                <w:szCs w:val="16"/>
              </w:rPr>
              <w:t>Problem Statement 1 – Information Asymmetry (Protection of Title)</w:t>
            </w:r>
          </w:p>
        </w:tc>
        <w:tc>
          <w:tcPr>
            <w:tcW w:w="2460" w:type="dxa"/>
          </w:tcPr>
          <w:p w14:paraId="2271ACD8" w14:textId="28AB324C" w:rsidR="00DC633F" w:rsidRPr="00430020" w:rsidRDefault="002F5E0E"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4AB565F3" wp14:editId="2C14FB0A">
                  <wp:extent cx="198783" cy="198783"/>
                  <wp:effectExtent l="0" t="0" r="0" b="0"/>
                  <wp:docPr id="28" name="Graphic 28"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DC633F" w:rsidRPr="00430020" w14:paraId="05EF4F19" w14:textId="77777777" w:rsidTr="001849D9">
        <w:tc>
          <w:tcPr>
            <w:tcW w:w="6374" w:type="dxa"/>
          </w:tcPr>
          <w:p w14:paraId="5A532217" w14:textId="5FD5681C" w:rsidR="00DC633F" w:rsidRPr="00DC633F" w:rsidRDefault="00DC633F" w:rsidP="001849D9">
            <w:pPr>
              <w:pStyle w:val="BodyText"/>
              <w:spacing w:before="0" w:after="0"/>
              <w:rPr>
                <w:b/>
                <w:sz w:val="16"/>
                <w:szCs w:val="16"/>
              </w:rPr>
            </w:pPr>
            <w:r w:rsidRPr="00DC633F">
              <w:rPr>
                <w:sz w:val="16"/>
                <w:szCs w:val="16"/>
              </w:rPr>
              <w:t>Problem Statement 2 – Insufficient production of profession-level goods</w:t>
            </w:r>
          </w:p>
        </w:tc>
        <w:tc>
          <w:tcPr>
            <w:tcW w:w="2460" w:type="dxa"/>
          </w:tcPr>
          <w:p w14:paraId="424FAEBD" w14:textId="6FAC8DE3" w:rsidR="00DC633F" w:rsidRPr="00430020" w:rsidRDefault="00DC633F"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49CC3A5F" wp14:editId="3AE8208F">
                  <wp:extent cx="198783" cy="198783"/>
                  <wp:effectExtent l="0" t="0" r="0" b="0"/>
                  <wp:docPr id="18" name="Graphic 18"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DC633F" w:rsidRPr="00430020" w14:paraId="5BDA74BC" w14:textId="77777777" w:rsidTr="001849D9">
        <w:tc>
          <w:tcPr>
            <w:tcW w:w="6374" w:type="dxa"/>
          </w:tcPr>
          <w:p w14:paraId="52190395" w14:textId="5E403309" w:rsidR="00DC633F" w:rsidRPr="00DC633F" w:rsidRDefault="00DC633F" w:rsidP="001849D9">
            <w:pPr>
              <w:pStyle w:val="BodyText"/>
              <w:spacing w:before="0" w:after="0"/>
              <w:rPr>
                <w:b/>
                <w:sz w:val="16"/>
                <w:szCs w:val="16"/>
              </w:rPr>
            </w:pPr>
            <w:r w:rsidRPr="00DC633F">
              <w:rPr>
                <w:sz w:val="16"/>
                <w:szCs w:val="16"/>
              </w:rPr>
              <w:t>Problem Statement 3 – Organisational pressures (public sector)</w:t>
            </w:r>
          </w:p>
        </w:tc>
        <w:tc>
          <w:tcPr>
            <w:tcW w:w="2460" w:type="dxa"/>
          </w:tcPr>
          <w:p w14:paraId="24AB54A1" w14:textId="7635E3D0" w:rsidR="00DC633F" w:rsidRPr="00430020" w:rsidRDefault="00DC633F"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0C71A8EA" wp14:editId="7F69C057">
                  <wp:extent cx="198783" cy="198783"/>
                  <wp:effectExtent l="0" t="0" r="0" b="0"/>
                  <wp:docPr id="1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DC633F" w:rsidRPr="00430020" w14:paraId="231267EB" w14:textId="77777777" w:rsidTr="001849D9">
        <w:tc>
          <w:tcPr>
            <w:tcW w:w="6374" w:type="dxa"/>
          </w:tcPr>
          <w:p w14:paraId="5981E364" w14:textId="5FF2B7DC" w:rsidR="00DC633F" w:rsidRPr="00DC633F" w:rsidRDefault="00DC633F" w:rsidP="001849D9">
            <w:pPr>
              <w:pStyle w:val="BodyText"/>
              <w:spacing w:before="0" w:after="0"/>
              <w:rPr>
                <w:b/>
                <w:bCs/>
                <w:sz w:val="16"/>
                <w:szCs w:val="16"/>
              </w:rPr>
            </w:pPr>
            <w:r w:rsidRPr="00DC633F">
              <w:rPr>
                <w:sz w:val="16"/>
                <w:szCs w:val="16"/>
              </w:rPr>
              <w:t>Problem Statement 3 – Organisational pressures (private sector)</w:t>
            </w:r>
          </w:p>
        </w:tc>
        <w:tc>
          <w:tcPr>
            <w:tcW w:w="2460" w:type="dxa"/>
          </w:tcPr>
          <w:p w14:paraId="66FD6B83" w14:textId="6666804A" w:rsidR="00DC633F" w:rsidRPr="00132FB4" w:rsidRDefault="002F5E0E"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05548B07" wp14:editId="17662D7D">
                  <wp:extent cx="198783" cy="198783"/>
                  <wp:effectExtent l="0" t="0" r="0" b="0"/>
                  <wp:docPr id="27" name="Graphic 2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DC633F" w:rsidRPr="00430020" w14:paraId="62253131" w14:textId="77777777" w:rsidTr="001849D9">
        <w:tc>
          <w:tcPr>
            <w:tcW w:w="6374" w:type="dxa"/>
          </w:tcPr>
          <w:p w14:paraId="40A6E09A" w14:textId="7D8459B8" w:rsidR="00DC633F" w:rsidRPr="00DC633F" w:rsidRDefault="00DC633F" w:rsidP="001849D9">
            <w:pPr>
              <w:pStyle w:val="BodyText"/>
              <w:spacing w:before="0" w:after="0"/>
              <w:rPr>
                <w:b/>
                <w:bCs/>
                <w:sz w:val="16"/>
                <w:szCs w:val="16"/>
              </w:rPr>
            </w:pPr>
            <w:r w:rsidRPr="00DC633F">
              <w:rPr>
                <w:sz w:val="16"/>
                <w:szCs w:val="16"/>
              </w:rPr>
              <w:t xml:space="preserve">Problem Statement 4 </w:t>
            </w:r>
          </w:p>
        </w:tc>
        <w:tc>
          <w:tcPr>
            <w:tcW w:w="2460" w:type="dxa"/>
          </w:tcPr>
          <w:p w14:paraId="5D034970" w14:textId="33596161" w:rsidR="00DC633F" w:rsidRPr="00132FB4" w:rsidRDefault="00D63D02"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06F9A5DA" wp14:editId="325C46FB">
                  <wp:extent cx="198783" cy="198783"/>
                  <wp:effectExtent l="0" t="0" r="0" b="0"/>
                  <wp:docPr id="29" name="Graphic 2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bl>
    <w:p w14:paraId="42FAEE76" w14:textId="1F07DC31" w:rsidR="003764DA" w:rsidRPr="00B45340" w:rsidRDefault="00B45340" w:rsidP="0052676D">
      <w:pPr>
        <w:pStyle w:val="BodyText"/>
        <w:rPr>
          <w:color w:val="7F7F7F" w:themeColor="text1" w:themeTint="80"/>
          <w:sz w:val="16"/>
          <w:szCs w:val="16"/>
        </w:rPr>
      </w:pPr>
      <w:r w:rsidRPr="00B45340">
        <w:rPr>
          <w:color w:val="7F7F7F" w:themeColor="text1" w:themeTint="80"/>
          <w:sz w:val="16"/>
          <w:szCs w:val="16"/>
        </w:rPr>
        <w:t xml:space="preserve">Note: </w:t>
      </w:r>
      <w:r w:rsidR="006B1386">
        <w:rPr>
          <w:color w:val="7F7F7F" w:themeColor="text1" w:themeTint="80"/>
          <w:sz w:val="16"/>
          <w:szCs w:val="16"/>
        </w:rPr>
        <w:t>Increased shading</w:t>
      </w:r>
      <w:r>
        <w:rPr>
          <w:color w:val="7F7F7F" w:themeColor="text1" w:themeTint="80"/>
          <w:sz w:val="16"/>
          <w:szCs w:val="16"/>
        </w:rPr>
        <w:t xml:space="preserve"> represents </w:t>
      </w:r>
      <w:r w:rsidR="00BA7AFD">
        <w:rPr>
          <w:color w:val="7F7F7F" w:themeColor="text1" w:themeTint="80"/>
          <w:sz w:val="16"/>
          <w:szCs w:val="16"/>
        </w:rPr>
        <w:t>positive change relative to Status Quo.</w:t>
      </w:r>
    </w:p>
    <w:p w14:paraId="1A04CA9A" w14:textId="77777777" w:rsidR="008518C7" w:rsidRDefault="008518C7" w:rsidP="006C366B">
      <w:pPr>
        <w:pStyle w:val="Heading3"/>
      </w:pPr>
      <w:bookmarkStart w:id="149" w:name="_Toc171324762"/>
      <w:bookmarkStart w:id="150" w:name="_Toc198138604"/>
      <w:r>
        <w:t>License private providers of audiology services</w:t>
      </w:r>
      <w:bookmarkEnd w:id="149"/>
      <w:bookmarkEnd w:id="150"/>
    </w:p>
    <w:p w14:paraId="44DD3902" w14:textId="77777777" w:rsidR="008518C7" w:rsidRDefault="008518C7" w:rsidP="006C366B">
      <w:pPr>
        <w:pStyle w:val="BodyText"/>
        <w:rPr>
          <w:lang w:eastAsia="en-AU"/>
        </w:rPr>
      </w:pPr>
      <w:r w:rsidRPr="00A355D2">
        <w:rPr>
          <w:lang w:eastAsia="en-AU"/>
        </w:rPr>
        <w:t>This option establishes a State</w:t>
      </w:r>
      <w:r>
        <w:rPr>
          <w:lang w:eastAsia="en-AU"/>
        </w:rPr>
        <w:t>-</w:t>
      </w:r>
      <w:r w:rsidRPr="00A355D2">
        <w:rPr>
          <w:lang w:eastAsia="en-AU"/>
        </w:rPr>
        <w:t xml:space="preserve"> and Territory-based licensing scheme for private employers (including those who may provide audiologists under contract for services). In practice, a private provider would be required to hold a license to provide audiology services, and a licensing authority would require that specified standards are met. Standards could include ensuring qualifications of personnel and creating reporting and complaints mechanisms.</w:t>
      </w:r>
    </w:p>
    <w:p w14:paraId="75E0CB01" w14:textId="77777777" w:rsidR="008518C7" w:rsidRDefault="008518C7" w:rsidP="006C366B">
      <w:pPr>
        <w:pStyle w:val="BodyText"/>
        <w:rPr>
          <w:b/>
          <w:bCs/>
          <w:lang w:eastAsia="en-AU"/>
        </w:rPr>
      </w:pPr>
      <w:r>
        <w:rPr>
          <w:b/>
          <w:bCs/>
          <w:lang w:eastAsia="en-AU"/>
        </w:rPr>
        <w:t xml:space="preserve">Stakeholder feedback: </w:t>
      </w:r>
      <w:r>
        <w:rPr>
          <w:lang w:eastAsia="en-AU"/>
        </w:rPr>
        <w:t>There was limited stakeholder feedback in relation this option.</w:t>
      </w:r>
    </w:p>
    <w:p w14:paraId="4BD8D7EE" w14:textId="0C5F9D15" w:rsidR="008518C7" w:rsidRDefault="008518C7" w:rsidP="006C366B">
      <w:pPr>
        <w:pStyle w:val="BodyText"/>
        <w:rPr>
          <w:lang w:eastAsia="en-AU"/>
        </w:rPr>
      </w:pPr>
      <w:r>
        <w:rPr>
          <w:b/>
          <w:bCs/>
          <w:lang w:eastAsia="en-AU"/>
        </w:rPr>
        <w:t>R</w:t>
      </w:r>
      <w:r w:rsidRPr="002F6F69">
        <w:rPr>
          <w:b/>
          <w:bCs/>
          <w:lang w:eastAsia="en-AU"/>
        </w:rPr>
        <w:t>ationale for exclusion</w:t>
      </w:r>
      <w:r>
        <w:rPr>
          <w:b/>
          <w:bCs/>
          <w:lang w:eastAsia="en-AU"/>
        </w:rPr>
        <w:t xml:space="preserve">: </w:t>
      </w:r>
      <w:r w:rsidRPr="00A355D2">
        <w:rPr>
          <w:lang w:eastAsia="en-AU"/>
        </w:rPr>
        <w:t xml:space="preserve">According to 2021 ABS Census data, 89% of audiologists practice in the private sector. As a result, </w:t>
      </w:r>
      <w:r w:rsidR="000543C6">
        <w:rPr>
          <w:lang w:eastAsia="en-AU"/>
        </w:rPr>
        <w:t>licensing private providers</w:t>
      </w:r>
      <w:r w:rsidRPr="00A355D2">
        <w:rPr>
          <w:lang w:eastAsia="en-AU"/>
        </w:rPr>
        <w:t xml:space="preserve"> would impact the vast majority of practising audiologists. However, given the three external reviews examine</w:t>
      </w:r>
      <w:r>
        <w:rPr>
          <w:lang w:eastAsia="en-AU"/>
        </w:rPr>
        <w:t>d</w:t>
      </w:r>
      <w:r w:rsidRPr="00A355D2">
        <w:rPr>
          <w:lang w:eastAsia="en-AU"/>
        </w:rPr>
        <w:t xml:space="preserve"> public sector sites, the burden of regulation is not proportionally matched to </w:t>
      </w:r>
      <w:r>
        <w:rPr>
          <w:lang w:eastAsia="en-AU"/>
        </w:rPr>
        <w:t>evidenced harms occurring in the</w:t>
      </w:r>
      <w:r w:rsidRPr="00A355D2">
        <w:rPr>
          <w:lang w:eastAsia="en-AU"/>
        </w:rPr>
        <w:t xml:space="preserve"> public sector.</w:t>
      </w:r>
    </w:p>
    <w:p w14:paraId="4AEB3A10" w14:textId="6450A2BE" w:rsidR="004343B9" w:rsidRDefault="004343B9" w:rsidP="004343B9">
      <w:pPr>
        <w:pStyle w:val="BodyText"/>
      </w:pPr>
      <w:r w:rsidRPr="00D04043">
        <w:rPr>
          <w:b/>
          <w:bCs/>
        </w:rPr>
        <w:t xml:space="preserve">Rational for exclusion: </w:t>
      </w:r>
      <w:r w:rsidR="00FF5FC7" w:rsidRPr="00FF5FC7">
        <w:t>The ability of this option to address the problem statement issues is shown in</w:t>
      </w:r>
      <w:r>
        <w:t xml:space="preserve"> </w:t>
      </w:r>
      <w:r w:rsidR="00FF5FC7">
        <w:fldChar w:fldCharType="begin"/>
      </w:r>
      <w:r w:rsidR="00FF5FC7">
        <w:instrText xml:space="preserve"> REF _Ref172652929 \h </w:instrText>
      </w:r>
      <w:r w:rsidR="00FF5FC7">
        <w:fldChar w:fldCharType="separate"/>
      </w:r>
      <w:r w:rsidR="00F32107">
        <w:t xml:space="preserve">Table </w:t>
      </w:r>
      <w:r w:rsidR="00F32107">
        <w:rPr>
          <w:noProof/>
        </w:rPr>
        <w:t>5</w:t>
      </w:r>
      <w:r w:rsidR="00F32107">
        <w:t>.</w:t>
      </w:r>
      <w:r w:rsidR="00F32107">
        <w:rPr>
          <w:noProof/>
        </w:rPr>
        <w:t>2</w:t>
      </w:r>
      <w:r w:rsidR="00FF5FC7">
        <w:fldChar w:fldCharType="end"/>
      </w:r>
      <w:r>
        <w:t>.</w:t>
      </w:r>
    </w:p>
    <w:p w14:paraId="682768C5" w14:textId="1806DC82" w:rsidR="004343B9" w:rsidRDefault="004343B9" w:rsidP="004343B9">
      <w:pPr>
        <w:pStyle w:val="Caption"/>
        <w:keepNext/>
      </w:pPr>
      <w:bookmarkStart w:id="151" w:name="_Ref172652929"/>
      <w:r>
        <w:t xml:space="preserve">Table </w:t>
      </w:r>
      <w:fldSimple w:instr=" STYLEREF 1 \s ">
        <w:r w:rsidR="00F32107">
          <w:rPr>
            <w:noProof/>
          </w:rPr>
          <w:t>5</w:t>
        </w:r>
      </w:fldSimple>
      <w:r w:rsidR="008944FB">
        <w:t>.</w:t>
      </w:r>
      <w:fldSimple w:instr=" SEQ Table \* ARABIC \s 1 ">
        <w:r w:rsidR="00F32107">
          <w:rPr>
            <w:noProof/>
          </w:rPr>
          <w:t>2</w:t>
        </w:r>
      </w:fldSimple>
      <w:bookmarkEnd w:id="151"/>
      <w:r>
        <w:t xml:space="preserve"> Qualitative assessment of Option 4 against problem statement issues</w:t>
      </w:r>
    </w:p>
    <w:tbl>
      <w:tblPr>
        <w:tblStyle w:val="BodyTable"/>
        <w:tblW w:w="0" w:type="auto"/>
        <w:tblLook w:val="04A0" w:firstRow="1" w:lastRow="0" w:firstColumn="1" w:lastColumn="0" w:noHBand="0" w:noVBand="1"/>
      </w:tblPr>
      <w:tblGrid>
        <w:gridCol w:w="5812"/>
        <w:gridCol w:w="3022"/>
      </w:tblGrid>
      <w:tr w:rsidR="00193F71" w:rsidRPr="00430020" w14:paraId="7FACEA4E" w14:textId="77777777" w:rsidTr="0007458C">
        <w:trPr>
          <w:cnfStyle w:val="100000000000" w:firstRow="1" w:lastRow="0" w:firstColumn="0" w:lastColumn="0" w:oddVBand="0" w:evenVBand="0" w:oddHBand="0" w:evenHBand="0" w:firstRowFirstColumn="0" w:firstRowLastColumn="0" w:lastRowFirstColumn="0" w:lastRowLastColumn="0"/>
        </w:trPr>
        <w:tc>
          <w:tcPr>
            <w:tcW w:w="5812" w:type="dxa"/>
          </w:tcPr>
          <w:p w14:paraId="79BB1F7C" w14:textId="77777777" w:rsidR="00193F71" w:rsidRPr="00430020" w:rsidRDefault="00193F71" w:rsidP="001849D9">
            <w:pPr>
              <w:pStyle w:val="BodyText"/>
              <w:spacing w:before="0" w:after="0"/>
              <w:rPr>
                <w:b/>
                <w:sz w:val="16"/>
                <w:szCs w:val="16"/>
              </w:rPr>
            </w:pPr>
            <w:r w:rsidRPr="00430020">
              <w:rPr>
                <w:b/>
                <w:sz w:val="16"/>
                <w:szCs w:val="16"/>
              </w:rPr>
              <w:t>Objective</w:t>
            </w:r>
          </w:p>
        </w:tc>
        <w:tc>
          <w:tcPr>
            <w:tcW w:w="3022" w:type="dxa"/>
          </w:tcPr>
          <w:p w14:paraId="1AB3D2DB" w14:textId="77777777" w:rsidR="00193F71" w:rsidRPr="00430020" w:rsidRDefault="00193F71" w:rsidP="001849D9">
            <w:pPr>
              <w:pStyle w:val="BodyText"/>
              <w:spacing w:before="0" w:after="0"/>
              <w:rPr>
                <w:b/>
                <w:sz w:val="16"/>
                <w:szCs w:val="16"/>
              </w:rPr>
            </w:pPr>
            <w:r>
              <w:rPr>
                <w:b/>
                <w:sz w:val="16"/>
                <w:szCs w:val="16"/>
              </w:rPr>
              <w:t>Positive</w:t>
            </w:r>
            <w:r w:rsidRPr="00430020">
              <w:rPr>
                <w:b/>
                <w:sz w:val="16"/>
                <w:szCs w:val="16"/>
              </w:rPr>
              <w:t xml:space="preserve"> change </w:t>
            </w:r>
            <w:r>
              <w:rPr>
                <w:b/>
                <w:sz w:val="16"/>
                <w:szCs w:val="16"/>
              </w:rPr>
              <w:t>relative</w:t>
            </w:r>
            <w:r w:rsidRPr="00430020">
              <w:rPr>
                <w:b/>
                <w:sz w:val="16"/>
                <w:szCs w:val="16"/>
              </w:rPr>
              <w:t xml:space="preserve"> to Status Quo</w:t>
            </w:r>
          </w:p>
        </w:tc>
      </w:tr>
      <w:tr w:rsidR="00193F71" w:rsidRPr="00430020" w14:paraId="173F1854" w14:textId="77777777" w:rsidTr="0007458C">
        <w:tc>
          <w:tcPr>
            <w:tcW w:w="5812" w:type="dxa"/>
          </w:tcPr>
          <w:p w14:paraId="27A5AEDE" w14:textId="77777777" w:rsidR="00193F71" w:rsidRPr="00DC633F" w:rsidRDefault="00193F71" w:rsidP="001849D9">
            <w:pPr>
              <w:pStyle w:val="BodyText"/>
              <w:spacing w:before="0" w:after="0"/>
              <w:rPr>
                <w:b/>
                <w:sz w:val="16"/>
                <w:szCs w:val="16"/>
              </w:rPr>
            </w:pPr>
            <w:r w:rsidRPr="00DC633F">
              <w:rPr>
                <w:sz w:val="16"/>
                <w:szCs w:val="16"/>
              </w:rPr>
              <w:t>Problem Statement 1 – Information Asymmetry (Scope of Practice)</w:t>
            </w:r>
          </w:p>
        </w:tc>
        <w:tc>
          <w:tcPr>
            <w:tcW w:w="3022" w:type="dxa"/>
          </w:tcPr>
          <w:p w14:paraId="1A32504B" w14:textId="77777777" w:rsidR="00193F71" w:rsidRPr="00430020" w:rsidRDefault="00193F71" w:rsidP="001849D9">
            <w:pPr>
              <w:pStyle w:val="BodyText"/>
              <w:spacing w:before="0" w:after="0"/>
              <w:rPr>
                <w:b/>
                <w:sz w:val="16"/>
                <w:szCs w:val="16"/>
              </w:rPr>
            </w:pPr>
            <w:r>
              <w:rPr>
                <w:b/>
                <w:noProof/>
                <w:sz w:val="16"/>
                <w:szCs w:val="16"/>
                <w:lang w:eastAsia="en-AU"/>
                <w14:numSpacing w14:val="default"/>
              </w:rPr>
              <w:drawing>
                <wp:inline distT="0" distB="0" distL="0" distR="0" wp14:anchorId="0C22D9F4" wp14:editId="30102016">
                  <wp:extent cx="198783" cy="198783"/>
                  <wp:effectExtent l="0" t="0" r="0" b="0"/>
                  <wp:docPr id="31" name="Graphic 31"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193F71" w:rsidRPr="00430020" w14:paraId="565A7715" w14:textId="77777777" w:rsidTr="0007458C">
        <w:tc>
          <w:tcPr>
            <w:tcW w:w="5812" w:type="dxa"/>
          </w:tcPr>
          <w:p w14:paraId="6A950224" w14:textId="77777777" w:rsidR="00193F71" w:rsidRPr="00DC633F" w:rsidRDefault="00193F71" w:rsidP="001849D9">
            <w:pPr>
              <w:pStyle w:val="BodyText"/>
              <w:spacing w:before="0" w:after="0"/>
              <w:rPr>
                <w:b/>
                <w:sz w:val="16"/>
                <w:szCs w:val="16"/>
              </w:rPr>
            </w:pPr>
            <w:r w:rsidRPr="00DC633F">
              <w:rPr>
                <w:sz w:val="16"/>
                <w:szCs w:val="16"/>
              </w:rPr>
              <w:t>Problem Statement 1 – Information Asymmetry (Protection of Title)</w:t>
            </w:r>
          </w:p>
        </w:tc>
        <w:tc>
          <w:tcPr>
            <w:tcW w:w="3022" w:type="dxa"/>
          </w:tcPr>
          <w:p w14:paraId="717FFEAF" w14:textId="77777777" w:rsidR="00193F71" w:rsidRPr="00430020" w:rsidRDefault="00193F71"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75ABB98A" wp14:editId="57F9E342">
                  <wp:extent cx="198783" cy="198783"/>
                  <wp:effectExtent l="0" t="0" r="0" b="0"/>
                  <wp:docPr id="32" name="Graphic 32"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193F71" w:rsidRPr="00430020" w14:paraId="1BDD63AC" w14:textId="77777777" w:rsidTr="0007458C">
        <w:tc>
          <w:tcPr>
            <w:tcW w:w="5812" w:type="dxa"/>
          </w:tcPr>
          <w:p w14:paraId="106A6A91" w14:textId="77777777" w:rsidR="00193F71" w:rsidRPr="00DC633F" w:rsidRDefault="00193F71" w:rsidP="001849D9">
            <w:pPr>
              <w:pStyle w:val="BodyText"/>
              <w:spacing w:before="0" w:after="0"/>
              <w:rPr>
                <w:b/>
                <w:sz w:val="16"/>
                <w:szCs w:val="16"/>
              </w:rPr>
            </w:pPr>
            <w:r w:rsidRPr="00DC633F">
              <w:rPr>
                <w:sz w:val="16"/>
                <w:szCs w:val="16"/>
              </w:rPr>
              <w:t>Problem Statement 2 – Insufficient production of profession-level goods</w:t>
            </w:r>
          </w:p>
        </w:tc>
        <w:tc>
          <w:tcPr>
            <w:tcW w:w="3022" w:type="dxa"/>
          </w:tcPr>
          <w:p w14:paraId="5D86EA75" w14:textId="77777777" w:rsidR="00193F71" w:rsidRPr="00430020" w:rsidRDefault="00193F71"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08CC5FDD" wp14:editId="23864AF3">
                  <wp:extent cx="198783" cy="198783"/>
                  <wp:effectExtent l="0" t="0" r="0" b="0"/>
                  <wp:docPr id="34" name="Graphic 3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193F71" w:rsidRPr="00430020" w14:paraId="0EBE1F7F" w14:textId="77777777" w:rsidTr="0007458C">
        <w:tc>
          <w:tcPr>
            <w:tcW w:w="5812" w:type="dxa"/>
          </w:tcPr>
          <w:p w14:paraId="174576CF" w14:textId="77777777" w:rsidR="00193F71" w:rsidRPr="00DC633F" w:rsidRDefault="00193F71" w:rsidP="001849D9">
            <w:pPr>
              <w:pStyle w:val="BodyText"/>
              <w:spacing w:before="0" w:after="0"/>
              <w:rPr>
                <w:b/>
                <w:sz w:val="16"/>
                <w:szCs w:val="16"/>
              </w:rPr>
            </w:pPr>
            <w:r w:rsidRPr="00DC633F">
              <w:rPr>
                <w:sz w:val="16"/>
                <w:szCs w:val="16"/>
              </w:rPr>
              <w:t>Problem Statement 3 – Organisational pressures (public sector)</w:t>
            </w:r>
          </w:p>
        </w:tc>
        <w:tc>
          <w:tcPr>
            <w:tcW w:w="3022" w:type="dxa"/>
          </w:tcPr>
          <w:p w14:paraId="5EEB94F3" w14:textId="77777777" w:rsidR="00193F71" w:rsidRPr="00430020" w:rsidRDefault="00193F71"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71F5FF73" wp14:editId="0555E14E">
                  <wp:extent cx="198783" cy="198783"/>
                  <wp:effectExtent l="0" t="0" r="0" b="0"/>
                  <wp:docPr id="35" name="Graphic 35"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193F71" w:rsidRPr="00430020" w14:paraId="33F69373" w14:textId="77777777" w:rsidTr="0007458C">
        <w:tc>
          <w:tcPr>
            <w:tcW w:w="5812" w:type="dxa"/>
          </w:tcPr>
          <w:p w14:paraId="2ECB1039" w14:textId="77777777" w:rsidR="00193F71" w:rsidRPr="00DC633F" w:rsidRDefault="00193F71" w:rsidP="001849D9">
            <w:pPr>
              <w:pStyle w:val="BodyText"/>
              <w:spacing w:before="0" w:after="0"/>
              <w:rPr>
                <w:b/>
                <w:bCs/>
                <w:sz w:val="16"/>
                <w:szCs w:val="16"/>
              </w:rPr>
            </w:pPr>
            <w:r w:rsidRPr="00DC633F">
              <w:rPr>
                <w:sz w:val="16"/>
                <w:szCs w:val="16"/>
              </w:rPr>
              <w:t>Problem Statement 3 – Organisational pressures (private sector)</w:t>
            </w:r>
          </w:p>
        </w:tc>
        <w:tc>
          <w:tcPr>
            <w:tcW w:w="3022" w:type="dxa"/>
          </w:tcPr>
          <w:p w14:paraId="3F3A2051" w14:textId="77777777" w:rsidR="00193F71" w:rsidRPr="00132FB4" w:rsidRDefault="00193F71"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4AB130FF" wp14:editId="0AB1814E">
                  <wp:extent cx="198783" cy="198783"/>
                  <wp:effectExtent l="0" t="0" r="0" b="0"/>
                  <wp:docPr id="36" name="Graphic 36"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04034" cy="204034"/>
                          </a:xfrm>
                          <a:prstGeom prst="rect">
                            <a:avLst/>
                          </a:prstGeom>
                        </pic:spPr>
                      </pic:pic>
                    </a:graphicData>
                  </a:graphic>
                </wp:inline>
              </w:drawing>
            </w:r>
          </w:p>
        </w:tc>
      </w:tr>
      <w:tr w:rsidR="00193F71" w:rsidRPr="00430020" w14:paraId="23DA635E" w14:textId="77777777" w:rsidTr="0007458C">
        <w:tc>
          <w:tcPr>
            <w:tcW w:w="5812" w:type="dxa"/>
          </w:tcPr>
          <w:p w14:paraId="15837C52" w14:textId="77777777" w:rsidR="00193F71" w:rsidRPr="00DC633F" w:rsidRDefault="00193F71" w:rsidP="001849D9">
            <w:pPr>
              <w:pStyle w:val="BodyText"/>
              <w:spacing w:before="0" w:after="0"/>
              <w:rPr>
                <w:b/>
                <w:bCs/>
                <w:sz w:val="16"/>
                <w:szCs w:val="16"/>
              </w:rPr>
            </w:pPr>
            <w:r w:rsidRPr="00DC633F">
              <w:rPr>
                <w:sz w:val="16"/>
                <w:szCs w:val="16"/>
              </w:rPr>
              <w:t xml:space="preserve">Problem Statement 4 </w:t>
            </w:r>
          </w:p>
        </w:tc>
        <w:tc>
          <w:tcPr>
            <w:tcW w:w="3022" w:type="dxa"/>
          </w:tcPr>
          <w:p w14:paraId="70450B96" w14:textId="00A139A7" w:rsidR="00193F71" w:rsidRPr="00132FB4" w:rsidRDefault="00AE1AE4" w:rsidP="001849D9">
            <w:pPr>
              <w:pStyle w:val="BodyText"/>
              <w:spacing w:before="0" w:after="0"/>
              <w:rPr>
                <w:b/>
                <w:noProof/>
                <w:sz w:val="16"/>
                <w:szCs w:val="16"/>
                <w14:numSpacing w14:val="default"/>
              </w:rPr>
            </w:pPr>
            <w:r>
              <w:rPr>
                <w:b/>
                <w:noProof/>
                <w:sz w:val="16"/>
                <w:szCs w:val="16"/>
                <w:lang w:eastAsia="en-AU"/>
                <w14:numSpacing w14:val="default"/>
              </w:rPr>
              <w:drawing>
                <wp:inline distT="0" distB="0" distL="0" distR="0" wp14:anchorId="44D7241E" wp14:editId="3345CEBB">
                  <wp:extent cx="238125" cy="238125"/>
                  <wp:effectExtent l="0" t="0" r="9525" b="9525"/>
                  <wp:docPr id="38" name="Graphic 38"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38125" cy="238125"/>
                          </a:xfrm>
                          <a:prstGeom prst="rect">
                            <a:avLst/>
                          </a:prstGeom>
                        </pic:spPr>
                      </pic:pic>
                    </a:graphicData>
                  </a:graphic>
                </wp:inline>
              </w:drawing>
            </w:r>
            <w:r w:rsidRPr="00EF14CB">
              <w:rPr>
                <w:bCs/>
                <w:noProof/>
                <w:sz w:val="16"/>
                <w:szCs w:val="16"/>
                <w14:numSpacing w14:val="default"/>
              </w:rPr>
              <w:t xml:space="preserve">A </w:t>
            </w:r>
            <w:r w:rsidR="00F06CD2">
              <w:rPr>
                <w:bCs/>
                <w:noProof/>
                <w:sz w:val="16"/>
                <w:szCs w:val="16"/>
                <w14:numSpacing w14:val="default"/>
              </w:rPr>
              <w:t xml:space="preserve">government-based </w:t>
            </w:r>
            <w:r w:rsidR="009273EC" w:rsidRPr="00EF14CB">
              <w:rPr>
                <w:bCs/>
                <w:noProof/>
                <w:sz w:val="16"/>
                <w:szCs w:val="16"/>
                <w14:numSpacing w14:val="default"/>
              </w:rPr>
              <w:t xml:space="preserve">licensing authority </w:t>
            </w:r>
            <w:r w:rsidR="00584028">
              <w:rPr>
                <w:bCs/>
                <w:noProof/>
                <w:sz w:val="16"/>
                <w:szCs w:val="16"/>
                <w14:numSpacing w14:val="default"/>
              </w:rPr>
              <w:t>could increase the likelihood of complaints being reported.</w:t>
            </w:r>
            <w:r w:rsidR="00902EEC">
              <w:rPr>
                <w:b/>
                <w:noProof/>
                <w:sz w:val="16"/>
                <w:szCs w:val="16"/>
                <w14:numSpacing w14:val="default"/>
              </w:rPr>
              <w:t xml:space="preserve"> </w:t>
            </w:r>
          </w:p>
        </w:tc>
      </w:tr>
    </w:tbl>
    <w:p w14:paraId="6DCF9A75" w14:textId="77777777" w:rsidR="00707ABF" w:rsidRDefault="00707ABF" w:rsidP="006C366B">
      <w:pPr>
        <w:pStyle w:val="BodyText"/>
        <w:rPr>
          <w:lang w:eastAsia="en-AU"/>
        </w:rPr>
      </w:pPr>
    </w:p>
    <w:p w14:paraId="33D74726" w14:textId="77777777" w:rsidR="00225E4C" w:rsidRDefault="00225E4C" w:rsidP="00225E4C">
      <w:pPr>
        <w:pStyle w:val="Heading3"/>
      </w:pPr>
      <w:bookmarkStart w:id="152" w:name="_Toc198138605"/>
      <w:r w:rsidRPr="0064090C">
        <w:t xml:space="preserve">Regulation of audiologists that perform paediatric diagnostic and cochlear implant care </w:t>
      </w:r>
      <w:r w:rsidRPr="003958D3">
        <w:t>services</w:t>
      </w:r>
      <w:bookmarkEnd w:id="152"/>
    </w:p>
    <w:p w14:paraId="64D13F6A" w14:textId="79885D54" w:rsidR="00225E4C" w:rsidRDefault="00225E4C" w:rsidP="00225E4C">
      <w:pPr>
        <w:pStyle w:val="BodyText"/>
        <w:rPr>
          <w:lang w:eastAsia="en-AU"/>
        </w:rPr>
      </w:pPr>
      <w:r>
        <w:rPr>
          <w:lang w:eastAsia="en-AU"/>
        </w:rPr>
        <w:t xml:space="preserve">This option would regulate a subset of the audiology profession that perform paediatric diagnostic and cochlear implant care services. It is recognised that these audiologists work across the public and private sector, and may perform this work as the majority of their caseload, or as one component of a broader caseload. Thus, different mechanisms for regulation would create differentiated impact across these cohorts. As well, many regulatory mechanisms would require a credentialling step in order to identify audiologists that need to be included under the regulatory approach. </w:t>
      </w:r>
      <w:r w:rsidR="00505184">
        <w:rPr>
          <w:lang w:eastAsia="en-AU"/>
        </w:rPr>
        <w:t>AudA’s</w:t>
      </w:r>
      <w:r>
        <w:rPr>
          <w:lang w:eastAsia="en-AU"/>
        </w:rPr>
        <w:t xml:space="preserve"> Certification of Advanced Paediatric Audiology is the only existing framework for credentialling advanced practice in paediatric audiology known to be operating an Australian context at this time.</w:t>
      </w:r>
      <w:r>
        <w:rPr>
          <w:rStyle w:val="FootnoteReference"/>
        </w:rPr>
        <w:footnoteReference w:id="213"/>
      </w:r>
      <w:r>
        <w:rPr>
          <w:lang w:eastAsia="en-AU"/>
        </w:rPr>
        <w:t xml:space="preserve"> </w:t>
      </w:r>
      <w:r w:rsidR="00120F93">
        <w:rPr>
          <w:lang w:eastAsia="en-AU"/>
        </w:rPr>
        <w:t>Comparator credenti</w:t>
      </w:r>
      <w:r w:rsidR="00B75E18">
        <w:rPr>
          <w:lang w:eastAsia="en-AU"/>
        </w:rPr>
        <w:t>als</w:t>
      </w:r>
      <w:r w:rsidR="004C7684">
        <w:rPr>
          <w:lang w:eastAsia="en-AU"/>
        </w:rPr>
        <w:t xml:space="preserve"> internationally include the American Board of Audiology’s Paediatric Audiology Specialty Certification.</w:t>
      </w:r>
      <w:r w:rsidR="003556ED">
        <w:rPr>
          <w:rStyle w:val="FootnoteReference"/>
          <w:lang w:eastAsia="en-AU"/>
        </w:rPr>
        <w:footnoteReference w:id="214"/>
      </w:r>
      <w:r w:rsidR="004C7684">
        <w:rPr>
          <w:lang w:eastAsia="en-AU"/>
        </w:rPr>
        <w:t xml:space="preserve"> </w:t>
      </w:r>
      <w:r>
        <w:rPr>
          <w:lang w:eastAsia="en-AU"/>
        </w:rPr>
        <w:t>However, an alternate credentialling framework could be developed.</w:t>
      </w:r>
    </w:p>
    <w:p w14:paraId="4A7AB1B4" w14:textId="77777777" w:rsidR="00225E4C" w:rsidRDefault="00225E4C" w:rsidP="00225E4C">
      <w:pPr>
        <w:pStyle w:val="BodyText"/>
        <w:rPr>
          <w:lang w:eastAsia="en-AU"/>
        </w:rPr>
      </w:pPr>
      <w:r>
        <w:rPr>
          <w:lang w:eastAsia="en-AU"/>
        </w:rPr>
        <w:t>While design choices for regulation in relation to specific cohorts can be more complex, identified mechanisms could include funding arrangements and/or employment requirements as mandated by government.</w:t>
      </w:r>
    </w:p>
    <w:p w14:paraId="6AB144A6" w14:textId="43A97CB8" w:rsidR="003B5D79" w:rsidRDefault="00225E4C" w:rsidP="003B5D79">
      <w:pPr>
        <w:pStyle w:val="BodyText"/>
        <w:rPr>
          <w:lang w:eastAsia="en-AU"/>
        </w:rPr>
      </w:pPr>
      <w:r>
        <w:rPr>
          <w:b/>
          <w:bCs/>
          <w:lang w:eastAsia="en-AU"/>
        </w:rPr>
        <w:t xml:space="preserve">Stakeholder feedback: </w:t>
      </w:r>
      <w:r w:rsidR="003B5D79">
        <w:rPr>
          <w:lang w:eastAsia="en-AU"/>
        </w:rPr>
        <w:t>Stakeholders with a clinical background expressed doubt that a targeted regulatory approach would be feasible or have the impact required. A common theme included concern that differentiating between diagnostic and rehabilitation services faces practicality challenges in the context of an appointment (an audiologist may have to perform both diagnostic and rehabilitation services) or in the context of an overall patient journey. Stakeholders also expressed concern that:</w:t>
      </w:r>
    </w:p>
    <w:p w14:paraId="2DA37616" w14:textId="3BFE5472" w:rsidR="003B5D79" w:rsidRDefault="003B5D79" w:rsidP="00437894">
      <w:pPr>
        <w:pStyle w:val="ListBullet"/>
      </w:pPr>
      <w:r>
        <w:t>targeted regulation would discourage the workforce from providing these services</w:t>
      </w:r>
    </w:p>
    <w:p w14:paraId="72F60567" w14:textId="72B9A40C" w:rsidR="003B5D79" w:rsidRDefault="003B5D79" w:rsidP="00437894">
      <w:pPr>
        <w:pStyle w:val="ListBullet"/>
      </w:pPr>
      <w:r>
        <w:t>there may be unintended impacts on service delivery in rural and remote areas (i.e. an uncredentialled audiologist may have to decide whether to refuse to see a child if there was no alternate service provider coming for a period of time).</w:t>
      </w:r>
    </w:p>
    <w:p w14:paraId="60002B51" w14:textId="633A3155" w:rsidR="00225E4C" w:rsidRDefault="003B5D79" w:rsidP="003B5D79">
      <w:pPr>
        <w:pStyle w:val="BodyText"/>
        <w:rPr>
          <w:b/>
          <w:bCs/>
          <w:lang w:eastAsia="en-AU"/>
        </w:rPr>
      </w:pPr>
      <w:r>
        <w:rPr>
          <w:lang w:eastAsia="en-AU"/>
        </w:rPr>
        <w:t>In addition, stakeholders referred to a range of patient harms occurring in the adult population, which would not be addressed through this option.</w:t>
      </w:r>
    </w:p>
    <w:p w14:paraId="50D5329D" w14:textId="453AF9C7" w:rsidR="0070447F" w:rsidRDefault="00225E4C" w:rsidP="0070447F">
      <w:pPr>
        <w:pStyle w:val="BodyText"/>
      </w:pPr>
      <w:r>
        <w:rPr>
          <w:b/>
          <w:bCs/>
          <w:lang w:eastAsia="en-AU"/>
        </w:rPr>
        <w:t>R</w:t>
      </w:r>
      <w:r w:rsidRPr="00424EB6">
        <w:rPr>
          <w:b/>
          <w:bCs/>
          <w:lang w:eastAsia="en-AU"/>
        </w:rPr>
        <w:t xml:space="preserve">ationale for </w:t>
      </w:r>
      <w:r w:rsidR="0070447F">
        <w:rPr>
          <w:b/>
          <w:bCs/>
          <w:lang w:eastAsia="en-AU"/>
        </w:rPr>
        <w:t>exclusion</w:t>
      </w:r>
      <w:r>
        <w:rPr>
          <w:lang w:eastAsia="en-AU"/>
        </w:rPr>
        <w:t xml:space="preserve">: </w:t>
      </w:r>
      <w:bookmarkStart w:id="153" w:name="_Toc171324763"/>
      <w:r w:rsidR="0070447F" w:rsidRPr="00FF5FC7">
        <w:t>The ability of this option to address the problem statement issues is shown in</w:t>
      </w:r>
      <w:r w:rsidR="0070447F">
        <w:t xml:space="preserve"> </w:t>
      </w:r>
      <w:r w:rsidR="00226CA0">
        <w:fldChar w:fldCharType="begin"/>
      </w:r>
      <w:r w:rsidR="00226CA0">
        <w:instrText xml:space="preserve"> REF _Ref172795072 \h </w:instrText>
      </w:r>
      <w:r w:rsidR="00226CA0">
        <w:fldChar w:fldCharType="separate"/>
      </w:r>
      <w:r w:rsidR="00F32107">
        <w:t xml:space="preserve">Table </w:t>
      </w:r>
      <w:r w:rsidR="00F32107">
        <w:rPr>
          <w:noProof/>
        </w:rPr>
        <w:t>5</w:t>
      </w:r>
      <w:r w:rsidR="00F32107">
        <w:t>.</w:t>
      </w:r>
      <w:r w:rsidR="00F32107">
        <w:rPr>
          <w:noProof/>
        </w:rPr>
        <w:t>3</w:t>
      </w:r>
      <w:r w:rsidR="00226CA0">
        <w:fldChar w:fldCharType="end"/>
      </w:r>
      <w:r w:rsidR="0070447F">
        <w:t>.</w:t>
      </w:r>
    </w:p>
    <w:p w14:paraId="1E0389E7" w14:textId="7E0915DA" w:rsidR="0070447F" w:rsidRDefault="0070447F" w:rsidP="0070447F">
      <w:pPr>
        <w:pStyle w:val="Caption"/>
        <w:keepNext/>
      </w:pPr>
      <w:bookmarkStart w:id="154" w:name="_Ref172795072"/>
      <w:r>
        <w:t xml:space="preserve">Table </w:t>
      </w:r>
      <w:fldSimple w:instr=" STYLEREF 1 \s ">
        <w:r w:rsidR="00F32107">
          <w:rPr>
            <w:noProof/>
          </w:rPr>
          <w:t>5</w:t>
        </w:r>
      </w:fldSimple>
      <w:r w:rsidR="008944FB">
        <w:t>.</w:t>
      </w:r>
      <w:fldSimple w:instr=" SEQ Table \* ARABIC \s 1 ">
        <w:r w:rsidR="00F32107">
          <w:rPr>
            <w:noProof/>
          </w:rPr>
          <w:t>3</w:t>
        </w:r>
      </w:fldSimple>
      <w:bookmarkEnd w:id="154"/>
      <w:r>
        <w:t xml:space="preserve"> Qualitative assessment of Option </w:t>
      </w:r>
      <w:r w:rsidR="00A31AA0">
        <w:t>5</w:t>
      </w:r>
      <w:r>
        <w:t xml:space="preserve"> against problem statement issues</w:t>
      </w:r>
    </w:p>
    <w:tbl>
      <w:tblPr>
        <w:tblStyle w:val="BodyTable"/>
        <w:tblW w:w="0" w:type="auto"/>
        <w:tblLook w:val="04A0" w:firstRow="1" w:lastRow="0" w:firstColumn="1" w:lastColumn="0" w:noHBand="0" w:noVBand="1"/>
      </w:tblPr>
      <w:tblGrid>
        <w:gridCol w:w="5529"/>
        <w:gridCol w:w="3305"/>
      </w:tblGrid>
      <w:tr w:rsidR="0070447F" w:rsidRPr="00430020" w14:paraId="7C7DDF56" w14:textId="77777777" w:rsidTr="0007458C">
        <w:trPr>
          <w:cnfStyle w:val="100000000000" w:firstRow="1" w:lastRow="0" w:firstColumn="0" w:lastColumn="0" w:oddVBand="0" w:evenVBand="0" w:oddHBand="0" w:evenHBand="0" w:firstRowFirstColumn="0" w:firstRowLastColumn="0" w:lastRowFirstColumn="0" w:lastRowLastColumn="0"/>
        </w:trPr>
        <w:tc>
          <w:tcPr>
            <w:tcW w:w="5529" w:type="dxa"/>
          </w:tcPr>
          <w:p w14:paraId="08CE26BB" w14:textId="77777777" w:rsidR="0070447F" w:rsidRPr="00430020" w:rsidRDefault="0070447F" w:rsidP="001849D9">
            <w:pPr>
              <w:pStyle w:val="BodyText"/>
              <w:spacing w:before="0" w:after="0"/>
              <w:rPr>
                <w:b/>
                <w:sz w:val="16"/>
                <w:szCs w:val="16"/>
              </w:rPr>
            </w:pPr>
            <w:r w:rsidRPr="00430020">
              <w:rPr>
                <w:b/>
                <w:sz w:val="16"/>
                <w:szCs w:val="16"/>
              </w:rPr>
              <w:t>Objective</w:t>
            </w:r>
          </w:p>
        </w:tc>
        <w:tc>
          <w:tcPr>
            <w:tcW w:w="3305" w:type="dxa"/>
          </w:tcPr>
          <w:p w14:paraId="67B0962B" w14:textId="77777777" w:rsidR="0070447F" w:rsidRPr="00430020" w:rsidRDefault="0070447F" w:rsidP="001849D9">
            <w:pPr>
              <w:pStyle w:val="BodyText"/>
              <w:spacing w:before="0" w:after="0"/>
              <w:rPr>
                <w:b/>
                <w:sz w:val="16"/>
                <w:szCs w:val="16"/>
              </w:rPr>
            </w:pPr>
            <w:r>
              <w:rPr>
                <w:b/>
                <w:sz w:val="16"/>
                <w:szCs w:val="16"/>
              </w:rPr>
              <w:t>Positive</w:t>
            </w:r>
            <w:r w:rsidRPr="00430020">
              <w:rPr>
                <w:b/>
                <w:sz w:val="16"/>
                <w:szCs w:val="16"/>
              </w:rPr>
              <w:t xml:space="preserve"> change </w:t>
            </w:r>
            <w:r>
              <w:rPr>
                <w:b/>
                <w:sz w:val="16"/>
                <w:szCs w:val="16"/>
              </w:rPr>
              <w:t>relative</w:t>
            </w:r>
            <w:r w:rsidRPr="00430020">
              <w:rPr>
                <w:b/>
                <w:sz w:val="16"/>
                <w:szCs w:val="16"/>
              </w:rPr>
              <w:t xml:space="preserve"> to Status Quo</w:t>
            </w:r>
          </w:p>
        </w:tc>
      </w:tr>
      <w:tr w:rsidR="0070447F" w:rsidRPr="00430020" w14:paraId="615995DA" w14:textId="77777777" w:rsidTr="0007458C">
        <w:tc>
          <w:tcPr>
            <w:tcW w:w="5529" w:type="dxa"/>
          </w:tcPr>
          <w:p w14:paraId="03EDDFC8" w14:textId="77777777" w:rsidR="0070447F" w:rsidRPr="00DC633F" w:rsidRDefault="0070447F" w:rsidP="001849D9">
            <w:pPr>
              <w:pStyle w:val="BodyText"/>
              <w:spacing w:before="0" w:after="0"/>
              <w:rPr>
                <w:b/>
                <w:sz w:val="16"/>
                <w:szCs w:val="16"/>
              </w:rPr>
            </w:pPr>
            <w:r w:rsidRPr="00DC633F">
              <w:rPr>
                <w:sz w:val="16"/>
                <w:szCs w:val="16"/>
              </w:rPr>
              <w:t>Problem Statement 1 – Information Asymmetry (Scope of Practice)</w:t>
            </w:r>
          </w:p>
        </w:tc>
        <w:tc>
          <w:tcPr>
            <w:tcW w:w="3305" w:type="dxa"/>
          </w:tcPr>
          <w:p w14:paraId="57AEA0BF" w14:textId="1A8B684E" w:rsidR="0070447F" w:rsidRPr="00A27A9C" w:rsidRDefault="00062C1A" w:rsidP="001849D9">
            <w:pPr>
              <w:pStyle w:val="BodyText"/>
              <w:spacing w:before="0" w:after="0"/>
              <w:rPr>
                <w:bCs/>
                <w:sz w:val="16"/>
                <w:szCs w:val="16"/>
              </w:rPr>
            </w:pPr>
            <w:r w:rsidRPr="00A27A9C">
              <w:rPr>
                <w:bCs/>
                <w:noProof/>
                <w:sz w:val="16"/>
                <w:szCs w:val="16"/>
                <w:lang w:eastAsia="en-AU"/>
                <w14:numSpacing w14:val="default"/>
              </w:rPr>
              <w:drawing>
                <wp:anchor distT="0" distB="0" distL="114300" distR="114300" simplePos="0" relativeHeight="251658242" behindDoc="0" locked="0" layoutInCell="1" allowOverlap="1" wp14:anchorId="560743D5" wp14:editId="645E4971">
                  <wp:simplePos x="0" y="0"/>
                  <wp:positionH relativeFrom="column">
                    <wp:posOffset>0</wp:posOffset>
                  </wp:positionH>
                  <wp:positionV relativeFrom="paragraph">
                    <wp:posOffset>0</wp:posOffset>
                  </wp:positionV>
                  <wp:extent cx="252000" cy="252000"/>
                  <wp:effectExtent l="0" t="0" r="0" b="0"/>
                  <wp:wrapSquare wrapText="bothSides"/>
                  <wp:docPr id="48" name="Graphic 48" descr="Harvey Balls 3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Harvey Balls 35% with solid fill"/>
                          <pic:cNvPicPr/>
                        </pic:nvPicPr>
                        <pic:blipFill>
                          <a:blip r:embed="rId2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4D4114" w:rsidRPr="00A27A9C">
              <w:rPr>
                <w:bCs/>
                <w:sz w:val="16"/>
                <w:szCs w:val="16"/>
              </w:rPr>
              <w:t>This option produces a profession level good</w:t>
            </w:r>
            <w:r w:rsidR="00A27A9C" w:rsidRPr="00A27A9C">
              <w:rPr>
                <w:bCs/>
                <w:sz w:val="16"/>
                <w:szCs w:val="16"/>
              </w:rPr>
              <w:t xml:space="preserve"> that consumers</w:t>
            </w:r>
            <w:r w:rsidR="002B5E26">
              <w:rPr>
                <w:bCs/>
                <w:sz w:val="16"/>
                <w:szCs w:val="16"/>
              </w:rPr>
              <w:t xml:space="preserve"> can understand as a signal for scope of practice.</w:t>
            </w:r>
          </w:p>
        </w:tc>
      </w:tr>
      <w:tr w:rsidR="0070447F" w:rsidRPr="00430020" w14:paraId="2B06709C" w14:textId="77777777" w:rsidTr="0007458C">
        <w:tc>
          <w:tcPr>
            <w:tcW w:w="5529" w:type="dxa"/>
          </w:tcPr>
          <w:p w14:paraId="44D6BD90" w14:textId="77777777" w:rsidR="0070447F" w:rsidRPr="00DC633F" w:rsidRDefault="0070447F" w:rsidP="001849D9">
            <w:pPr>
              <w:pStyle w:val="BodyText"/>
              <w:spacing w:before="0" w:after="0"/>
              <w:rPr>
                <w:b/>
                <w:sz w:val="16"/>
                <w:szCs w:val="16"/>
              </w:rPr>
            </w:pPr>
            <w:r w:rsidRPr="00DC633F">
              <w:rPr>
                <w:sz w:val="16"/>
                <w:szCs w:val="16"/>
              </w:rPr>
              <w:t>Problem Statement 1 – Information Asymmetry (Protection of Title)</w:t>
            </w:r>
          </w:p>
        </w:tc>
        <w:tc>
          <w:tcPr>
            <w:tcW w:w="3305" w:type="dxa"/>
          </w:tcPr>
          <w:p w14:paraId="7D331054" w14:textId="1E0F7F87" w:rsidR="0070447F" w:rsidRPr="00430020" w:rsidRDefault="0070447F"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1E1A15B8" wp14:editId="6DFA9BAF">
                  <wp:extent cx="252000" cy="252000"/>
                  <wp:effectExtent l="0" t="0" r="0" b="0"/>
                  <wp:docPr id="40" name="Graphic 40"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70447F" w:rsidRPr="00430020" w14:paraId="3DE05166" w14:textId="77777777" w:rsidTr="0007458C">
        <w:tc>
          <w:tcPr>
            <w:tcW w:w="5529" w:type="dxa"/>
          </w:tcPr>
          <w:p w14:paraId="351D8FE7" w14:textId="77777777" w:rsidR="0070447F" w:rsidRPr="00DC633F" w:rsidRDefault="0070447F" w:rsidP="001849D9">
            <w:pPr>
              <w:pStyle w:val="BodyText"/>
              <w:spacing w:before="0" w:after="0"/>
              <w:rPr>
                <w:b/>
                <w:sz w:val="16"/>
                <w:szCs w:val="16"/>
              </w:rPr>
            </w:pPr>
            <w:r w:rsidRPr="00DC633F">
              <w:rPr>
                <w:sz w:val="16"/>
                <w:szCs w:val="16"/>
              </w:rPr>
              <w:t>Problem Statement 2 – Insufficient production of profession-level goods</w:t>
            </w:r>
          </w:p>
        </w:tc>
        <w:tc>
          <w:tcPr>
            <w:tcW w:w="3305" w:type="dxa"/>
          </w:tcPr>
          <w:p w14:paraId="4A26643D" w14:textId="375A08EB" w:rsidR="0070447F" w:rsidRPr="00C752B9" w:rsidRDefault="00C752B9" w:rsidP="001849D9">
            <w:pPr>
              <w:pStyle w:val="BodyText"/>
              <w:spacing w:before="0" w:after="0"/>
              <w:rPr>
                <w:bCs/>
                <w:sz w:val="16"/>
                <w:szCs w:val="16"/>
              </w:rPr>
            </w:pPr>
            <w:r w:rsidRPr="00C752B9">
              <w:rPr>
                <w:bCs/>
                <w:noProof/>
                <w:sz w:val="16"/>
                <w:szCs w:val="16"/>
                <w:lang w:eastAsia="en-AU"/>
                <w14:numSpacing w14:val="default"/>
              </w:rPr>
              <w:drawing>
                <wp:anchor distT="0" distB="0" distL="114300" distR="114300" simplePos="0" relativeHeight="251658240" behindDoc="0" locked="0" layoutInCell="1" allowOverlap="1" wp14:anchorId="1CB8855E" wp14:editId="0658BB14">
                  <wp:simplePos x="0" y="0"/>
                  <wp:positionH relativeFrom="column">
                    <wp:posOffset>4445</wp:posOffset>
                  </wp:positionH>
                  <wp:positionV relativeFrom="paragraph">
                    <wp:posOffset>76200</wp:posOffset>
                  </wp:positionV>
                  <wp:extent cx="252000" cy="252000"/>
                  <wp:effectExtent l="0" t="0" r="0" b="0"/>
                  <wp:wrapSquare wrapText="bothSides"/>
                  <wp:docPr id="47" name="Graphic 47" descr="Harvey Balls 3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Harvey Balls 35% with solid fill"/>
                          <pic:cNvPicPr/>
                        </pic:nvPicPr>
                        <pic:blipFill>
                          <a:blip r:embed="rId2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C752B9">
              <w:rPr>
                <w:bCs/>
                <w:sz w:val="16"/>
                <w:szCs w:val="16"/>
              </w:rPr>
              <w:t>This option would create a credentialling mechanism for a specialised scope of practice for a small cohort of the profession.</w:t>
            </w:r>
          </w:p>
        </w:tc>
      </w:tr>
      <w:tr w:rsidR="0070447F" w:rsidRPr="00430020" w14:paraId="473C53FA" w14:textId="77777777" w:rsidTr="0007458C">
        <w:tc>
          <w:tcPr>
            <w:tcW w:w="5529" w:type="dxa"/>
          </w:tcPr>
          <w:p w14:paraId="619F9CB4" w14:textId="77777777" w:rsidR="0070447F" w:rsidRPr="00DC633F" w:rsidRDefault="0070447F" w:rsidP="001849D9">
            <w:pPr>
              <w:pStyle w:val="BodyText"/>
              <w:spacing w:before="0" w:after="0"/>
              <w:rPr>
                <w:b/>
                <w:sz w:val="16"/>
                <w:szCs w:val="16"/>
              </w:rPr>
            </w:pPr>
            <w:r w:rsidRPr="00DC633F">
              <w:rPr>
                <w:sz w:val="16"/>
                <w:szCs w:val="16"/>
              </w:rPr>
              <w:t>Problem Statement 3 – Organisational pressures (public sector)</w:t>
            </w:r>
          </w:p>
        </w:tc>
        <w:tc>
          <w:tcPr>
            <w:tcW w:w="3305" w:type="dxa"/>
          </w:tcPr>
          <w:p w14:paraId="434B9FC0" w14:textId="311325D9" w:rsidR="0070447F" w:rsidRPr="00430020" w:rsidRDefault="0070447F"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03D1C335" wp14:editId="76A66160">
                  <wp:extent cx="252000" cy="252000"/>
                  <wp:effectExtent l="0" t="0" r="0" b="0"/>
                  <wp:docPr id="43" name="Graphic 43"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r w:rsidR="00ED3BEC">
              <w:rPr>
                <w:b/>
                <w:sz w:val="16"/>
                <w:szCs w:val="16"/>
              </w:rPr>
              <w:t xml:space="preserve"> </w:t>
            </w:r>
          </w:p>
        </w:tc>
      </w:tr>
      <w:tr w:rsidR="0070447F" w:rsidRPr="00430020" w14:paraId="3AB50929" w14:textId="77777777" w:rsidTr="0007458C">
        <w:tc>
          <w:tcPr>
            <w:tcW w:w="5529" w:type="dxa"/>
          </w:tcPr>
          <w:p w14:paraId="706E85BE" w14:textId="77777777" w:rsidR="0070447F" w:rsidRPr="00DC633F" w:rsidRDefault="0070447F" w:rsidP="001849D9">
            <w:pPr>
              <w:pStyle w:val="BodyText"/>
              <w:spacing w:before="0" w:after="0"/>
              <w:rPr>
                <w:b/>
                <w:bCs/>
                <w:sz w:val="16"/>
                <w:szCs w:val="16"/>
              </w:rPr>
            </w:pPr>
            <w:r w:rsidRPr="00DC633F">
              <w:rPr>
                <w:sz w:val="16"/>
                <w:szCs w:val="16"/>
              </w:rPr>
              <w:t>Problem Statement 3 – Organisational pressures (private sector)</w:t>
            </w:r>
          </w:p>
        </w:tc>
        <w:tc>
          <w:tcPr>
            <w:tcW w:w="3305" w:type="dxa"/>
          </w:tcPr>
          <w:p w14:paraId="5B0DC7C0" w14:textId="77777777" w:rsidR="0070447F" w:rsidRPr="00132FB4" w:rsidRDefault="0070447F"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5E21EA27" wp14:editId="310466E1">
                  <wp:extent cx="252000" cy="252000"/>
                  <wp:effectExtent l="0" t="0" r="0" b="0"/>
                  <wp:docPr id="44" name="Graphic 4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70447F" w:rsidRPr="00430020" w14:paraId="03109B48" w14:textId="77777777" w:rsidTr="0007458C">
        <w:tc>
          <w:tcPr>
            <w:tcW w:w="5529" w:type="dxa"/>
          </w:tcPr>
          <w:p w14:paraId="4E2D3FC3" w14:textId="77777777" w:rsidR="0070447F" w:rsidRPr="00DC633F" w:rsidRDefault="0070447F" w:rsidP="001849D9">
            <w:pPr>
              <w:pStyle w:val="BodyText"/>
              <w:spacing w:before="0" w:after="0"/>
              <w:rPr>
                <w:b/>
                <w:bCs/>
                <w:sz w:val="16"/>
                <w:szCs w:val="16"/>
              </w:rPr>
            </w:pPr>
            <w:r w:rsidRPr="00DC633F">
              <w:rPr>
                <w:sz w:val="16"/>
                <w:szCs w:val="16"/>
              </w:rPr>
              <w:t xml:space="preserve">Problem Statement 4 </w:t>
            </w:r>
          </w:p>
        </w:tc>
        <w:tc>
          <w:tcPr>
            <w:tcW w:w="3305" w:type="dxa"/>
          </w:tcPr>
          <w:p w14:paraId="38F3FBD3" w14:textId="52B20400" w:rsidR="0070447F" w:rsidRPr="00132FB4" w:rsidRDefault="00F12D49"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3B8A4172" wp14:editId="15AD035E">
                  <wp:extent cx="252000" cy="252000"/>
                  <wp:effectExtent l="0" t="0" r="0" b="0"/>
                  <wp:docPr id="49" name="Graphic 4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E810E2" w:rsidRPr="00430020" w14:paraId="67B04144" w14:textId="77777777" w:rsidTr="0007458C">
        <w:tc>
          <w:tcPr>
            <w:tcW w:w="5529" w:type="dxa"/>
          </w:tcPr>
          <w:p w14:paraId="0C4B53DA" w14:textId="0F5993C7" w:rsidR="00E810E2" w:rsidRPr="00DC633F" w:rsidRDefault="00E810E2" w:rsidP="001849D9">
            <w:pPr>
              <w:pStyle w:val="BodyText"/>
              <w:spacing w:before="0" w:after="0"/>
              <w:rPr>
                <w:sz w:val="16"/>
                <w:szCs w:val="16"/>
              </w:rPr>
            </w:pPr>
            <w:r>
              <w:rPr>
                <w:sz w:val="16"/>
                <w:szCs w:val="16"/>
              </w:rPr>
              <w:t>Additional Notes</w:t>
            </w:r>
          </w:p>
        </w:tc>
        <w:tc>
          <w:tcPr>
            <w:tcW w:w="3305" w:type="dxa"/>
          </w:tcPr>
          <w:p w14:paraId="40DC8A3E" w14:textId="3B5822BD" w:rsidR="00E810E2" w:rsidRDefault="0017302C" w:rsidP="001849D9">
            <w:pPr>
              <w:pStyle w:val="BodyText"/>
              <w:spacing w:before="0" w:after="0"/>
              <w:rPr>
                <w:bCs/>
                <w:noProof/>
                <w:sz w:val="16"/>
                <w:szCs w:val="16"/>
                <w14:numSpacing w14:val="default"/>
              </w:rPr>
            </w:pPr>
            <w:r>
              <w:rPr>
                <w:bCs/>
                <w:noProof/>
                <w:sz w:val="16"/>
                <w:szCs w:val="16"/>
                <w14:numSpacing w14:val="default"/>
              </w:rPr>
              <w:t>*</w:t>
            </w:r>
            <w:r w:rsidR="00255294">
              <w:rPr>
                <w:bCs/>
                <w:noProof/>
                <w:sz w:val="16"/>
                <w:szCs w:val="16"/>
                <w14:numSpacing w14:val="default"/>
              </w:rPr>
              <w:t xml:space="preserve">Lack of </w:t>
            </w:r>
            <w:r w:rsidR="00522C60">
              <w:rPr>
                <w:bCs/>
                <w:noProof/>
                <w:sz w:val="16"/>
                <w:szCs w:val="16"/>
                <w14:numSpacing w14:val="default"/>
              </w:rPr>
              <w:t>feasible mechanism identified, and potential unintended consequences on workforce.</w:t>
            </w:r>
          </w:p>
        </w:tc>
      </w:tr>
    </w:tbl>
    <w:p w14:paraId="1C711933" w14:textId="669FDCA7" w:rsidR="00AF3644" w:rsidRDefault="00AF3644" w:rsidP="00BF6E4A">
      <w:pPr>
        <w:pStyle w:val="Heading2"/>
      </w:pPr>
      <w:bookmarkStart w:id="155" w:name="_Toc198138606"/>
      <w:bookmarkEnd w:id="153"/>
      <w:r>
        <w:t>Options retained for impact analysis</w:t>
      </w:r>
      <w:bookmarkEnd w:id="155"/>
    </w:p>
    <w:p w14:paraId="3ABF707E" w14:textId="608EEF10" w:rsidR="008518C7" w:rsidRDefault="008518C7" w:rsidP="006C366B">
      <w:pPr>
        <w:pStyle w:val="BodyText"/>
      </w:pPr>
      <w:r>
        <w:t>Four options were shortlisted, according to considerations of feasibility and impact.</w:t>
      </w:r>
    </w:p>
    <w:p w14:paraId="5D4B646B" w14:textId="77777777" w:rsidR="008518C7" w:rsidRDefault="008518C7" w:rsidP="006C366B">
      <w:pPr>
        <w:pStyle w:val="ListBullet"/>
      </w:pPr>
      <w:r>
        <w:t>Option 1: Status Quo (Current State)</w:t>
      </w:r>
    </w:p>
    <w:p w14:paraId="30584420" w14:textId="5E9AD202" w:rsidR="008518C7" w:rsidRDefault="00E77E77" w:rsidP="006C366B">
      <w:pPr>
        <w:pStyle w:val="ListBullet"/>
      </w:pPr>
      <w:r>
        <w:t>Modified Option 3</w:t>
      </w:r>
      <w:r w:rsidR="008518C7">
        <w:t xml:space="preserve">: </w:t>
      </w:r>
      <w:r w:rsidR="00B44CDE">
        <w:t xml:space="preserve">Strengthened Status Quo – Jurisdictional </w:t>
      </w:r>
      <w:r w:rsidR="00DB55BF">
        <w:t xml:space="preserve">mandatory </w:t>
      </w:r>
      <w:r w:rsidR="00EA50C5">
        <w:t xml:space="preserve">current </w:t>
      </w:r>
      <w:r w:rsidR="00B44CDE">
        <w:t>clinical certification of public sector audiologists and uplift in CPD</w:t>
      </w:r>
    </w:p>
    <w:p w14:paraId="453A3EA4" w14:textId="64F40A64" w:rsidR="008518C7" w:rsidRDefault="008518C7" w:rsidP="006C366B">
      <w:pPr>
        <w:pStyle w:val="ListBullet"/>
      </w:pPr>
      <w:r>
        <w:t xml:space="preserve">Option 6: Jurisdictional </w:t>
      </w:r>
      <w:r w:rsidR="0077120C">
        <w:t>R</w:t>
      </w:r>
      <w:r w:rsidR="00791E1D">
        <w:t>egistration</w:t>
      </w:r>
      <w:r>
        <w:t xml:space="preserve"> of the audiology profession</w:t>
      </w:r>
    </w:p>
    <w:p w14:paraId="6681EA33" w14:textId="7D647F19" w:rsidR="008518C7" w:rsidRDefault="008518C7" w:rsidP="006C366B">
      <w:pPr>
        <w:pStyle w:val="ListBullet"/>
      </w:pPr>
      <w:r>
        <w:t xml:space="preserve">Option 7: National </w:t>
      </w:r>
      <w:r w:rsidR="0077120C">
        <w:t>R</w:t>
      </w:r>
      <w:r>
        <w:t>egistration of the audiology profession under NRAS.</w:t>
      </w:r>
    </w:p>
    <w:p w14:paraId="21029174" w14:textId="4321E632" w:rsidR="008518C7" w:rsidRDefault="008518C7" w:rsidP="006C366B">
      <w:pPr>
        <w:pStyle w:val="Heading3"/>
      </w:pPr>
      <w:bookmarkStart w:id="156" w:name="_Ref170133404"/>
      <w:bookmarkStart w:id="157" w:name="_Toc171324764"/>
      <w:bookmarkStart w:id="158" w:name="_Toc198138607"/>
      <w:r w:rsidRPr="001A002D">
        <w:t xml:space="preserve">Status Quo </w:t>
      </w:r>
      <w:bookmarkEnd w:id="156"/>
      <w:bookmarkEnd w:id="157"/>
      <w:r w:rsidR="00204A0C">
        <w:t>(Current State)</w:t>
      </w:r>
      <w:bookmarkEnd w:id="158"/>
    </w:p>
    <w:p w14:paraId="7A92CA55" w14:textId="5A7A252C" w:rsidR="008518C7" w:rsidRDefault="008518C7" w:rsidP="006C366B">
      <w:pPr>
        <w:pStyle w:val="BodyText"/>
      </w:pPr>
      <w:r>
        <w:t xml:space="preserve">This option </w:t>
      </w:r>
      <w:r w:rsidR="00BE2365">
        <w:t xml:space="preserve">is specifically designed to represent </w:t>
      </w:r>
      <w:r w:rsidR="00250BCF">
        <w:t xml:space="preserve">what would happen in the absence of any additional intervention </w:t>
      </w:r>
      <w:r w:rsidR="00912568">
        <w:t xml:space="preserve">over the length of the evaluation period (ten years). </w:t>
      </w:r>
      <w:r w:rsidR="00540522">
        <w:t xml:space="preserve">Hence, it represents the Current State as described in Chapter </w:t>
      </w:r>
      <w:r w:rsidR="00226CA0">
        <w:fldChar w:fldCharType="begin"/>
      </w:r>
      <w:r w:rsidR="00226CA0">
        <w:instrText xml:space="preserve"> REF _Ref172794984 \r \h </w:instrText>
      </w:r>
      <w:r w:rsidR="00226CA0">
        <w:fldChar w:fldCharType="separate"/>
      </w:r>
      <w:r w:rsidR="00F32107">
        <w:t>2</w:t>
      </w:r>
      <w:r w:rsidR="00226CA0">
        <w:fldChar w:fldCharType="end"/>
      </w:r>
      <w:r w:rsidR="00AA79F9">
        <w:t xml:space="preserve">, with the addition of elements </w:t>
      </w:r>
      <w:r>
        <w:t xml:space="preserve">recognised to be in an early stage of rollout, or </w:t>
      </w:r>
      <w:r w:rsidR="00943368">
        <w:t>committed to be</w:t>
      </w:r>
      <w:r>
        <w:t xml:space="preserve"> delivered over the evaluation period. </w:t>
      </w:r>
    </w:p>
    <w:p w14:paraId="14F49BBF" w14:textId="264AFD57" w:rsidR="008518C7" w:rsidRDefault="009B20CD" w:rsidP="003958D3">
      <w:pPr>
        <w:pStyle w:val="ListBullet"/>
      </w:pPr>
      <w:r>
        <w:rPr>
          <w:b/>
          <w:bCs/>
        </w:rPr>
        <w:t xml:space="preserve">Recent implementation </w:t>
      </w:r>
      <w:r w:rsidR="008518C7" w:rsidRPr="002066C6">
        <w:rPr>
          <w:b/>
          <w:bCs/>
        </w:rPr>
        <w:t xml:space="preserve">of </w:t>
      </w:r>
      <w:r w:rsidR="008518C7">
        <w:rPr>
          <w:b/>
          <w:bCs/>
        </w:rPr>
        <w:t xml:space="preserve">updated </w:t>
      </w:r>
      <w:r w:rsidR="008518C7" w:rsidRPr="002066C6">
        <w:rPr>
          <w:b/>
          <w:bCs/>
        </w:rPr>
        <w:t>competency standards for audiology</w:t>
      </w:r>
      <w:r w:rsidR="008518C7">
        <w:t xml:space="preserve">. Competency standards are designed to articulate a minimum level of knowledge, skills and behaviours required for ‘entry level’ practice. </w:t>
      </w:r>
      <w:r w:rsidR="003A3619">
        <w:t>AudA</w:t>
      </w:r>
      <w:r w:rsidR="008518C7" w:rsidRPr="007B7CBC">
        <w:t xml:space="preserve"> released </w:t>
      </w:r>
      <w:r w:rsidR="008518C7" w:rsidRPr="00287DFF">
        <w:rPr>
          <w:i/>
        </w:rPr>
        <w:t>National Competency Standards</w:t>
      </w:r>
      <w:r w:rsidR="008518C7">
        <w:t>, which went into effect 1 January 2022</w:t>
      </w:r>
      <w:r w:rsidR="008518C7" w:rsidRPr="0052655D">
        <w:t xml:space="preserve">. </w:t>
      </w:r>
      <w:r w:rsidR="008518C7">
        <w:t xml:space="preserve">The full impact of this change will take a considerable length of time to observe. This is due to the fact that assessment against these competency standards occurs through the mechanism of a clinical internship, and only prospective clinical internship cohorts will be required to show evidence (rather than as a general requirement for PPB membership). </w:t>
      </w:r>
      <w:r w:rsidR="00850F04">
        <w:t>However, s</w:t>
      </w:r>
      <w:r w:rsidR="008518C7">
        <w:t xml:space="preserve">takeholders consulted in relation to this element noted that the updated competency standards did not materially change the clinical skills expected of graduating audiologists.  </w:t>
      </w:r>
    </w:p>
    <w:p w14:paraId="4A32B475" w14:textId="41E6CE52" w:rsidR="008518C7" w:rsidRDefault="008518C7" w:rsidP="003958D3">
      <w:pPr>
        <w:pStyle w:val="ListBullet"/>
      </w:pPr>
      <w:r w:rsidRPr="00F2501C">
        <w:rPr>
          <w:b/>
          <w:bCs/>
        </w:rPr>
        <w:t>Strengthening of paediatric competency standards for audiology</w:t>
      </w:r>
      <w:r>
        <w:rPr>
          <w:b/>
          <w:bCs/>
        </w:rPr>
        <w:t xml:space="preserve"> (including a </w:t>
      </w:r>
      <w:r w:rsidR="002D4AFD">
        <w:rPr>
          <w:b/>
          <w:bCs/>
        </w:rPr>
        <w:t>recent</w:t>
      </w:r>
      <w:r>
        <w:rPr>
          <w:b/>
          <w:bCs/>
        </w:rPr>
        <w:t xml:space="preserve"> voluntary certification in advanced paediatric audiology)</w:t>
      </w:r>
      <w:r>
        <w:t xml:space="preserve">. The Australian Government Department of Health funded the development of </w:t>
      </w:r>
      <w:r w:rsidRPr="00287DFF">
        <w:rPr>
          <w:i/>
        </w:rPr>
        <w:t>Paediatric Competency Standards for Audiologists</w:t>
      </w:r>
      <w:r>
        <w:rPr>
          <w:rStyle w:val="FootnoteReference"/>
        </w:rPr>
        <w:footnoteReference w:id="215"/>
      </w:r>
      <w:r>
        <w:t>, which were published in 2022.</w:t>
      </w:r>
      <w:r>
        <w:rPr>
          <w:rStyle w:val="FootnoteReference"/>
        </w:rPr>
        <w:footnoteReference w:id="216"/>
      </w:r>
      <w:r>
        <w:t xml:space="preserve"> </w:t>
      </w:r>
      <w:r w:rsidR="003A3619">
        <w:t>AudA</w:t>
      </w:r>
      <w:r>
        <w:t xml:space="preserve"> has since implemented a voluntary certification in Advanced Paediatric Audiology in July 2023. Demonstration of competency against the Paediatric Competency Standards is one of three pillars required for certification as an Advanced Paediatric Audiologist, alongside degree of experience and recency of practice. This certification is </w:t>
      </w:r>
      <w:r w:rsidR="00043294">
        <w:t>recent, and as s</w:t>
      </w:r>
      <w:r w:rsidR="00C56022">
        <w:t>uch any impact</w:t>
      </w:r>
      <w:r>
        <w:t xml:space="preserve"> </w:t>
      </w:r>
      <w:r w:rsidR="00C56022">
        <w:t>on the instances of substandard care may take time to emerge.</w:t>
      </w:r>
    </w:p>
    <w:p w14:paraId="75A4E127" w14:textId="4190967A" w:rsidR="008518C7" w:rsidRDefault="009B20CD" w:rsidP="003958D3">
      <w:pPr>
        <w:pStyle w:val="ListBullet"/>
      </w:pPr>
      <w:r>
        <w:rPr>
          <w:b/>
          <w:bCs/>
        </w:rPr>
        <w:t>Recent update</w:t>
      </w:r>
      <w:r w:rsidR="008518C7" w:rsidRPr="00656FB6">
        <w:rPr>
          <w:b/>
          <w:bCs/>
        </w:rPr>
        <w:t xml:space="preserve"> of accreditation standards for university programs</w:t>
      </w:r>
      <w:r w:rsidR="008518C7">
        <w:t xml:space="preserve">. </w:t>
      </w:r>
      <w:r w:rsidR="003A3619">
        <w:t>AudA</w:t>
      </w:r>
      <w:r w:rsidR="008518C7">
        <w:rPr>
          <w:rStyle w:val="FootnoteReference"/>
        </w:rPr>
        <w:footnoteReference w:id="217"/>
      </w:r>
      <w:r w:rsidR="008518C7">
        <w:t xml:space="preserve"> released an updated version of the </w:t>
      </w:r>
      <w:r w:rsidR="008518C7" w:rsidRPr="00287DFF">
        <w:rPr>
          <w:i/>
        </w:rPr>
        <w:t>Accreditation Standards for Audiology Programs</w:t>
      </w:r>
      <w:r w:rsidR="008518C7">
        <w:t xml:space="preserve"> in January 2023.</w:t>
      </w:r>
      <w:r w:rsidR="008518C7">
        <w:rPr>
          <w:rStyle w:val="FootnoteReference"/>
        </w:rPr>
        <w:footnoteReference w:id="218"/>
      </w:r>
      <w:r w:rsidR="008518C7">
        <w:t xml:space="preserve"> University programs are accredited for up to five years, with an accreditation assessment occurring in the final year of the cycle. Additionally, universities are required to submit an annual report to verify if it continues to meet Accreditation Standards. As such, the full impact of this process is likely to take several years to observe. </w:t>
      </w:r>
    </w:p>
    <w:p w14:paraId="515E93B9" w14:textId="40FAF320" w:rsidR="008518C7" w:rsidRPr="008C7765" w:rsidRDefault="008518C7" w:rsidP="006C366B">
      <w:pPr>
        <w:pStyle w:val="ListBullet"/>
      </w:pPr>
      <w:r w:rsidRPr="00C00113">
        <w:rPr>
          <w:b/>
          <w:bCs/>
        </w:rPr>
        <w:t>Development of a national consensus statement on frequency of testing post implantation and national guidelines for paediatric cochlear implant and care</w:t>
      </w:r>
      <w:r>
        <w:t xml:space="preserve">. From the SA external review, Recommendation 53 referred to the development of a consensus statement on the minimum standard for the frequency of mapping of cochlear implants in children in the first 12 months post cochlear implantation. </w:t>
      </w:r>
      <w:r w:rsidR="00574AC8" w:rsidRPr="00574AC8">
        <w:rPr>
          <w:rFonts w:eastAsia="Aptos" w:cs="Times New Roman"/>
          <w:color w:val="3A3A3A"/>
          <w:kern w:val="0"/>
          <w:szCs w:val="21"/>
          <w:lang w:val="en-US" w:eastAsia="en-US"/>
          <w14:numSpacing w14:val="default"/>
        </w:rPr>
        <w:t>This work has been finalised, and the consensus statement has been endorsed by the SA Health Oversight Committee. Audiology Australia has been contacted to support the promotion of the consensus statement.</w:t>
      </w:r>
    </w:p>
    <w:p w14:paraId="3455F21B" w14:textId="77777777" w:rsidR="008518C7" w:rsidRDefault="008518C7" w:rsidP="003958D3">
      <w:pPr>
        <w:pStyle w:val="BodyText"/>
        <w:rPr>
          <w:lang w:eastAsia="en-AU"/>
        </w:rPr>
      </w:pPr>
      <w:r>
        <w:rPr>
          <w:lang w:eastAsia="en-AU"/>
        </w:rPr>
        <w:t>The current state also includes the continued implementation of the following regulatory element:</w:t>
      </w:r>
    </w:p>
    <w:p w14:paraId="6035BDBD" w14:textId="127D9E84" w:rsidR="008518C7" w:rsidRPr="00FF16AD" w:rsidRDefault="008518C7" w:rsidP="009148F2">
      <w:pPr>
        <w:pStyle w:val="ListBullet"/>
      </w:pPr>
      <w:r w:rsidRPr="00902B5C">
        <w:rPr>
          <w:b/>
          <w:bCs/>
        </w:rPr>
        <w:t>Jurisdictional negative licensing of audiologists through the National Code</w:t>
      </w:r>
      <w:r>
        <w:rPr>
          <w:b/>
          <w:bCs/>
        </w:rPr>
        <w:t>.</w:t>
      </w:r>
      <w:r>
        <w:rPr>
          <w:rStyle w:val="FootnoteReference"/>
          <w:b/>
          <w:bCs/>
        </w:rPr>
        <w:footnoteReference w:id="219"/>
      </w:r>
      <w:r>
        <w:rPr>
          <w:b/>
          <w:bCs/>
        </w:rPr>
        <w:t xml:space="preserve"> </w:t>
      </w:r>
      <w:r>
        <w:t xml:space="preserve">The </w:t>
      </w:r>
      <w:r w:rsidRPr="00FF16AD">
        <w:t xml:space="preserve">National Code is continuing to be implemented across Australia, with Western Australia the most recent jurisdiction as of July 2023. As this regulation is required to be enacted by the </w:t>
      </w:r>
      <w:r w:rsidR="003F6781" w:rsidRPr="00FF16AD">
        <w:t>s</w:t>
      </w:r>
      <w:r w:rsidRPr="00FF16AD">
        <w:t xml:space="preserve">tates and </w:t>
      </w:r>
      <w:r w:rsidR="003F6781" w:rsidRPr="00FF16AD">
        <w:t>t</w:t>
      </w:r>
      <w:r w:rsidRPr="00FF16AD">
        <w:t>erritories, there is limited ability for the decision-maker (HMM) to compel or hasten implementation in remaining jurisdictions. Furthermore, according to 2021 ABS Census data, approximately 3% of audiologists are employed in a jurisdiction where the National Code is not yet enforced (Northern Territory and Tasmania). Thus, implementation across the remaining jurisdictions is not expected to have significant impact on addressing problem statements. It is also noted that timeframes for the implementation of the National Code in the Northern Territory and Tasmania are not known at the time of writing. The Health Complaints Commissioner Tasmania website states that legislation which implements the National Code currently requires proclamation (i.e. published with a commencement date stipulated).</w:t>
      </w:r>
      <w:r w:rsidRPr="00DD72D5">
        <w:rPr>
          <w:vertAlign w:val="superscript"/>
        </w:rPr>
        <w:footnoteReference w:id="220"/>
      </w:r>
      <w:r w:rsidRPr="00DD72D5">
        <w:rPr>
          <w:vertAlign w:val="superscript"/>
        </w:rPr>
        <w:t xml:space="preserve"> </w:t>
      </w:r>
      <w:r w:rsidRPr="00FF16AD">
        <w:t>However, updates in relation to the proclamation date have not been provided since 2021. Hence, for the purposes of this Decision RIS, it is conservatively assumed that these jurisdictions do not implement the National Code over the evaluation period.</w:t>
      </w:r>
    </w:p>
    <w:p w14:paraId="08BCE3E4" w14:textId="77777777" w:rsidR="008518C7" w:rsidRDefault="008518C7" w:rsidP="003958D3">
      <w:pPr>
        <w:pStyle w:val="BodyText"/>
        <w:rPr>
          <w:lang w:eastAsia="en-AU"/>
        </w:rPr>
      </w:pPr>
      <w:r>
        <w:rPr>
          <w:lang w:eastAsia="en-AU"/>
        </w:rPr>
        <w:t>Based on the factors outlined above and informed by stakeholder consultation</w:t>
      </w:r>
      <w:r w:rsidRPr="008D63C4">
        <w:rPr>
          <w:lang w:eastAsia="en-AU"/>
        </w:rPr>
        <w:t xml:space="preserve">, the current state </w:t>
      </w:r>
      <w:r>
        <w:rPr>
          <w:lang w:eastAsia="en-AU"/>
        </w:rPr>
        <w:t>will evolve over the evaluation period in relation to the production of specified clinical documentation. However, in regard to other elements identified, an assumption has been made that the current state is representative of the Status Quo.</w:t>
      </w:r>
    </w:p>
    <w:p w14:paraId="1B981C96" w14:textId="43A1C7BA" w:rsidR="00591131" w:rsidRDefault="00591131" w:rsidP="003958D3">
      <w:pPr>
        <w:pStyle w:val="BodyText"/>
        <w:rPr>
          <w:b/>
          <w:bCs/>
          <w:lang w:eastAsia="en-AU"/>
        </w:rPr>
      </w:pPr>
      <w:r>
        <w:rPr>
          <w:b/>
          <w:bCs/>
          <w:lang w:eastAsia="en-AU"/>
        </w:rPr>
        <w:t xml:space="preserve">Stakeholder feedback: </w:t>
      </w:r>
      <w:r w:rsidRPr="00591131">
        <w:rPr>
          <w:lang w:eastAsia="en-AU"/>
        </w:rPr>
        <w:t>In support of Option 1, some stakeholders questioned whether harms were occurring primarily at the individual clinician level, or whether they were reflecting broader systemic issues, such as governance issues that were present in the findings of the public sector reports which may be beyond the remit of what regulation can solve. Stakeholders also held the view that the harms revealed by the public sector reports were serious but incidents associated with very specific areas of practice that were unrelated to the broader audiology profession. Stakeholders also expressed the potential for unintended sectoral consequences if audiologists were regulated differently to audiometrists, such as increased negative public perception of audiometrists. Additionally, some stakeholders suggested a range of additional options which would strengthen the current state of self-regulation (e.g. new national taskforces to address identified problems).</w:t>
      </w:r>
    </w:p>
    <w:p w14:paraId="517F4857" w14:textId="791B022D" w:rsidR="008518C7" w:rsidRPr="00AA6CFE" w:rsidRDefault="008518C7" w:rsidP="003958D3">
      <w:pPr>
        <w:pStyle w:val="BodyText"/>
        <w:rPr>
          <w:lang w:eastAsia="en-AU"/>
        </w:rPr>
      </w:pPr>
      <w:r w:rsidRPr="00E4428A">
        <w:rPr>
          <w:b/>
          <w:bCs/>
          <w:lang w:eastAsia="en-AU"/>
        </w:rPr>
        <w:t>Rationale for inclusion</w:t>
      </w:r>
      <w:r>
        <w:rPr>
          <w:lang w:eastAsia="en-AU"/>
        </w:rPr>
        <w:t xml:space="preserve">: The </w:t>
      </w:r>
      <w:r w:rsidR="00A80F45">
        <w:rPr>
          <w:lang w:eastAsia="en-AU"/>
        </w:rPr>
        <w:t>Status Quo</w:t>
      </w:r>
      <w:r>
        <w:rPr>
          <w:lang w:eastAsia="en-AU"/>
        </w:rPr>
        <w:t xml:space="preserve"> </w:t>
      </w:r>
      <w:r w:rsidR="00635670">
        <w:rPr>
          <w:lang w:eastAsia="en-AU"/>
        </w:rPr>
        <w:t>is the</w:t>
      </w:r>
      <w:r>
        <w:rPr>
          <w:lang w:eastAsia="en-AU"/>
        </w:rPr>
        <w:t xml:space="preserve"> benchmark option, against which all other options are assessed.</w:t>
      </w:r>
    </w:p>
    <w:p w14:paraId="09F36DF4" w14:textId="05C8BBAD" w:rsidR="00003A88" w:rsidRDefault="00003A88" w:rsidP="00003A88">
      <w:pPr>
        <w:pStyle w:val="Heading3"/>
      </w:pPr>
      <w:bookmarkStart w:id="159" w:name="_Toc171324761"/>
      <w:bookmarkStart w:id="160" w:name="_Ref196383085"/>
      <w:bookmarkStart w:id="161" w:name="_Toc198138608"/>
      <w:bookmarkStart w:id="162" w:name="_Ref170132398"/>
      <w:bookmarkStart w:id="163" w:name="_Toc171324765"/>
      <w:r>
        <w:t xml:space="preserve">Mandatory </w:t>
      </w:r>
      <w:r w:rsidRPr="0052676D">
        <w:t>membership</w:t>
      </w:r>
      <w:r>
        <w:t xml:space="preserve"> of a PPB</w:t>
      </w:r>
      <w:bookmarkEnd w:id="159"/>
      <w:r w:rsidR="00144843">
        <w:t xml:space="preserve"> (modified</w:t>
      </w:r>
      <w:r w:rsidR="00C944D9">
        <w:t xml:space="preserve"> to Strengthened Status Quo</w:t>
      </w:r>
      <w:r w:rsidR="00144843">
        <w:t>)</w:t>
      </w:r>
      <w:bookmarkEnd w:id="160"/>
      <w:bookmarkEnd w:id="161"/>
    </w:p>
    <w:p w14:paraId="5ACDF1B8" w14:textId="77777777" w:rsidR="00003A88" w:rsidRDefault="00003A88" w:rsidP="00003A88">
      <w:pPr>
        <w:pStyle w:val="BodyText"/>
        <w:rPr>
          <w:lang w:eastAsia="en-AU"/>
        </w:rPr>
      </w:pPr>
      <w:r w:rsidRPr="004A671B">
        <w:rPr>
          <w:lang w:eastAsia="en-AU"/>
        </w:rPr>
        <w:t>This option involves industry setting a standard for all audiologists to be a member of a PPB.</w:t>
      </w:r>
    </w:p>
    <w:p w14:paraId="29BF1602" w14:textId="77777777" w:rsidR="00003A88" w:rsidRDefault="00003A88" w:rsidP="00003A88">
      <w:pPr>
        <w:pStyle w:val="BodyText"/>
      </w:pPr>
      <w:r>
        <w:rPr>
          <w:b/>
          <w:bCs/>
        </w:rPr>
        <w:t xml:space="preserve">Stakeholder feedback: </w:t>
      </w:r>
      <w:r>
        <w:t>This option received considerable attention during stakeholder consultation. Stakeholder views included:</w:t>
      </w:r>
    </w:p>
    <w:p w14:paraId="22BC0F5D" w14:textId="77777777" w:rsidR="00003A88" w:rsidRDefault="00003A88" w:rsidP="00003A88">
      <w:pPr>
        <w:pStyle w:val="ListBullet"/>
      </w:pPr>
      <w:r>
        <w:t>Current clinical certification is a more accurate reflection of clinical skills and NASRHP standards require separation of membership and clinical certification. Hence, mandatory clinical certification would better reflect the regulatory intent of mandating currency of clinical skills.</w:t>
      </w:r>
    </w:p>
    <w:p w14:paraId="23A624F3" w14:textId="4A5E4836" w:rsidR="00003A88" w:rsidRDefault="00003A88" w:rsidP="00003A88">
      <w:pPr>
        <w:pStyle w:val="ListBullet"/>
      </w:pPr>
      <w:r>
        <w:t xml:space="preserve">Mandatory membership/clinical certification would place the entire profession within the remit of the </w:t>
      </w:r>
      <w:r w:rsidR="001821F0">
        <w:t>HPCCB</w:t>
      </w:r>
      <w:r>
        <w:t>.</w:t>
      </w:r>
    </w:p>
    <w:p w14:paraId="37E440AA" w14:textId="15DC5BDD" w:rsidR="00003A88" w:rsidRDefault="00003A88" w:rsidP="00003A88">
      <w:pPr>
        <w:pStyle w:val="ListBullet"/>
      </w:pPr>
      <w:r>
        <w:t xml:space="preserve">This option was perceived to be of particular impact on public sector audiologists. </w:t>
      </w:r>
    </w:p>
    <w:p w14:paraId="4A91910D" w14:textId="77777777" w:rsidR="00003A88" w:rsidRPr="0012139B" w:rsidRDefault="00003A88" w:rsidP="00003A88">
      <w:pPr>
        <w:pStyle w:val="BodyText"/>
      </w:pPr>
      <w:r>
        <w:t xml:space="preserve">To the extent that audiologists with self-knowledge that they do not abide by the sectoral </w:t>
      </w:r>
      <w:r w:rsidRPr="002E3831">
        <w:rPr>
          <w:i/>
          <w:iCs/>
        </w:rPr>
        <w:t>Code of Conduct</w:t>
      </w:r>
      <w:r>
        <w:t xml:space="preserve"> currently refuse to join a PPB, impact would be achieved in this area. Further impact would be achieved if this option was supplemented with an uplift in the CPD and training offered by the PPBs.</w:t>
      </w:r>
    </w:p>
    <w:p w14:paraId="07C9BCF2" w14:textId="379EF107" w:rsidR="003507D6" w:rsidRDefault="00E03B6A" w:rsidP="003507D6">
      <w:pPr>
        <w:pStyle w:val="BodyText"/>
      </w:pPr>
      <w:r>
        <w:rPr>
          <w:b/>
          <w:bCs/>
        </w:rPr>
        <w:t xml:space="preserve">Modification of this </w:t>
      </w:r>
      <w:r w:rsidR="00AD78B4">
        <w:rPr>
          <w:b/>
          <w:bCs/>
        </w:rPr>
        <w:t xml:space="preserve">option: </w:t>
      </w:r>
      <w:r w:rsidR="00AD78B4" w:rsidRPr="00AD78B4">
        <w:t>This option has been modified to ‘</w:t>
      </w:r>
      <w:r w:rsidR="006F7B76">
        <w:t>Modified Option 3</w:t>
      </w:r>
      <w:r w:rsidR="008E7117">
        <w:t xml:space="preserve">: </w:t>
      </w:r>
      <w:r w:rsidR="000F2461">
        <w:t xml:space="preserve">Strengthened Status Quo – Jurisdictional </w:t>
      </w:r>
      <w:r w:rsidR="000A2454">
        <w:t xml:space="preserve">mandatory </w:t>
      </w:r>
      <w:r w:rsidR="000F2461">
        <w:t xml:space="preserve">current clinical certification </w:t>
      </w:r>
      <w:r w:rsidR="00664A90">
        <w:t xml:space="preserve">for public sector audiologists and uplift </w:t>
      </w:r>
      <w:r w:rsidR="000A2454">
        <w:t xml:space="preserve">in </w:t>
      </w:r>
      <w:r w:rsidR="00664A90">
        <w:t>CPD.’</w:t>
      </w:r>
      <w:r w:rsidR="003507D6" w:rsidRPr="003507D6">
        <w:t xml:space="preserve"> </w:t>
      </w:r>
      <w:r w:rsidR="003507D6">
        <w:t xml:space="preserve">Under this option, </w:t>
      </w:r>
      <w:r w:rsidR="00C05391">
        <w:t>S</w:t>
      </w:r>
      <w:r w:rsidR="003507D6">
        <w:t xml:space="preserve">tate and </w:t>
      </w:r>
      <w:r w:rsidR="00C05391">
        <w:t>T</w:t>
      </w:r>
      <w:r w:rsidR="003507D6">
        <w:t>erritory health departments would voluntarily decide to amend their minimum employment standards for audiologists to mandate current clinical certification. In addition, national government expenditure would directly fund CPD for topics considered to be of high priority for the profession, which may include:</w:t>
      </w:r>
    </w:p>
    <w:p w14:paraId="61625153" w14:textId="75B94542" w:rsidR="003507D6" w:rsidRDefault="003507D6" w:rsidP="001B4D4D">
      <w:pPr>
        <w:pStyle w:val="ListBullet"/>
      </w:pPr>
      <w:r>
        <w:t>topics where there is evidence of public harm which has already occurred</w:t>
      </w:r>
    </w:p>
    <w:p w14:paraId="7EE9095C" w14:textId="5FA2EA76" w:rsidR="00E03B6A" w:rsidRDefault="003507D6" w:rsidP="001B4D4D">
      <w:pPr>
        <w:pStyle w:val="ListBullet"/>
        <w:rPr>
          <w:b/>
          <w:bCs/>
        </w:rPr>
      </w:pPr>
      <w:r>
        <w:t xml:space="preserve">topics where it is considered there is a risk of public harm and the market is unlikely to provide this CPD otherwise (e.g., specialty areas of practice). </w:t>
      </w:r>
    </w:p>
    <w:p w14:paraId="3E2394EA" w14:textId="14D99D26" w:rsidR="001B4D4D" w:rsidRDefault="00003A88" w:rsidP="001B4D4D">
      <w:pPr>
        <w:pStyle w:val="BodyText"/>
      </w:pPr>
      <w:r>
        <w:rPr>
          <w:b/>
          <w:bCs/>
        </w:rPr>
        <w:t xml:space="preserve">Rational for </w:t>
      </w:r>
      <w:r w:rsidR="00E84D4B">
        <w:rPr>
          <w:b/>
          <w:bCs/>
        </w:rPr>
        <w:t>inclusion</w:t>
      </w:r>
      <w:r>
        <w:rPr>
          <w:b/>
          <w:bCs/>
        </w:rPr>
        <w:t xml:space="preserve">: </w:t>
      </w:r>
      <w:bookmarkStart w:id="164" w:name="_Toc171324766"/>
      <w:bookmarkEnd w:id="162"/>
      <w:bookmarkEnd w:id="163"/>
      <w:r w:rsidR="001B4D4D" w:rsidRPr="00FF5FC7">
        <w:t>The ability of this option to address the problem statement issues is shown in</w:t>
      </w:r>
      <w:r w:rsidR="001B4D4D">
        <w:t xml:space="preserve"> </w:t>
      </w:r>
      <w:r w:rsidR="00226CA0">
        <w:fldChar w:fldCharType="begin"/>
      </w:r>
      <w:r w:rsidR="00226CA0">
        <w:instrText xml:space="preserve"> REF _Ref172795093 \h </w:instrText>
      </w:r>
      <w:r w:rsidR="00226CA0">
        <w:fldChar w:fldCharType="separate"/>
      </w:r>
      <w:r w:rsidR="00F32107">
        <w:t xml:space="preserve">Table </w:t>
      </w:r>
      <w:r w:rsidR="00F32107">
        <w:rPr>
          <w:noProof/>
        </w:rPr>
        <w:t>5</w:t>
      </w:r>
      <w:r w:rsidR="00F32107">
        <w:t>.</w:t>
      </w:r>
      <w:r w:rsidR="00F32107">
        <w:rPr>
          <w:noProof/>
        </w:rPr>
        <w:t>4</w:t>
      </w:r>
      <w:r w:rsidR="00226CA0">
        <w:fldChar w:fldCharType="end"/>
      </w:r>
      <w:r w:rsidR="001B4D4D">
        <w:t>.</w:t>
      </w:r>
    </w:p>
    <w:p w14:paraId="7614A507" w14:textId="53399FF7" w:rsidR="001B4D4D" w:rsidRDefault="001B4D4D" w:rsidP="001B4D4D">
      <w:pPr>
        <w:pStyle w:val="Caption"/>
        <w:keepNext/>
      </w:pPr>
      <w:bookmarkStart w:id="165" w:name="_Ref172795093"/>
      <w:r>
        <w:t xml:space="preserve">Table </w:t>
      </w:r>
      <w:fldSimple w:instr=" STYLEREF 1 \s ">
        <w:r w:rsidR="00F32107">
          <w:rPr>
            <w:noProof/>
          </w:rPr>
          <w:t>5</w:t>
        </w:r>
      </w:fldSimple>
      <w:r w:rsidR="008944FB">
        <w:t>.</w:t>
      </w:r>
      <w:fldSimple w:instr=" SEQ Table \* ARABIC \s 1 ">
        <w:r w:rsidR="00F32107">
          <w:rPr>
            <w:noProof/>
          </w:rPr>
          <w:t>4</w:t>
        </w:r>
      </w:fldSimple>
      <w:bookmarkEnd w:id="165"/>
      <w:r>
        <w:t xml:space="preserve"> Qualitative assessment of </w:t>
      </w:r>
      <w:r w:rsidR="008E7117">
        <w:t>Strengthened Status Quo</w:t>
      </w:r>
      <w:r>
        <w:t xml:space="preserve"> against problem statement issues</w:t>
      </w:r>
    </w:p>
    <w:tbl>
      <w:tblPr>
        <w:tblStyle w:val="BodyTable"/>
        <w:tblW w:w="0" w:type="auto"/>
        <w:tblLook w:val="04A0" w:firstRow="1" w:lastRow="0" w:firstColumn="1" w:lastColumn="0" w:noHBand="0" w:noVBand="1"/>
      </w:tblPr>
      <w:tblGrid>
        <w:gridCol w:w="5103"/>
        <w:gridCol w:w="3731"/>
      </w:tblGrid>
      <w:tr w:rsidR="001B4D4D" w:rsidRPr="00430020" w14:paraId="65FF0325" w14:textId="77777777" w:rsidTr="0007458C">
        <w:trPr>
          <w:cnfStyle w:val="100000000000" w:firstRow="1" w:lastRow="0" w:firstColumn="0" w:lastColumn="0" w:oddVBand="0" w:evenVBand="0" w:oddHBand="0" w:evenHBand="0" w:firstRowFirstColumn="0" w:firstRowLastColumn="0" w:lastRowFirstColumn="0" w:lastRowLastColumn="0"/>
        </w:trPr>
        <w:tc>
          <w:tcPr>
            <w:tcW w:w="5103" w:type="dxa"/>
          </w:tcPr>
          <w:p w14:paraId="110BFD73" w14:textId="77777777" w:rsidR="001B4D4D" w:rsidRPr="00430020" w:rsidRDefault="001B4D4D" w:rsidP="001849D9">
            <w:pPr>
              <w:pStyle w:val="BodyText"/>
              <w:spacing w:before="0" w:after="0"/>
              <w:rPr>
                <w:b/>
                <w:sz w:val="16"/>
                <w:szCs w:val="16"/>
              </w:rPr>
            </w:pPr>
            <w:r w:rsidRPr="00430020">
              <w:rPr>
                <w:b/>
                <w:sz w:val="16"/>
                <w:szCs w:val="16"/>
              </w:rPr>
              <w:t>Objective</w:t>
            </w:r>
          </w:p>
        </w:tc>
        <w:tc>
          <w:tcPr>
            <w:tcW w:w="3731" w:type="dxa"/>
          </w:tcPr>
          <w:p w14:paraId="1406DAA7" w14:textId="77777777" w:rsidR="001B4D4D" w:rsidRPr="00430020" w:rsidRDefault="001B4D4D" w:rsidP="001849D9">
            <w:pPr>
              <w:pStyle w:val="BodyText"/>
              <w:spacing w:before="0" w:after="0"/>
              <w:rPr>
                <w:b/>
                <w:sz w:val="16"/>
                <w:szCs w:val="16"/>
              </w:rPr>
            </w:pPr>
            <w:r>
              <w:rPr>
                <w:b/>
                <w:sz w:val="16"/>
                <w:szCs w:val="16"/>
              </w:rPr>
              <w:t>Positive</w:t>
            </w:r>
            <w:r w:rsidRPr="00430020">
              <w:rPr>
                <w:b/>
                <w:sz w:val="16"/>
                <w:szCs w:val="16"/>
              </w:rPr>
              <w:t xml:space="preserve"> change </w:t>
            </w:r>
            <w:r>
              <w:rPr>
                <w:b/>
                <w:sz w:val="16"/>
                <w:szCs w:val="16"/>
              </w:rPr>
              <w:t>relative</w:t>
            </w:r>
            <w:r w:rsidRPr="00430020">
              <w:rPr>
                <w:b/>
                <w:sz w:val="16"/>
                <w:szCs w:val="16"/>
              </w:rPr>
              <w:t xml:space="preserve"> to Status Quo</w:t>
            </w:r>
          </w:p>
        </w:tc>
      </w:tr>
      <w:tr w:rsidR="001B4D4D" w:rsidRPr="00430020" w14:paraId="4FA7EE93" w14:textId="77777777" w:rsidTr="0007458C">
        <w:tc>
          <w:tcPr>
            <w:tcW w:w="5103" w:type="dxa"/>
          </w:tcPr>
          <w:p w14:paraId="0328916A" w14:textId="77777777" w:rsidR="001B4D4D" w:rsidRPr="00DC633F" w:rsidRDefault="001B4D4D" w:rsidP="001849D9">
            <w:pPr>
              <w:pStyle w:val="BodyText"/>
              <w:spacing w:before="0" w:after="0"/>
              <w:rPr>
                <w:b/>
                <w:sz w:val="16"/>
                <w:szCs w:val="16"/>
              </w:rPr>
            </w:pPr>
            <w:r w:rsidRPr="00DC633F">
              <w:rPr>
                <w:sz w:val="16"/>
                <w:szCs w:val="16"/>
              </w:rPr>
              <w:t>Problem Statement 1 – Information Asymmetry (Scope of Practice)</w:t>
            </w:r>
          </w:p>
        </w:tc>
        <w:tc>
          <w:tcPr>
            <w:tcW w:w="3731" w:type="dxa"/>
          </w:tcPr>
          <w:p w14:paraId="465F435C" w14:textId="6A5F301B" w:rsidR="001B4D4D" w:rsidRPr="00A27A9C" w:rsidRDefault="00BA6930" w:rsidP="001849D9">
            <w:pPr>
              <w:pStyle w:val="BodyText"/>
              <w:spacing w:before="0" w:after="0"/>
              <w:rPr>
                <w:bCs/>
                <w:sz w:val="16"/>
                <w:szCs w:val="16"/>
              </w:rPr>
            </w:pPr>
            <w:r w:rsidRPr="00132FB4">
              <w:rPr>
                <w:b/>
                <w:noProof/>
                <w:sz w:val="16"/>
                <w:szCs w:val="16"/>
                <w:lang w:eastAsia="en-AU"/>
                <w14:numSpacing w14:val="default"/>
              </w:rPr>
              <w:drawing>
                <wp:inline distT="0" distB="0" distL="0" distR="0" wp14:anchorId="60C55AAB" wp14:editId="11AD7DFE">
                  <wp:extent cx="252000" cy="252000"/>
                  <wp:effectExtent l="0" t="0" r="0" b="0"/>
                  <wp:docPr id="58" name="Graphic 58"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1B4D4D" w:rsidRPr="00430020" w14:paraId="452293B6" w14:textId="77777777" w:rsidTr="0007458C">
        <w:tc>
          <w:tcPr>
            <w:tcW w:w="5103" w:type="dxa"/>
          </w:tcPr>
          <w:p w14:paraId="78785930" w14:textId="77777777" w:rsidR="001B4D4D" w:rsidRPr="00DC633F" w:rsidRDefault="001B4D4D" w:rsidP="001849D9">
            <w:pPr>
              <w:pStyle w:val="BodyText"/>
              <w:spacing w:before="0" w:after="0"/>
              <w:rPr>
                <w:b/>
                <w:sz w:val="16"/>
                <w:szCs w:val="16"/>
              </w:rPr>
            </w:pPr>
            <w:r w:rsidRPr="00DC633F">
              <w:rPr>
                <w:sz w:val="16"/>
                <w:szCs w:val="16"/>
              </w:rPr>
              <w:t>Problem Statement 1 – Information Asymmetry (Protection of Title)</w:t>
            </w:r>
          </w:p>
        </w:tc>
        <w:tc>
          <w:tcPr>
            <w:tcW w:w="3731" w:type="dxa"/>
          </w:tcPr>
          <w:p w14:paraId="3C0273D5" w14:textId="77777777" w:rsidR="001B4D4D" w:rsidRPr="00430020" w:rsidRDefault="001B4D4D"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53E0A238" wp14:editId="648CB59D">
                  <wp:extent cx="252000" cy="252000"/>
                  <wp:effectExtent l="0" t="0" r="0" b="0"/>
                  <wp:docPr id="51" name="Graphic 51"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1B4D4D" w:rsidRPr="00430020" w14:paraId="0B534950" w14:textId="77777777" w:rsidTr="0007458C">
        <w:tc>
          <w:tcPr>
            <w:tcW w:w="5103" w:type="dxa"/>
          </w:tcPr>
          <w:p w14:paraId="71C77150" w14:textId="77777777" w:rsidR="001B4D4D" w:rsidRPr="00DC633F" w:rsidRDefault="001B4D4D" w:rsidP="001849D9">
            <w:pPr>
              <w:pStyle w:val="BodyText"/>
              <w:spacing w:before="0" w:after="0"/>
              <w:rPr>
                <w:b/>
                <w:sz w:val="16"/>
                <w:szCs w:val="16"/>
              </w:rPr>
            </w:pPr>
            <w:r w:rsidRPr="00DC633F">
              <w:rPr>
                <w:sz w:val="16"/>
                <w:szCs w:val="16"/>
              </w:rPr>
              <w:t>Problem Statement 2 – Insufficient production of profession-level goods</w:t>
            </w:r>
          </w:p>
        </w:tc>
        <w:tc>
          <w:tcPr>
            <w:tcW w:w="3731" w:type="dxa"/>
          </w:tcPr>
          <w:p w14:paraId="0B53077F" w14:textId="317D36E1" w:rsidR="001B4D4D" w:rsidRPr="00C752B9" w:rsidRDefault="00FE082F" w:rsidP="001849D9">
            <w:pPr>
              <w:pStyle w:val="BodyText"/>
              <w:spacing w:before="0" w:after="0"/>
              <w:rPr>
                <w:bCs/>
                <w:sz w:val="16"/>
                <w:szCs w:val="16"/>
              </w:rPr>
            </w:pPr>
            <w:r>
              <w:rPr>
                <w:bCs/>
                <w:noProof/>
                <w:sz w:val="16"/>
                <w:szCs w:val="16"/>
                <w:lang w:eastAsia="en-AU"/>
                <w14:numSpacing w14:val="default"/>
              </w:rPr>
              <w:drawing>
                <wp:inline distT="0" distB="0" distL="0" distR="0" wp14:anchorId="2BAF14E8" wp14:editId="12C59036">
                  <wp:extent cx="252000" cy="252000"/>
                  <wp:effectExtent l="0" t="0" r="0" b="0"/>
                  <wp:docPr id="61" name="Graphic 61" descr="Harvey Balls 5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Harvey Balls 55% with solid fill"/>
                          <pic:cNvPicPr/>
                        </pic:nvPicPr>
                        <pic:blipFill>
                          <a:blip r:embed="rId3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252000" cy="252000"/>
                          </a:xfrm>
                          <a:prstGeom prst="rect">
                            <a:avLst/>
                          </a:prstGeom>
                        </pic:spPr>
                      </pic:pic>
                    </a:graphicData>
                  </a:graphic>
                </wp:inline>
              </w:drawing>
            </w:r>
            <w:r w:rsidR="001B4D4D" w:rsidRPr="00C752B9">
              <w:rPr>
                <w:bCs/>
                <w:sz w:val="16"/>
                <w:szCs w:val="16"/>
              </w:rPr>
              <w:t xml:space="preserve">This option would </w:t>
            </w:r>
            <w:r w:rsidR="003802D8">
              <w:rPr>
                <w:bCs/>
                <w:sz w:val="16"/>
                <w:szCs w:val="16"/>
              </w:rPr>
              <w:t xml:space="preserve">generate profession-level goods </w:t>
            </w:r>
            <w:r w:rsidR="00013026">
              <w:rPr>
                <w:bCs/>
                <w:sz w:val="16"/>
                <w:szCs w:val="16"/>
              </w:rPr>
              <w:t>in the form of CPD.</w:t>
            </w:r>
          </w:p>
        </w:tc>
      </w:tr>
      <w:tr w:rsidR="001B4D4D" w:rsidRPr="00430020" w14:paraId="241A8BF8" w14:textId="77777777" w:rsidTr="0007458C">
        <w:tc>
          <w:tcPr>
            <w:tcW w:w="5103" w:type="dxa"/>
          </w:tcPr>
          <w:p w14:paraId="1530420E" w14:textId="77777777" w:rsidR="001B4D4D" w:rsidRPr="00DC633F" w:rsidRDefault="001B4D4D" w:rsidP="001849D9">
            <w:pPr>
              <w:pStyle w:val="BodyText"/>
              <w:spacing w:before="0" w:after="0"/>
              <w:rPr>
                <w:b/>
                <w:sz w:val="16"/>
                <w:szCs w:val="16"/>
              </w:rPr>
            </w:pPr>
            <w:r w:rsidRPr="00DC633F">
              <w:rPr>
                <w:sz w:val="16"/>
                <w:szCs w:val="16"/>
              </w:rPr>
              <w:t>Problem Statement 3 – Organisational pressures (public sector)</w:t>
            </w:r>
          </w:p>
        </w:tc>
        <w:tc>
          <w:tcPr>
            <w:tcW w:w="3731" w:type="dxa"/>
          </w:tcPr>
          <w:p w14:paraId="7762CB34" w14:textId="77777777" w:rsidR="001B4D4D" w:rsidRPr="00430020" w:rsidRDefault="001B4D4D"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1F82DD3F" wp14:editId="44EF4494">
                  <wp:extent cx="252000" cy="252000"/>
                  <wp:effectExtent l="0" t="0" r="0" b="0"/>
                  <wp:docPr id="54" name="Graphic 5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r>
              <w:rPr>
                <w:b/>
                <w:sz w:val="16"/>
                <w:szCs w:val="16"/>
              </w:rPr>
              <w:t xml:space="preserve"> </w:t>
            </w:r>
          </w:p>
        </w:tc>
      </w:tr>
      <w:tr w:rsidR="001B4D4D" w:rsidRPr="00430020" w14:paraId="0AD08324" w14:textId="77777777" w:rsidTr="0007458C">
        <w:tc>
          <w:tcPr>
            <w:tcW w:w="5103" w:type="dxa"/>
          </w:tcPr>
          <w:p w14:paraId="29786929" w14:textId="77777777" w:rsidR="001B4D4D" w:rsidRPr="00DC633F" w:rsidRDefault="001B4D4D" w:rsidP="001849D9">
            <w:pPr>
              <w:pStyle w:val="BodyText"/>
              <w:spacing w:before="0" w:after="0"/>
              <w:rPr>
                <w:b/>
                <w:bCs/>
                <w:sz w:val="16"/>
                <w:szCs w:val="16"/>
              </w:rPr>
            </w:pPr>
            <w:r w:rsidRPr="00DC633F">
              <w:rPr>
                <w:sz w:val="16"/>
                <w:szCs w:val="16"/>
              </w:rPr>
              <w:t>Problem Statement 3 – Organisational pressures (private sector)</w:t>
            </w:r>
          </w:p>
        </w:tc>
        <w:tc>
          <w:tcPr>
            <w:tcW w:w="3731" w:type="dxa"/>
          </w:tcPr>
          <w:p w14:paraId="0B6708FD" w14:textId="77777777" w:rsidR="001B4D4D" w:rsidRPr="00132FB4" w:rsidRDefault="001B4D4D"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795DBAD8" wp14:editId="4234EDF0">
                  <wp:extent cx="252000" cy="252000"/>
                  <wp:effectExtent l="0" t="0" r="0" b="0"/>
                  <wp:docPr id="55" name="Graphic 55"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1B4D4D" w:rsidRPr="00430020" w14:paraId="261CC887" w14:textId="77777777" w:rsidTr="0007458C">
        <w:tc>
          <w:tcPr>
            <w:tcW w:w="5103" w:type="dxa"/>
          </w:tcPr>
          <w:p w14:paraId="7C43BC83" w14:textId="77777777" w:rsidR="001B4D4D" w:rsidRPr="00DC633F" w:rsidRDefault="001B4D4D" w:rsidP="001849D9">
            <w:pPr>
              <w:pStyle w:val="BodyText"/>
              <w:spacing w:before="0" w:after="0"/>
              <w:rPr>
                <w:b/>
                <w:bCs/>
                <w:sz w:val="16"/>
                <w:szCs w:val="16"/>
              </w:rPr>
            </w:pPr>
            <w:r w:rsidRPr="00DC633F">
              <w:rPr>
                <w:sz w:val="16"/>
                <w:szCs w:val="16"/>
              </w:rPr>
              <w:t xml:space="preserve">Problem Statement 4 </w:t>
            </w:r>
          </w:p>
        </w:tc>
        <w:tc>
          <w:tcPr>
            <w:tcW w:w="3731" w:type="dxa"/>
          </w:tcPr>
          <w:p w14:paraId="4DA3F5E2" w14:textId="19B1E263" w:rsidR="001B4D4D" w:rsidRPr="00132FB4" w:rsidRDefault="00013026" w:rsidP="001849D9">
            <w:pPr>
              <w:pStyle w:val="BodyText"/>
              <w:spacing w:before="0" w:after="0"/>
              <w:rPr>
                <w:b/>
                <w:noProof/>
                <w:sz w:val="16"/>
                <w:szCs w:val="16"/>
                <w14:numSpacing w14:val="default"/>
              </w:rPr>
            </w:pPr>
            <w:r>
              <w:rPr>
                <w:b/>
                <w:noProof/>
                <w:sz w:val="16"/>
                <w:szCs w:val="16"/>
                <w:lang w:eastAsia="en-AU"/>
                <w14:numSpacing w14:val="default"/>
              </w:rPr>
              <w:drawing>
                <wp:inline distT="0" distB="0" distL="0" distR="0" wp14:anchorId="4C98B034" wp14:editId="1A036B9B">
                  <wp:extent cx="252000" cy="252000"/>
                  <wp:effectExtent l="0" t="0" r="0" b="0"/>
                  <wp:docPr id="60" name="Graphic 60"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inline>
              </w:drawing>
            </w:r>
            <w:r w:rsidRPr="00C24670">
              <w:rPr>
                <w:bCs/>
                <w:noProof/>
                <w:sz w:val="16"/>
                <w:szCs w:val="16"/>
                <w14:numSpacing w14:val="default"/>
              </w:rPr>
              <w:t xml:space="preserve">This option </w:t>
            </w:r>
            <w:r w:rsidR="000E7960" w:rsidRPr="00C24670">
              <w:rPr>
                <w:bCs/>
                <w:noProof/>
                <w:sz w:val="16"/>
                <w:szCs w:val="16"/>
                <w14:numSpacing w14:val="default"/>
              </w:rPr>
              <w:t xml:space="preserve">ensures that </w:t>
            </w:r>
            <w:r w:rsidR="00C24670" w:rsidRPr="00C24670">
              <w:rPr>
                <w:bCs/>
                <w:noProof/>
                <w:sz w:val="16"/>
                <w:szCs w:val="16"/>
                <w14:numSpacing w14:val="default"/>
              </w:rPr>
              <w:t xml:space="preserve">public sector audiologists are within the remit of the </w:t>
            </w:r>
            <w:r w:rsidR="00D8193B">
              <w:rPr>
                <w:bCs/>
                <w:noProof/>
                <w:sz w:val="16"/>
                <w:szCs w:val="16"/>
                <w14:numSpacing w14:val="default"/>
              </w:rPr>
              <w:t>HPCCB</w:t>
            </w:r>
            <w:r w:rsidR="00C24670" w:rsidRPr="00C24670">
              <w:rPr>
                <w:bCs/>
                <w:noProof/>
                <w:sz w:val="16"/>
                <w:szCs w:val="16"/>
                <w14:numSpacing w14:val="default"/>
              </w:rPr>
              <w:t>.</w:t>
            </w:r>
          </w:p>
        </w:tc>
      </w:tr>
      <w:tr w:rsidR="001B4D4D" w:rsidRPr="00430020" w14:paraId="6DDD4A7B" w14:textId="77777777" w:rsidTr="0007458C">
        <w:tc>
          <w:tcPr>
            <w:tcW w:w="5103" w:type="dxa"/>
          </w:tcPr>
          <w:p w14:paraId="3945AC53" w14:textId="77777777" w:rsidR="001B4D4D" w:rsidRPr="00DC633F" w:rsidRDefault="001B4D4D" w:rsidP="001849D9">
            <w:pPr>
              <w:pStyle w:val="BodyText"/>
              <w:spacing w:before="0" w:after="0"/>
              <w:rPr>
                <w:sz w:val="16"/>
                <w:szCs w:val="16"/>
              </w:rPr>
            </w:pPr>
            <w:r>
              <w:rPr>
                <w:sz w:val="16"/>
                <w:szCs w:val="16"/>
              </w:rPr>
              <w:t>Additional Notes</w:t>
            </w:r>
          </w:p>
        </w:tc>
        <w:tc>
          <w:tcPr>
            <w:tcW w:w="3731" w:type="dxa"/>
          </w:tcPr>
          <w:p w14:paraId="40F0B85B" w14:textId="6867B723" w:rsidR="001B4D4D" w:rsidRDefault="001B4D4D" w:rsidP="001849D9">
            <w:pPr>
              <w:pStyle w:val="BodyText"/>
              <w:spacing w:before="0" w:after="0"/>
              <w:rPr>
                <w:bCs/>
                <w:noProof/>
                <w:sz w:val="16"/>
                <w:szCs w:val="16"/>
                <w14:numSpacing w14:val="default"/>
              </w:rPr>
            </w:pPr>
          </w:p>
        </w:tc>
      </w:tr>
    </w:tbl>
    <w:p w14:paraId="51584C08" w14:textId="0156EFF1" w:rsidR="008518C7" w:rsidRDefault="008518C7" w:rsidP="002A762F">
      <w:pPr>
        <w:pStyle w:val="Heading3"/>
      </w:pPr>
      <w:bookmarkStart w:id="166" w:name="_Toc198138609"/>
      <w:r w:rsidRPr="003958D3">
        <w:t>Jurisdictional</w:t>
      </w:r>
      <w:r w:rsidRPr="000E4135">
        <w:t xml:space="preserve"> </w:t>
      </w:r>
      <w:r w:rsidR="00F43B90">
        <w:t>R</w:t>
      </w:r>
      <w:r w:rsidR="00791E1D">
        <w:t>egistration</w:t>
      </w:r>
      <w:r w:rsidRPr="000E4135">
        <w:t xml:space="preserve"> of audiology profession</w:t>
      </w:r>
      <w:bookmarkEnd w:id="164"/>
      <w:bookmarkEnd w:id="166"/>
    </w:p>
    <w:p w14:paraId="4369B34F" w14:textId="70A1386E" w:rsidR="008518C7" w:rsidRDefault="008518C7" w:rsidP="003958D3">
      <w:pPr>
        <w:pStyle w:val="BodyText"/>
        <w:rPr>
          <w:lang w:eastAsia="en-AU"/>
        </w:rPr>
      </w:pPr>
      <w:r>
        <w:rPr>
          <w:lang w:eastAsia="en-AU"/>
        </w:rPr>
        <w:t>This option requires audiologists to register in their jurisdiction to practise.</w:t>
      </w:r>
      <w:r w:rsidR="00A221E1">
        <w:rPr>
          <w:lang w:eastAsia="en-AU"/>
        </w:rPr>
        <w:t xml:space="preserve"> It is noted that </w:t>
      </w:r>
      <w:r w:rsidR="00C05391">
        <w:rPr>
          <w:lang w:eastAsia="en-AU"/>
        </w:rPr>
        <w:t>S</w:t>
      </w:r>
      <w:r w:rsidR="00A221E1">
        <w:rPr>
          <w:lang w:eastAsia="en-AU"/>
        </w:rPr>
        <w:t xml:space="preserve">tate and </w:t>
      </w:r>
      <w:r w:rsidR="00C05391">
        <w:rPr>
          <w:lang w:eastAsia="en-AU"/>
        </w:rPr>
        <w:t>T</w:t>
      </w:r>
      <w:r w:rsidR="00A221E1">
        <w:rPr>
          <w:lang w:eastAsia="en-AU"/>
        </w:rPr>
        <w:t xml:space="preserve">erritory-based registration was the regulatory model for workforce regulation in Australia prior to the introduction of the </w:t>
      </w:r>
      <w:r w:rsidR="002849ED">
        <w:rPr>
          <w:lang w:eastAsia="en-AU"/>
        </w:rPr>
        <w:t>National Scheme</w:t>
      </w:r>
      <w:r w:rsidR="006A0899">
        <w:rPr>
          <w:rStyle w:val="FootnoteReference"/>
          <w:lang w:eastAsia="en-AU"/>
        </w:rPr>
        <w:footnoteReference w:id="221"/>
      </w:r>
      <w:r w:rsidR="002849ED">
        <w:rPr>
          <w:lang w:eastAsia="en-AU"/>
        </w:rPr>
        <w:t>, and is the current regulatory approach</w:t>
      </w:r>
      <w:r w:rsidR="00006955">
        <w:rPr>
          <w:lang w:eastAsia="en-AU"/>
        </w:rPr>
        <w:t xml:space="preserve"> for audiology</w:t>
      </w:r>
      <w:r w:rsidR="002849ED">
        <w:rPr>
          <w:lang w:eastAsia="en-AU"/>
        </w:rPr>
        <w:t xml:space="preserve"> in the United States and Canada.</w:t>
      </w:r>
      <w:r>
        <w:rPr>
          <w:lang w:eastAsia="en-AU"/>
        </w:rPr>
        <w:t xml:space="preserve"> A Registration Board is created which has functions including endorsing professional standards, determining applications for registration and complaints handling (including disciplinary proceedings). Jurisdictions make a voluntary decision whether to enact this regulation, based on their localised assessment of benefits and costs. </w:t>
      </w:r>
    </w:p>
    <w:p w14:paraId="4910C6D3" w14:textId="2361C7EB" w:rsidR="008518C7" w:rsidRDefault="008518C7" w:rsidP="003958D3">
      <w:pPr>
        <w:pStyle w:val="BodyText"/>
        <w:rPr>
          <w:lang w:eastAsia="en-AU"/>
        </w:rPr>
      </w:pPr>
      <w:r w:rsidRPr="00744D1D">
        <w:rPr>
          <w:lang w:eastAsia="en-AU"/>
        </w:rPr>
        <w:t xml:space="preserve">Jurisdictional </w:t>
      </w:r>
      <w:r w:rsidR="00AC5AAF">
        <w:rPr>
          <w:lang w:eastAsia="en-AU"/>
        </w:rPr>
        <w:t>r</w:t>
      </w:r>
      <w:r w:rsidR="00791E1D">
        <w:rPr>
          <w:lang w:eastAsia="en-AU"/>
        </w:rPr>
        <w:t>egistration</w:t>
      </w:r>
      <w:r w:rsidRPr="00744D1D">
        <w:rPr>
          <w:lang w:eastAsia="en-AU"/>
        </w:rPr>
        <w:t xml:space="preserve"> boards would have powers and functions similar to those of a </w:t>
      </w:r>
      <w:r>
        <w:rPr>
          <w:lang w:eastAsia="en-AU"/>
        </w:rPr>
        <w:t>National Board</w:t>
      </w:r>
      <w:r w:rsidRPr="00744D1D">
        <w:rPr>
          <w:lang w:eastAsia="en-AU"/>
        </w:rPr>
        <w:t xml:space="preserve"> under </w:t>
      </w:r>
      <w:r w:rsidR="006A0899">
        <w:rPr>
          <w:lang w:eastAsia="en-AU"/>
        </w:rPr>
        <w:t>the National Scheme</w:t>
      </w:r>
      <w:r w:rsidRPr="00744D1D">
        <w:rPr>
          <w:lang w:eastAsia="en-AU"/>
        </w:rPr>
        <w:t xml:space="preserve">. </w:t>
      </w:r>
      <w:r>
        <w:rPr>
          <w:lang w:eastAsia="en-AU"/>
        </w:rPr>
        <w:t>Under this model of regulation, individual boards in each jurisdiction would establish and administer a register of audiologists</w:t>
      </w:r>
      <w:r w:rsidR="00817694">
        <w:rPr>
          <w:lang w:eastAsia="en-AU"/>
        </w:rPr>
        <w:t xml:space="preserve"> with a set of registration standards</w:t>
      </w:r>
      <w:r>
        <w:rPr>
          <w:lang w:eastAsia="en-AU"/>
        </w:rPr>
        <w:t xml:space="preserve">. An unregistered person would not be legally allowed to use the title of ‘audiologist’ or to hold themselves as being a qualified or registered audiologist. If an audiologist wished to work across jurisdiction boundaries, they would need to maintain registration in any jurisdiction which requires it. </w:t>
      </w:r>
      <w:r w:rsidR="00EF7F9E">
        <w:rPr>
          <w:lang w:eastAsia="en-AU"/>
        </w:rPr>
        <w:t xml:space="preserve">Using jurisdictional regulation of social </w:t>
      </w:r>
      <w:r w:rsidR="00EB032C">
        <w:rPr>
          <w:lang w:eastAsia="en-AU"/>
        </w:rPr>
        <w:t>work as an exemplar, this option would also define a scope of practice.</w:t>
      </w:r>
    </w:p>
    <w:p w14:paraId="23A8606D" w14:textId="4753946A" w:rsidR="008518C7" w:rsidRPr="00CF14E6" w:rsidRDefault="008518C7" w:rsidP="003958D3">
      <w:pPr>
        <w:pStyle w:val="BodyText"/>
      </w:pPr>
      <w:r>
        <w:rPr>
          <w:b/>
          <w:bCs/>
          <w:lang w:eastAsia="en-AU"/>
        </w:rPr>
        <w:t xml:space="preserve">Stakeholder feedback: </w:t>
      </w:r>
      <w:r w:rsidR="00CF14E6" w:rsidRPr="00CF14E6">
        <w:rPr>
          <w:lang w:eastAsia="en-AU"/>
        </w:rPr>
        <w:t xml:space="preserve">There </w:t>
      </w:r>
      <w:r w:rsidR="00CF14E6">
        <w:rPr>
          <w:lang w:eastAsia="en-AU"/>
        </w:rPr>
        <w:t xml:space="preserve">was limited stakeholder feedback in relation to this option, however for those that provided </w:t>
      </w:r>
      <w:r w:rsidR="00490B80">
        <w:rPr>
          <w:lang w:eastAsia="en-AU"/>
        </w:rPr>
        <w:t>feedback they</w:t>
      </w:r>
      <w:r w:rsidR="002549FC">
        <w:t xml:space="preserve"> tended to prefer an option that was nationally consistent, noted that harms identified were likely to be national in nature, and state-based regulation had been the previous approach in place prior to </w:t>
      </w:r>
      <w:r w:rsidR="001358EA">
        <w:t>Ahpra</w:t>
      </w:r>
      <w:r w:rsidR="002549FC">
        <w:t xml:space="preserve">. Despite this, it was considered appropriate to include </w:t>
      </w:r>
      <w:r w:rsidR="00A2137D">
        <w:t xml:space="preserve">Jurisdictional </w:t>
      </w:r>
      <w:r w:rsidR="00F43B90">
        <w:t>R</w:t>
      </w:r>
      <w:r w:rsidR="00A2137D">
        <w:t>egistration</w:t>
      </w:r>
      <w:r w:rsidR="002549FC">
        <w:t xml:space="preserve"> in the impact analysis, given the recent precedent for </w:t>
      </w:r>
      <w:r w:rsidR="00DD55E1">
        <w:t>j</w:t>
      </w:r>
      <w:r w:rsidR="00A2137D">
        <w:t xml:space="preserve">urisdictional </w:t>
      </w:r>
      <w:r w:rsidR="00351C23">
        <w:t>r</w:t>
      </w:r>
      <w:r w:rsidR="00A2137D">
        <w:t>egistration</w:t>
      </w:r>
      <w:r w:rsidR="002549FC">
        <w:t xml:space="preserve"> in the social work profession.</w:t>
      </w:r>
    </w:p>
    <w:p w14:paraId="0D87EBED" w14:textId="3143706D" w:rsidR="008518C7" w:rsidRDefault="008518C7" w:rsidP="003958D3">
      <w:pPr>
        <w:pStyle w:val="BodyText"/>
        <w:rPr>
          <w:lang w:eastAsia="en-AU"/>
        </w:rPr>
      </w:pPr>
      <w:r>
        <w:rPr>
          <w:b/>
          <w:bCs/>
          <w:lang w:eastAsia="en-AU"/>
        </w:rPr>
        <w:t>R</w:t>
      </w:r>
      <w:r w:rsidRPr="00424EB6">
        <w:rPr>
          <w:b/>
          <w:bCs/>
          <w:lang w:eastAsia="en-AU"/>
        </w:rPr>
        <w:t>ationale for inclusion</w:t>
      </w:r>
      <w:r>
        <w:rPr>
          <w:lang w:eastAsia="en-AU"/>
        </w:rPr>
        <w:t xml:space="preserve">: </w:t>
      </w:r>
      <w:r w:rsidRPr="00F609B2">
        <w:rPr>
          <w:lang w:eastAsia="en-AU"/>
        </w:rPr>
        <w:t>This option allows jurisdictions to make different decisions in relation to the problems identified in the Decision RIS, to better reflect community preferences on the appropriate course of action.</w:t>
      </w:r>
      <w:r w:rsidR="00B348E1">
        <w:rPr>
          <w:rStyle w:val="FootnoteReference"/>
          <w:lang w:eastAsia="en-AU"/>
        </w:rPr>
        <w:footnoteReference w:id="222"/>
      </w:r>
      <w:r w:rsidRPr="00F609B2">
        <w:rPr>
          <w:lang w:eastAsia="en-AU"/>
        </w:rPr>
        <w:t xml:space="preserve"> </w:t>
      </w:r>
      <w:r w:rsidR="00CA393A">
        <w:t>I</w:t>
      </w:r>
      <w:r w:rsidR="00AF0256">
        <w:t xml:space="preserve">t was considered appropriate to include </w:t>
      </w:r>
      <w:r w:rsidR="00884973">
        <w:t>this option</w:t>
      </w:r>
      <w:r w:rsidR="00AF0256">
        <w:t xml:space="preserve"> in the impact analysis, given the recent precedent for </w:t>
      </w:r>
      <w:r w:rsidR="00BE5FA6">
        <w:t>j</w:t>
      </w:r>
      <w:r w:rsidR="00A2137D">
        <w:t xml:space="preserve">urisdictional </w:t>
      </w:r>
      <w:r w:rsidR="0002011D">
        <w:t>r</w:t>
      </w:r>
      <w:r w:rsidR="00A2137D">
        <w:t>egistration</w:t>
      </w:r>
      <w:r w:rsidR="00AF0256">
        <w:t xml:space="preserve"> in the social work profession</w:t>
      </w:r>
      <w:r w:rsidR="00BE5FA6">
        <w:t xml:space="preserve"> </w:t>
      </w:r>
      <w:r>
        <w:rPr>
          <w:lang w:eastAsia="en-AU"/>
        </w:rPr>
        <w:t>(due to be implemented in July 2025).</w:t>
      </w:r>
      <w:r>
        <w:rPr>
          <w:rStyle w:val="FootnoteReference"/>
        </w:rPr>
        <w:footnoteReference w:id="223"/>
      </w:r>
    </w:p>
    <w:p w14:paraId="4193025D" w14:textId="1D9CE3BC" w:rsidR="00935789" w:rsidRDefault="00DA0CC0" w:rsidP="00DA0CC0">
      <w:pPr>
        <w:pStyle w:val="Caption"/>
      </w:pPr>
      <w:bookmarkStart w:id="167" w:name="_Hlk172658322"/>
      <w:r>
        <w:t xml:space="preserve">Table </w:t>
      </w:r>
      <w:fldSimple w:instr=" STYLEREF 1 \s ">
        <w:r w:rsidR="00F32107">
          <w:rPr>
            <w:noProof/>
          </w:rPr>
          <w:t>5</w:t>
        </w:r>
      </w:fldSimple>
      <w:r w:rsidR="008944FB">
        <w:t>.</w:t>
      </w:r>
      <w:fldSimple w:instr=" SEQ Table \* ARABIC \s 1 ">
        <w:r w:rsidR="00F32107">
          <w:rPr>
            <w:noProof/>
          </w:rPr>
          <w:t>5</w:t>
        </w:r>
      </w:fldSimple>
      <w:r>
        <w:t xml:space="preserve"> </w:t>
      </w:r>
      <w:r w:rsidR="00935789">
        <w:t>Qualitative assessment of Option 6 against problem statement issues</w:t>
      </w:r>
    </w:p>
    <w:tbl>
      <w:tblPr>
        <w:tblStyle w:val="BodyTable"/>
        <w:tblW w:w="0" w:type="auto"/>
        <w:tblLook w:val="04A0" w:firstRow="1" w:lastRow="0" w:firstColumn="1" w:lastColumn="0" w:noHBand="0" w:noVBand="1"/>
      </w:tblPr>
      <w:tblGrid>
        <w:gridCol w:w="5387"/>
        <w:gridCol w:w="3447"/>
      </w:tblGrid>
      <w:tr w:rsidR="00935789" w:rsidRPr="00430020" w14:paraId="34B33C34" w14:textId="77777777" w:rsidTr="0007458C">
        <w:trPr>
          <w:cnfStyle w:val="100000000000" w:firstRow="1" w:lastRow="0" w:firstColumn="0" w:lastColumn="0" w:oddVBand="0" w:evenVBand="0" w:oddHBand="0" w:evenHBand="0" w:firstRowFirstColumn="0" w:firstRowLastColumn="0" w:lastRowFirstColumn="0" w:lastRowLastColumn="0"/>
        </w:trPr>
        <w:tc>
          <w:tcPr>
            <w:tcW w:w="5387" w:type="dxa"/>
          </w:tcPr>
          <w:p w14:paraId="3FCE8067" w14:textId="77777777" w:rsidR="00935789" w:rsidRPr="00430020" w:rsidRDefault="00935789" w:rsidP="001849D9">
            <w:pPr>
              <w:pStyle w:val="BodyText"/>
              <w:spacing w:before="0" w:after="0"/>
              <w:rPr>
                <w:b/>
                <w:sz w:val="16"/>
                <w:szCs w:val="16"/>
              </w:rPr>
            </w:pPr>
            <w:r w:rsidRPr="00430020">
              <w:rPr>
                <w:b/>
                <w:sz w:val="16"/>
                <w:szCs w:val="16"/>
              </w:rPr>
              <w:t>Objective</w:t>
            </w:r>
          </w:p>
        </w:tc>
        <w:tc>
          <w:tcPr>
            <w:tcW w:w="3447" w:type="dxa"/>
          </w:tcPr>
          <w:p w14:paraId="7020C85B" w14:textId="77777777" w:rsidR="00935789" w:rsidRPr="00430020" w:rsidRDefault="00935789" w:rsidP="001849D9">
            <w:pPr>
              <w:pStyle w:val="BodyText"/>
              <w:spacing w:before="0" w:after="0"/>
              <w:rPr>
                <w:b/>
                <w:sz w:val="16"/>
                <w:szCs w:val="16"/>
              </w:rPr>
            </w:pPr>
            <w:r>
              <w:rPr>
                <w:b/>
                <w:sz w:val="16"/>
                <w:szCs w:val="16"/>
              </w:rPr>
              <w:t>Positive</w:t>
            </w:r>
            <w:r w:rsidRPr="00430020">
              <w:rPr>
                <w:b/>
                <w:sz w:val="16"/>
                <w:szCs w:val="16"/>
              </w:rPr>
              <w:t xml:space="preserve"> change </w:t>
            </w:r>
            <w:r>
              <w:rPr>
                <w:b/>
                <w:sz w:val="16"/>
                <w:szCs w:val="16"/>
              </w:rPr>
              <w:t>relative</w:t>
            </w:r>
            <w:r w:rsidRPr="00430020">
              <w:rPr>
                <w:b/>
                <w:sz w:val="16"/>
                <w:szCs w:val="16"/>
              </w:rPr>
              <w:t xml:space="preserve"> to Status Quo</w:t>
            </w:r>
          </w:p>
        </w:tc>
      </w:tr>
      <w:tr w:rsidR="00935789" w:rsidRPr="00430020" w14:paraId="6254E6EF" w14:textId="77777777" w:rsidTr="0007458C">
        <w:tc>
          <w:tcPr>
            <w:tcW w:w="5387" w:type="dxa"/>
          </w:tcPr>
          <w:p w14:paraId="5B195528" w14:textId="77777777" w:rsidR="00935789" w:rsidRPr="00DC633F" w:rsidRDefault="00935789" w:rsidP="001849D9">
            <w:pPr>
              <w:pStyle w:val="BodyText"/>
              <w:spacing w:before="0" w:after="0"/>
              <w:rPr>
                <w:b/>
                <w:sz w:val="16"/>
                <w:szCs w:val="16"/>
              </w:rPr>
            </w:pPr>
            <w:r w:rsidRPr="00DC633F">
              <w:rPr>
                <w:sz w:val="16"/>
                <w:szCs w:val="16"/>
              </w:rPr>
              <w:t>Problem Statement 1 – Information Asymmetry (Scope of Practice)</w:t>
            </w:r>
          </w:p>
        </w:tc>
        <w:tc>
          <w:tcPr>
            <w:tcW w:w="3447" w:type="dxa"/>
          </w:tcPr>
          <w:p w14:paraId="75E4B732" w14:textId="79F8FDFB" w:rsidR="00935789" w:rsidRPr="00A27A9C" w:rsidRDefault="00EB032C" w:rsidP="001849D9">
            <w:pPr>
              <w:pStyle w:val="BodyText"/>
              <w:spacing w:before="0" w:after="0"/>
              <w:rPr>
                <w:bCs/>
                <w:sz w:val="16"/>
                <w:szCs w:val="16"/>
              </w:rPr>
            </w:pPr>
            <w:r>
              <w:rPr>
                <w:bCs/>
                <w:noProof/>
                <w:sz w:val="16"/>
                <w:szCs w:val="16"/>
                <w:lang w:eastAsia="en-AU"/>
                <w14:numSpacing w14:val="default"/>
              </w:rPr>
              <w:drawing>
                <wp:inline distT="0" distB="0" distL="0" distR="0" wp14:anchorId="58F6D28D" wp14:editId="3081F82E">
                  <wp:extent cx="252000" cy="252000"/>
                  <wp:effectExtent l="0" t="0" r="0" b="0"/>
                  <wp:docPr id="68" name="Graphic 68" descr="Harvey Balls 7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Harvey Balls 70% with solid fill"/>
                          <pic:cNvPicPr/>
                        </pic:nvPicPr>
                        <pic:blipFill>
                          <a:blip r:embed="rId3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252000" cy="252000"/>
                          </a:xfrm>
                          <a:prstGeom prst="rect">
                            <a:avLst/>
                          </a:prstGeom>
                        </pic:spPr>
                      </pic:pic>
                    </a:graphicData>
                  </a:graphic>
                </wp:inline>
              </w:drawing>
            </w:r>
            <w:r w:rsidR="00FF570F">
              <w:rPr>
                <w:bCs/>
                <w:sz w:val="16"/>
                <w:szCs w:val="16"/>
              </w:rPr>
              <w:t>*Voluntary implementation</w:t>
            </w:r>
            <w:r w:rsidR="00940CB9">
              <w:rPr>
                <w:bCs/>
                <w:sz w:val="16"/>
                <w:szCs w:val="16"/>
              </w:rPr>
              <w:t xml:space="preserve"> by jurisdiction</w:t>
            </w:r>
          </w:p>
        </w:tc>
      </w:tr>
      <w:tr w:rsidR="00935789" w:rsidRPr="00430020" w14:paraId="5812E272" w14:textId="77777777" w:rsidTr="0007458C">
        <w:tc>
          <w:tcPr>
            <w:tcW w:w="5387" w:type="dxa"/>
          </w:tcPr>
          <w:p w14:paraId="6E2C3CB5" w14:textId="77777777" w:rsidR="00935789" w:rsidRPr="00DC633F" w:rsidRDefault="00935789" w:rsidP="001849D9">
            <w:pPr>
              <w:pStyle w:val="BodyText"/>
              <w:spacing w:before="0" w:after="0"/>
              <w:rPr>
                <w:b/>
                <w:sz w:val="16"/>
                <w:szCs w:val="16"/>
              </w:rPr>
            </w:pPr>
            <w:r w:rsidRPr="00DC633F">
              <w:rPr>
                <w:sz w:val="16"/>
                <w:szCs w:val="16"/>
              </w:rPr>
              <w:t>Problem Statement 1 – Information Asymmetry (Protection of Title)</w:t>
            </w:r>
          </w:p>
        </w:tc>
        <w:tc>
          <w:tcPr>
            <w:tcW w:w="3447" w:type="dxa"/>
          </w:tcPr>
          <w:p w14:paraId="3221DC72" w14:textId="17D887C1" w:rsidR="00935789" w:rsidRPr="00430020" w:rsidRDefault="00EB032C" w:rsidP="001849D9">
            <w:pPr>
              <w:pStyle w:val="BodyText"/>
              <w:spacing w:before="0" w:after="0"/>
              <w:rPr>
                <w:b/>
                <w:sz w:val="16"/>
                <w:szCs w:val="16"/>
              </w:rPr>
            </w:pPr>
            <w:r>
              <w:rPr>
                <w:bCs/>
                <w:noProof/>
                <w:sz w:val="16"/>
                <w:szCs w:val="16"/>
                <w:lang w:eastAsia="en-AU"/>
                <w14:numSpacing w14:val="default"/>
              </w:rPr>
              <w:drawing>
                <wp:inline distT="0" distB="0" distL="0" distR="0" wp14:anchorId="16EF9F20" wp14:editId="37651E1B">
                  <wp:extent cx="252000" cy="252000"/>
                  <wp:effectExtent l="0" t="0" r="0" b="0"/>
                  <wp:docPr id="69" name="Graphic 69" descr="Harvey Balls 7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Harvey Balls 70% with solid fill"/>
                          <pic:cNvPicPr/>
                        </pic:nvPicPr>
                        <pic:blipFill>
                          <a:blip r:embed="rId3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252000" cy="252000"/>
                          </a:xfrm>
                          <a:prstGeom prst="rect">
                            <a:avLst/>
                          </a:prstGeom>
                        </pic:spPr>
                      </pic:pic>
                    </a:graphicData>
                  </a:graphic>
                </wp:inline>
              </w:drawing>
            </w:r>
            <w:r w:rsidR="00FF570F">
              <w:rPr>
                <w:bCs/>
                <w:sz w:val="16"/>
                <w:szCs w:val="16"/>
              </w:rPr>
              <w:t>*Voluntary implementation</w:t>
            </w:r>
            <w:r w:rsidR="00940CB9">
              <w:rPr>
                <w:bCs/>
                <w:sz w:val="16"/>
                <w:szCs w:val="16"/>
              </w:rPr>
              <w:t xml:space="preserve"> by jurisdiction</w:t>
            </w:r>
          </w:p>
        </w:tc>
      </w:tr>
      <w:tr w:rsidR="00935789" w:rsidRPr="00430020" w14:paraId="49075F56" w14:textId="77777777" w:rsidTr="0007458C">
        <w:tc>
          <w:tcPr>
            <w:tcW w:w="5387" w:type="dxa"/>
          </w:tcPr>
          <w:p w14:paraId="678611DE" w14:textId="77777777" w:rsidR="00935789" w:rsidRPr="00DC633F" w:rsidRDefault="00935789" w:rsidP="001849D9">
            <w:pPr>
              <w:pStyle w:val="BodyText"/>
              <w:spacing w:before="0" w:after="0"/>
              <w:rPr>
                <w:b/>
                <w:sz w:val="16"/>
                <w:szCs w:val="16"/>
              </w:rPr>
            </w:pPr>
            <w:r w:rsidRPr="00DC633F">
              <w:rPr>
                <w:sz w:val="16"/>
                <w:szCs w:val="16"/>
              </w:rPr>
              <w:t>Problem Statement 2 – Insufficient production of profession-level goods</w:t>
            </w:r>
          </w:p>
        </w:tc>
        <w:tc>
          <w:tcPr>
            <w:tcW w:w="3447" w:type="dxa"/>
          </w:tcPr>
          <w:p w14:paraId="1D68656A" w14:textId="1124B8FB" w:rsidR="00935789" w:rsidRPr="00C752B9" w:rsidRDefault="00FF570F" w:rsidP="001849D9">
            <w:pPr>
              <w:pStyle w:val="BodyText"/>
              <w:spacing w:before="0" w:after="0"/>
              <w:rPr>
                <w:bCs/>
                <w:sz w:val="16"/>
                <w:szCs w:val="16"/>
              </w:rPr>
            </w:pPr>
            <w:r>
              <w:rPr>
                <w:b/>
                <w:noProof/>
                <w:sz w:val="16"/>
                <w:szCs w:val="16"/>
                <w:lang w:eastAsia="en-AU"/>
                <w14:numSpacing w14:val="default"/>
              </w:rPr>
              <w:drawing>
                <wp:inline distT="0" distB="0" distL="0" distR="0" wp14:anchorId="5FCDB260" wp14:editId="3E9D412E">
                  <wp:extent cx="252000" cy="252000"/>
                  <wp:effectExtent l="0" t="0" r="0" b="0"/>
                  <wp:docPr id="71" name="Graphic 71"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inline>
              </w:drawing>
            </w:r>
            <w:r w:rsidR="00546DB4">
              <w:rPr>
                <w:bCs/>
                <w:sz w:val="16"/>
                <w:szCs w:val="16"/>
              </w:rPr>
              <w:t>*Accreditation standards</w:t>
            </w:r>
          </w:p>
        </w:tc>
      </w:tr>
      <w:tr w:rsidR="00935789" w:rsidRPr="00430020" w14:paraId="745C506B" w14:textId="77777777" w:rsidTr="0007458C">
        <w:tc>
          <w:tcPr>
            <w:tcW w:w="5387" w:type="dxa"/>
          </w:tcPr>
          <w:p w14:paraId="3AE13930" w14:textId="77777777" w:rsidR="00935789" w:rsidRPr="00DC633F" w:rsidRDefault="00935789" w:rsidP="001849D9">
            <w:pPr>
              <w:pStyle w:val="BodyText"/>
              <w:spacing w:before="0" w:after="0"/>
              <w:rPr>
                <w:b/>
                <w:sz w:val="16"/>
                <w:szCs w:val="16"/>
              </w:rPr>
            </w:pPr>
            <w:r w:rsidRPr="00DC633F">
              <w:rPr>
                <w:sz w:val="16"/>
                <w:szCs w:val="16"/>
              </w:rPr>
              <w:t>Problem Statement 3 – Organisational pressures (public sector)</w:t>
            </w:r>
          </w:p>
        </w:tc>
        <w:tc>
          <w:tcPr>
            <w:tcW w:w="3447" w:type="dxa"/>
          </w:tcPr>
          <w:p w14:paraId="6D5BC332" w14:textId="77777777" w:rsidR="00935789" w:rsidRPr="00430020" w:rsidRDefault="00935789" w:rsidP="001849D9">
            <w:pPr>
              <w:pStyle w:val="BodyText"/>
              <w:spacing w:before="0" w:after="0"/>
              <w:rPr>
                <w:b/>
                <w:sz w:val="16"/>
                <w:szCs w:val="16"/>
              </w:rPr>
            </w:pPr>
            <w:r w:rsidRPr="00132FB4">
              <w:rPr>
                <w:b/>
                <w:noProof/>
                <w:sz w:val="16"/>
                <w:szCs w:val="16"/>
                <w:lang w:eastAsia="en-AU"/>
                <w14:numSpacing w14:val="default"/>
              </w:rPr>
              <w:drawing>
                <wp:inline distT="0" distB="0" distL="0" distR="0" wp14:anchorId="1E4C5EAF" wp14:editId="0DFD059D">
                  <wp:extent cx="252000" cy="252000"/>
                  <wp:effectExtent l="0" t="0" r="0" b="0"/>
                  <wp:docPr id="65" name="Graphic 65"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r>
              <w:rPr>
                <w:b/>
                <w:sz w:val="16"/>
                <w:szCs w:val="16"/>
              </w:rPr>
              <w:t xml:space="preserve"> </w:t>
            </w:r>
          </w:p>
        </w:tc>
      </w:tr>
      <w:tr w:rsidR="00935789" w:rsidRPr="00430020" w14:paraId="17C2F2D1" w14:textId="77777777" w:rsidTr="0007458C">
        <w:tc>
          <w:tcPr>
            <w:tcW w:w="5387" w:type="dxa"/>
          </w:tcPr>
          <w:p w14:paraId="1486116F" w14:textId="77777777" w:rsidR="00935789" w:rsidRPr="00DC633F" w:rsidRDefault="00935789" w:rsidP="001849D9">
            <w:pPr>
              <w:pStyle w:val="BodyText"/>
              <w:spacing w:before="0" w:after="0"/>
              <w:rPr>
                <w:b/>
                <w:bCs/>
                <w:sz w:val="16"/>
                <w:szCs w:val="16"/>
              </w:rPr>
            </w:pPr>
            <w:r w:rsidRPr="00DC633F">
              <w:rPr>
                <w:sz w:val="16"/>
                <w:szCs w:val="16"/>
              </w:rPr>
              <w:t>Problem Statement 3 – Organisational pressures (private sector)</w:t>
            </w:r>
          </w:p>
        </w:tc>
        <w:tc>
          <w:tcPr>
            <w:tcW w:w="3447" w:type="dxa"/>
          </w:tcPr>
          <w:p w14:paraId="76578CD6" w14:textId="77777777" w:rsidR="00935789" w:rsidRPr="00132FB4" w:rsidRDefault="00935789" w:rsidP="001849D9">
            <w:pPr>
              <w:pStyle w:val="BodyText"/>
              <w:spacing w:before="0" w:after="0"/>
              <w:rPr>
                <w:b/>
                <w:noProof/>
                <w:sz w:val="16"/>
                <w:szCs w:val="16"/>
                <w14:numSpacing w14:val="default"/>
              </w:rPr>
            </w:pPr>
            <w:r w:rsidRPr="00132FB4">
              <w:rPr>
                <w:b/>
                <w:noProof/>
                <w:sz w:val="16"/>
                <w:szCs w:val="16"/>
                <w:lang w:eastAsia="en-AU"/>
                <w14:numSpacing w14:val="default"/>
              </w:rPr>
              <w:drawing>
                <wp:inline distT="0" distB="0" distL="0" distR="0" wp14:anchorId="0F3DC590" wp14:editId="0C038922">
                  <wp:extent cx="252000" cy="252000"/>
                  <wp:effectExtent l="0" t="0" r="0" b="0"/>
                  <wp:docPr id="66" name="Graphic 66"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r>
      <w:tr w:rsidR="00935789" w:rsidRPr="00430020" w14:paraId="63B74E81" w14:textId="77777777" w:rsidTr="0007458C">
        <w:tc>
          <w:tcPr>
            <w:tcW w:w="5387" w:type="dxa"/>
          </w:tcPr>
          <w:p w14:paraId="2CEA062E" w14:textId="77777777" w:rsidR="00935789" w:rsidRPr="00DC633F" w:rsidRDefault="00935789" w:rsidP="001849D9">
            <w:pPr>
              <w:pStyle w:val="BodyText"/>
              <w:spacing w:before="0" w:after="0"/>
              <w:rPr>
                <w:b/>
                <w:bCs/>
                <w:sz w:val="16"/>
                <w:szCs w:val="16"/>
              </w:rPr>
            </w:pPr>
            <w:r w:rsidRPr="00DC633F">
              <w:rPr>
                <w:sz w:val="16"/>
                <w:szCs w:val="16"/>
              </w:rPr>
              <w:t xml:space="preserve">Problem Statement 4 </w:t>
            </w:r>
          </w:p>
        </w:tc>
        <w:tc>
          <w:tcPr>
            <w:tcW w:w="3447" w:type="dxa"/>
          </w:tcPr>
          <w:p w14:paraId="28FBECC7" w14:textId="35AAE5C6" w:rsidR="00935789" w:rsidRPr="00132FB4" w:rsidRDefault="002E0FD2" w:rsidP="001849D9">
            <w:pPr>
              <w:pStyle w:val="BodyText"/>
              <w:spacing w:before="0" w:after="0"/>
              <w:rPr>
                <w:b/>
                <w:noProof/>
                <w:sz w:val="16"/>
                <w:szCs w:val="16"/>
                <w14:numSpacing w14:val="default"/>
              </w:rPr>
            </w:pPr>
            <w:r>
              <w:rPr>
                <w:bCs/>
                <w:noProof/>
                <w:sz w:val="16"/>
                <w:szCs w:val="16"/>
                <w:lang w:eastAsia="en-AU"/>
                <w14:numSpacing w14:val="default"/>
              </w:rPr>
              <w:drawing>
                <wp:inline distT="0" distB="0" distL="0" distR="0" wp14:anchorId="0D8E4B18" wp14:editId="6A2FD359">
                  <wp:extent cx="252000" cy="252000"/>
                  <wp:effectExtent l="0" t="0" r="0" b="0"/>
                  <wp:docPr id="72" name="Graphic 72" descr="Harvey Balls 3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Harvey Balls 35% with solid fill"/>
                          <pic:cNvPicPr/>
                        </pic:nvPicPr>
                        <pic:blipFill>
                          <a:blip r:embed="rId2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52000" cy="252000"/>
                          </a:xfrm>
                          <a:prstGeom prst="rect">
                            <a:avLst/>
                          </a:prstGeom>
                        </pic:spPr>
                      </pic:pic>
                    </a:graphicData>
                  </a:graphic>
                </wp:inline>
              </w:drawing>
            </w:r>
            <w:r w:rsidR="00546DB4">
              <w:rPr>
                <w:bCs/>
                <w:noProof/>
                <w:sz w:val="16"/>
                <w:szCs w:val="16"/>
                <w14:numSpacing w14:val="default"/>
              </w:rPr>
              <w:t>*I</w:t>
            </w:r>
            <w:r w:rsidR="00940CB9">
              <w:rPr>
                <w:bCs/>
                <w:noProof/>
                <w:sz w:val="16"/>
                <w:szCs w:val="16"/>
                <w14:numSpacing w14:val="default"/>
              </w:rPr>
              <w:t xml:space="preserve">ndependent complaints mechanism </w:t>
            </w:r>
          </w:p>
        </w:tc>
      </w:tr>
      <w:tr w:rsidR="00935789" w:rsidRPr="00430020" w14:paraId="162FAEEC" w14:textId="77777777" w:rsidTr="0007458C">
        <w:tc>
          <w:tcPr>
            <w:tcW w:w="5387" w:type="dxa"/>
          </w:tcPr>
          <w:p w14:paraId="0A4B9E42" w14:textId="77777777" w:rsidR="00935789" w:rsidRPr="00DC633F" w:rsidRDefault="00935789" w:rsidP="001849D9">
            <w:pPr>
              <w:pStyle w:val="BodyText"/>
              <w:spacing w:before="0" w:after="0"/>
              <w:rPr>
                <w:sz w:val="16"/>
                <w:szCs w:val="16"/>
              </w:rPr>
            </w:pPr>
            <w:r>
              <w:rPr>
                <w:sz w:val="16"/>
                <w:szCs w:val="16"/>
              </w:rPr>
              <w:t>Additional Notes</w:t>
            </w:r>
          </w:p>
        </w:tc>
        <w:tc>
          <w:tcPr>
            <w:tcW w:w="3447" w:type="dxa"/>
          </w:tcPr>
          <w:p w14:paraId="1202F2F7" w14:textId="77777777" w:rsidR="00935789" w:rsidRDefault="00935789" w:rsidP="001849D9">
            <w:pPr>
              <w:pStyle w:val="BodyText"/>
              <w:spacing w:before="0" w:after="0"/>
              <w:rPr>
                <w:bCs/>
                <w:noProof/>
                <w:sz w:val="16"/>
                <w:szCs w:val="16"/>
                <w14:numSpacing w14:val="default"/>
              </w:rPr>
            </w:pPr>
          </w:p>
        </w:tc>
      </w:tr>
      <w:bookmarkEnd w:id="167"/>
    </w:tbl>
    <w:p w14:paraId="35DFC640" w14:textId="77777777" w:rsidR="00935789" w:rsidRPr="001153AD" w:rsidRDefault="00935789" w:rsidP="003958D3">
      <w:pPr>
        <w:pStyle w:val="BodyText"/>
        <w:rPr>
          <w:lang w:eastAsia="en-AU"/>
        </w:rPr>
      </w:pPr>
    </w:p>
    <w:p w14:paraId="32728AA9" w14:textId="693DD44C" w:rsidR="008518C7" w:rsidRPr="00B07B28" w:rsidRDefault="008518C7" w:rsidP="004D1858">
      <w:pPr>
        <w:pStyle w:val="Heading3"/>
      </w:pPr>
      <w:bookmarkStart w:id="168" w:name="_Toc171324767"/>
      <w:bookmarkStart w:id="169" w:name="_Toc198138610"/>
      <w:r w:rsidRPr="006C009C">
        <w:t xml:space="preserve">National </w:t>
      </w:r>
      <w:r w:rsidR="00F43B90">
        <w:t>R</w:t>
      </w:r>
      <w:r w:rsidRPr="006C009C">
        <w:t xml:space="preserve">egistration of audiology </w:t>
      </w:r>
      <w:r w:rsidRPr="004D1858">
        <w:t>profession</w:t>
      </w:r>
      <w:r w:rsidRPr="006C009C">
        <w:t xml:space="preserve"> under the NRAS</w:t>
      </w:r>
      <w:bookmarkEnd w:id="168"/>
      <w:bookmarkEnd w:id="169"/>
    </w:p>
    <w:p w14:paraId="6F3E4BA2" w14:textId="6C2C1BD2" w:rsidR="008518C7" w:rsidRPr="00FA6B9B" w:rsidRDefault="008518C7" w:rsidP="00FA6B9B">
      <w:pPr>
        <w:pStyle w:val="BodyText"/>
      </w:pPr>
      <w:r w:rsidRPr="00FA6B9B">
        <w:t xml:space="preserve">This option amends the NRAS to include the audiology profession. The role of the regulator as prescribed by the National Law is described in Section </w:t>
      </w:r>
      <w:r w:rsidRPr="00FA6B9B">
        <w:fldChar w:fldCharType="begin"/>
      </w:r>
      <w:r w:rsidRPr="00FA6B9B">
        <w:instrText xml:space="preserve"> REF _Ref167710190 \r \h </w:instrText>
      </w:r>
      <w:r w:rsidR="004D1858" w:rsidRPr="00FA6B9B">
        <w:instrText xml:space="preserve"> \* MERGEFORMAT </w:instrText>
      </w:r>
      <w:r w:rsidRPr="00FA6B9B">
        <w:fldChar w:fldCharType="separate"/>
      </w:r>
      <w:r w:rsidR="00F32107">
        <w:t>2.4.3</w:t>
      </w:r>
      <w:r w:rsidRPr="00FA6B9B">
        <w:fldChar w:fldCharType="end"/>
      </w:r>
      <w:r w:rsidRPr="00FA6B9B">
        <w:t xml:space="preserve">. </w:t>
      </w:r>
    </w:p>
    <w:p w14:paraId="43E888AD" w14:textId="77777777" w:rsidR="008518C7" w:rsidRDefault="008518C7" w:rsidP="00151FC3">
      <w:pPr>
        <w:pStyle w:val="Heading4"/>
        <w:rPr>
          <w:lang w:eastAsia="en-AU"/>
        </w:rPr>
      </w:pPr>
      <w:r w:rsidRPr="00FE7AB3">
        <w:rPr>
          <w:lang w:eastAsia="en-AU"/>
        </w:rPr>
        <w:t>Protected Titles and Scope of Practice</w:t>
      </w:r>
    </w:p>
    <w:p w14:paraId="4AD03462" w14:textId="77777777" w:rsidR="008518C7" w:rsidRDefault="008518C7" w:rsidP="002B3B72">
      <w:pPr>
        <w:pStyle w:val="BodyText"/>
        <w:rPr>
          <w:lang w:eastAsia="en-AU"/>
        </w:rPr>
      </w:pPr>
      <w:r>
        <w:rPr>
          <w:lang w:eastAsia="en-AU"/>
        </w:rPr>
        <w:t xml:space="preserve">The following information is provided in relation to protection of title and scope of practice issues described by stakeholders: </w:t>
      </w:r>
    </w:p>
    <w:p w14:paraId="30765DC8" w14:textId="77777777" w:rsidR="008518C7" w:rsidRDefault="008518C7" w:rsidP="00E61DD0">
      <w:pPr>
        <w:pStyle w:val="ListBullet"/>
      </w:pPr>
      <w:r w:rsidRPr="002459F9">
        <w:t>The title of ‘a</w:t>
      </w:r>
      <w:r w:rsidRPr="00712F1E">
        <w:t>u</w:t>
      </w:r>
      <w:r w:rsidRPr="008E4E7D">
        <w:t>diologist’, would be a protected title</w:t>
      </w:r>
      <w:r>
        <w:t xml:space="preserve">, and anyone who refers to themselves as a protected title must be registered with the corresponding National Board. </w:t>
      </w:r>
    </w:p>
    <w:p w14:paraId="47F894C0" w14:textId="4E62D009" w:rsidR="008518C7" w:rsidRDefault="008518C7" w:rsidP="00E61DD0">
      <w:pPr>
        <w:pStyle w:val="ListBullet"/>
      </w:pPr>
      <w:r>
        <w:t>It is observed that protected titles are applied to role types rather than professions</w:t>
      </w:r>
      <w:r>
        <w:rPr>
          <w:rStyle w:val="FootnoteReference"/>
          <w:color w:val="000000"/>
          <w:szCs w:val="20"/>
        </w:rPr>
        <w:footnoteReference w:id="224"/>
      </w:r>
      <w:r>
        <w:t xml:space="preserve"> (e.g., midwife and midwife practitioner are protected titles, but midwifery is not). Hence, given </w:t>
      </w:r>
      <w:r w:rsidR="001358EA">
        <w:t>Ahpra</w:t>
      </w:r>
      <w:r>
        <w:t xml:space="preserve">’s guidance that </w:t>
      </w:r>
      <w:r w:rsidR="00EE7474">
        <w:t>‘</w:t>
      </w:r>
      <w:r w:rsidRPr="00FE7AB3">
        <w:rPr>
          <w:i/>
          <w:iCs/>
        </w:rPr>
        <w:t>it is an offence to call yourself one of the protected titles, and it is also an offence to hold yourself out to be a registered practitioner if you are not, or use symbols or language that may lead a reasonable person to believe that you are registered</w:t>
      </w:r>
      <w:r>
        <w:rPr>
          <w:i/>
          <w:iCs/>
        </w:rPr>
        <w:t>…It is also unlawful for someone to lead someone to believe that another person is registered in a health profession</w:t>
      </w:r>
      <w:r w:rsidR="00EE7474">
        <w:t>’</w:t>
      </w:r>
      <w:r>
        <w:rPr>
          <w:rStyle w:val="FootnoteReference"/>
          <w:color w:val="000000"/>
          <w:szCs w:val="20"/>
        </w:rPr>
        <w:footnoteReference w:id="225"/>
      </w:r>
      <w:r>
        <w:t xml:space="preserve">, </w:t>
      </w:r>
      <w:r w:rsidRPr="00FE7AB3">
        <w:t xml:space="preserve"> </w:t>
      </w:r>
      <w:r>
        <w:t xml:space="preserve">a plain reading of this guidance indicates that use of words such as “audiology” in consumer-facing information or as a professional body would require a decision to be made on this issue by </w:t>
      </w:r>
      <w:r w:rsidR="001358EA">
        <w:t>Ahpra</w:t>
      </w:r>
      <w:r>
        <w:t xml:space="preserve">. </w:t>
      </w:r>
    </w:p>
    <w:p w14:paraId="266F7473" w14:textId="4FF773CC" w:rsidR="008518C7" w:rsidRPr="008B61B8" w:rsidRDefault="008518C7" w:rsidP="00E61DD0">
      <w:pPr>
        <w:pStyle w:val="ListBullet"/>
      </w:pPr>
      <w:r w:rsidRPr="00545138">
        <w:t>Under Section 118 of the National Law</w:t>
      </w:r>
      <w:r w:rsidRPr="00BD1356">
        <w:t xml:space="preserve"> </w:t>
      </w:r>
      <w:r>
        <w:rPr>
          <w:rStyle w:val="FootnoteReference"/>
          <w:color w:val="000000"/>
          <w:szCs w:val="20"/>
        </w:rPr>
        <w:footnoteReference w:id="226"/>
      </w:r>
      <w:r w:rsidRPr="00545138">
        <w:t xml:space="preserve"> </w:t>
      </w:r>
      <w:r w:rsidRPr="006960CF">
        <w:t>a</w:t>
      </w:r>
      <w:r w:rsidRPr="00967799">
        <w:t xml:space="preserve"> person who is not a specialist health practitioner must not knowingly or recklessly</w:t>
      </w:r>
      <w:r w:rsidRPr="006960CF">
        <w:t xml:space="preserve"> </w:t>
      </w:r>
      <w:r w:rsidRPr="00967799">
        <w:t xml:space="preserve">take or use the title of </w:t>
      </w:r>
      <w:r w:rsidRPr="006960CF">
        <w:t>specialist health practitioner (including</w:t>
      </w:r>
      <w:r w:rsidRPr="00967799">
        <w:t xml:space="preserve"> in </w:t>
      </w:r>
      <w:r w:rsidRPr="006960CF">
        <w:t>reference</w:t>
      </w:r>
      <w:r w:rsidRPr="00967799">
        <w:t xml:space="preserve"> to another person</w:t>
      </w:r>
      <w:r w:rsidRPr="006960CF">
        <w:t>).</w:t>
      </w:r>
      <w:r>
        <w:t xml:space="preserve"> </w:t>
      </w:r>
      <w:r w:rsidRPr="008B61B8">
        <w:t xml:space="preserve">Hence, a plain reading of this </w:t>
      </w:r>
      <w:r>
        <w:t>legislation</w:t>
      </w:r>
      <w:r w:rsidRPr="008B61B8">
        <w:t xml:space="preserve"> indicates that use of the phrase “hearing specialist” would require a decision to be made on this issue by </w:t>
      </w:r>
      <w:r w:rsidR="001358EA">
        <w:t>Ahpra</w:t>
      </w:r>
      <w:r w:rsidRPr="008B61B8">
        <w:t>.</w:t>
      </w:r>
    </w:p>
    <w:p w14:paraId="1CD32C6E" w14:textId="69126B01" w:rsidR="008518C7" w:rsidRDefault="001358EA" w:rsidP="00A22B46">
      <w:pPr>
        <w:pStyle w:val="ListBullet"/>
        <w:rPr>
          <w:lang w:eastAsia="en-US"/>
        </w:rPr>
      </w:pPr>
      <w:r>
        <w:t>Ahpra</w:t>
      </w:r>
      <w:r w:rsidR="008518C7">
        <w:t xml:space="preserve">’s public submission states, </w:t>
      </w:r>
      <w:r w:rsidR="003F61B5">
        <w:t>‘</w:t>
      </w:r>
      <w:r w:rsidR="008518C7" w:rsidRPr="00972F5E">
        <w:rPr>
          <w:i/>
          <w:iCs/>
        </w:rPr>
        <w:t>The National Scheme is not a scope of practice model. With a few exceptions (that apply to restricted dental acts, prescription of optical appliances and manipulation of the cervical spine), the National Law does not define what a registered health practitioner can do.</w:t>
      </w:r>
      <w:r w:rsidR="003F61B5">
        <w:t>’</w:t>
      </w:r>
      <w:r w:rsidR="008518C7">
        <w:t xml:space="preserve"> </w:t>
      </w:r>
      <w:r w:rsidR="00BF55FB">
        <w:t>Furthermore, any</w:t>
      </w:r>
      <w:r w:rsidR="00CE272E">
        <w:t xml:space="preserve"> future decision regarding area of practice endorsements or specialist registration</w:t>
      </w:r>
      <w:r w:rsidR="00BF55FB">
        <w:t xml:space="preserve"> for audiologists</w:t>
      </w:r>
      <w:r w:rsidR="00CE272E">
        <w:t xml:space="preserve"> would be subject to National Board consultation processes and the requirements of the National Law.</w:t>
      </w:r>
      <w:r w:rsidR="00A22B46">
        <w:rPr>
          <w:lang w:eastAsia="en-US"/>
        </w:rPr>
        <w:t xml:space="preserve"> </w:t>
      </w:r>
      <w:r w:rsidR="002C5BB6">
        <w:t>As such, stakeholder</w:t>
      </w:r>
      <w:r w:rsidR="00677F4E">
        <w:t xml:space="preserve"> feedback that wanted a more defined and</w:t>
      </w:r>
      <w:r w:rsidR="00760A73">
        <w:t>/or</w:t>
      </w:r>
      <w:r w:rsidR="00677F4E">
        <w:t xml:space="preserve"> enforced scope of practice for audiologists ma</w:t>
      </w:r>
      <w:r w:rsidR="00316152">
        <w:t xml:space="preserve">y not be able to see this achieved under Option 7, unless </w:t>
      </w:r>
      <w:r w:rsidR="008518C7">
        <w:t>activities that stakeholders voiced concerns about meet the threshold</w:t>
      </w:r>
      <w:r w:rsidR="00155D95">
        <w:t>s outlined for increased regulatory oversight</w:t>
      </w:r>
      <w:r w:rsidR="008518C7">
        <w:t>.</w:t>
      </w:r>
    </w:p>
    <w:p w14:paraId="6C5C4AD4" w14:textId="4D1E075E" w:rsidR="008518C7" w:rsidRPr="00FE7AB3" w:rsidRDefault="0074215B" w:rsidP="00151FC3">
      <w:pPr>
        <w:pStyle w:val="Heading4"/>
        <w:rPr>
          <w:lang w:eastAsia="en-AU"/>
        </w:rPr>
      </w:pPr>
      <w:r>
        <w:rPr>
          <w:lang w:eastAsia="en-AU"/>
        </w:rPr>
        <w:t>Organisational pressures (private sector)</w:t>
      </w:r>
    </w:p>
    <w:p w14:paraId="2BAFA32C" w14:textId="77777777" w:rsidR="008518C7" w:rsidRPr="00FE7AB3" w:rsidRDefault="008518C7" w:rsidP="00E61DD0">
      <w:pPr>
        <w:pStyle w:val="BodyText"/>
        <w:rPr>
          <w:lang w:eastAsia="en-AU"/>
        </w:rPr>
      </w:pPr>
      <w:r>
        <w:rPr>
          <w:lang w:eastAsia="en-AU"/>
        </w:rPr>
        <w:t>The following information is provided in relation to business practice issues described by stakeholders:</w:t>
      </w:r>
    </w:p>
    <w:p w14:paraId="6923B99E" w14:textId="138B1D2B" w:rsidR="008518C7" w:rsidRPr="00FE7AB3" w:rsidRDefault="008518C7" w:rsidP="002D5BC5">
      <w:pPr>
        <w:pStyle w:val="ListBullet"/>
      </w:pPr>
      <w:r>
        <w:t xml:space="preserve">As per </w:t>
      </w:r>
      <w:r w:rsidR="001358EA">
        <w:t>Ahpra</w:t>
      </w:r>
      <w:r w:rsidR="00725B94">
        <w:t>,</w:t>
      </w:r>
      <w:r>
        <w:rPr>
          <w:rStyle w:val="FootnoteReference"/>
          <w:color w:val="000000"/>
          <w:szCs w:val="20"/>
        </w:rPr>
        <w:footnoteReference w:id="227"/>
      </w:r>
      <w:r>
        <w:t xml:space="preserve"> </w:t>
      </w:r>
      <w:r w:rsidR="00725B94">
        <w:t>u</w:t>
      </w:r>
      <w:r>
        <w:t xml:space="preserve">nder the National Law, a person </w:t>
      </w:r>
      <w:r w:rsidRPr="00041981">
        <w:t>must not advertise a regulated health service or a business providing a regulated health service in a way that:</w:t>
      </w:r>
    </w:p>
    <w:p w14:paraId="1A94BEA3" w14:textId="77777777" w:rsidR="008518C7" w:rsidRPr="00041981" w:rsidRDefault="008518C7" w:rsidP="002D5BC5">
      <w:pPr>
        <w:pStyle w:val="BulletList2Column"/>
      </w:pPr>
      <w:r w:rsidRPr="00041981">
        <w:t>is false, misleading or deceptive</w:t>
      </w:r>
    </w:p>
    <w:p w14:paraId="57623DB1" w14:textId="77777777" w:rsidR="008518C7" w:rsidRPr="00041981" w:rsidRDefault="008518C7" w:rsidP="002D5BC5">
      <w:pPr>
        <w:pStyle w:val="BulletList2Column"/>
      </w:pPr>
      <w:r w:rsidRPr="00041981">
        <w:t>uses gifts, discounts or inducements without the terms and conditions of the offer</w:t>
      </w:r>
    </w:p>
    <w:p w14:paraId="6EE59E44" w14:textId="77777777" w:rsidR="008518C7" w:rsidRPr="00041981" w:rsidRDefault="008518C7" w:rsidP="002D5BC5">
      <w:pPr>
        <w:pStyle w:val="BulletList2Column"/>
      </w:pPr>
      <w:r w:rsidRPr="00041981">
        <w:t>uses a testimonial or purported testimonial</w:t>
      </w:r>
    </w:p>
    <w:p w14:paraId="79F59747" w14:textId="77777777" w:rsidR="008518C7" w:rsidRPr="00041981" w:rsidRDefault="008518C7" w:rsidP="002D5BC5">
      <w:pPr>
        <w:pStyle w:val="BulletList2Column"/>
      </w:pPr>
      <w:r w:rsidRPr="00041981">
        <w:t>creates an unreasonable expectation of beneficial treatment, or</w:t>
      </w:r>
    </w:p>
    <w:p w14:paraId="5DB9734E" w14:textId="77777777" w:rsidR="008518C7" w:rsidRPr="00041981" w:rsidRDefault="008518C7" w:rsidP="002D5BC5">
      <w:pPr>
        <w:pStyle w:val="BulletList2Column"/>
      </w:pPr>
      <w:r w:rsidRPr="00041981">
        <w:t>directly or indirectly encourages the indiscriminate or unnecessary use of regulated health services.</w:t>
      </w:r>
    </w:p>
    <w:p w14:paraId="2E89628F" w14:textId="77777777" w:rsidR="008518C7" w:rsidRDefault="008518C7" w:rsidP="002049A0">
      <w:pPr>
        <w:pStyle w:val="ListBullet"/>
        <w:numPr>
          <w:ilvl w:val="0"/>
          <w:numId w:val="0"/>
        </w:numPr>
        <w:ind w:left="360"/>
      </w:pPr>
      <w:r w:rsidRPr="00041981">
        <w:t>National Boards have published advertising guidelines on their website which apply to each regulated health profession.</w:t>
      </w:r>
      <w:r>
        <w:t xml:space="preserve"> </w:t>
      </w:r>
      <w:r w:rsidRPr="00FE7AB3">
        <w:t>It’s important to note that it is not an offence for a person, as part of their business, to print or publish an advertisement for another person.</w:t>
      </w:r>
      <w:r>
        <w:rPr>
          <w:rFonts w:ascii="Open Sans" w:hAnsi="Open Sans" w:cs="Open Sans"/>
          <w:color w:val="222222"/>
          <w:shd w:val="clear" w:color="auto" w:fill="FFFFFF"/>
        </w:rPr>
        <w:t> </w:t>
      </w:r>
    </w:p>
    <w:p w14:paraId="6796DF04" w14:textId="1F36EEEF" w:rsidR="008518C7" w:rsidRDefault="008518C7" w:rsidP="00B21AE2">
      <w:pPr>
        <w:pStyle w:val="ListBullet"/>
      </w:pPr>
      <w:r>
        <w:t xml:space="preserve">As per </w:t>
      </w:r>
      <w:r w:rsidR="001358EA">
        <w:t>Ahpra</w:t>
      </w:r>
      <w:r>
        <w:t xml:space="preserve">’s public submission, </w:t>
      </w:r>
      <w:r w:rsidR="004A79B9">
        <w:t>‘</w:t>
      </w:r>
      <w:r w:rsidRPr="002049A0">
        <w:rPr>
          <w:i/>
          <w:iCs/>
        </w:rPr>
        <w:t xml:space="preserve">Under the National Scheme, notifications can be made about the health, conduct or performance of individual health practitioners; </w:t>
      </w:r>
      <w:r w:rsidRPr="002049A0">
        <w:rPr>
          <w:b/>
          <w:i/>
          <w:iCs/>
        </w:rPr>
        <w:t>we do not have power to investigate or take regulatory action against organisations.</w:t>
      </w:r>
      <w:r w:rsidRPr="002049A0">
        <w:rPr>
          <w:rStyle w:val="FootnoteReference"/>
          <w:i/>
          <w:iCs/>
          <w:color w:val="000000"/>
          <w:szCs w:val="20"/>
        </w:rPr>
        <w:footnoteReference w:id="228"/>
      </w:r>
      <w:r w:rsidRPr="002049A0">
        <w:rPr>
          <w:i/>
          <w:iCs/>
        </w:rPr>
        <w:t>Health Complaint Entities, such as the Health Ombudsman of Queensland (OHO) are able to look at system-wide issues, as occurred with the Queensland OHO’s investigation into the quality of health services at Logan Hospital’s audiology department</w:t>
      </w:r>
      <w:r>
        <w:t>.</w:t>
      </w:r>
      <w:r w:rsidR="004A79B9">
        <w:t>’</w:t>
      </w:r>
      <w:r w:rsidR="00461946">
        <w:t xml:space="preserve"> Hence, stakeholder </w:t>
      </w:r>
      <w:r w:rsidR="00336F2E">
        <w:t xml:space="preserve">preferences for Option 7 that </w:t>
      </w:r>
      <w:r w:rsidR="00316AA4">
        <w:t xml:space="preserve">are </w:t>
      </w:r>
      <w:r w:rsidR="00BC00B6">
        <w:t xml:space="preserve">based on increased regulation and enforcement of business practices may not </w:t>
      </w:r>
      <w:r w:rsidR="002E60AC">
        <w:t>see these objectives achieved.</w:t>
      </w:r>
    </w:p>
    <w:p w14:paraId="21F678D8" w14:textId="651C0A45" w:rsidR="008518C7" w:rsidRPr="00287DFF" w:rsidRDefault="002E60AC" w:rsidP="00B21AE2">
      <w:pPr>
        <w:pStyle w:val="ListBullet"/>
        <w:rPr>
          <w:b/>
        </w:rPr>
      </w:pPr>
      <w:r>
        <w:t>However, it</w:t>
      </w:r>
      <w:r w:rsidR="008518C7" w:rsidRPr="00EF0701">
        <w:t xml:space="preserve"> is observed that </w:t>
      </w:r>
      <w:r w:rsidR="001358EA">
        <w:t>Ahpra</w:t>
      </w:r>
      <w:r w:rsidR="008518C7" w:rsidRPr="00EF0701">
        <w:t xml:space="preserve"> has recently intervene</w:t>
      </w:r>
      <w:r w:rsidR="008518C7" w:rsidRPr="00545138">
        <w:t>d in the cosm</w:t>
      </w:r>
      <w:r w:rsidR="008518C7" w:rsidRPr="00BD1356">
        <w:t xml:space="preserve">etic surgery </w:t>
      </w:r>
      <w:r w:rsidR="008518C7" w:rsidRPr="00EB74A6">
        <w:t xml:space="preserve">industry </w:t>
      </w:r>
      <w:r w:rsidR="008518C7" w:rsidRPr="00967799">
        <w:t>to require</w:t>
      </w:r>
      <w:r w:rsidR="008518C7" w:rsidRPr="00EF0701">
        <w:t xml:space="preserve"> referral</w:t>
      </w:r>
      <w:r w:rsidR="008518C7" w:rsidRPr="00545138">
        <w:t xml:space="preserve"> for cosmetic surgery</w:t>
      </w:r>
      <w:r w:rsidR="008518C7" w:rsidRPr="00BD1356">
        <w:t xml:space="preserve"> from a </w:t>
      </w:r>
      <w:r w:rsidR="008518C7" w:rsidRPr="00EB74A6">
        <w:t>general practitioner or specialist medical practitioner</w:t>
      </w:r>
      <w:r w:rsidR="008518C7" w:rsidRPr="00967799">
        <w:t>, strengthen</w:t>
      </w:r>
      <w:r w:rsidR="008518C7" w:rsidRPr="00EF0701">
        <w:t xml:space="preserve"> a</w:t>
      </w:r>
      <w:r w:rsidR="008518C7" w:rsidRPr="00545138">
        <w:t>dvertising guid</w:t>
      </w:r>
      <w:r w:rsidR="008518C7" w:rsidRPr="00BD1356">
        <w:t xml:space="preserve">elines </w:t>
      </w:r>
      <w:r w:rsidR="008518C7" w:rsidRPr="00EB74A6">
        <w:t>with a focus on online and social media advertising</w:t>
      </w:r>
      <w:r w:rsidR="008518C7" w:rsidRPr="00967799">
        <w:t>, and requir</w:t>
      </w:r>
      <w:r w:rsidR="008518C7">
        <w:t>e</w:t>
      </w:r>
      <w:r w:rsidR="008518C7" w:rsidRPr="00EF0701">
        <w:t xml:space="preserve"> t</w:t>
      </w:r>
      <w:r w:rsidR="008518C7" w:rsidRPr="00545138">
        <w:t>raining providers for cosmetic surgery to app</w:t>
      </w:r>
      <w:r w:rsidR="008518C7" w:rsidRPr="00BD1356">
        <w:t>ly for accre</w:t>
      </w:r>
      <w:r w:rsidR="008518C7" w:rsidRPr="00EB74A6">
        <w:t>ditation of their training program.</w:t>
      </w:r>
    </w:p>
    <w:p w14:paraId="0786A886" w14:textId="77777777" w:rsidR="008518C7" w:rsidRPr="00967799" w:rsidRDefault="008518C7" w:rsidP="00B21AE2">
      <w:pPr>
        <w:pStyle w:val="Heading4"/>
        <w:rPr>
          <w:lang w:eastAsia="en-AU"/>
        </w:rPr>
      </w:pPr>
      <w:r w:rsidRPr="00967799">
        <w:rPr>
          <w:lang w:eastAsia="en-AU"/>
        </w:rPr>
        <w:t>Establishment of a National Board</w:t>
      </w:r>
    </w:p>
    <w:p w14:paraId="53FBDD0B" w14:textId="77777777" w:rsidR="008518C7" w:rsidRPr="00967799" w:rsidRDefault="008518C7" w:rsidP="00B21AE2">
      <w:pPr>
        <w:pStyle w:val="BodyText"/>
        <w:rPr>
          <w:lang w:eastAsia="en-AU"/>
        </w:rPr>
      </w:pPr>
      <w:r>
        <w:rPr>
          <w:lang w:eastAsia="en-AU"/>
        </w:rPr>
        <w:t>The following information is provided in relation to the establishment of the National Board:</w:t>
      </w:r>
    </w:p>
    <w:p w14:paraId="5C5FA979" w14:textId="7FC2F1A0" w:rsidR="008518C7" w:rsidRPr="001750C7" w:rsidRDefault="008518C7" w:rsidP="00F802A1">
      <w:pPr>
        <w:pStyle w:val="ListBullet"/>
      </w:pPr>
      <w:r w:rsidRPr="001750C7">
        <w:t xml:space="preserve">As per </w:t>
      </w:r>
      <w:r w:rsidR="001358EA">
        <w:t>Ahpra</w:t>
      </w:r>
      <w:r w:rsidRPr="001750C7">
        <w:t xml:space="preserve">’s public </w:t>
      </w:r>
      <w:r w:rsidRPr="006A1D83">
        <w:t>submission, there are currently three ways a National Board under the NRAS could be established</w:t>
      </w:r>
      <w:r w:rsidRPr="00FE7AB3">
        <w:t>.</w:t>
      </w:r>
    </w:p>
    <w:p w14:paraId="5CF56F42" w14:textId="73FECF24" w:rsidR="008518C7" w:rsidRDefault="001B26A1" w:rsidP="00F802A1">
      <w:pPr>
        <w:pStyle w:val="NumberedList2Column"/>
        <w:rPr>
          <w:lang w:eastAsia="en-AU"/>
        </w:rPr>
      </w:pPr>
      <w:r>
        <w:rPr>
          <w:b/>
          <w:bCs/>
          <w:lang w:eastAsia="en-AU"/>
        </w:rPr>
        <w:t xml:space="preserve">Single </w:t>
      </w:r>
      <w:r w:rsidR="008518C7" w:rsidRPr="00B50891">
        <w:rPr>
          <w:b/>
          <w:bCs/>
          <w:lang w:eastAsia="en-AU"/>
        </w:rPr>
        <w:t>National Board</w:t>
      </w:r>
      <w:r w:rsidR="008518C7">
        <w:rPr>
          <w:lang w:eastAsia="en-AU"/>
        </w:rPr>
        <w:t>. This is the current model for most professions.</w:t>
      </w:r>
    </w:p>
    <w:p w14:paraId="4EBA1935" w14:textId="299012B5" w:rsidR="008518C7" w:rsidRDefault="008518C7" w:rsidP="00F802A1">
      <w:pPr>
        <w:pStyle w:val="NumberedList2Column"/>
        <w:rPr>
          <w:lang w:eastAsia="en-AU"/>
        </w:rPr>
      </w:pPr>
      <w:r w:rsidRPr="00AF3954">
        <w:rPr>
          <w:b/>
          <w:bCs/>
          <w:lang w:eastAsia="en-AU"/>
        </w:rPr>
        <w:t xml:space="preserve">National Board for </w:t>
      </w:r>
      <w:r w:rsidR="002D69F7">
        <w:rPr>
          <w:b/>
          <w:bCs/>
          <w:lang w:eastAsia="en-AU"/>
        </w:rPr>
        <w:t>T</w:t>
      </w:r>
      <w:r w:rsidRPr="00AF3954">
        <w:rPr>
          <w:b/>
          <w:bCs/>
          <w:lang w:eastAsia="en-AU"/>
        </w:rPr>
        <w:t xml:space="preserve">wo or </w:t>
      </w:r>
      <w:r w:rsidR="002D69F7">
        <w:rPr>
          <w:b/>
          <w:bCs/>
          <w:lang w:eastAsia="en-AU"/>
        </w:rPr>
        <w:t>M</w:t>
      </w:r>
      <w:r w:rsidRPr="00AF3954">
        <w:rPr>
          <w:b/>
          <w:bCs/>
          <w:lang w:eastAsia="en-AU"/>
        </w:rPr>
        <w:t xml:space="preserve">ore </w:t>
      </w:r>
      <w:r w:rsidR="002D69F7">
        <w:rPr>
          <w:b/>
          <w:bCs/>
          <w:lang w:eastAsia="en-AU"/>
        </w:rPr>
        <w:t>P</w:t>
      </w:r>
      <w:r w:rsidRPr="00AF3954">
        <w:rPr>
          <w:b/>
          <w:bCs/>
          <w:lang w:eastAsia="en-AU"/>
        </w:rPr>
        <w:t>rofessions</w:t>
      </w:r>
      <w:r>
        <w:rPr>
          <w:lang w:eastAsia="en-AU"/>
        </w:rPr>
        <w:t>. This would involve two or more new professions being regulated under the scheme with one Board established for these professions. Health Ministers would need to decide the composition of the National Board, with at least one member of each health profession for which the Board is established being appointed.</w:t>
      </w:r>
    </w:p>
    <w:p w14:paraId="5465E51D" w14:textId="77777777" w:rsidR="008518C7" w:rsidRDefault="008518C7" w:rsidP="00F802A1">
      <w:pPr>
        <w:pStyle w:val="NumberedList2Column"/>
        <w:rPr>
          <w:lang w:eastAsia="en-AU"/>
        </w:rPr>
      </w:pPr>
      <w:r w:rsidRPr="00EE044F">
        <w:rPr>
          <w:b/>
          <w:bCs/>
          <w:lang w:eastAsia="en-AU"/>
        </w:rPr>
        <w:t>Multi-profession National Boards</w:t>
      </w:r>
      <w:r>
        <w:rPr>
          <w:lang w:eastAsia="en-AU"/>
        </w:rPr>
        <w:t>. This would involve merging a new profession and existing National Board, to create a multi-profession board for the current and new professions. This approach would require existing National Board/s to be dissolved and a replacement multi-National Board established under the National Law regulation.</w:t>
      </w:r>
    </w:p>
    <w:p w14:paraId="2D9CD4B1" w14:textId="77777777" w:rsidR="002876A1" w:rsidRDefault="002876A1" w:rsidP="00F802A1">
      <w:pPr>
        <w:pStyle w:val="ListBullet"/>
      </w:pPr>
      <w:r>
        <w:t>Appointments to the National Board are required to complete a private interests’ declaration page, and National Law legislation has specific provisions in relation to managing conflicts of interest.</w:t>
      </w:r>
      <w:r>
        <w:rPr>
          <w:rStyle w:val="FootnoteReference"/>
          <w:color w:val="000000"/>
          <w:szCs w:val="20"/>
        </w:rPr>
        <w:footnoteReference w:id="229"/>
      </w:r>
      <w:r>
        <w:t xml:space="preserve">  </w:t>
      </w:r>
    </w:p>
    <w:p w14:paraId="1529CC0C" w14:textId="33E489C5" w:rsidR="002876A1" w:rsidRDefault="007471C3" w:rsidP="00F802A1">
      <w:pPr>
        <w:pStyle w:val="ListBullet"/>
      </w:pPr>
      <w:r>
        <w:t xml:space="preserve">Each National Board is required to </w:t>
      </w:r>
      <w:r w:rsidR="00014046">
        <w:t xml:space="preserve">be </w:t>
      </w:r>
      <w:r>
        <w:t>responsible for meeting the full costs of regulating their profession.</w:t>
      </w:r>
      <w:r w:rsidR="00F96B81">
        <w:t xml:space="preserve"> </w:t>
      </w:r>
      <w:r w:rsidR="00F422C3">
        <w:t xml:space="preserve">Hence, </w:t>
      </w:r>
      <w:r w:rsidR="00B164BB">
        <w:t xml:space="preserve">ongoing financial sustainability of each individual Board is a key priority. For </w:t>
      </w:r>
      <w:r w:rsidR="00616DD0">
        <w:t xml:space="preserve">the establishment of a National Board, additional funding is sought </w:t>
      </w:r>
      <w:r w:rsidR="00465610">
        <w:t xml:space="preserve">by </w:t>
      </w:r>
      <w:r w:rsidR="001358EA">
        <w:t>Ahpra</w:t>
      </w:r>
      <w:r w:rsidR="00465610">
        <w:t xml:space="preserve"> </w:t>
      </w:r>
      <w:r w:rsidR="00616DD0">
        <w:t xml:space="preserve">from government as described in Section </w:t>
      </w:r>
      <w:r w:rsidR="00616DD0">
        <w:fldChar w:fldCharType="begin"/>
      </w:r>
      <w:r w:rsidR="00616DD0">
        <w:instrText xml:space="preserve"> REF _Ref172742369 \r \h </w:instrText>
      </w:r>
      <w:r w:rsidR="00616DD0">
        <w:fldChar w:fldCharType="separate"/>
      </w:r>
      <w:r w:rsidR="00F32107">
        <w:t>8.2.3.13</w:t>
      </w:r>
      <w:r w:rsidR="00616DD0">
        <w:fldChar w:fldCharType="end"/>
      </w:r>
      <w:r w:rsidR="00616DD0">
        <w:t>.</w:t>
      </w:r>
    </w:p>
    <w:p w14:paraId="641361B9" w14:textId="74A5F425" w:rsidR="008518C7" w:rsidRDefault="008518C7" w:rsidP="00F802A1">
      <w:pPr>
        <w:pStyle w:val="BodyText"/>
      </w:pPr>
      <w:r w:rsidRPr="00526A60">
        <w:rPr>
          <w:b/>
          <w:bCs/>
        </w:rPr>
        <w:t>Stakeholder feedback</w:t>
      </w:r>
      <w:r>
        <w:t xml:space="preserve">: </w:t>
      </w:r>
      <w:r w:rsidR="00341D75">
        <w:t>For stakeholders who supported this option, c</w:t>
      </w:r>
      <w:r w:rsidR="00A01C36" w:rsidRPr="00A01C36">
        <w:t xml:space="preserve">ommon reasons expressed included witnessing harms in their day-to-day practice, a need for protection of title and defining the scope of practice of audiologists relative to audiometrists, and the negative influence of business practices on the profession and client care. Stakeholders stated the need for more distinct pathways for reporting and managing incidents. It is noted that these reasons for registration do not neatly align to </w:t>
      </w:r>
      <w:r w:rsidR="001358EA">
        <w:t>Ahpra</w:t>
      </w:r>
      <w:r w:rsidR="00A01C36" w:rsidRPr="00A01C36">
        <w:t>’s powers, particularly in relation to the influence of business practices.</w:t>
      </w:r>
      <w:r w:rsidR="002E3371" w:rsidRPr="002E3371">
        <w:t xml:space="preserve"> </w:t>
      </w:r>
      <w:r w:rsidR="001358EA">
        <w:t>Ahpra</w:t>
      </w:r>
      <w:r w:rsidR="002E3371" w:rsidRPr="002E3371">
        <w:t xml:space="preserve"> does not have decision-making power in relation to which professions are included in the National Scheme</w:t>
      </w:r>
      <w:r w:rsidR="00926FB9">
        <w:t>.</w:t>
      </w:r>
    </w:p>
    <w:p w14:paraId="5698EE64" w14:textId="65D11565" w:rsidR="008518C7" w:rsidRDefault="008518C7" w:rsidP="00F802A1">
      <w:pPr>
        <w:pStyle w:val="BodyText"/>
        <w:rPr>
          <w:lang w:eastAsia="en-AU"/>
        </w:rPr>
      </w:pPr>
      <w:r>
        <w:rPr>
          <w:b/>
          <w:bCs/>
          <w:lang w:eastAsia="en-AU"/>
        </w:rPr>
        <w:t>R</w:t>
      </w:r>
      <w:r w:rsidRPr="002F6F69">
        <w:rPr>
          <w:b/>
          <w:bCs/>
          <w:lang w:eastAsia="en-AU"/>
        </w:rPr>
        <w:t xml:space="preserve">ationale for </w:t>
      </w:r>
      <w:r>
        <w:rPr>
          <w:b/>
          <w:bCs/>
          <w:lang w:eastAsia="en-AU"/>
        </w:rPr>
        <w:t xml:space="preserve">inclusion: </w:t>
      </w:r>
      <w:r>
        <w:rPr>
          <w:lang w:eastAsia="en-AU"/>
        </w:rPr>
        <w:t>There are established mechanisms to add an additional profession to the N</w:t>
      </w:r>
      <w:r w:rsidR="00DA0CC0">
        <w:rPr>
          <w:lang w:eastAsia="en-AU"/>
        </w:rPr>
        <w:t>ational Scheme</w:t>
      </w:r>
      <w:r>
        <w:rPr>
          <w:lang w:eastAsia="en-AU"/>
        </w:rPr>
        <w:t xml:space="preserve">. Regulation under the </w:t>
      </w:r>
      <w:r w:rsidR="00DA0CC0">
        <w:rPr>
          <w:lang w:eastAsia="en-AU"/>
        </w:rPr>
        <w:t>National Scheme</w:t>
      </w:r>
      <w:r>
        <w:rPr>
          <w:lang w:eastAsia="en-AU"/>
        </w:rPr>
        <w:t xml:space="preserve"> is considered appropriate for </w:t>
      </w:r>
      <w:r w:rsidR="006A2E50">
        <w:rPr>
          <w:lang w:eastAsia="en-AU"/>
        </w:rPr>
        <w:t xml:space="preserve">health professions that meet the Intergovernmental Agreement </w:t>
      </w:r>
      <w:r w:rsidR="00523878">
        <w:rPr>
          <w:lang w:eastAsia="en-AU"/>
        </w:rPr>
        <w:t>six cri</w:t>
      </w:r>
      <w:r w:rsidR="00176A10">
        <w:rPr>
          <w:lang w:eastAsia="en-AU"/>
        </w:rPr>
        <w:t xml:space="preserve">teria </w:t>
      </w:r>
      <w:r w:rsidR="00C86AC4">
        <w:rPr>
          <w:lang w:eastAsia="en-AU"/>
        </w:rPr>
        <w:t xml:space="preserve">and </w:t>
      </w:r>
      <w:r w:rsidR="00CA3915">
        <w:rPr>
          <w:lang w:eastAsia="en-AU"/>
        </w:rPr>
        <w:t>are the preferred option of a RIS process</w:t>
      </w:r>
      <w:r>
        <w:rPr>
          <w:lang w:eastAsia="en-AU"/>
        </w:rPr>
        <w:t>.</w:t>
      </w:r>
      <w:r w:rsidR="002F3344">
        <w:rPr>
          <w:lang w:eastAsia="en-AU"/>
        </w:rPr>
        <w:t xml:space="preserve"> </w:t>
      </w:r>
      <w:r>
        <w:rPr>
          <w:lang w:eastAsia="en-AU"/>
        </w:rPr>
        <w:t>Further, this option addresses aspects of the problem statement that include protection of title and nationally consistent complaints mechanisms.</w:t>
      </w:r>
    </w:p>
    <w:p w14:paraId="3D7FEE12" w14:textId="5976302B" w:rsidR="005F02EB" w:rsidRDefault="005F02EB" w:rsidP="0007458C">
      <w:pPr>
        <w:pStyle w:val="Caption"/>
        <w:keepNext/>
      </w:pPr>
      <w:bookmarkStart w:id="170" w:name="_Ref172714672"/>
      <w:r>
        <w:t xml:space="preserve">Table </w:t>
      </w:r>
      <w:fldSimple w:instr=" STYLEREF 1 \s ">
        <w:r w:rsidR="00F32107">
          <w:rPr>
            <w:noProof/>
          </w:rPr>
          <w:t>5</w:t>
        </w:r>
      </w:fldSimple>
      <w:r w:rsidR="008944FB">
        <w:t>.</w:t>
      </w:r>
      <w:fldSimple w:instr=" SEQ Table \* ARABIC \s 1 ">
        <w:r w:rsidR="00F32107">
          <w:rPr>
            <w:noProof/>
          </w:rPr>
          <w:t>6</w:t>
        </w:r>
      </w:fldSimple>
      <w:bookmarkEnd w:id="170"/>
      <w:r>
        <w:t xml:space="preserve"> Qualitative assessment of Option </w:t>
      </w:r>
      <w:r w:rsidR="00B774EE">
        <w:t>7</w:t>
      </w:r>
      <w:r>
        <w:t xml:space="preserve"> against problem statement issues</w:t>
      </w:r>
    </w:p>
    <w:tbl>
      <w:tblPr>
        <w:tblStyle w:val="BodyTable"/>
        <w:tblW w:w="0" w:type="auto"/>
        <w:tblLook w:val="04A0" w:firstRow="1" w:lastRow="0" w:firstColumn="1" w:lastColumn="0" w:noHBand="0" w:noVBand="1"/>
      </w:tblPr>
      <w:tblGrid>
        <w:gridCol w:w="4111"/>
        <w:gridCol w:w="4723"/>
      </w:tblGrid>
      <w:tr w:rsidR="005F02EB" w:rsidRPr="00430020" w14:paraId="02C0437F" w14:textId="77777777" w:rsidTr="0007458C">
        <w:trPr>
          <w:cnfStyle w:val="100000000000" w:firstRow="1" w:lastRow="0" w:firstColumn="0" w:lastColumn="0" w:oddVBand="0" w:evenVBand="0" w:oddHBand="0" w:evenHBand="0" w:firstRowFirstColumn="0" w:firstRowLastColumn="0" w:lastRowFirstColumn="0" w:lastRowLastColumn="0"/>
        </w:trPr>
        <w:tc>
          <w:tcPr>
            <w:tcW w:w="4111" w:type="dxa"/>
          </w:tcPr>
          <w:p w14:paraId="6FDCF676" w14:textId="77777777" w:rsidR="005F02EB" w:rsidRPr="00430020" w:rsidRDefault="005F02EB" w:rsidP="001849D9">
            <w:pPr>
              <w:pStyle w:val="BodyText"/>
              <w:spacing w:before="0" w:after="0"/>
              <w:rPr>
                <w:b/>
                <w:sz w:val="16"/>
                <w:szCs w:val="16"/>
              </w:rPr>
            </w:pPr>
            <w:r w:rsidRPr="00430020">
              <w:rPr>
                <w:b/>
                <w:sz w:val="16"/>
                <w:szCs w:val="16"/>
              </w:rPr>
              <w:t>Objective</w:t>
            </w:r>
          </w:p>
        </w:tc>
        <w:tc>
          <w:tcPr>
            <w:tcW w:w="4723" w:type="dxa"/>
          </w:tcPr>
          <w:p w14:paraId="0AE8097A" w14:textId="77777777" w:rsidR="005F02EB" w:rsidRPr="00430020" w:rsidRDefault="005F02EB" w:rsidP="001849D9">
            <w:pPr>
              <w:pStyle w:val="BodyText"/>
              <w:spacing w:before="0" w:after="0"/>
              <w:rPr>
                <w:b/>
                <w:sz w:val="16"/>
                <w:szCs w:val="16"/>
              </w:rPr>
            </w:pPr>
            <w:r>
              <w:rPr>
                <w:b/>
                <w:sz w:val="16"/>
                <w:szCs w:val="16"/>
              </w:rPr>
              <w:t>Positive</w:t>
            </w:r>
            <w:r w:rsidRPr="00430020">
              <w:rPr>
                <w:b/>
                <w:sz w:val="16"/>
                <w:szCs w:val="16"/>
              </w:rPr>
              <w:t xml:space="preserve"> change </w:t>
            </w:r>
            <w:r>
              <w:rPr>
                <w:b/>
                <w:sz w:val="16"/>
                <w:szCs w:val="16"/>
              </w:rPr>
              <w:t>relative</w:t>
            </w:r>
            <w:r w:rsidRPr="00430020">
              <w:rPr>
                <w:b/>
                <w:sz w:val="16"/>
                <w:szCs w:val="16"/>
              </w:rPr>
              <w:t xml:space="preserve"> to Status Quo</w:t>
            </w:r>
          </w:p>
        </w:tc>
      </w:tr>
      <w:tr w:rsidR="005F02EB" w:rsidRPr="00430020" w14:paraId="056D3DE4" w14:textId="77777777" w:rsidTr="0007458C">
        <w:tc>
          <w:tcPr>
            <w:tcW w:w="4111" w:type="dxa"/>
          </w:tcPr>
          <w:p w14:paraId="24EA1F21" w14:textId="77777777" w:rsidR="005F02EB" w:rsidRPr="00DC633F" w:rsidRDefault="005F02EB" w:rsidP="001849D9">
            <w:pPr>
              <w:pStyle w:val="BodyText"/>
              <w:spacing w:before="0" w:after="0"/>
              <w:rPr>
                <w:b/>
                <w:sz w:val="16"/>
                <w:szCs w:val="16"/>
              </w:rPr>
            </w:pPr>
            <w:r w:rsidRPr="00DC633F">
              <w:rPr>
                <w:sz w:val="16"/>
                <w:szCs w:val="16"/>
              </w:rPr>
              <w:t>Problem Statement 1 – Information Asymmetry (Scope of Practice)</w:t>
            </w:r>
          </w:p>
        </w:tc>
        <w:tc>
          <w:tcPr>
            <w:tcW w:w="4723" w:type="dxa"/>
          </w:tcPr>
          <w:p w14:paraId="44B8ED1D" w14:textId="16C6CF04" w:rsidR="005F02EB" w:rsidRPr="00A27A9C" w:rsidRDefault="005F02EB" w:rsidP="001849D9">
            <w:pPr>
              <w:pStyle w:val="BodyText"/>
              <w:spacing w:before="0" w:after="0"/>
              <w:rPr>
                <w:bCs/>
                <w:sz w:val="16"/>
                <w:szCs w:val="16"/>
              </w:rPr>
            </w:pPr>
            <w:r>
              <w:rPr>
                <w:bCs/>
                <w:noProof/>
                <w:sz w:val="16"/>
                <w:szCs w:val="16"/>
                <w:lang w:eastAsia="en-AU"/>
                <w14:numSpacing w14:val="default"/>
              </w:rPr>
              <w:drawing>
                <wp:inline distT="0" distB="0" distL="0" distR="0" wp14:anchorId="6E8D761F" wp14:editId="096D05AB">
                  <wp:extent cx="252000" cy="252000"/>
                  <wp:effectExtent l="0" t="0" r="0" b="0"/>
                  <wp:docPr id="79" name="Graphic 79"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Harvey Balls 50% with solid fill"/>
                          <pic:cNvPicPr/>
                        </pic:nvPicPr>
                        <pic:blipFill>
                          <a:blip r:embed="rId3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52000" cy="252000"/>
                          </a:xfrm>
                          <a:prstGeom prst="rect">
                            <a:avLst/>
                          </a:prstGeom>
                        </pic:spPr>
                      </pic:pic>
                    </a:graphicData>
                  </a:graphic>
                </wp:inline>
              </w:drawing>
            </w:r>
          </w:p>
        </w:tc>
      </w:tr>
      <w:tr w:rsidR="005F02EB" w:rsidRPr="00430020" w14:paraId="22AA4FFB" w14:textId="77777777" w:rsidTr="0007458C">
        <w:tc>
          <w:tcPr>
            <w:tcW w:w="4111" w:type="dxa"/>
          </w:tcPr>
          <w:p w14:paraId="4AEC0AD3" w14:textId="77777777" w:rsidR="005F02EB" w:rsidRPr="00DC633F" w:rsidRDefault="005F02EB" w:rsidP="001849D9">
            <w:pPr>
              <w:pStyle w:val="BodyText"/>
              <w:spacing w:before="0" w:after="0"/>
              <w:rPr>
                <w:b/>
                <w:sz w:val="16"/>
                <w:szCs w:val="16"/>
              </w:rPr>
            </w:pPr>
            <w:r w:rsidRPr="00DC633F">
              <w:rPr>
                <w:sz w:val="16"/>
                <w:szCs w:val="16"/>
              </w:rPr>
              <w:t>Problem Statement 1 – Information Asymmetry (Protection of Title)</w:t>
            </w:r>
          </w:p>
        </w:tc>
        <w:tc>
          <w:tcPr>
            <w:tcW w:w="4723" w:type="dxa"/>
          </w:tcPr>
          <w:p w14:paraId="5C6826EE" w14:textId="427ABB68" w:rsidR="005F02EB" w:rsidRPr="00430020" w:rsidRDefault="00577D16" w:rsidP="001849D9">
            <w:pPr>
              <w:pStyle w:val="BodyText"/>
              <w:spacing w:before="0" w:after="0"/>
              <w:rPr>
                <w:b/>
                <w:sz w:val="16"/>
                <w:szCs w:val="16"/>
              </w:rPr>
            </w:pPr>
            <w:r>
              <w:rPr>
                <w:bCs/>
                <w:noProof/>
                <w:sz w:val="16"/>
                <w:szCs w:val="16"/>
                <w:lang w:eastAsia="en-AU"/>
                <w14:numSpacing w14:val="default"/>
              </w:rPr>
              <w:drawing>
                <wp:inline distT="0" distB="0" distL="0" distR="0" wp14:anchorId="67BAF24E" wp14:editId="0A318803">
                  <wp:extent cx="252000" cy="252000"/>
                  <wp:effectExtent l="0" t="0" r="0" b="0"/>
                  <wp:docPr id="80" name="Graphic 80" descr="Harvey Balls 8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arvey Balls 85% with solid fill"/>
                          <pic:cNvPicPr/>
                        </pic:nvPicPr>
                        <pic:blipFill>
                          <a:blip r:embed="rId3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252000" cy="252000"/>
                          </a:xfrm>
                          <a:prstGeom prst="rect">
                            <a:avLst/>
                          </a:prstGeom>
                        </pic:spPr>
                      </pic:pic>
                    </a:graphicData>
                  </a:graphic>
                </wp:inline>
              </w:drawing>
            </w:r>
            <w:r w:rsidR="005F02EB">
              <w:rPr>
                <w:bCs/>
                <w:sz w:val="16"/>
                <w:szCs w:val="16"/>
              </w:rPr>
              <w:t>*</w:t>
            </w:r>
            <w:r>
              <w:rPr>
                <w:bCs/>
                <w:sz w:val="16"/>
                <w:szCs w:val="16"/>
              </w:rPr>
              <w:t xml:space="preserve">Dependent </w:t>
            </w:r>
            <w:r w:rsidR="00EA05E0">
              <w:rPr>
                <w:bCs/>
                <w:sz w:val="16"/>
                <w:szCs w:val="16"/>
              </w:rPr>
              <w:t>on several decisions</w:t>
            </w:r>
          </w:p>
        </w:tc>
      </w:tr>
      <w:tr w:rsidR="005F02EB" w:rsidRPr="00430020" w14:paraId="1F0648F8" w14:textId="77777777" w:rsidTr="0007458C">
        <w:tc>
          <w:tcPr>
            <w:tcW w:w="4111" w:type="dxa"/>
          </w:tcPr>
          <w:p w14:paraId="7ACB09A6" w14:textId="77777777" w:rsidR="005F02EB" w:rsidRPr="00DC633F" w:rsidRDefault="005F02EB" w:rsidP="001849D9">
            <w:pPr>
              <w:pStyle w:val="BodyText"/>
              <w:spacing w:before="0" w:after="0"/>
              <w:rPr>
                <w:b/>
                <w:sz w:val="16"/>
                <w:szCs w:val="16"/>
              </w:rPr>
            </w:pPr>
            <w:r w:rsidRPr="00DC633F">
              <w:rPr>
                <w:sz w:val="16"/>
                <w:szCs w:val="16"/>
              </w:rPr>
              <w:t>Problem Statement 2 – Insufficient production of profession-level goods</w:t>
            </w:r>
          </w:p>
        </w:tc>
        <w:tc>
          <w:tcPr>
            <w:tcW w:w="4723" w:type="dxa"/>
          </w:tcPr>
          <w:p w14:paraId="5A3E31B8" w14:textId="77777777" w:rsidR="005F02EB" w:rsidRPr="00C752B9" w:rsidRDefault="005F02EB" w:rsidP="001849D9">
            <w:pPr>
              <w:pStyle w:val="BodyText"/>
              <w:spacing w:before="0" w:after="0"/>
              <w:rPr>
                <w:bCs/>
                <w:sz w:val="16"/>
                <w:szCs w:val="16"/>
              </w:rPr>
            </w:pPr>
            <w:r>
              <w:rPr>
                <w:b/>
                <w:noProof/>
                <w:sz w:val="16"/>
                <w:szCs w:val="16"/>
                <w:lang w:eastAsia="en-AU"/>
                <w14:numSpacing w14:val="default"/>
              </w:rPr>
              <w:drawing>
                <wp:inline distT="0" distB="0" distL="0" distR="0" wp14:anchorId="407DE17D" wp14:editId="1B850775">
                  <wp:extent cx="252000" cy="252000"/>
                  <wp:effectExtent l="0" t="0" r="0" b="0"/>
                  <wp:docPr id="75" name="Graphic 75"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inline>
              </w:drawing>
            </w:r>
            <w:r>
              <w:rPr>
                <w:bCs/>
                <w:sz w:val="16"/>
                <w:szCs w:val="16"/>
              </w:rPr>
              <w:t>*Accreditation standards</w:t>
            </w:r>
          </w:p>
        </w:tc>
      </w:tr>
      <w:tr w:rsidR="005F02EB" w:rsidRPr="00430020" w14:paraId="2E69FD62" w14:textId="77777777" w:rsidTr="0007458C">
        <w:tc>
          <w:tcPr>
            <w:tcW w:w="4111" w:type="dxa"/>
          </w:tcPr>
          <w:p w14:paraId="4F2A25DD" w14:textId="77777777" w:rsidR="005F02EB" w:rsidRPr="00DC633F" w:rsidRDefault="005F02EB" w:rsidP="001849D9">
            <w:pPr>
              <w:pStyle w:val="BodyText"/>
              <w:spacing w:before="0" w:after="0"/>
              <w:rPr>
                <w:b/>
                <w:sz w:val="16"/>
                <w:szCs w:val="16"/>
              </w:rPr>
            </w:pPr>
            <w:r w:rsidRPr="00DC633F">
              <w:rPr>
                <w:sz w:val="16"/>
                <w:szCs w:val="16"/>
              </w:rPr>
              <w:t>Problem Statement 3 – Organisational pressures (public sector)</w:t>
            </w:r>
          </w:p>
        </w:tc>
        <w:tc>
          <w:tcPr>
            <w:tcW w:w="4723" w:type="dxa"/>
          </w:tcPr>
          <w:p w14:paraId="1EFB6BF9" w14:textId="1793CE5D" w:rsidR="005F02EB" w:rsidRPr="00430020" w:rsidRDefault="00E113AB" w:rsidP="001849D9">
            <w:pPr>
              <w:pStyle w:val="BodyText"/>
              <w:spacing w:before="0" w:after="0"/>
              <w:rPr>
                <w:b/>
                <w:sz w:val="16"/>
                <w:szCs w:val="16"/>
              </w:rPr>
            </w:pPr>
            <w:r>
              <w:rPr>
                <w:b/>
                <w:noProof/>
                <w:sz w:val="16"/>
                <w:szCs w:val="16"/>
                <w:lang w:eastAsia="en-AU"/>
                <w14:numSpacing w14:val="default"/>
              </w:rPr>
              <w:drawing>
                <wp:inline distT="0" distB="0" distL="0" distR="0" wp14:anchorId="1C609703" wp14:editId="4FCB3ACF">
                  <wp:extent cx="252000" cy="252000"/>
                  <wp:effectExtent l="0" t="0" r="0" b="0"/>
                  <wp:docPr id="84" name="Graphic 84"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inline>
              </w:drawing>
            </w:r>
            <w:r w:rsidR="005F02EB">
              <w:rPr>
                <w:b/>
                <w:sz w:val="16"/>
                <w:szCs w:val="16"/>
              </w:rPr>
              <w:t xml:space="preserve"> </w:t>
            </w:r>
            <w:r w:rsidR="00271234" w:rsidRPr="00E113AB">
              <w:rPr>
                <w:bCs/>
                <w:sz w:val="16"/>
                <w:szCs w:val="16"/>
              </w:rPr>
              <w:t xml:space="preserve">*May change risk profile </w:t>
            </w:r>
            <w:r w:rsidRPr="00E113AB">
              <w:rPr>
                <w:bCs/>
                <w:sz w:val="16"/>
                <w:szCs w:val="16"/>
              </w:rPr>
              <w:t>of profession to organisation, prompting change in organisational approach.</w:t>
            </w:r>
          </w:p>
        </w:tc>
      </w:tr>
      <w:tr w:rsidR="005F02EB" w:rsidRPr="00430020" w14:paraId="42C0F9D8" w14:textId="77777777" w:rsidTr="0007458C">
        <w:tc>
          <w:tcPr>
            <w:tcW w:w="4111" w:type="dxa"/>
          </w:tcPr>
          <w:p w14:paraId="332A6ED8" w14:textId="77777777" w:rsidR="005F02EB" w:rsidRPr="00DC633F" w:rsidRDefault="005F02EB" w:rsidP="001849D9">
            <w:pPr>
              <w:pStyle w:val="BodyText"/>
              <w:spacing w:before="0" w:after="0"/>
              <w:rPr>
                <w:b/>
                <w:bCs/>
                <w:sz w:val="16"/>
                <w:szCs w:val="16"/>
              </w:rPr>
            </w:pPr>
            <w:r w:rsidRPr="00DC633F">
              <w:rPr>
                <w:sz w:val="16"/>
                <w:szCs w:val="16"/>
              </w:rPr>
              <w:t>Problem Statement 3 – Organisational pressures (private sector)</w:t>
            </w:r>
          </w:p>
        </w:tc>
        <w:tc>
          <w:tcPr>
            <w:tcW w:w="4723" w:type="dxa"/>
          </w:tcPr>
          <w:p w14:paraId="7DEB30ED" w14:textId="432CACB6" w:rsidR="005F02EB" w:rsidRPr="00132FB4" w:rsidRDefault="00F86872" w:rsidP="001849D9">
            <w:pPr>
              <w:pStyle w:val="BodyText"/>
              <w:spacing w:before="0" w:after="0"/>
              <w:rPr>
                <w:b/>
                <w:noProof/>
                <w:sz w:val="16"/>
                <w:szCs w:val="16"/>
                <w14:numSpacing w14:val="default"/>
              </w:rPr>
            </w:pPr>
            <w:r>
              <w:rPr>
                <w:b/>
                <w:noProof/>
                <w:sz w:val="16"/>
                <w:szCs w:val="16"/>
                <w:lang w:eastAsia="en-AU"/>
                <w14:numSpacing w14:val="default"/>
              </w:rPr>
              <w:drawing>
                <wp:inline distT="0" distB="0" distL="0" distR="0" wp14:anchorId="2852E714" wp14:editId="291878D5">
                  <wp:extent cx="252000" cy="252000"/>
                  <wp:effectExtent l="0" t="0" r="0" b="0"/>
                  <wp:docPr id="83" name="Graphic 83"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inline>
              </w:drawing>
            </w:r>
            <w:r w:rsidR="00E113AB" w:rsidRPr="00E113AB">
              <w:rPr>
                <w:bCs/>
                <w:sz w:val="16"/>
                <w:szCs w:val="16"/>
              </w:rPr>
              <w:t>*May change risk profile of profession to organisation, prompting change in organisational approach.</w:t>
            </w:r>
          </w:p>
        </w:tc>
      </w:tr>
      <w:tr w:rsidR="005F02EB" w:rsidRPr="00430020" w14:paraId="3C9AC200" w14:textId="77777777" w:rsidTr="0007458C">
        <w:tc>
          <w:tcPr>
            <w:tcW w:w="4111" w:type="dxa"/>
          </w:tcPr>
          <w:p w14:paraId="003DB627" w14:textId="77777777" w:rsidR="005F02EB" w:rsidRPr="00DC633F" w:rsidRDefault="005F02EB" w:rsidP="001849D9">
            <w:pPr>
              <w:pStyle w:val="BodyText"/>
              <w:spacing w:before="0" w:after="0"/>
              <w:rPr>
                <w:b/>
                <w:bCs/>
                <w:sz w:val="16"/>
                <w:szCs w:val="16"/>
              </w:rPr>
            </w:pPr>
            <w:r w:rsidRPr="00DC633F">
              <w:rPr>
                <w:sz w:val="16"/>
                <w:szCs w:val="16"/>
              </w:rPr>
              <w:t xml:space="preserve">Problem Statement 4 </w:t>
            </w:r>
          </w:p>
        </w:tc>
        <w:tc>
          <w:tcPr>
            <w:tcW w:w="4723" w:type="dxa"/>
          </w:tcPr>
          <w:p w14:paraId="5A81B21C" w14:textId="3CA5924D" w:rsidR="005F02EB" w:rsidRPr="00132FB4" w:rsidRDefault="00856DEC" w:rsidP="001849D9">
            <w:pPr>
              <w:pStyle w:val="BodyText"/>
              <w:spacing w:before="0" w:after="0"/>
              <w:rPr>
                <w:b/>
                <w:noProof/>
                <w:sz w:val="16"/>
                <w:szCs w:val="16"/>
                <w14:numSpacing w14:val="default"/>
              </w:rPr>
            </w:pPr>
            <w:r>
              <w:rPr>
                <w:bCs/>
                <w:noProof/>
                <w:sz w:val="16"/>
                <w:szCs w:val="16"/>
                <w:lang w:eastAsia="en-AU"/>
                <w14:numSpacing w14:val="default"/>
              </w:rPr>
              <w:drawing>
                <wp:inline distT="0" distB="0" distL="0" distR="0" wp14:anchorId="1208FBC4" wp14:editId="2770D03C">
                  <wp:extent cx="252000" cy="252000"/>
                  <wp:effectExtent l="0" t="0" r="0" b="0"/>
                  <wp:docPr id="82" name="Graphic 82" descr="Harvey Balls 6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Harvey Balls 65% with solid fill"/>
                          <pic:cNvPicPr/>
                        </pic:nvPicPr>
                        <pic:blipFill>
                          <a:blip r:embed="rId3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252000" cy="252000"/>
                          </a:xfrm>
                          <a:prstGeom prst="rect">
                            <a:avLst/>
                          </a:prstGeom>
                        </pic:spPr>
                      </pic:pic>
                    </a:graphicData>
                  </a:graphic>
                </wp:inline>
              </w:drawing>
            </w:r>
            <w:r w:rsidR="005F02EB">
              <w:rPr>
                <w:bCs/>
                <w:noProof/>
                <w:sz w:val="16"/>
                <w:szCs w:val="16"/>
                <w14:numSpacing w14:val="default"/>
              </w:rPr>
              <w:t>*Independent complaints mechanism</w:t>
            </w:r>
            <w:r w:rsidR="00F86872">
              <w:rPr>
                <w:bCs/>
                <w:noProof/>
                <w:sz w:val="16"/>
                <w:szCs w:val="16"/>
                <w14:numSpacing w14:val="default"/>
              </w:rPr>
              <w:t>, however is dependent on patients and/or clinicans making notifications.</w:t>
            </w:r>
          </w:p>
        </w:tc>
      </w:tr>
      <w:tr w:rsidR="005F02EB" w:rsidRPr="00430020" w14:paraId="505FAD1C" w14:textId="77777777" w:rsidTr="0007458C">
        <w:tc>
          <w:tcPr>
            <w:tcW w:w="4111" w:type="dxa"/>
          </w:tcPr>
          <w:p w14:paraId="18115C75" w14:textId="77777777" w:rsidR="005F02EB" w:rsidRPr="00DC633F" w:rsidRDefault="005F02EB" w:rsidP="001849D9">
            <w:pPr>
              <w:pStyle w:val="BodyText"/>
              <w:spacing w:before="0" w:after="0"/>
              <w:rPr>
                <w:sz w:val="16"/>
                <w:szCs w:val="16"/>
              </w:rPr>
            </w:pPr>
            <w:r>
              <w:rPr>
                <w:sz w:val="16"/>
                <w:szCs w:val="16"/>
              </w:rPr>
              <w:t>Additional Notes</w:t>
            </w:r>
          </w:p>
        </w:tc>
        <w:tc>
          <w:tcPr>
            <w:tcW w:w="4723" w:type="dxa"/>
          </w:tcPr>
          <w:p w14:paraId="6D14C1E7" w14:textId="1B741D53" w:rsidR="005F02EB" w:rsidRDefault="00DD3EFA" w:rsidP="001849D9">
            <w:pPr>
              <w:pStyle w:val="BodyText"/>
              <w:spacing w:before="0" w:after="0"/>
              <w:rPr>
                <w:bCs/>
                <w:noProof/>
                <w:sz w:val="16"/>
                <w:szCs w:val="16"/>
                <w14:numSpacing w14:val="default"/>
              </w:rPr>
            </w:pPr>
            <w:r>
              <w:rPr>
                <w:bCs/>
                <w:noProof/>
                <w:sz w:val="16"/>
                <w:szCs w:val="16"/>
                <w14:numSpacing w14:val="default"/>
              </w:rPr>
              <w:t xml:space="preserve">Strongest level of regulatory intervention creates additional costs for stakeholders and the potential for unintended consequences. Please refer to Chapter </w:t>
            </w:r>
            <w:r w:rsidR="00C56A6E">
              <w:rPr>
                <w:bCs/>
                <w:noProof/>
                <w:sz w:val="16"/>
                <w:szCs w:val="16"/>
                <w14:numSpacing w14:val="default"/>
              </w:rPr>
              <w:t>8</w:t>
            </w:r>
            <w:r w:rsidR="00DF3026">
              <w:rPr>
                <w:bCs/>
                <w:noProof/>
                <w:sz w:val="16"/>
                <w:szCs w:val="16"/>
                <w14:numSpacing w14:val="default"/>
              </w:rPr>
              <w:t>.</w:t>
            </w:r>
          </w:p>
        </w:tc>
      </w:tr>
    </w:tbl>
    <w:p w14:paraId="62548BBC" w14:textId="187CF98B" w:rsidR="002138ED" w:rsidRDefault="002138ED">
      <w:pPr>
        <w:pStyle w:val="ListBullet"/>
        <w:numPr>
          <w:ilvl w:val="0"/>
          <w:numId w:val="0"/>
        </w:numPr>
      </w:pPr>
    </w:p>
    <w:p w14:paraId="005F5632" w14:textId="77777777" w:rsidR="00AF3644" w:rsidRPr="003D37E6" w:rsidRDefault="00AF3644" w:rsidP="00AF3644">
      <w:pPr>
        <w:pStyle w:val="Heading2"/>
      </w:pPr>
      <w:bookmarkStart w:id="171" w:name="_Toc198138611"/>
      <w:r>
        <w:t>Summary</w:t>
      </w:r>
      <w:bookmarkEnd w:id="171"/>
    </w:p>
    <w:p w14:paraId="67EEDCF6" w14:textId="2CBD0709" w:rsidR="00200DFF" w:rsidRDefault="00C67657" w:rsidP="00200DFF">
      <w:pPr>
        <w:pStyle w:val="BodyText"/>
      </w:pPr>
      <w:r>
        <w:t>A</w:t>
      </w:r>
      <w:r w:rsidR="00E22350">
        <w:t xml:space="preserve"> summary of the qualitative assessments across all options</w:t>
      </w:r>
      <w:r>
        <w:t xml:space="preserve"> is shown in the table</w:t>
      </w:r>
      <w:r w:rsidR="00E22350">
        <w:t xml:space="preserve"> below. </w:t>
      </w:r>
    </w:p>
    <w:p w14:paraId="0C6DF6E5" w14:textId="77777777" w:rsidR="00926FB9" w:rsidRDefault="00926FB9" w:rsidP="00E22350">
      <w:pPr>
        <w:pStyle w:val="BodyText"/>
      </w:pPr>
    </w:p>
    <w:p w14:paraId="35AD2218" w14:textId="77777777" w:rsidR="00200DFF" w:rsidRDefault="00200DFF" w:rsidP="00E22350">
      <w:pPr>
        <w:pStyle w:val="BodyText"/>
      </w:pPr>
    </w:p>
    <w:p w14:paraId="37DD5B32" w14:textId="77777777" w:rsidR="00200DFF" w:rsidRDefault="00200DFF" w:rsidP="00E22350">
      <w:pPr>
        <w:pStyle w:val="BodyText"/>
        <w:sectPr w:rsidR="00200DFF" w:rsidSect="007F4E7D">
          <w:pgSz w:w="11906" w:h="16838" w:code="9"/>
          <w:pgMar w:top="1531" w:right="1531" w:bottom="1531" w:left="1531" w:header="709" w:footer="709" w:gutter="0"/>
          <w:cols w:space="708"/>
          <w:docGrid w:linePitch="360"/>
        </w:sectPr>
      </w:pPr>
    </w:p>
    <w:p w14:paraId="1967ED4D" w14:textId="11E05CE5" w:rsidR="003D2280" w:rsidRDefault="003D2280" w:rsidP="0038779B">
      <w:pPr>
        <w:pStyle w:val="Caption"/>
        <w:keepNext/>
        <w:spacing w:after="0"/>
      </w:pPr>
      <w:r>
        <w:t xml:space="preserve">Table </w:t>
      </w:r>
      <w:fldSimple w:instr=" STYLEREF 1 \s ">
        <w:r w:rsidR="00F32107">
          <w:rPr>
            <w:noProof/>
          </w:rPr>
          <w:t>5</w:t>
        </w:r>
      </w:fldSimple>
      <w:r w:rsidR="008944FB">
        <w:t>.</w:t>
      </w:r>
      <w:fldSimple w:instr=" SEQ Table \* ARABIC \s 1 ">
        <w:r w:rsidR="00F32107">
          <w:rPr>
            <w:noProof/>
          </w:rPr>
          <w:t>7</w:t>
        </w:r>
      </w:fldSimple>
      <w:r>
        <w:t xml:space="preserve"> Qualitative analysis of options</w:t>
      </w:r>
    </w:p>
    <w:tbl>
      <w:tblPr>
        <w:tblStyle w:val="BodyTable"/>
        <w:tblW w:w="0" w:type="auto"/>
        <w:tblLook w:val="04A0" w:firstRow="1" w:lastRow="0" w:firstColumn="1" w:lastColumn="0" w:noHBand="0" w:noVBand="1"/>
      </w:tblPr>
      <w:tblGrid>
        <w:gridCol w:w="1418"/>
        <w:gridCol w:w="850"/>
        <w:gridCol w:w="1843"/>
        <w:gridCol w:w="2268"/>
        <w:gridCol w:w="2126"/>
        <w:gridCol w:w="1985"/>
        <w:gridCol w:w="2551"/>
      </w:tblGrid>
      <w:tr w:rsidR="009C14E0" w:rsidRPr="00F441ED" w14:paraId="06DB0492" w14:textId="77777777" w:rsidTr="00F51348">
        <w:trPr>
          <w:cnfStyle w:val="100000000000" w:firstRow="1" w:lastRow="0" w:firstColumn="0" w:lastColumn="0" w:oddVBand="0" w:evenVBand="0" w:oddHBand="0" w:evenHBand="0" w:firstRowFirstColumn="0" w:firstRowLastColumn="0" w:lastRowFirstColumn="0" w:lastRowLastColumn="0"/>
        </w:trPr>
        <w:tc>
          <w:tcPr>
            <w:tcW w:w="1418" w:type="dxa"/>
          </w:tcPr>
          <w:p w14:paraId="10C694F8" w14:textId="77777777" w:rsidR="008E6E57" w:rsidRPr="0007458C" w:rsidRDefault="008E6E57">
            <w:pPr>
              <w:pStyle w:val="BodyText"/>
              <w:spacing w:before="0" w:after="0"/>
              <w:rPr>
                <w:b/>
                <w:sz w:val="13"/>
                <w:szCs w:val="13"/>
              </w:rPr>
            </w:pPr>
            <w:r w:rsidRPr="0007458C">
              <w:rPr>
                <w:b/>
                <w:sz w:val="13"/>
                <w:szCs w:val="13"/>
              </w:rPr>
              <w:t>Objective</w:t>
            </w:r>
          </w:p>
        </w:tc>
        <w:tc>
          <w:tcPr>
            <w:tcW w:w="850" w:type="dxa"/>
          </w:tcPr>
          <w:p w14:paraId="35B29CB3" w14:textId="795EB1F9" w:rsidR="008E6E57" w:rsidRPr="0007458C" w:rsidRDefault="008E6E57" w:rsidP="0055322E">
            <w:pPr>
              <w:pStyle w:val="BodyText"/>
              <w:spacing w:before="0" w:after="0"/>
              <w:rPr>
                <w:b/>
                <w:sz w:val="13"/>
                <w:szCs w:val="13"/>
              </w:rPr>
            </w:pPr>
            <w:r w:rsidRPr="0007458C">
              <w:rPr>
                <w:b/>
                <w:sz w:val="13"/>
                <w:szCs w:val="13"/>
              </w:rPr>
              <w:t>Option 2</w:t>
            </w:r>
          </w:p>
        </w:tc>
        <w:tc>
          <w:tcPr>
            <w:tcW w:w="1843" w:type="dxa"/>
          </w:tcPr>
          <w:p w14:paraId="1867D3CD" w14:textId="6303A560" w:rsidR="00135188" w:rsidRPr="0007458C" w:rsidRDefault="000E79BE" w:rsidP="00E95175">
            <w:pPr>
              <w:pStyle w:val="BodyText"/>
              <w:spacing w:before="0" w:after="0"/>
              <w:rPr>
                <w:b/>
                <w:sz w:val="13"/>
                <w:szCs w:val="13"/>
              </w:rPr>
            </w:pPr>
            <w:r w:rsidRPr="0007458C">
              <w:rPr>
                <w:b/>
                <w:sz w:val="13"/>
                <w:szCs w:val="13"/>
              </w:rPr>
              <w:t>Modified Option 3</w:t>
            </w:r>
            <w:r w:rsidR="00135188" w:rsidRPr="0007458C">
              <w:rPr>
                <w:b/>
                <w:sz w:val="13"/>
                <w:szCs w:val="13"/>
              </w:rPr>
              <w:t>*</w:t>
            </w:r>
          </w:p>
        </w:tc>
        <w:tc>
          <w:tcPr>
            <w:tcW w:w="2268" w:type="dxa"/>
          </w:tcPr>
          <w:p w14:paraId="0D6D8E40" w14:textId="68D66DE1" w:rsidR="008E6E57" w:rsidRPr="0007458C" w:rsidRDefault="009709E6" w:rsidP="0055322E">
            <w:pPr>
              <w:pStyle w:val="BodyText"/>
              <w:spacing w:before="0" w:after="0"/>
              <w:rPr>
                <w:b/>
                <w:sz w:val="13"/>
                <w:szCs w:val="13"/>
              </w:rPr>
            </w:pPr>
            <w:r w:rsidRPr="0007458C">
              <w:rPr>
                <w:b/>
                <w:sz w:val="13"/>
                <w:szCs w:val="13"/>
              </w:rPr>
              <w:t>Option 4</w:t>
            </w:r>
          </w:p>
        </w:tc>
        <w:tc>
          <w:tcPr>
            <w:tcW w:w="2126" w:type="dxa"/>
          </w:tcPr>
          <w:p w14:paraId="25EB4826" w14:textId="567F12B6" w:rsidR="008E6E57" w:rsidRPr="0007458C" w:rsidRDefault="00B337B7" w:rsidP="0007458C">
            <w:pPr>
              <w:pStyle w:val="BodyText"/>
              <w:spacing w:before="0" w:after="0"/>
              <w:ind w:left="0"/>
              <w:rPr>
                <w:b/>
                <w:sz w:val="13"/>
                <w:szCs w:val="13"/>
              </w:rPr>
            </w:pPr>
            <w:r w:rsidRPr="0007458C">
              <w:rPr>
                <w:b/>
                <w:sz w:val="13"/>
                <w:szCs w:val="13"/>
              </w:rPr>
              <w:t>Option 5</w:t>
            </w:r>
          </w:p>
        </w:tc>
        <w:tc>
          <w:tcPr>
            <w:tcW w:w="1985" w:type="dxa"/>
          </w:tcPr>
          <w:p w14:paraId="5E1EB9D9" w14:textId="29ACE916" w:rsidR="008E6E57" w:rsidRPr="0007458C" w:rsidRDefault="00D8193B" w:rsidP="0055322E">
            <w:pPr>
              <w:pStyle w:val="BodyText"/>
              <w:spacing w:before="0" w:after="0"/>
              <w:rPr>
                <w:b/>
                <w:sz w:val="13"/>
                <w:szCs w:val="13"/>
              </w:rPr>
            </w:pPr>
            <w:r w:rsidRPr="0007458C">
              <w:rPr>
                <w:b/>
                <w:sz w:val="13"/>
                <w:szCs w:val="13"/>
              </w:rPr>
              <w:t>Option 6</w:t>
            </w:r>
          </w:p>
        </w:tc>
        <w:tc>
          <w:tcPr>
            <w:tcW w:w="2551" w:type="dxa"/>
          </w:tcPr>
          <w:p w14:paraId="2D4DB7AD" w14:textId="6D4F4ADA" w:rsidR="008E6E57" w:rsidRPr="0007458C" w:rsidRDefault="00B337B7" w:rsidP="0055322E">
            <w:pPr>
              <w:pStyle w:val="BodyText"/>
              <w:spacing w:before="0" w:after="0"/>
              <w:rPr>
                <w:b/>
                <w:sz w:val="13"/>
                <w:szCs w:val="13"/>
              </w:rPr>
            </w:pPr>
            <w:r w:rsidRPr="0007458C">
              <w:rPr>
                <w:b/>
                <w:sz w:val="13"/>
                <w:szCs w:val="13"/>
              </w:rPr>
              <w:t>Option 7</w:t>
            </w:r>
          </w:p>
        </w:tc>
      </w:tr>
      <w:tr w:rsidR="009C14E0" w:rsidRPr="00F441ED" w14:paraId="5D4D7926" w14:textId="77777777" w:rsidTr="00F51348">
        <w:tc>
          <w:tcPr>
            <w:tcW w:w="1418" w:type="dxa"/>
          </w:tcPr>
          <w:p w14:paraId="31233841" w14:textId="77777777" w:rsidR="009709E6" w:rsidRPr="0007458C" w:rsidRDefault="009709E6" w:rsidP="009709E6">
            <w:pPr>
              <w:pStyle w:val="BodyText"/>
              <w:spacing w:before="0" w:after="0"/>
              <w:rPr>
                <w:b/>
                <w:sz w:val="13"/>
                <w:szCs w:val="13"/>
              </w:rPr>
            </w:pPr>
            <w:r w:rsidRPr="0007458C">
              <w:rPr>
                <w:sz w:val="13"/>
                <w:szCs w:val="13"/>
              </w:rPr>
              <w:t>Problem Statement 1 – Information Asymmetry (Scope of Practice)</w:t>
            </w:r>
          </w:p>
        </w:tc>
        <w:tc>
          <w:tcPr>
            <w:tcW w:w="850" w:type="dxa"/>
          </w:tcPr>
          <w:p w14:paraId="7F560044" w14:textId="3B382D1F"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7527C7FD" wp14:editId="789C1C5C">
                  <wp:extent cx="252000" cy="252000"/>
                  <wp:effectExtent l="0" t="0" r="0" b="0"/>
                  <wp:docPr id="593943949" name="Graphic 59394394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843" w:type="dxa"/>
          </w:tcPr>
          <w:p w14:paraId="2F71D881" w14:textId="4A1757FC"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7C9741D3" wp14:editId="3F57469D">
                  <wp:extent cx="252000" cy="252000"/>
                  <wp:effectExtent l="0" t="0" r="0" b="0"/>
                  <wp:docPr id="789646411" name="Graphic 789646411"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268" w:type="dxa"/>
          </w:tcPr>
          <w:p w14:paraId="684C56F9" w14:textId="15C5792C"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53C648C7" wp14:editId="1864F9B7">
                  <wp:extent cx="252000" cy="252000"/>
                  <wp:effectExtent l="0" t="0" r="0" b="0"/>
                  <wp:docPr id="230838335" name="Graphic 230838335"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126" w:type="dxa"/>
          </w:tcPr>
          <w:p w14:paraId="77DA4965" w14:textId="58D354C3" w:rsidR="009709E6" w:rsidRPr="0007458C" w:rsidRDefault="009709E6" w:rsidP="009709E6">
            <w:pPr>
              <w:pStyle w:val="BodyText"/>
              <w:spacing w:before="0" w:after="0"/>
              <w:rPr>
                <w:bCs/>
                <w:noProof/>
                <w:sz w:val="13"/>
                <w:szCs w:val="13"/>
                <w14:numSpacing w14:val="default"/>
              </w:rPr>
            </w:pPr>
            <w:r w:rsidRPr="0007458C">
              <w:rPr>
                <w:bCs/>
                <w:noProof/>
                <w:sz w:val="13"/>
                <w:szCs w:val="13"/>
                <w:lang w:eastAsia="en-AU"/>
                <w14:numSpacing w14:val="default"/>
              </w:rPr>
              <w:drawing>
                <wp:anchor distT="0" distB="0" distL="114300" distR="114300" simplePos="0" relativeHeight="251658243" behindDoc="0" locked="0" layoutInCell="1" allowOverlap="1" wp14:anchorId="3E67A49E" wp14:editId="53891434">
                  <wp:simplePos x="0" y="0"/>
                  <wp:positionH relativeFrom="column">
                    <wp:posOffset>0</wp:posOffset>
                  </wp:positionH>
                  <wp:positionV relativeFrom="paragraph">
                    <wp:posOffset>0</wp:posOffset>
                  </wp:positionV>
                  <wp:extent cx="252000" cy="252000"/>
                  <wp:effectExtent l="0" t="0" r="0" b="0"/>
                  <wp:wrapSquare wrapText="bothSides"/>
                  <wp:docPr id="474071811" name="Graphic 474071811" descr="Harvey Balls 3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Harvey Balls 35% with solid fill"/>
                          <pic:cNvPicPr/>
                        </pic:nvPicPr>
                        <pic:blipFill>
                          <a:blip r:embed="rId2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This option produces a profession level good that consumers can understand as a signal for scope of practice.</w:t>
            </w:r>
          </w:p>
        </w:tc>
        <w:tc>
          <w:tcPr>
            <w:tcW w:w="1985" w:type="dxa"/>
          </w:tcPr>
          <w:p w14:paraId="729460D5" w14:textId="75BE49A9" w:rsidR="009709E6" w:rsidRPr="0007458C" w:rsidRDefault="009709E6" w:rsidP="009709E6">
            <w:pPr>
              <w:pStyle w:val="BodyText"/>
              <w:spacing w:before="0" w:after="0"/>
              <w:rPr>
                <w:bCs/>
                <w:noProof/>
                <w:sz w:val="13"/>
                <w:szCs w:val="13"/>
                <w14:numSpacing w14:val="default"/>
              </w:rPr>
            </w:pPr>
            <w:r w:rsidRPr="0007458C">
              <w:rPr>
                <w:bCs/>
                <w:noProof/>
                <w:sz w:val="13"/>
                <w:szCs w:val="13"/>
                <w:lang w:eastAsia="en-AU"/>
                <w14:numSpacing w14:val="default"/>
              </w:rPr>
              <w:drawing>
                <wp:inline distT="0" distB="0" distL="0" distR="0" wp14:anchorId="201CD899" wp14:editId="525E6B6B">
                  <wp:extent cx="252000" cy="252000"/>
                  <wp:effectExtent l="0" t="0" r="0" b="0"/>
                  <wp:docPr id="1122674603" name="Graphic 1122674603" descr="Harvey Balls 7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Harvey Balls 70% with solid fill"/>
                          <pic:cNvPicPr/>
                        </pic:nvPicPr>
                        <pic:blipFill>
                          <a:blip r:embed="rId3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252000" cy="252000"/>
                          </a:xfrm>
                          <a:prstGeom prst="rect">
                            <a:avLst/>
                          </a:prstGeom>
                        </pic:spPr>
                      </pic:pic>
                    </a:graphicData>
                  </a:graphic>
                </wp:inline>
              </w:drawing>
            </w:r>
            <w:r w:rsidRPr="0007458C">
              <w:rPr>
                <w:bCs/>
                <w:sz w:val="13"/>
                <w:szCs w:val="13"/>
              </w:rPr>
              <w:t>*Voluntary implementation by jurisdiction</w:t>
            </w:r>
          </w:p>
        </w:tc>
        <w:tc>
          <w:tcPr>
            <w:tcW w:w="2551" w:type="dxa"/>
          </w:tcPr>
          <w:p w14:paraId="2F31DF45" w14:textId="131DA01E" w:rsidR="009709E6" w:rsidRPr="0007458C" w:rsidRDefault="009709E6" w:rsidP="009709E6">
            <w:pPr>
              <w:pStyle w:val="BodyText"/>
              <w:spacing w:before="0" w:after="0"/>
              <w:rPr>
                <w:bCs/>
                <w:sz w:val="13"/>
                <w:szCs w:val="13"/>
              </w:rPr>
            </w:pPr>
            <w:r w:rsidRPr="0007458C">
              <w:rPr>
                <w:bCs/>
                <w:noProof/>
                <w:sz w:val="13"/>
                <w:szCs w:val="13"/>
                <w:lang w:eastAsia="en-AU"/>
                <w14:numSpacing w14:val="default"/>
              </w:rPr>
              <w:drawing>
                <wp:inline distT="0" distB="0" distL="0" distR="0" wp14:anchorId="23015B88" wp14:editId="51A32740">
                  <wp:extent cx="252000" cy="252000"/>
                  <wp:effectExtent l="0" t="0" r="0" b="0"/>
                  <wp:docPr id="1914659732" name="Graphic 1914659732"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Harvey Balls 50% with solid fill"/>
                          <pic:cNvPicPr/>
                        </pic:nvPicPr>
                        <pic:blipFill>
                          <a:blip r:embed="rId3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52000" cy="252000"/>
                          </a:xfrm>
                          <a:prstGeom prst="rect">
                            <a:avLst/>
                          </a:prstGeom>
                        </pic:spPr>
                      </pic:pic>
                    </a:graphicData>
                  </a:graphic>
                </wp:inline>
              </w:drawing>
            </w:r>
          </w:p>
        </w:tc>
      </w:tr>
      <w:tr w:rsidR="009C14E0" w:rsidRPr="00F441ED" w14:paraId="44C49B0A" w14:textId="77777777" w:rsidTr="00F51348">
        <w:tc>
          <w:tcPr>
            <w:tcW w:w="1418" w:type="dxa"/>
          </w:tcPr>
          <w:p w14:paraId="21F4DA92" w14:textId="77777777" w:rsidR="009709E6" w:rsidRPr="0007458C" w:rsidRDefault="009709E6" w:rsidP="009709E6">
            <w:pPr>
              <w:pStyle w:val="BodyText"/>
              <w:spacing w:before="0" w:after="0"/>
              <w:rPr>
                <w:b/>
                <w:sz w:val="13"/>
                <w:szCs w:val="13"/>
              </w:rPr>
            </w:pPr>
            <w:r w:rsidRPr="0007458C">
              <w:rPr>
                <w:sz w:val="13"/>
                <w:szCs w:val="13"/>
              </w:rPr>
              <w:t>Problem Statement 1 – Information Asymmetry (Protection of Title)</w:t>
            </w:r>
          </w:p>
        </w:tc>
        <w:tc>
          <w:tcPr>
            <w:tcW w:w="850" w:type="dxa"/>
          </w:tcPr>
          <w:p w14:paraId="221D7248" w14:textId="5CEB7CDE"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51224862" wp14:editId="235CBE48">
                  <wp:extent cx="252000" cy="252000"/>
                  <wp:effectExtent l="0" t="0" r="0" b="0"/>
                  <wp:docPr id="216455080" name="Graphic 216455080"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843" w:type="dxa"/>
          </w:tcPr>
          <w:p w14:paraId="20D36FBC" w14:textId="14B607D5"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26572716" wp14:editId="5D3F6C49">
                  <wp:extent cx="252000" cy="252000"/>
                  <wp:effectExtent l="0" t="0" r="0" b="0"/>
                  <wp:docPr id="390660177" name="Graphic 39066017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268" w:type="dxa"/>
          </w:tcPr>
          <w:p w14:paraId="528A6797" w14:textId="30A63163"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72C17469" wp14:editId="5A453D08">
                  <wp:extent cx="252000" cy="252000"/>
                  <wp:effectExtent l="0" t="0" r="0" b="0"/>
                  <wp:docPr id="577752022" name="Graphic 577752022"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126" w:type="dxa"/>
          </w:tcPr>
          <w:p w14:paraId="7ECCF3BE" w14:textId="40634128"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3AC762B7" wp14:editId="4DD1EA84">
                  <wp:extent cx="252000" cy="252000"/>
                  <wp:effectExtent l="0" t="0" r="0" b="0"/>
                  <wp:docPr id="1721145889" name="Graphic 172114588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985" w:type="dxa"/>
          </w:tcPr>
          <w:p w14:paraId="4218F72E" w14:textId="6F8D71DF" w:rsidR="009709E6" w:rsidRPr="0007458C" w:rsidRDefault="009709E6" w:rsidP="009709E6">
            <w:pPr>
              <w:pStyle w:val="BodyText"/>
              <w:spacing w:before="0" w:after="0"/>
              <w:rPr>
                <w:bCs/>
                <w:noProof/>
                <w:sz w:val="13"/>
                <w:szCs w:val="13"/>
                <w14:numSpacing w14:val="default"/>
              </w:rPr>
            </w:pPr>
            <w:r w:rsidRPr="0007458C">
              <w:rPr>
                <w:bCs/>
                <w:noProof/>
                <w:sz w:val="13"/>
                <w:szCs w:val="13"/>
                <w:lang w:eastAsia="en-AU"/>
                <w14:numSpacing w14:val="default"/>
              </w:rPr>
              <w:drawing>
                <wp:anchor distT="0" distB="0" distL="114300" distR="114300" simplePos="0" relativeHeight="251658254" behindDoc="1" locked="0" layoutInCell="1" allowOverlap="1" wp14:anchorId="2056687B" wp14:editId="12C721FB">
                  <wp:simplePos x="0" y="0"/>
                  <wp:positionH relativeFrom="column">
                    <wp:posOffset>33020</wp:posOffset>
                  </wp:positionH>
                  <wp:positionV relativeFrom="paragraph">
                    <wp:posOffset>0</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1023876708" name="Graphic 1023876708" descr="Harvey Balls 7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Harvey Balls 70% with solid fill"/>
                          <pic:cNvPicPr/>
                        </pic:nvPicPr>
                        <pic:blipFill>
                          <a:blip r:embed="rId3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*Voluntary implementation by jurisdiction</w:t>
            </w:r>
          </w:p>
        </w:tc>
        <w:tc>
          <w:tcPr>
            <w:tcW w:w="2551" w:type="dxa"/>
          </w:tcPr>
          <w:p w14:paraId="4971DD11" w14:textId="55192E7B" w:rsidR="009709E6" w:rsidRPr="0007458C" w:rsidRDefault="009709E6" w:rsidP="009709E6">
            <w:pPr>
              <w:pStyle w:val="BodyText"/>
              <w:spacing w:before="0" w:after="0"/>
              <w:rPr>
                <w:b/>
                <w:sz w:val="13"/>
                <w:szCs w:val="13"/>
              </w:rPr>
            </w:pPr>
            <w:r w:rsidRPr="0007458C">
              <w:rPr>
                <w:bCs/>
                <w:noProof/>
                <w:sz w:val="13"/>
                <w:szCs w:val="13"/>
                <w:lang w:eastAsia="en-AU"/>
                <w14:numSpacing w14:val="default"/>
              </w:rPr>
              <w:drawing>
                <wp:anchor distT="0" distB="0" distL="114300" distR="114300" simplePos="0" relativeHeight="251658255" behindDoc="1" locked="0" layoutInCell="1" allowOverlap="1" wp14:anchorId="451ED096" wp14:editId="7001C0BF">
                  <wp:simplePos x="0" y="0"/>
                  <wp:positionH relativeFrom="column">
                    <wp:posOffset>33655</wp:posOffset>
                  </wp:positionH>
                  <wp:positionV relativeFrom="paragraph">
                    <wp:posOffset>2540</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1753985960" name="Graphic 1753985960" descr="Harvey Balls 8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Harvey Balls 85% with solid fill"/>
                          <pic:cNvPicPr/>
                        </pic:nvPicPr>
                        <pic:blipFill>
                          <a:blip r:embed="rId3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*Dependent on several decisions</w:t>
            </w:r>
          </w:p>
        </w:tc>
      </w:tr>
      <w:tr w:rsidR="009C14E0" w:rsidRPr="00F441ED" w14:paraId="47AD05B9" w14:textId="77777777" w:rsidTr="00F51348">
        <w:tc>
          <w:tcPr>
            <w:tcW w:w="1418" w:type="dxa"/>
          </w:tcPr>
          <w:p w14:paraId="58FF5F9A" w14:textId="77777777" w:rsidR="009709E6" w:rsidRPr="0007458C" w:rsidRDefault="009709E6" w:rsidP="009709E6">
            <w:pPr>
              <w:pStyle w:val="BodyText"/>
              <w:spacing w:before="0" w:after="0"/>
              <w:rPr>
                <w:b/>
                <w:sz w:val="13"/>
                <w:szCs w:val="13"/>
              </w:rPr>
            </w:pPr>
            <w:r w:rsidRPr="0007458C">
              <w:rPr>
                <w:sz w:val="13"/>
                <w:szCs w:val="13"/>
              </w:rPr>
              <w:t>Problem Statement 2 – Insufficient production of profession-level goods</w:t>
            </w:r>
          </w:p>
        </w:tc>
        <w:tc>
          <w:tcPr>
            <w:tcW w:w="850" w:type="dxa"/>
          </w:tcPr>
          <w:p w14:paraId="026573DF" w14:textId="47083C65"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2201B8F3" wp14:editId="6DD1D259">
                  <wp:extent cx="252000" cy="252000"/>
                  <wp:effectExtent l="0" t="0" r="0" b="0"/>
                  <wp:docPr id="864081171" name="Graphic 864081171"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843" w:type="dxa"/>
          </w:tcPr>
          <w:p w14:paraId="52CBD13F" w14:textId="5B62CADE" w:rsidR="009709E6" w:rsidRPr="0007458C" w:rsidRDefault="009709E6" w:rsidP="009709E6">
            <w:pPr>
              <w:pStyle w:val="BodyText"/>
              <w:spacing w:before="0" w:after="0"/>
              <w:rPr>
                <w:b/>
                <w:noProof/>
                <w:sz w:val="13"/>
                <w:szCs w:val="13"/>
                <w14:numSpacing w14:val="default"/>
              </w:rPr>
            </w:pPr>
            <w:r w:rsidRPr="0007458C">
              <w:rPr>
                <w:bCs/>
                <w:noProof/>
                <w:sz w:val="13"/>
                <w:szCs w:val="13"/>
                <w:lang w:eastAsia="en-AU"/>
                <w14:numSpacing w14:val="default"/>
              </w:rPr>
              <w:drawing>
                <wp:anchor distT="0" distB="0" distL="114300" distR="114300" simplePos="0" relativeHeight="251658251" behindDoc="1" locked="0" layoutInCell="1" allowOverlap="1" wp14:anchorId="780D8D5F" wp14:editId="3B2881DA">
                  <wp:simplePos x="0" y="0"/>
                  <wp:positionH relativeFrom="column">
                    <wp:posOffset>36195</wp:posOffset>
                  </wp:positionH>
                  <wp:positionV relativeFrom="paragraph">
                    <wp:posOffset>3175</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114342138" name="Graphic 114342138" descr="Harvey Balls 5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Harvey Balls 55% with solid fill"/>
                          <pic:cNvPicPr/>
                        </pic:nvPicPr>
                        <pic:blipFill>
                          <a:blip r:embed="rId3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This option would generate profession-level goods in the form of CPD.</w:t>
            </w:r>
          </w:p>
        </w:tc>
        <w:tc>
          <w:tcPr>
            <w:tcW w:w="2268" w:type="dxa"/>
          </w:tcPr>
          <w:p w14:paraId="74C2BE6A" w14:textId="2DC74D03"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51E244A8" wp14:editId="71DD582D">
                  <wp:extent cx="252000" cy="252000"/>
                  <wp:effectExtent l="0" t="0" r="0" b="0"/>
                  <wp:docPr id="708915194" name="Graphic 70891519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126" w:type="dxa"/>
          </w:tcPr>
          <w:p w14:paraId="65A72496" w14:textId="687AD8B0" w:rsidR="009709E6" w:rsidRPr="0007458C" w:rsidRDefault="009709E6" w:rsidP="009709E6">
            <w:pPr>
              <w:pStyle w:val="BodyText"/>
              <w:spacing w:before="0" w:after="0"/>
              <w:rPr>
                <w:b/>
                <w:noProof/>
                <w:sz w:val="13"/>
                <w:szCs w:val="13"/>
                <w14:numSpacing w14:val="default"/>
              </w:rPr>
            </w:pPr>
            <w:r w:rsidRPr="0007458C">
              <w:rPr>
                <w:bCs/>
                <w:noProof/>
                <w:sz w:val="13"/>
                <w:szCs w:val="13"/>
                <w:lang w:eastAsia="en-AU"/>
                <w14:numSpacing w14:val="default"/>
              </w:rPr>
              <w:drawing>
                <wp:anchor distT="0" distB="0" distL="114300" distR="114300" simplePos="0" relativeHeight="251658244" behindDoc="0" locked="0" layoutInCell="1" allowOverlap="1" wp14:anchorId="4BD7BBF7" wp14:editId="3C541F2B">
                  <wp:simplePos x="0" y="0"/>
                  <wp:positionH relativeFrom="column">
                    <wp:posOffset>4445</wp:posOffset>
                  </wp:positionH>
                  <wp:positionV relativeFrom="paragraph">
                    <wp:posOffset>2540</wp:posOffset>
                  </wp:positionV>
                  <wp:extent cx="252000" cy="252000"/>
                  <wp:effectExtent l="0" t="0" r="0" b="0"/>
                  <wp:wrapSquare wrapText="bothSides"/>
                  <wp:docPr id="146186478" name="Graphic 146186478" descr="Harvey Balls 3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Harvey Balls 35% with solid fill"/>
                          <pic:cNvPicPr/>
                        </pic:nvPicPr>
                        <pic:blipFill>
                          <a:blip r:embed="rId2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This option would create a credentialling mechanism for a specialised scope of practice for a small cohort of the profession.</w:t>
            </w:r>
          </w:p>
        </w:tc>
        <w:tc>
          <w:tcPr>
            <w:tcW w:w="1985" w:type="dxa"/>
          </w:tcPr>
          <w:p w14:paraId="3F519216" w14:textId="5EC28DE3"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anchor distT="0" distB="0" distL="114300" distR="114300" simplePos="0" relativeHeight="251658252" behindDoc="1" locked="0" layoutInCell="1" allowOverlap="1" wp14:anchorId="68CA2BFB" wp14:editId="03ABD444">
                  <wp:simplePos x="0" y="0"/>
                  <wp:positionH relativeFrom="column">
                    <wp:posOffset>33020</wp:posOffset>
                  </wp:positionH>
                  <wp:positionV relativeFrom="paragraph">
                    <wp:posOffset>3175</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883641608" name="Graphic 883641608"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*Accreditation standards</w:t>
            </w:r>
          </w:p>
        </w:tc>
        <w:tc>
          <w:tcPr>
            <w:tcW w:w="2551" w:type="dxa"/>
          </w:tcPr>
          <w:p w14:paraId="58038936" w14:textId="74BE3058" w:rsidR="009709E6" w:rsidRPr="0007458C" w:rsidRDefault="009709E6" w:rsidP="009709E6">
            <w:pPr>
              <w:pStyle w:val="BodyText"/>
              <w:spacing w:before="0" w:after="0"/>
              <w:rPr>
                <w:bCs/>
                <w:sz w:val="13"/>
                <w:szCs w:val="13"/>
              </w:rPr>
            </w:pPr>
            <w:r w:rsidRPr="0007458C">
              <w:rPr>
                <w:b/>
                <w:noProof/>
                <w:sz w:val="13"/>
                <w:szCs w:val="13"/>
                <w:lang w:eastAsia="en-AU"/>
                <w14:numSpacing w14:val="default"/>
              </w:rPr>
              <w:drawing>
                <wp:anchor distT="0" distB="0" distL="114300" distR="114300" simplePos="0" relativeHeight="251658253" behindDoc="1" locked="0" layoutInCell="1" allowOverlap="1" wp14:anchorId="6A08C3F9" wp14:editId="31A35DB8">
                  <wp:simplePos x="0" y="0"/>
                  <wp:positionH relativeFrom="column">
                    <wp:posOffset>36830</wp:posOffset>
                  </wp:positionH>
                  <wp:positionV relativeFrom="paragraph">
                    <wp:posOffset>3175</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403456054" name="Graphic 403456054"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*Accreditation standards</w:t>
            </w:r>
          </w:p>
        </w:tc>
      </w:tr>
      <w:tr w:rsidR="009C14E0" w:rsidRPr="00F441ED" w14:paraId="648DA34F" w14:textId="77777777" w:rsidTr="00F51348">
        <w:tc>
          <w:tcPr>
            <w:tcW w:w="1418" w:type="dxa"/>
          </w:tcPr>
          <w:p w14:paraId="7B6E580B" w14:textId="77777777" w:rsidR="009709E6" w:rsidRPr="0007458C" w:rsidRDefault="009709E6" w:rsidP="009709E6">
            <w:pPr>
              <w:pStyle w:val="BodyText"/>
              <w:spacing w:before="0" w:after="0"/>
              <w:rPr>
                <w:b/>
                <w:sz w:val="13"/>
                <w:szCs w:val="13"/>
              </w:rPr>
            </w:pPr>
            <w:r w:rsidRPr="0007458C">
              <w:rPr>
                <w:sz w:val="13"/>
                <w:szCs w:val="13"/>
              </w:rPr>
              <w:t>Problem Statement 3 – Organisational pressures (public sector)</w:t>
            </w:r>
          </w:p>
        </w:tc>
        <w:tc>
          <w:tcPr>
            <w:tcW w:w="850" w:type="dxa"/>
          </w:tcPr>
          <w:p w14:paraId="1DBF7CEA" w14:textId="06895E67"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5EF73C14" wp14:editId="32E98533">
                  <wp:extent cx="252000" cy="252000"/>
                  <wp:effectExtent l="0" t="0" r="0" b="0"/>
                  <wp:docPr id="1799900977" name="Graphic 179990097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843" w:type="dxa"/>
          </w:tcPr>
          <w:p w14:paraId="3E44F093" w14:textId="75DCDD5C"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352508A9" wp14:editId="169AFEE7">
                  <wp:extent cx="252000" cy="252000"/>
                  <wp:effectExtent l="0" t="0" r="0" b="0"/>
                  <wp:docPr id="1119932101" name="Graphic 1119932101"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r w:rsidRPr="0007458C">
              <w:rPr>
                <w:b/>
                <w:sz w:val="13"/>
                <w:szCs w:val="13"/>
              </w:rPr>
              <w:t xml:space="preserve"> </w:t>
            </w:r>
          </w:p>
        </w:tc>
        <w:tc>
          <w:tcPr>
            <w:tcW w:w="2268" w:type="dxa"/>
          </w:tcPr>
          <w:p w14:paraId="635B443C" w14:textId="31759AE6"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07C43250" wp14:editId="5FAFE7EC">
                  <wp:extent cx="252000" cy="252000"/>
                  <wp:effectExtent l="0" t="0" r="0" b="0"/>
                  <wp:docPr id="366709398" name="Graphic 366709398"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126" w:type="dxa"/>
          </w:tcPr>
          <w:p w14:paraId="6BE637DC" w14:textId="3C504E40"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6FD6C80F" wp14:editId="4CC1F80B">
                  <wp:extent cx="252000" cy="252000"/>
                  <wp:effectExtent l="0" t="0" r="0" b="0"/>
                  <wp:docPr id="1371535833" name="Graphic 1371535833"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r w:rsidRPr="0007458C">
              <w:rPr>
                <w:b/>
                <w:sz w:val="13"/>
                <w:szCs w:val="13"/>
              </w:rPr>
              <w:t xml:space="preserve"> </w:t>
            </w:r>
          </w:p>
        </w:tc>
        <w:tc>
          <w:tcPr>
            <w:tcW w:w="1985" w:type="dxa"/>
          </w:tcPr>
          <w:p w14:paraId="0A17ED74" w14:textId="1CD198F1"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2FE51817" wp14:editId="3F18A387">
                  <wp:extent cx="252000" cy="252000"/>
                  <wp:effectExtent l="0" t="0" r="0" b="0"/>
                  <wp:docPr id="1843398134" name="Graphic 184339813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r w:rsidRPr="0007458C">
              <w:rPr>
                <w:b/>
                <w:sz w:val="13"/>
                <w:szCs w:val="13"/>
              </w:rPr>
              <w:t xml:space="preserve"> </w:t>
            </w:r>
          </w:p>
        </w:tc>
        <w:tc>
          <w:tcPr>
            <w:tcW w:w="2551" w:type="dxa"/>
          </w:tcPr>
          <w:p w14:paraId="533499A0" w14:textId="73F296F5" w:rsidR="009709E6" w:rsidRPr="0007458C" w:rsidRDefault="009709E6" w:rsidP="009709E6">
            <w:pPr>
              <w:pStyle w:val="BodyText"/>
              <w:spacing w:before="0" w:after="0"/>
              <w:rPr>
                <w:b/>
                <w:sz w:val="13"/>
                <w:szCs w:val="13"/>
              </w:rPr>
            </w:pPr>
            <w:r w:rsidRPr="0007458C">
              <w:rPr>
                <w:b/>
                <w:noProof/>
                <w:sz w:val="13"/>
                <w:szCs w:val="13"/>
                <w:lang w:eastAsia="en-AU"/>
                <w14:numSpacing w14:val="default"/>
              </w:rPr>
              <w:drawing>
                <wp:anchor distT="0" distB="0" distL="114300" distR="114300" simplePos="0" relativeHeight="251658245" behindDoc="0" locked="0" layoutInCell="1" allowOverlap="1" wp14:anchorId="255FA708" wp14:editId="621A3822">
                  <wp:simplePos x="0" y="0"/>
                  <wp:positionH relativeFrom="column">
                    <wp:posOffset>36830</wp:posOffset>
                  </wp:positionH>
                  <wp:positionV relativeFrom="paragraph">
                    <wp:posOffset>0</wp:posOffset>
                  </wp:positionV>
                  <wp:extent cx="252000" cy="252000"/>
                  <wp:effectExtent l="0" t="0" r="0" b="0"/>
                  <wp:wrapSquare wrapText="bothSides"/>
                  <wp:docPr id="217637739" name="Graphic 217637739"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*May change risk profile of profession to organisation, prompting change in organisational approach.</w:t>
            </w:r>
          </w:p>
        </w:tc>
      </w:tr>
      <w:tr w:rsidR="009C14E0" w:rsidRPr="00F441ED" w14:paraId="33125130" w14:textId="77777777" w:rsidTr="00F51348">
        <w:tc>
          <w:tcPr>
            <w:tcW w:w="1418" w:type="dxa"/>
          </w:tcPr>
          <w:p w14:paraId="433BEE54" w14:textId="77777777" w:rsidR="009709E6" w:rsidRPr="0007458C" w:rsidRDefault="009709E6" w:rsidP="009709E6">
            <w:pPr>
              <w:pStyle w:val="BodyText"/>
              <w:spacing w:before="0" w:after="0"/>
              <w:rPr>
                <w:b/>
                <w:bCs/>
                <w:sz w:val="13"/>
                <w:szCs w:val="13"/>
              </w:rPr>
            </w:pPr>
            <w:r w:rsidRPr="0007458C">
              <w:rPr>
                <w:sz w:val="13"/>
                <w:szCs w:val="13"/>
              </w:rPr>
              <w:t>Problem Statement 3 – Organisational pressures (private sector)</w:t>
            </w:r>
          </w:p>
        </w:tc>
        <w:tc>
          <w:tcPr>
            <w:tcW w:w="850" w:type="dxa"/>
          </w:tcPr>
          <w:p w14:paraId="35606459" w14:textId="29A01E5F"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7EB9FD65" wp14:editId="5F23FF4B">
                  <wp:extent cx="252000" cy="252000"/>
                  <wp:effectExtent l="0" t="0" r="0" b="0"/>
                  <wp:docPr id="55660880" name="Graphic 55660880"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843" w:type="dxa"/>
          </w:tcPr>
          <w:p w14:paraId="7B8F4E03" w14:textId="298108C9"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563AC18A" wp14:editId="712CEDE7">
                  <wp:extent cx="252000" cy="252000"/>
                  <wp:effectExtent l="0" t="0" r="0" b="0"/>
                  <wp:docPr id="1828493538" name="Graphic 1828493538"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268" w:type="dxa"/>
          </w:tcPr>
          <w:p w14:paraId="46251789" w14:textId="5F53B91A"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29F10658" wp14:editId="1DD97D5F">
                  <wp:extent cx="252000" cy="252000"/>
                  <wp:effectExtent l="0" t="0" r="0" b="0"/>
                  <wp:docPr id="1248202024" name="Graphic 124820202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126" w:type="dxa"/>
          </w:tcPr>
          <w:p w14:paraId="778F0E19" w14:textId="4D2F3996"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27C1098F" wp14:editId="621DC23B">
                  <wp:extent cx="252000" cy="252000"/>
                  <wp:effectExtent l="0" t="0" r="0" b="0"/>
                  <wp:docPr id="1897356423" name="Graphic 1897356423"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985" w:type="dxa"/>
          </w:tcPr>
          <w:p w14:paraId="09A88B08" w14:textId="7CD4F264"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inline distT="0" distB="0" distL="0" distR="0" wp14:anchorId="1063D980" wp14:editId="6F40CA5C">
                  <wp:extent cx="252000" cy="252000"/>
                  <wp:effectExtent l="0" t="0" r="0" b="0"/>
                  <wp:docPr id="1508902122" name="Graphic 1508902122"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2551" w:type="dxa"/>
          </w:tcPr>
          <w:p w14:paraId="6D32E202" w14:textId="39A1A7A0" w:rsidR="009709E6" w:rsidRPr="0007458C" w:rsidRDefault="009709E6" w:rsidP="009709E6">
            <w:pPr>
              <w:pStyle w:val="BodyText"/>
              <w:spacing w:before="0" w:after="0"/>
              <w:rPr>
                <w:b/>
                <w:noProof/>
                <w:sz w:val="13"/>
                <w:szCs w:val="13"/>
                <w14:numSpacing w14:val="default"/>
              </w:rPr>
            </w:pPr>
            <w:r w:rsidRPr="0007458C">
              <w:rPr>
                <w:b/>
                <w:noProof/>
                <w:sz w:val="13"/>
                <w:szCs w:val="13"/>
                <w:lang w:eastAsia="en-AU"/>
                <w14:numSpacing w14:val="default"/>
              </w:rPr>
              <w:drawing>
                <wp:anchor distT="0" distB="0" distL="114300" distR="114300" simplePos="0" relativeHeight="251658246" behindDoc="1" locked="0" layoutInCell="1" allowOverlap="1" wp14:anchorId="1265C399" wp14:editId="28EDDA8E">
                  <wp:simplePos x="0" y="0"/>
                  <wp:positionH relativeFrom="column">
                    <wp:posOffset>36830</wp:posOffset>
                  </wp:positionH>
                  <wp:positionV relativeFrom="paragraph">
                    <wp:posOffset>635</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906331937" name="Graphic 906331937"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sz w:val="13"/>
                <w:szCs w:val="13"/>
              </w:rPr>
              <w:t>*May change risk profile of profession to organisation, prompting change in organisational approach.</w:t>
            </w:r>
          </w:p>
        </w:tc>
      </w:tr>
      <w:tr w:rsidR="009C14E0" w:rsidRPr="00F441ED" w14:paraId="550969C4" w14:textId="77777777" w:rsidTr="00F51348">
        <w:tc>
          <w:tcPr>
            <w:tcW w:w="1418" w:type="dxa"/>
          </w:tcPr>
          <w:p w14:paraId="4FCD9BAA" w14:textId="77777777" w:rsidR="009709E6" w:rsidRPr="0007458C" w:rsidRDefault="009709E6" w:rsidP="009709E6">
            <w:pPr>
              <w:pStyle w:val="BodyText"/>
              <w:spacing w:before="0" w:after="0"/>
              <w:rPr>
                <w:b/>
                <w:bCs/>
                <w:sz w:val="13"/>
                <w:szCs w:val="13"/>
              </w:rPr>
            </w:pPr>
            <w:r w:rsidRPr="0007458C">
              <w:rPr>
                <w:sz w:val="13"/>
                <w:szCs w:val="13"/>
              </w:rPr>
              <w:t xml:space="preserve">Problem Statement 4 </w:t>
            </w:r>
          </w:p>
        </w:tc>
        <w:tc>
          <w:tcPr>
            <w:tcW w:w="850" w:type="dxa"/>
          </w:tcPr>
          <w:p w14:paraId="391D360C" w14:textId="3629EC02"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014FDC33" wp14:editId="1706993B">
                  <wp:extent cx="252000" cy="252000"/>
                  <wp:effectExtent l="0" t="0" r="0" b="0"/>
                  <wp:docPr id="30747055" name="Graphic 30747055"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843" w:type="dxa"/>
          </w:tcPr>
          <w:p w14:paraId="4F573254" w14:textId="53FC071D"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anchor distT="0" distB="0" distL="114300" distR="114300" simplePos="0" relativeHeight="251658250" behindDoc="1" locked="0" layoutInCell="1" allowOverlap="1" wp14:anchorId="47B88B24" wp14:editId="387E87F4">
                  <wp:simplePos x="0" y="0"/>
                  <wp:positionH relativeFrom="column">
                    <wp:posOffset>36195</wp:posOffset>
                  </wp:positionH>
                  <wp:positionV relativeFrom="paragraph">
                    <wp:posOffset>0</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616480782" name="Graphic 616480782"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noProof/>
                <w:sz w:val="13"/>
                <w:szCs w:val="13"/>
                <w14:numSpacing w14:val="default"/>
              </w:rPr>
              <w:t>This option ensures that public sector audiologists are within the remit of the HPCCB.</w:t>
            </w:r>
          </w:p>
        </w:tc>
        <w:tc>
          <w:tcPr>
            <w:tcW w:w="2268" w:type="dxa"/>
          </w:tcPr>
          <w:p w14:paraId="1B52B803" w14:textId="090FEE47"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anchor distT="0" distB="0" distL="114300" distR="114300" simplePos="0" relativeHeight="251658249" behindDoc="1" locked="0" layoutInCell="1" allowOverlap="1" wp14:anchorId="45BD89E5" wp14:editId="3319566B">
                  <wp:simplePos x="0" y="0"/>
                  <wp:positionH relativeFrom="column">
                    <wp:posOffset>34925</wp:posOffset>
                  </wp:positionH>
                  <wp:positionV relativeFrom="paragraph">
                    <wp:posOffset>0</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62961710" name="Graphic 62961710"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Harvey Balls 25% with solid fill"/>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noProof/>
                <w:sz w:val="13"/>
                <w:szCs w:val="13"/>
                <w14:numSpacing w14:val="default"/>
              </w:rPr>
              <w:t>A government-based licensing authority could increase the likelihood of complaints being reported.</w:t>
            </w:r>
            <w:r w:rsidRPr="0007458C">
              <w:rPr>
                <w:b/>
                <w:noProof/>
                <w:sz w:val="13"/>
                <w:szCs w:val="13"/>
                <w14:numSpacing w14:val="default"/>
              </w:rPr>
              <w:t xml:space="preserve"> </w:t>
            </w:r>
          </w:p>
        </w:tc>
        <w:tc>
          <w:tcPr>
            <w:tcW w:w="2126" w:type="dxa"/>
          </w:tcPr>
          <w:p w14:paraId="58F6C7B2" w14:textId="7A86DF48" w:rsidR="009709E6" w:rsidRPr="0007458C" w:rsidRDefault="009709E6" w:rsidP="009709E6">
            <w:pPr>
              <w:pStyle w:val="BodyText"/>
              <w:spacing w:before="0" w:after="0"/>
              <w:rPr>
                <w:bCs/>
                <w:noProof/>
                <w:sz w:val="13"/>
                <w:szCs w:val="13"/>
                <w14:numSpacing w14:val="default"/>
              </w:rPr>
            </w:pPr>
            <w:r w:rsidRPr="0007458C">
              <w:rPr>
                <w:b/>
                <w:noProof/>
                <w:sz w:val="13"/>
                <w:szCs w:val="13"/>
                <w:lang w:eastAsia="en-AU"/>
                <w14:numSpacing w14:val="default"/>
              </w:rPr>
              <w:drawing>
                <wp:inline distT="0" distB="0" distL="0" distR="0" wp14:anchorId="2330C2DF" wp14:editId="7C6F7A93">
                  <wp:extent cx="252000" cy="252000"/>
                  <wp:effectExtent l="0" t="0" r="0" b="0"/>
                  <wp:docPr id="206093050" name="Graphic 206093050"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52000" cy="252000"/>
                          </a:xfrm>
                          <a:prstGeom prst="rect">
                            <a:avLst/>
                          </a:prstGeom>
                        </pic:spPr>
                      </pic:pic>
                    </a:graphicData>
                  </a:graphic>
                </wp:inline>
              </w:drawing>
            </w:r>
          </w:p>
        </w:tc>
        <w:tc>
          <w:tcPr>
            <w:tcW w:w="1985" w:type="dxa"/>
          </w:tcPr>
          <w:p w14:paraId="7B80C9C1" w14:textId="2C8574FA" w:rsidR="009709E6" w:rsidRPr="0007458C" w:rsidRDefault="009709E6" w:rsidP="009709E6">
            <w:pPr>
              <w:pStyle w:val="BodyText"/>
              <w:spacing w:before="0" w:after="0"/>
              <w:rPr>
                <w:bCs/>
                <w:noProof/>
                <w:sz w:val="13"/>
                <w:szCs w:val="13"/>
                <w14:numSpacing w14:val="default"/>
              </w:rPr>
            </w:pPr>
            <w:r w:rsidRPr="0007458C">
              <w:rPr>
                <w:bCs/>
                <w:noProof/>
                <w:sz w:val="13"/>
                <w:szCs w:val="13"/>
                <w:lang w:eastAsia="en-AU"/>
                <w14:numSpacing w14:val="default"/>
              </w:rPr>
              <w:drawing>
                <wp:anchor distT="0" distB="0" distL="114300" distR="114300" simplePos="0" relativeHeight="251658248" behindDoc="1" locked="0" layoutInCell="1" allowOverlap="1" wp14:anchorId="16E57569" wp14:editId="54E528FB">
                  <wp:simplePos x="0" y="0"/>
                  <wp:positionH relativeFrom="column">
                    <wp:posOffset>33020</wp:posOffset>
                  </wp:positionH>
                  <wp:positionV relativeFrom="paragraph">
                    <wp:posOffset>0</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341796900" name="Graphic 341796900" descr="Harvey Balls 3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Harvey Balls 35% with solid fill"/>
                          <pic:cNvPicPr/>
                        </pic:nvPicPr>
                        <pic:blipFill>
                          <a:blip r:embed="rId2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noProof/>
                <w:sz w:val="13"/>
                <w:szCs w:val="13"/>
                <w14:numSpacing w14:val="default"/>
              </w:rPr>
              <w:t xml:space="preserve">*Independent complaints mechanism </w:t>
            </w:r>
          </w:p>
        </w:tc>
        <w:tc>
          <w:tcPr>
            <w:tcW w:w="2551" w:type="dxa"/>
          </w:tcPr>
          <w:p w14:paraId="1DD9A79F" w14:textId="763C1F11" w:rsidR="009709E6" w:rsidRPr="0007458C" w:rsidRDefault="009709E6" w:rsidP="009709E6">
            <w:pPr>
              <w:pStyle w:val="BodyText"/>
              <w:spacing w:before="0" w:after="0"/>
              <w:rPr>
                <w:b/>
                <w:noProof/>
                <w:sz w:val="13"/>
                <w:szCs w:val="13"/>
                <w14:numSpacing w14:val="default"/>
              </w:rPr>
            </w:pPr>
            <w:r w:rsidRPr="0007458C">
              <w:rPr>
                <w:bCs/>
                <w:noProof/>
                <w:sz w:val="13"/>
                <w:szCs w:val="13"/>
                <w:lang w:eastAsia="en-AU"/>
                <w14:numSpacing w14:val="default"/>
              </w:rPr>
              <w:drawing>
                <wp:anchor distT="0" distB="0" distL="114300" distR="114300" simplePos="0" relativeHeight="251658247" behindDoc="1" locked="0" layoutInCell="1" allowOverlap="1" wp14:anchorId="53DD056D" wp14:editId="190EA675">
                  <wp:simplePos x="0" y="0"/>
                  <wp:positionH relativeFrom="column">
                    <wp:posOffset>36830</wp:posOffset>
                  </wp:positionH>
                  <wp:positionV relativeFrom="paragraph">
                    <wp:posOffset>0</wp:posOffset>
                  </wp:positionV>
                  <wp:extent cx="252000" cy="252000"/>
                  <wp:effectExtent l="0" t="0" r="0" b="0"/>
                  <wp:wrapTight wrapText="bothSides">
                    <wp:wrapPolygon edited="0">
                      <wp:start x="3273" y="0"/>
                      <wp:lineTo x="0" y="6545"/>
                      <wp:lineTo x="0" y="11455"/>
                      <wp:lineTo x="3273" y="19636"/>
                      <wp:lineTo x="16364" y="19636"/>
                      <wp:lineTo x="19636" y="11455"/>
                      <wp:lineTo x="19636" y="6545"/>
                      <wp:lineTo x="16364" y="0"/>
                      <wp:lineTo x="3273" y="0"/>
                    </wp:wrapPolygon>
                  </wp:wrapTight>
                  <wp:docPr id="1898808280" name="Graphic 1898808280" descr="Harvey Balls 6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Harvey Balls 65% with solid fill"/>
                          <pic:cNvPicPr/>
                        </pic:nvPicPr>
                        <pic:blipFill>
                          <a:blip r:embed="rId3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07458C">
              <w:rPr>
                <w:bCs/>
                <w:noProof/>
                <w:sz w:val="13"/>
                <w:szCs w:val="13"/>
                <w14:numSpacing w14:val="default"/>
              </w:rPr>
              <w:t>*Independent complaints mechanism, however is dependent on patients and/or clinicans making notifications.</w:t>
            </w:r>
          </w:p>
        </w:tc>
      </w:tr>
      <w:tr w:rsidR="009C14E0" w:rsidRPr="00F441ED" w14:paraId="79F6332F" w14:textId="77777777" w:rsidTr="00F51348">
        <w:tc>
          <w:tcPr>
            <w:tcW w:w="1418" w:type="dxa"/>
          </w:tcPr>
          <w:p w14:paraId="1C54E2AE" w14:textId="77777777" w:rsidR="009709E6" w:rsidRPr="0007458C" w:rsidRDefault="009709E6" w:rsidP="009709E6">
            <w:pPr>
              <w:pStyle w:val="BodyText"/>
              <w:spacing w:before="0" w:after="0"/>
              <w:rPr>
                <w:sz w:val="13"/>
                <w:szCs w:val="13"/>
              </w:rPr>
            </w:pPr>
            <w:r w:rsidRPr="0007458C">
              <w:rPr>
                <w:sz w:val="13"/>
                <w:szCs w:val="13"/>
              </w:rPr>
              <w:t>Additional Notes</w:t>
            </w:r>
          </w:p>
        </w:tc>
        <w:tc>
          <w:tcPr>
            <w:tcW w:w="850" w:type="dxa"/>
          </w:tcPr>
          <w:p w14:paraId="57AE41AA" w14:textId="77777777" w:rsidR="009709E6" w:rsidRPr="0007458C" w:rsidRDefault="009709E6" w:rsidP="009709E6">
            <w:pPr>
              <w:pStyle w:val="BodyText"/>
              <w:spacing w:before="0" w:after="0"/>
              <w:rPr>
                <w:bCs/>
                <w:noProof/>
                <w:sz w:val="13"/>
                <w:szCs w:val="13"/>
                <w14:numSpacing w14:val="default"/>
              </w:rPr>
            </w:pPr>
          </w:p>
        </w:tc>
        <w:tc>
          <w:tcPr>
            <w:tcW w:w="1843" w:type="dxa"/>
          </w:tcPr>
          <w:p w14:paraId="30897F11" w14:textId="77777777" w:rsidR="009709E6" w:rsidRPr="0007458C" w:rsidRDefault="009709E6" w:rsidP="009709E6">
            <w:pPr>
              <w:pStyle w:val="BodyText"/>
              <w:spacing w:before="0" w:after="0"/>
              <w:rPr>
                <w:bCs/>
                <w:noProof/>
                <w:sz w:val="13"/>
                <w:szCs w:val="13"/>
                <w14:numSpacing w14:val="default"/>
              </w:rPr>
            </w:pPr>
          </w:p>
        </w:tc>
        <w:tc>
          <w:tcPr>
            <w:tcW w:w="2268" w:type="dxa"/>
          </w:tcPr>
          <w:p w14:paraId="42BC0234" w14:textId="14926C27" w:rsidR="009709E6" w:rsidRPr="0007458C" w:rsidRDefault="009709E6" w:rsidP="009709E6">
            <w:pPr>
              <w:pStyle w:val="BodyText"/>
              <w:spacing w:before="0" w:after="0"/>
              <w:rPr>
                <w:bCs/>
                <w:noProof/>
                <w:sz w:val="13"/>
                <w:szCs w:val="13"/>
                <w14:numSpacing w14:val="default"/>
              </w:rPr>
            </w:pPr>
          </w:p>
        </w:tc>
        <w:tc>
          <w:tcPr>
            <w:tcW w:w="2126" w:type="dxa"/>
          </w:tcPr>
          <w:p w14:paraId="5BCDE9B3" w14:textId="33E7AD49" w:rsidR="009709E6" w:rsidRPr="0007458C" w:rsidRDefault="009709E6" w:rsidP="009709E6">
            <w:pPr>
              <w:pStyle w:val="BodyText"/>
              <w:spacing w:before="0" w:after="0"/>
              <w:rPr>
                <w:bCs/>
                <w:noProof/>
                <w:sz w:val="13"/>
                <w:szCs w:val="13"/>
                <w14:numSpacing w14:val="default"/>
              </w:rPr>
            </w:pPr>
            <w:r w:rsidRPr="0007458C">
              <w:rPr>
                <w:bCs/>
                <w:noProof/>
                <w:sz w:val="13"/>
                <w:szCs w:val="13"/>
                <w14:numSpacing w14:val="default"/>
              </w:rPr>
              <w:t>*Lack of feasible mechanism identified, and potential unintended consequences on workforce.</w:t>
            </w:r>
          </w:p>
        </w:tc>
        <w:tc>
          <w:tcPr>
            <w:tcW w:w="1985" w:type="dxa"/>
          </w:tcPr>
          <w:p w14:paraId="79B4F51A" w14:textId="3EC662ED" w:rsidR="009709E6" w:rsidRPr="0007458C" w:rsidRDefault="009709E6" w:rsidP="009709E6">
            <w:pPr>
              <w:pStyle w:val="BodyText"/>
              <w:spacing w:before="0" w:after="0"/>
              <w:rPr>
                <w:bCs/>
                <w:noProof/>
                <w:sz w:val="13"/>
                <w:szCs w:val="13"/>
                <w14:numSpacing w14:val="default"/>
              </w:rPr>
            </w:pPr>
          </w:p>
        </w:tc>
        <w:tc>
          <w:tcPr>
            <w:tcW w:w="2551" w:type="dxa"/>
          </w:tcPr>
          <w:p w14:paraId="7F88EE2C" w14:textId="634F7128" w:rsidR="009709E6" w:rsidRPr="0007458C" w:rsidRDefault="009709E6" w:rsidP="009709E6">
            <w:pPr>
              <w:pStyle w:val="BodyText"/>
              <w:spacing w:before="0" w:after="0"/>
              <w:rPr>
                <w:bCs/>
                <w:noProof/>
                <w:sz w:val="13"/>
                <w:szCs w:val="13"/>
                <w14:numSpacing w14:val="default"/>
              </w:rPr>
            </w:pPr>
            <w:r w:rsidRPr="0007458C">
              <w:rPr>
                <w:bCs/>
                <w:noProof/>
                <w:sz w:val="13"/>
                <w:szCs w:val="13"/>
                <w14:numSpacing w14:val="default"/>
              </w:rPr>
              <w:t>Strongest level of regulatory intervention creates additional costs for stakeholders and the potential for unintended consequences. Please refer to Chapter 8.</w:t>
            </w:r>
          </w:p>
        </w:tc>
      </w:tr>
    </w:tbl>
    <w:p w14:paraId="7DD3F8B9" w14:textId="77777777" w:rsidR="00200DFF" w:rsidRDefault="00200DFF" w:rsidP="00E22350">
      <w:pPr>
        <w:pStyle w:val="BodyText"/>
        <w:sectPr w:rsidR="00200DFF" w:rsidSect="0007458C">
          <w:pgSz w:w="16838" w:h="11906" w:orient="landscape" w:code="9"/>
          <w:pgMar w:top="1531" w:right="1531" w:bottom="1531" w:left="1531" w:header="709" w:footer="709" w:gutter="0"/>
          <w:cols w:space="708"/>
          <w:docGrid w:linePitch="360"/>
        </w:sectPr>
      </w:pPr>
    </w:p>
    <w:p w14:paraId="744AE805" w14:textId="548A5DF6" w:rsidR="00BD104E" w:rsidRDefault="00BD104E" w:rsidP="00E00CF5">
      <w:pPr>
        <w:pStyle w:val="Heading1"/>
      </w:pPr>
      <w:bookmarkStart w:id="172" w:name="_Toc198138612"/>
      <w:r>
        <w:t>Who was consulted and how was their feedback incorporated?</w:t>
      </w:r>
      <w:bookmarkEnd w:id="172"/>
    </w:p>
    <w:tbl>
      <w:tblPr>
        <w:tblStyle w:val="TableGrid"/>
        <w:tblW w:w="0" w:type="auto"/>
        <w:tblLook w:val="04A0" w:firstRow="1" w:lastRow="0" w:firstColumn="1" w:lastColumn="0" w:noHBand="0" w:noVBand="1"/>
      </w:tblPr>
      <w:tblGrid>
        <w:gridCol w:w="8834"/>
      </w:tblGrid>
      <w:tr w:rsidR="00BD104E" w:rsidRPr="00B07078" w14:paraId="2A8B1D42" w14:textId="77777777" w:rsidTr="00972F5E">
        <w:tc>
          <w:tcPr>
            <w:tcW w:w="8834" w:type="dxa"/>
            <w:vAlign w:val="center"/>
          </w:tcPr>
          <w:p w14:paraId="1BCD7CBA" w14:textId="1479CB5D" w:rsidR="0005367E" w:rsidRPr="0005367E" w:rsidRDefault="0005367E" w:rsidP="00A3448F">
            <w:pPr>
              <w:pStyle w:val="ListBullet"/>
              <w:numPr>
                <w:ilvl w:val="0"/>
                <w:numId w:val="0"/>
              </w:numPr>
              <w:ind w:left="360" w:hanging="360"/>
              <w:rPr>
                <w:b/>
                <w:bCs/>
              </w:rPr>
            </w:pPr>
            <w:bookmarkStart w:id="173" w:name="_Hlk172789676"/>
            <w:r w:rsidRPr="0005367E">
              <w:rPr>
                <w:b/>
                <w:bCs/>
              </w:rPr>
              <w:t>Chapter summary</w:t>
            </w:r>
          </w:p>
          <w:p w14:paraId="7BA15D80" w14:textId="4BF7B03D" w:rsidR="00112B71" w:rsidRDefault="00112B71" w:rsidP="00A3448F">
            <w:pPr>
              <w:pStyle w:val="ListBullet"/>
            </w:pPr>
            <w:bookmarkStart w:id="174" w:name="_Hlk193271763"/>
            <w:r>
              <w:t>Consultation for this Decision RIS took place across two phases</w:t>
            </w:r>
            <w:r w:rsidR="00251D2E">
              <w:t xml:space="preserve">, as per </w:t>
            </w:r>
            <w:r w:rsidR="00150484">
              <w:t>the request of the decision-maker (HMM).</w:t>
            </w:r>
            <w:r w:rsidR="00060B04">
              <w:t xml:space="preserve"> </w:t>
            </w:r>
            <w:r w:rsidR="004A700C">
              <w:t xml:space="preserve">The first phase was conducted </w:t>
            </w:r>
            <w:r w:rsidR="00CC67E3">
              <w:t xml:space="preserve">to support the development of the Decision RIS. </w:t>
            </w:r>
            <w:r w:rsidR="007919F8">
              <w:t>Following consideration of the Decision RIS at HMM in August</w:t>
            </w:r>
            <w:r w:rsidR="002559CA">
              <w:t xml:space="preserve"> 2024, an additional consultation scope was requested.</w:t>
            </w:r>
          </w:p>
          <w:p w14:paraId="5D016CDB" w14:textId="191326D5" w:rsidR="00822665" w:rsidRDefault="00822665" w:rsidP="00A3448F">
            <w:pPr>
              <w:pStyle w:val="ListBullet"/>
            </w:pPr>
            <w:r>
              <w:t>Collectively, the consultation process engaged s</w:t>
            </w:r>
            <w:r w:rsidRPr="00CC6F7B">
              <w:t xml:space="preserve">takeholder </w:t>
            </w:r>
            <w:r>
              <w:t>groups included</w:t>
            </w:r>
            <w:r w:rsidRPr="00CC6F7B">
              <w:t xml:space="preserve"> Commonwealth and State and Territory Government, Practitioner Professional Bodies (PPBs); professional/regulatory associations and authorities; hearing providers</w:t>
            </w:r>
            <w:r>
              <w:t xml:space="preserve"> (private and public)</w:t>
            </w:r>
            <w:r w:rsidRPr="00CC6F7B">
              <w:t xml:space="preserve">; </w:t>
            </w:r>
            <w:r>
              <w:t xml:space="preserve">the </w:t>
            </w:r>
            <w:r w:rsidRPr="00CC6F7B">
              <w:t xml:space="preserve">academic sector; </w:t>
            </w:r>
            <w:r>
              <w:t>the</w:t>
            </w:r>
            <w:r w:rsidRPr="00CC6F7B">
              <w:t xml:space="preserve"> </w:t>
            </w:r>
            <w:r>
              <w:t xml:space="preserve">insurance industry; </w:t>
            </w:r>
            <w:r w:rsidRPr="00CC6F7B">
              <w:t>audiologists</w:t>
            </w:r>
            <w:r>
              <w:t>,</w:t>
            </w:r>
            <w:r w:rsidRPr="00CC6F7B">
              <w:t xml:space="preserve"> and consumers.</w:t>
            </w:r>
          </w:p>
          <w:p w14:paraId="18C6F9EA" w14:textId="7ED5C980" w:rsidR="004E1A11" w:rsidRDefault="008F4BD9" w:rsidP="00A3448F">
            <w:pPr>
              <w:pStyle w:val="ListBullet"/>
            </w:pPr>
            <w:r>
              <w:t xml:space="preserve">In </w:t>
            </w:r>
            <w:r w:rsidR="00F709EF">
              <w:t>Consultation Phase 1</w:t>
            </w:r>
            <w:r w:rsidR="007C6AAF">
              <w:t xml:space="preserve">, </w:t>
            </w:r>
            <w:r w:rsidR="0052382A" w:rsidRPr="0052382A">
              <w:t>a targeted consultation strategy</w:t>
            </w:r>
            <w:r w:rsidR="002018F8">
              <w:t xml:space="preserve"> was employed</w:t>
            </w:r>
            <w:r w:rsidR="0052382A" w:rsidRPr="0052382A">
              <w:t xml:space="preserve">. This involved one-on-one semi-structured interviews and focus groups with parties most directly affected by the proposal as well as the inclusion of a public submission process hosted on the Queensland Health website. </w:t>
            </w:r>
            <w:r w:rsidR="004E1A11">
              <w:t>The</w:t>
            </w:r>
            <w:r w:rsidR="008266B9">
              <w:t xml:space="preserve"> project conducted 28 interviews and 2 focus groups and received 289 public submissions. </w:t>
            </w:r>
          </w:p>
          <w:p w14:paraId="63BE072F" w14:textId="6AA01CB2" w:rsidR="0088532D" w:rsidRDefault="00C821E5" w:rsidP="00A3448F">
            <w:pPr>
              <w:pStyle w:val="ListBullet"/>
            </w:pPr>
            <w:r w:rsidRPr="00C821E5">
              <w:t xml:space="preserve">The option with the most support from </w:t>
            </w:r>
            <w:r w:rsidR="004E1A11">
              <w:t>Consultation Phase 1</w:t>
            </w:r>
            <w:r w:rsidRPr="00C821E5">
              <w:t xml:space="preserve"> was Option 7 - National Registration (63% of stakeholders), followed by the Status Quo (28% of stakeholders). </w:t>
            </w:r>
          </w:p>
          <w:p w14:paraId="2BA5B802" w14:textId="7B7CE268" w:rsidR="00144972" w:rsidRDefault="00144972" w:rsidP="00A3448F">
            <w:pPr>
              <w:pStyle w:val="ListBullet"/>
            </w:pPr>
            <w:r>
              <w:t xml:space="preserve">At the HMM in August 2024, Ministers agreed in-principle to the inclusion of audiology in the National Scheme, however requested additional work to be undertaken on </w:t>
            </w:r>
            <w:r w:rsidR="00500BB2">
              <w:t>issues including costs, implementation, risks and impacts on First Nations communities</w:t>
            </w:r>
            <w:r>
              <w:t>.</w:t>
            </w:r>
          </w:p>
          <w:p w14:paraId="3E4EF1CE" w14:textId="77777777" w:rsidR="00A225BB" w:rsidRDefault="00F709EF" w:rsidP="00A3448F">
            <w:pPr>
              <w:pStyle w:val="ListBullet"/>
            </w:pPr>
            <w:r>
              <w:t xml:space="preserve">In Consultation Phase 2, the Decision RIS employed a targeted consultation strategy again, however </w:t>
            </w:r>
            <w:r w:rsidR="006B41C2">
              <w:t>this was tailored to the additional consultation scope requested.</w:t>
            </w:r>
            <w:r w:rsidR="00F03608">
              <w:t xml:space="preserve"> The strategy included one-on-one semi structured interviews, as well as a public submission process</w:t>
            </w:r>
            <w:r w:rsidR="00623C8F">
              <w:t xml:space="preserve">. </w:t>
            </w:r>
            <w:r w:rsidR="00500BB2">
              <w:t xml:space="preserve">The project conducted 41 </w:t>
            </w:r>
            <w:r w:rsidR="00242F6D">
              <w:t xml:space="preserve">unique </w:t>
            </w:r>
            <w:r w:rsidR="00500BB2">
              <w:t>interviews and received 20 public submissions that contained material within scope for the Decision RIS.</w:t>
            </w:r>
            <w:r w:rsidR="00CF2CB6">
              <w:t xml:space="preserve"> </w:t>
            </w:r>
            <w:r w:rsidR="007F371C">
              <w:t>Further consultation with Ahpra was a key focus of Consultation Period 2.</w:t>
            </w:r>
            <w:bookmarkEnd w:id="174"/>
            <w:r w:rsidR="007F371C">
              <w:t xml:space="preserve"> </w:t>
            </w:r>
          </w:p>
          <w:p w14:paraId="78B3F356" w14:textId="4A65485D" w:rsidR="00920864" w:rsidRDefault="003937E0" w:rsidP="000F634A">
            <w:pPr>
              <w:pStyle w:val="ListBullet"/>
            </w:pPr>
            <w:r>
              <w:t>While option preferences were not directly re-tested with stakeholders</w:t>
            </w:r>
            <w:r w:rsidR="00A225BB">
              <w:t xml:space="preserve"> in Consultation Phase 2</w:t>
            </w:r>
            <w:r>
              <w:t xml:space="preserve">, </w:t>
            </w:r>
            <w:r w:rsidR="00822665">
              <w:t xml:space="preserve">Audiology Australia (the largest PPB) stated that </w:t>
            </w:r>
            <w:r w:rsidR="00EF423E">
              <w:t xml:space="preserve">the majority of it’s members </w:t>
            </w:r>
            <w:r w:rsidR="00E93486">
              <w:t xml:space="preserve">support </w:t>
            </w:r>
            <w:r w:rsidR="009D65B6">
              <w:t>National Registration</w:t>
            </w:r>
            <w:r w:rsidR="00A5188B">
              <w:t xml:space="preserve"> </w:t>
            </w:r>
            <w:r w:rsidR="00E93486">
              <w:t>under Ahpra if it provides clear benefits such as strengthening consumer confidence, offering protection of title and enhancing transparency.</w:t>
            </w:r>
            <w:bookmarkEnd w:id="173"/>
          </w:p>
        </w:tc>
      </w:tr>
    </w:tbl>
    <w:p w14:paraId="6A2958FE" w14:textId="77777777" w:rsidR="00F0492B" w:rsidRDefault="00F0492B" w:rsidP="00A3448F">
      <w:pPr>
        <w:pStyle w:val="BodyText"/>
        <w:rPr>
          <w:highlight w:val="yellow"/>
        </w:rPr>
      </w:pPr>
    </w:p>
    <w:p w14:paraId="184F0F72" w14:textId="77777777" w:rsidR="00F0492B" w:rsidRDefault="00F0492B">
      <w:pPr>
        <w:rPr>
          <w:kern w:val="21"/>
          <w:highlight w:val="yellow"/>
          <w:lang w:val="en-AU"/>
          <w14:numSpacing w14:val="proportional"/>
        </w:rPr>
      </w:pPr>
      <w:r>
        <w:rPr>
          <w:highlight w:val="yellow"/>
        </w:rPr>
        <w:br w:type="page"/>
      </w:r>
    </w:p>
    <w:p w14:paraId="426D16CA" w14:textId="23138DCF" w:rsidR="00F0492B" w:rsidRDefault="00F0492B" w:rsidP="00EE3AA4">
      <w:pPr>
        <w:pStyle w:val="Heading2"/>
      </w:pPr>
      <w:bookmarkStart w:id="175" w:name="_Toc198138613"/>
      <w:r>
        <w:t>Overview</w:t>
      </w:r>
      <w:bookmarkEnd w:id="175"/>
    </w:p>
    <w:p w14:paraId="7271F52D" w14:textId="1D6EDD37" w:rsidR="005F26FD" w:rsidRDefault="00C430A6" w:rsidP="00F0492B">
      <w:pPr>
        <w:pStyle w:val="BodyText"/>
      </w:pPr>
      <w:r>
        <w:t xml:space="preserve">Consultation for this Decision RIS took place across two phases, as per the request of the decision-maker (HMM). The first phase was conducted to support the development of the Decision RIS. </w:t>
      </w:r>
      <w:bookmarkStart w:id="176" w:name="_Hlk193271521"/>
      <w:r>
        <w:t>Following consideration of the Decision RIS at HMM in August 2024, an additional consultation scope was requested</w:t>
      </w:r>
      <w:r w:rsidR="005F26FD">
        <w:t xml:space="preserve">. As per the Health Workforce Taskforce, </w:t>
      </w:r>
      <w:r w:rsidR="004028CB">
        <w:t>‘</w:t>
      </w:r>
      <w:r w:rsidR="00A32225" w:rsidRPr="00972F5E">
        <w:rPr>
          <w:i/>
          <w:iCs/>
        </w:rPr>
        <w:t xml:space="preserve">Ministers agreed in-principle to inclusion of audiology in the National Registration and Accreditation Scheme, with further consultation and costings to be undertaken to inform final consideration and decision. This further work includes targeted consultation with stakeholders to consider issues including costs, implementation, risks and impacts on </w:t>
      </w:r>
      <w:r w:rsidR="00B42D2C" w:rsidRPr="00972F5E">
        <w:rPr>
          <w:i/>
          <w:iCs/>
        </w:rPr>
        <w:t>First Nations communities</w:t>
      </w:r>
      <w:r w:rsidR="00B42D2C">
        <w:t>.’</w:t>
      </w:r>
    </w:p>
    <w:bookmarkEnd w:id="176"/>
    <w:p w14:paraId="0471277B" w14:textId="78BA43F1" w:rsidR="00F0492B" w:rsidRDefault="00431804" w:rsidP="00F0492B">
      <w:pPr>
        <w:pStyle w:val="BodyText"/>
      </w:pPr>
      <w:r>
        <w:t xml:space="preserve">This chapter is structured to </w:t>
      </w:r>
      <w:r w:rsidR="00F5559C">
        <w:t>describe the purpose, process and outcomes of</w:t>
      </w:r>
      <w:r>
        <w:t>:</w:t>
      </w:r>
    </w:p>
    <w:p w14:paraId="69988BDA" w14:textId="473C201A" w:rsidR="00431804" w:rsidRDefault="00431804" w:rsidP="00431804">
      <w:pPr>
        <w:pStyle w:val="ListBullet"/>
      </w:pPr>
      <w:r>
        <w:t>Consultation Phase 1</w:t>
      </w:r>
    </w:p>
    <w:p w14:paraId="07501572" w14:textId="7F31EE00" w:rsidR="001C3F85" w:rsidRDefault="002034B9" w:rsidP="00EE3AA4">
      <w:pPr>
        <w:pStyle w:val="ListBullet"/>
      </w:pPr>
      <w:r>
        <w:t>Consultation Phase 2</w:t>
      </w:r>
      <w:r w:rsidR="00F5559C">
        <w:t>.</w:t>
      </w:r>
    </w:p>
    <w:p w14:paraId="35EE3FEC" w14:textId="6CEE26B6" w:rsidR="00BD104E" w:rsidRDefault="00F1679A" w:rsidP="00EE3AA4">
      <w:pPr>
        <w:pStyle w:val="Heading2"/>
      </w:pPr>
      <w:bookmarkStart w:id="177" w:name="_Toc198138614"/>
      <w:r>
        <w:t>Consultation Phase 1</w:t>
      </w:r>
      <w:bookmarkEnd w:id="177"/>
    </w:p>
    <w:p w14:paraId="10171D80" w14:textId="134122CB" w:rsidR="00BD104E" w:rsidRDefault="005A4B80" w:rsidP="00BD104E">
      <w:pPr>
        <w:pStyle w:val="BodyText"/>
      </w:pPr>
      <w:r w:rsidRPr="00102A6C">
        <w:t>The decision-maker (HMM) commissioned a Decision RIS</w:t>
      </w:r>
      <w:r w:rsidR="002C4DE9" w:rsidRPr="00102A6C">
        <w:t xml:space="preserve">. </w:t>
      </w:r>
      <w:r w:rsidR="00BD104E" w:rsidRPr="00102A6C">
        <w:t xml:space="preserve">As per OIA’s </w:t>
      </w:r>
      <w:r w:rsidR="00BD104E" w:rsidRPr="00102A6C">
        <w:rPr>
          <w:i/>
          <w:iCs/>
        </w:rPr>
        <w:t>Best Practice</w:t>
      </w:r>
      <w:r w:rsidR="00BD104E" w:rsidRPr="00E0328C">
        <w:rPr>
          <w:i/>
          <w:iCs/>
        </w:rPr>
        <w:t xml:space="preserve"> Consultation</w:t>
      </w:r>
      <w:r w:rsidR="00BD104E" w:rsidRPr="00DD1FCC">
        <w:rPr>
          <w:rStyle w:val="FootnoteReference"/>
        </w:rPr>
        <w:footnoteReference w:id="230"/>
      </w:r>
      <w:r w:rsidR="00BD104E">
        <w:t xml:space="preserve"> guidance note, </w:t>
      </w:r>
      <w:r w:rsidR="00CE7455">
        <w:t xml:space="preserve">the </w:t>
      </w:r>
      <w:r w:rsidR="00BD104E">
        <w:t>Decision RIS employed a targeted consultation strategy. This involved one-on-one semi-structured interviews and focus groups with parties most directly affected by the proposal as well as the inclusion of a public submission process hosted on the Queensland Health website. Targeted consultation was considered appropriate as the affected group of stakeholders are in a small business sector (the audiology profession). The purpose and objectives of the consultation process were:</w:t>
      </w:r>
    </w:p>
    <w:p w14:paraId="61D36607" w14:textId="77777777" w:rsidR="00BD104E" w:rsidRDefault="00BD104E" w:rsidP="00BD104E">
      <w:pPr>
        <w:pStyle w:val="ListBullet"/>
      </w:pPr>
      <w:r w:rsidRPr="00B00AAB">
        <w:rPr>
          <w:b/>
          <w:bCs/>
        </w:rPr>
        <w:t>Purpose</w:t>
      </w:r>
      <w:r>
        <w:t>: Inform the regulatory impact analysis undertaken, to provide a Decision RIS to HMM that clearly and transparently articulates the relevant information required to make an appropriate decision.</w:t>
      </w:r>
    </w:p>
    <w:p w14:paraId="05FE1308" w14:textId="77777777" w:rsidR="00BD104E" w:rsidRDefault="00BD104E" w:rsidP="00BD104E">
      <w:pPr>
        <w:pStyle w:val="ListBullet"/>
      </w:pPr>
      <w:r w:rsidRPr="00B00AAB">
        <w:rPr>
          <w:b/>
          <w:bCs/>
        </w:rPr>
        <w:t>Objective</w:t>
      </w:r>
      <w:r>
        <w:t>: Document key stakeholders’ views in relation to:</w:t>
      </w:r>
    </w:p>
    <w:p w14:paraId="7F2CD060" w14:textId="77777777" w:rsidR="00BD104E" w:rsidRDefault="00BD104E" w:rsidP="00BD104E">
      <w:pPr>
        <w:pStyle w:val="BulletList2Column"/>
      </w:pPr>
      <w:r>
        <w:t>the identified problems that have prompted consideration of non-regulatory or regulatory intervention</w:t>
      </w:r>
    </w:p>
    <w:p w14:paraId="7542F519" w14:textId="77777777" w:rsidR="00BD104E" w:rsidRDefault="00BD104E" w:rsidP="00BD104E">
      <w:pPr>
        <w:pStyle w:val="BulletList2Column"/>
      </w:pPr>
      <w:r>
        <w:t>the ability of different regulatory options to solve or reduce the likelihood/consequence of the problems identified</w:t>
      </w:r>
    </w:p>
    <w:p w14:paraId="24C1B499" w14:textId="77777777" w:rsidR="00BD104E" w:rsidRDefault="00BD104E" w:rsidP="00BD104E">
      <w:pPr>
        <w:pStyle w:val="BulletList2Column"/>
      </w:pPr>
      <w:r>
        <w:t xml:space="preserve">identification/quantification of benefits and costs of different regulatory options </w:t>
      </w:r>
    </w:p>
    <w:p w14:paraId="363A1671" w14:textId="77777777" w:rsidR="00BD104E" w:rsidRDefault="00BD104E" w:rsidP="00BD104E">
      <w:pPr>
        <w:pStyle w:val="BulletList2Column"/>
      </w:pPr>
      <w:r>
        <w:t>perceptions of the practical impacts or unintended effects of different regulatory options</w:t>
      </w:r>
    </w:p>
    <w:p w14:paraId="6D7BC41D" w14:textId="77777777" w:rsidR="00BD104E" w:rsidRDefault="00BD104E" w:rsidP="00BD104E">
      <w:pPr>
        <w:pStyle w:val="BulletList2Column"/>
      </w:pPr>
      <w:r>
        <w:t>concerns or advice in relation to implementation considerations.</w:t>
      </w:r>
    </w:p>
    <w:p w14:paraId="401F8F49" w14:textId="77777777" w:rsidR="00BD104E" w:rsidRPr="000371FE" w:rsidRDefault="00BD104E" w:rsidP="00BD104E">
      <w:pPr>
        <w:pStyle w:val="HeadingA"/>
      </w:pPr>
      <w:r w:rsidRPr="000371FE">
        <w:t>Public Consultation Period</w:t>
      </w:r>
    </w:p>
    <w:p w14:paraId="15C8BC03" w14:textId="77777777" w:rsidR="00BD104E" w:rsidRDefault="00BD104E" w:rsidP="00BD104E">
      <w:pPr>
        <w:pStyle w:val="BodyText"/>
      </w:pPr>
      <w:r>
        <w:t xml:space="preserve">Email correspondence began from 1 May 2024 to a broad stakeholder list, informing them of the imminent consultation period. This broad list contained both stakeholders intended to be invited for an interview or focus group, as well as other stakeholders considered important to be informed ahead of the public submission period. </w:t>
      </w:r>
    </w:p>
    <w:p w14:paraId="50E1866C" w14:textId="77777777" w:rsidR="00BD104E" w:rsidRDefault="00BD104E" w:rsidP="00BD104E">
      <w:pPr>
        <w:pStyle w:val="BodyText"/>
      </w:pPr>
      <w:r>
        <w:t xml:space="preserve">Invitations for interviews and focus groups were distributed from 3 May 2024, including a Consultation Paper which was developed to support the consultation process. Consultations were approximately one hour in length. </w:t>
      </w:r>
    </w:p>
    <w:p w14:paraId="76EEB413" w14:textId="3A059C75" w:rsidR="00BD104E" w:rsidRDefault="00BD104E" w:rsidP="00BD104E">
      <w:pPr>
        <w:pStyle w:val="BodyText"/>
      </w:pPr>
      <w:r>
        <w:t xml:space="preserve">The public submission process was hosted on the Queensland Health website, commencing 13 May 2024. Supported by the Consultation Paper, respondents were invited to either complete an online form (including the Consultation Paper questions) or to provide their responses to the project email inbox. Stakeholder groups independently promoted participation in the public submission process, including links featured on the </w:t>
      </w:r>
      <w:r w:rsidR="003A3619">
        <w:t>AudA</w:t>
      </w:r>
      <w:r>
        <w:t xml:space="preserve"> and Deafness Forum Australia websites. </w:t>
      </w:r>
    </w:p>
    <w:p w14:paraId="3E7F2ABF" w14:textId="77777777" w:rsidR="00BD104E" w:rsidRDefault="00BD104E" w:rsidP="00BD104E">
      <w:pPr>
        <w:pStyle w:val="BodyText"/>
      </w:pPr>
      <w:r>
        <w:t>The scheduled closure of the public submissions was Friday 31 May 2024. However, due to a technical process issue the public submission link was not able to be removed from the Queensland Health website until Tuesday 4 June 2024. During the time between the scheduled closure date and the removal of the survey link, the project received more than 130 public submissions. Out of respect for stakeholder’s time and their desire to engage with the process, the project team accepted all responses for inclusion.</w:t>
      </w:r>
    </w:p>
    <w:p w14:paraId="2F97C651" w14:textId="77777777" w:rsidR="00BD104E" w:rsidRPr="00DA3E81" w:rsidRDefault="00BD104E" w:rsidP="00BD104E">
      <w:pPr>
        <w:pStyle w:val="HeadingA"/>
      </w:pPr>
      <w:r w:rsidRPr="00DA3E81">
        <w:t>Additional Consultation Details</w:t>
      </w:r>
    </w:p>
    <w:p w14:paraId="6C9FDE99" w14:textId="77777777" w:rsidR="00BD104E" w:rsidRDefault="00BD104E" w:rsidP="00BD104E">
      <w:pPr>
        <w:pStyle w:val="BodyText"/>
      </w:pPr>
      <w:r>
        <w:t>The following consultation details are noted:</w:t>
      </w:r>
    </w:p>
    <w:p w14:paraId="4C2B973B" w14:textId="77777777" w:rsidR="00BD104E" w:rsidRDefault="00BD104E" w:rsidP="00BD104E">
      <w:pPr>
        <w:pStyle w:val="ListBullet"/>
      </w:pPr>
      <w:r>
        <w:t>A small number of stakeholders received an extension on the timeframe for public submissions. Extensions were granted:</w:t>
      </w:r>
    </w:p>
    <w:p w14:paraId="3F5591D1" w14:textId="77777777" w:rsidR="00BD104E" w:rsidRDefault="00BD104E" w:rsidP="00BD104E">
      <w:pPr>
        <w:pStyle w:val="BulletList2Column"/>
      </w:pPr>
      <w:r>
        <w:t>in all cases where a stakeholder made an individual request for an extension</w:t>
      </w:r>
    </w:p>
    <w:p w14:paraId="50C7E188" w14:textId="77777777" w:rsidR="00BD104E" w:rsidRDefault="00BD104E" w:rsidP="00BD104E">
      <w:pPr>
        <w:pStyle w:val="BulletList2Column"/>
      </w:pPr>
      <w:r>
        <w:t>when a stakeholder did not attend a scheduled stakeholder interview</w:t>
      </w:r>
    </w:p>
    <w:p w14:paraId="1F23F9BF" w14:textId="77777777" w:rsidR="00BD104E" w:rsidRDefault="00BD104E" w:rsidP="00BD104E">
      <w:pPr>
        <w:pStyle w:val="BulletList2Column"/>
      </w:pPr>
      <w:r>
        <w:t>to increase participation from consumers.</w:t>
      </w:r>
    </w:p>
    <w:p w14:paraId="4230D7F9" w14:textId="77777777" w:rsidR="00BD104E" w:rsidRDefault="00BD104E" w:rsidP="00BD104E">
      <w:pPr>
        <w:pStyle w:val="ListBullet"/>
      </w:pPr>
      <w:r>
        <w:t>For a number of stakeholders, as a result of their interview or public submission contribution:</w:t>
      </w:r>
    </w:p>
    <w:p w14:paraId="66DA3F26" w14:textId="77777777" w:rsidR="00BD104E" w:rsidRDefault="00BD104E" w:rsidP="00BD104E">
      <w:pPr>
        <w:pStyle w:val="BulletList2Column"/>
      </w:pPr>
      <w:r>
        <w:t xml:space="preserve">follow-up requests were sent for clarification/confirmation of certain points </w:t>
      </w:r>
    </w:p>
    <w:p w14:paraId="5DB590E2" w14:textId="77777777" w:rsidR="00BD104E" w:rsidRDefault="00BD104E" w:rsidP="00BD104E">
      <w:pPr>
        <w:pStyle w:val="BulletList2Column"/>
      </w:pPr>
      <w:r>
        <w:t>additional information was requested to support the impact analysis</w:t>
      </w:r>
    </w:p>
    <w:p w14:paraId="19842684" w14:textId="77777777" w:rsidR="00BD104E" w:rsidRDefault="00BD104E" w:rsidP="00BD104E">
      <w:pPr>
        <w:pStyle w:val="BulletList2Column"/>
      </w:pPr>
      <w:r>
        <w:t>supplementary meetings were held with additional stakeholders identified as relevant.</w:t>
      </w:r>
    </w:p>
    <w:p w14:paraId="7DC64574" w14:textId="77777777" w:rsidR="00BD104E" w:rsidRDefault="00BD104E" w:rsidP="00BD104E">
      <w:pPr>
        <w:pStyle w:val="BodyText"/>
      </w:pPr>
      <w:r>
        <w:t>This process occurred throughout the consultation period. Due to the volume of public submissions received at the end of the consultation period, clarifications in relation to information received was required to continue into June in order to support a clearer understanding of stakeholder views and improved data for impact analysis.</w:t>
      </w:r>
    </w:p>
    <w:p w14:paraId="3A63797D" w14:textId="77777777" w:rsidR="00BD104E" w:rsidRDefault="00BD104E" w:rsidP="00BD104E">
      <w:pPr>
        <w:pStyle w:val="BodyText"/>
      </w:pPr>
      <w:r>
        <w:t>Overall, stakeholder engagement across all three methods (interview, focus group and public submission) was designed to encompass:</w:t>
      </w:r>
    </w:p>
    <w:p w14:paraId="15387E1D" w14:textId="77777777" w:rsidR="00BD104E" w:rsidRDefault="00BD104E" w:rsidP="00BD104E">
      <w:pPr>
        <w:pStyle w:val="ListBullet"/>
      </w:pPr>
      <w:r w:rsidRPr="00384884">
        <w:rPr>
          <w:b/>
          <w:bCs/>
        </w:rPr>
        <w:t>Sector</w:t>
      </w:r>
      <w:r>
        <w:t>: Hospital; Community</w:t>
      </w:r>
    </w:p>
    <w:p w14:paraId="334ADFE0" w14:textId="77777777" w:rsidR="00BD104E" w:rsidRDefault="00BD104E" w:rsidP="00BD104E">
      <w:pPr>
        <w:pStyle w:val="ListBullet"/>
      </w:pPr>
      <w:r w:rsidRPr="00384884">
        <w:rPr>
          <w:b/>
          <w:bCs/>
        </w:rPr>
        <w:t>Patient Cohort</w:t>
      </w:r>
      <w:r>
        <w:t>: Newborn; Child; Adult; Older Persons</w:t>
      </w:r>
    </w:p>
    <w:p w14:paraId="5A7B56D6" w14:textId="77777777" w:rsidR="00BD104E" w:rsidRDefault="00BD104E" w:rsidP="00BD104E">
      <w:pPr>
        <w:pStyle w:val="ListBullet"/>
      </w:pPr>
      <w:r w:rsidRPr="00384884">
        <w:rPr>
          <w:b/>
          <w:bCs/>
        </w:rPr>
        <w:t>Location</w:t>
      </w:r>
      <w:r>
        <w:t>: Metropolitan; Regional; Rural/Remote</w:t>
      </w:r>
    </w:p>
    <w:p w14:paraId="48BF2E00" w14:textId="77777777" w:rsidR="00BD104E" w:rsidRDefault="00BD104E" w:rsidP="00BD104E">
      <w:pPr>
        <w:pStyle w:val="ListBullet"/>
      </w:pPr>
      <w:r w:rsidRPr="004E35EF">
        <w:rPr>
          <w:b/>
          <w:bCs/>
        </w:rPr>
        <w:t>Ownership Type</w:t>
      </w:r>
      <w:r>
        <w:t>: Government; Non-Government Organisation; Private Practice</w:t>
      </w:r>
    </w:p>
    <w:p w14:paraId="6954A32B" w14:textId="77777777" w:rsidR="00BD104E" w:rsidRDefault="00BD104E" w:rsidP="00BD104E">
      <w:pPr>
        <w:pStyle w:val="ListBullet"/>
      </w:pPr>
      <w:r w:rsidRPr="009F578A">
        <w:rPr>
          <w:b/>
          <w:bCs/>
        </w:rPr>
        <w:t>Cultural Group Focus</w:t>
      </w:r>
      <w:r>
        <w:t>: Nil Stated; Indigenous; Culturally and Linguistically Diverse (CALD)</w:t>
      </w:r>
    </w:p>
    <w:p w14:paraId="6F049B69" w14:textId="77777777" w:rsidR="00BD104E" w:rsidRDefault="00BD104E" w:rsidP="00BD104E">
      <w:pPr>
        <w:pStyle w:val="ListBullet"/>
      </w:pPr>
      <w:r w:rsidRPr="009F578A">
        <w:rPr>
          <w:b/>
          <w:bCs/>
        </w:rPr>
        <w:t>Jurisdiction</w:t>
      </w:r>
      <w:r>
        <w:t>: National; State/Territory.</w:t>
      </w:r>
    </w:p>
    <w:p w14:paraId="1ECAEF7A" w14:textId="77777777" w:rsidR="00BD104E" w:rsidRDefault="00BD104E" w:rsidP="00BD104E">
      <w:pPr>
        <w:pStyle w:val="BodyText"/>
      </w:pPr>
      <w:r>
        <w:t>Stakeholder groups included Commonwealth and State and Territory Government, Practitioner Professional Bodies (PPBs); professional/regulatory associations and authorities; hearing providers; academic sector; audiologists and consumers.</w:t>
      </w:r>
    </w:p>
    <w:p w14:paraId="6A51D730" w14:textId="77777777" w:rsidR="00BD104E" w:rsidRDefault="00BD104E" w:rsidP="00BD104E">
      <w:pPr>
        <w:pStyle w:val="Heading2"/>
      </w:pPr>
      <w:bookmarkStart w:id="178" w:name="_Toc171324712"/>
      <w:bookmarkStart w:id="179" w:name="_Toc198138615"/>
      <w:r>
        <w:t>Consultation outcomes</w:t>
      </w:r>
      <w:bookmarkEnd w:id="178"/>
      <w:bookmarkEnd w:id="179"/>
    </w:p>
    <w:p w14:paraId="60B92B4C" w14:textId="1DC73D76" w:rsidR="00BD104E" w:rsidRDefault="00BD104E" w:rsidP="00BD104E">
      <w:pPr>
        <w:pStyle w:val="BodyText"/>
      </w:pPr>
      <w:r w:rsidRPr="00524AC4">
        <w:t xml:space="preserve">The project conducted 28 interviews and 2 focus groups and received 289 public submissions. Stakeholders were invited to submit a public submission in addition to their interview or focus group participation if they wished to do so. A summary of public submission responses by stakeholder type is contained in </w:t>
      </w:r>
      <w:r>
        <w:fldChar w:fldCharType="begin"/>
      </w:r>
      <w:r>
        <w:instrText xml:space="preserve"> REF _Ref172036271 \h </w:instrText>
      </w:r>
      <w:r>
        <w:fldChar w:fldCharType="separate"/>
      </w:r>
      <w:r w:rsidR="00F32107">
        <w:t xml:space="preserve">Table </w:t>
      </w:r>
      <w:r w:rsidR="00F32107">
        <w:rPr>
          <w:noProof/>
        </w:rPr>
        <w:t>6</w:t>
      </w:r>
      <w:r w:rsidR="00F32107">
        <w:t>.</w:t>
      </w:r>
      <w:r w:rsidR="00F32107">
        <w:rPr>
          <w:noProof/>
        </w:rPr>
        <w:t>1</w:t>
      </w:r>
      <w:r>
        <w:fldChar w:fldCharType="end"/>
      </w:r>
      <w:r w:rsidRPr="00524AC4">
        <w:t>. Public submission respondents who completed the online form could decline to provide an email address. In total, 202 responses were from individuals who were anonymous or whose stakeholder type could not be identified</w:t>
      </w:r>
      <w:r>
        <w:t>.</w:t>
      </w:r>
      <w:r w:rsidR="00DF550A">
        <w:t xml:space="preserve"> </w:t>
      </w:r>
      <w:r w:rsidR="003A1430">
        <w:t xml:space="preserve">Of the total number of </w:t>
      </w:r>
      <w:r w:rsidR="005666BA">
        <w:t xml:space="preserve">public submissions, 162 </w:t>
      </w:r>
      <w:r w:rsidR="00ED74F2">
        <w:t xml:space="preserve">responses provided a vote </w:t>
      </w:r>
      <w:r w:rsidR="005B67E0">
        <w:t>on the preferred option but nil other feedback on the questions asked.</w:t>
      </w:r>
    </w:p>
    <w:p w14:paraId="3ABEDACD" w14:textId="654AE578" w:rsidR="00BD104E" w:rsidRPr="008F7337" w:rsidRDefault="00BD104E" w:rsidP="00F77B35">
      <w:pPr>
        <w:pStyle w:val="Caption"/>
        <w:keepNext/>
      </w:pPr>
      <w:bookmarkStart w:id="180" w:name="_Ref172036271"/>
      <w:r>
        <w:t xml:space="preserve">Table </w:t>
      </w:r>
      <w:fldSimple w:instr=" STYLEREF 1 \s ">
        <w:r w:rsidR="00F32107">
          <w:rPr>
            <w:noProof/>
          </w:rPr>
          <w:t>6</w:t>
        </w:r>
      </w:fldSimple>
      <w:r w:rsidR="008944FB">
        <w:t>.</w:t>
      </w:r>
      <w:fldSimple w:instr=" SEQ Table \* ARABIC \s 1 ">
        <w:r w:rsidR="00F32107">
          <w:rPr>
            <w:noProof/>
          </w:rPr>
          <w:t>1</w:t>
        </w:r>
      </w:fldSimple>
      <w:bookmarkEnd w:id="180"/>
      <w:r>
        <w:t xml:space="preserve"> Number of public submissions</w:t>
      </w:r>
    </w:p>
    <w:tbl>
      <w:tblPr>
        <w:tblStyle w:val="BodyTable"/>
        <w:tblW w:w="0" w:type="auto"/>
        <w:tblLook w:val="04A0" w:firstRow="1" w:lastRow="0" w:firstColumn="1" w:lastColumn="0" w:noHBand="0" w:noVBand="1"/>
      </w:tblPr>
      <w:tblGrid>
        <w:gridCol w:w="3119"/>
        <w:gridCol w:w="1276"/>
        <w:gridCol w:w="2693"/>
      </w:tblGrid>
      <w:tr w:rsidR="00BD104E" w14:paraId="5EE60B77" w14:textId="77777777">
        <w:trPr>
          <w:cnfStyle w:val="100000000000" w:firstRow="1" w:lastRow="0" w:firstColumn="0" w:lastColumn="0" w:oddVBand="0" w:evenVBand="0" w:oddHBand="0" w:evenHBand="0" w:firstRowFirstColumn="0" w:firstRowLastColumn="0" w:lastRowFirstColumn="0" w:lastRowLastColumn="0"/>
        </w:trPr>
        <w:tc>
          <w:tcPr>
            <w:tcW w:w="3119" w:type="dxa"/>
          </w:tcPr>
          <w:p w14:paraId="46DCBC4B" w14:textId="77777777" w:rsidR="00BD104E" w:rsidRPr="00CF6843" w:rsidRDefault="00BD104E">
            <w:pPr>
              <w:keepNext/>
              <w:spacing w:line="276" w:lineRule="auto"/>
              <w:ind w:left="0" w:right="0"/>
              <w:rPr>
                <w:b/>
                <w:bCs/>
                <w:color w:val="3A3E3E" w:themeColor="background2" w:themeShade="40"/>
                <w:sz w:val="16"/>
                <w:szCs w:val="16"/>
              </w:rPr>
            </w:pPr>
            <w:r w:rsidRPr="00CF6843">
              <w:rPr>
                <w:b/>
                <w:bCs/>
                <w:color w:val="3A3E3E" w:themeColor="background2" w:themeShade="40"/>
                <w:sz w:val="16"/>
                <w:szCs w:val="16"/>
              </w:rPr>
              <w:t>Type of respondent</w:t>
            </w:r>
          </w:p>
        </w:tc>
        <w:tc>
          <w:tcPr>
            <w:tcW w:w="1276" w:type="dxa"/>
          </w:tcPr>
          <w:p w14:paraId="1D307093" w14:textId="77777777" w:rsidR="00BD104E" w:rsidRPr="00CF6843" w:rsidRDefault="00BD104E">
            <w:pPr>
              <w:keepNext/>
              <w:spacing w:line="276" w:lineRule="auto"/>
              <w:ind w:left="0" w:right="0"/>
              <w:jc w:val="right"/>
              <w:rPr>
                <w:b/>
                <w:bCs/>
                <w:color w:val="3A3E3E" w:themeColor="background2" w:themeShade="40"/>
                <w:sz w:val="16"/>
                <w:szCs w:val="16"/>
              </w:rPr>
            </w:pPr>
            <w:r w:rsidRPr="00CF6843">
              <w:rPr>
                <w:b/>
                <w:bCs/>
                <w:color w:val="3A3E3E" w:themeColor="background2" w:themeShade="40"/>
                <w:sz w:val="16"/>
                <w:szCs w:val="16"/>
              </w:rPr>
              <w:t xml:space="preserve">Submissions </w:t>
            </w:r>
          </w:p>
        </w:tc>
        <w:tc>
          <w:tcPr>
            <w:tcW w:w="2693" w:type="dxa"/>
          </w:tcPr>
          <w:p w14:paraId="665B7D62" w14:textId="77777777" w:rsidR="00BD104E" w:rsidRPr="00CF6843" w:rsidRDefault="00BD104E">
            <w:pPr>
              <w:keepNext/>
              <w:spacing w:line="276" w:lineRule="auto"/>
              <w:ind w:left="0" w:right="0"/>
              <w:jc w:val="right"/>
              <w:rPr>
                <w:b/>
                <w:bCs/>
                <w:color w:val="3A3E3E" w:themeColor="background2" w:themeShade="40"/>
                <w:sz w:val="16"/>
                <w:szCs w:val="16"/>
              </w:rPr>
            </w:pPr>
            <w:r w:rsidRPr="00CF6843">
              <w:rPr>
                <w:b/>
                <w:bCs/>
                <w:color w:val="3A3E3E" w:themeColor="background2" w:themeShade="40"/>
                <w:sz w:val="16"/>
                <w:szCs w:val="16"/>
              </w:rPr>
              <w:t>Proportion of respondents (%)</w:t>
            </w:r>
          </w:p>
        </w:tc>
      </w:tr>
      <w:tr w:rsidR="00BD104E" w14:paraId="6313B132" w14:textId="77777777">
        <w:tc>
          <w:tcPr>
            <w:tcW w:w="3119" w:type="dxa"/>
          </w:tcPr>
          <w:p w14:paraId="3A52BF87"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Unidentifiable/Anonymous</w:t>
            </w:r>
          </w:p>
        </w:tc>
        <w:tc>
          <w:tcPr>
            <w:tcW w:w="1276" w:type="dxa"/>
          </w:tcPr>
          <w:p w14:paraId="138A7C15" w14:textId="53B1E519"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20</w:t>
            </w:r>
            <w:r w:rsidR="00FE7912">
              <w:rPr>
                <w:color w:val="3A3E3E" w:themeColor="background2" w:themeShade="40"/>
                <w:sz w:val="16"/>
                <w:szCs w:val="16"/>
              </w:rPr>
              <w:t>1</w:t>
            </w:r>
          </w:p>
        </w:tc>
        <w:tc>
          <w:tcPr>
            <w:tcW w:w="2693" w:type="dxa"/>
          </w:tcPr>
          <w:p w14:paraId="42C6E388"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70%</w:t>
            </w:r>
          </w:p>
        </w:tc>
      </w:tr>
      <w:tr w:rsidR="00BD104E" w14:paraId="62B465F7" w14:textId="77777777">
        <w:tc>
          <w:tcPr>
            <w:tcW w:w="3119" w:type="dxa"/>
          </w:tcPr>
          <w:p w14:paraId="0581AE5F"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Private sector</w:t>
            </w:r>
          </w:p>
        </w:tc>
        <w:tc>
          <w:tcPr>
            <w:tcW w:w="1276" w:type="dxa"/>
          </w:tcPr>
          <w:p w14:paraId="5B0B38DE"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45</w:t>
            </w:r>
          </w:p>
        </w:tc>
        <w:tc>
          <w:tcPr>
            <w:tcW w:w="2693" w:type="dxa"/>
          </w:tcPr>
          <w:p w14:paraId="58918BFE"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16%</w:t>
            </w:r>
          </w:p>
        </w:tc>
      </w:tr>
      <w:tr w:rsidR="00BD104E" w14:paraId="1FA57507" w14:textId="77777777">
        <w:tc>
          <w:tcPr>
            <w:tcW w:w="3119" w:type="dxa"/>
          </w:tcPr>
          <w:p w14:paraId="3DB894A4"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 xml:space="preserve">Public sector </w:t>
            </w:r>
          </w:p>
        </w:tc>
        <w:tc>
          <w:tcPr>
            <w:tcW w:w="1276" w:type="dxa"/>
          </w:tcPr>
          <w:p w14:paraId="6D2B1E3C"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19</w:t>
            </w:r>
          </w:p>
        </w:tc>
        <w:tc>
          <w:tcPr>
            <w:tcW w:w="2693" w:type="dxa"/>
          </w:tcPr>
          <w:p w14:paraId="2A33C8A7"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7%</w:t>
            </w:r>
          </w:p>
        </w:tc>
      </w:tr>
      <w:tr w:rsidR="00BD104E" w14:paraId="564A52E4" w14:textId="77777777">
        <w:tc>
          <w:tcPr>
            <w:tcW w:w="3119" w:type="dxa"/>
          </w:tcPr>
          <w:p w14:paraId="29875686"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 xml:space="preserve">Professional associations </w:t>
            </w:r>
          </w:p>
        </w:tc>
        <w:tc>
          <w:tcPr>
            <w:tcW w:w="1276" w:type="dxa"/>
          </w:tcPr>
          <w:p w14:paraId="480F295F"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8</w:t>
            </w:r>
          </w:p>
        </w:tc>
        <w:tc>
          <w:tcPr>
            <w:tcW w:w="2693" w:type="dxa"/>
          </w:tcPr>
          <w:p w14:paraId="08B3016C"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3%</w:t>
            </w:r>
          </w:p>
        </w:tc>
      </w:tr>
      <w:tr w:rsidR="00BD104E" w14:paraId="752ECA9D" w14:textId="77777777">
        <w:tc>
          <w:tcPr>
            <w:tcW w:w="3119" w:type="dxa"/>
          </w:tcPr>
          <w:p w14:paraId="7C5AD9AE"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Academic sector</w:t>
            </w:r>
          </w:p>
        </w:tc>
        <w:tc>
          <w:tcPr>
            <w:tcW w:w="1276" w:type="dxa"/>
          </w:tcPr>
          <w:p w14:paraId="445DD4C8"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4</w:t>
            </w:r>
          </w:p>
        </w:tc>
        <w:tc>
          <w:tcPr>
            <w:tcW w:w="2693" w:type="dxa"/>
          </w:tcPr>
          <w:p w14:paraId="5EB8DE23"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1%</w:t>
            </w:r>
          </w:p>
        </w:tc>
      </w:tr>
      <w:tr w:rsidR="00BD104E" w14:paraId="1C56DEEE" w14:textId="77777777">
        <w:tc>
          <w:tcPr>
            <w:tcW w:w="3119" w:type="dxa"/>
          </w:tcPr>
          <w:p w14:paraId="1F1FEA70"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Consumers</w:t>
            </w:r>
          </w:p>
        </w:tc>
        <w:tc>
          <w:tcPr>
            <w:tcW w:w="1276" w:type="dxa"/>
          </w:tcPr>
          <w:p w14:paraId="267198D7" w14:textId="092186F5" w:rsidR="00BD104E" w:rsidRPr="00CF6843" w:rsidRDefault="00F76AA7">
            <w:pPr>
              <w:keepNext/>
              <w:spacing w:line="276" w:lineRule="auto"/>
              <w:ind w:left="0" w:right="0"/>
              <w:jc w:val="right"/>
              <w:rPr>
                <w:color w:val="3A3E3E" w:themeColor="background2" w:themeShade="40"/>
                <w:sz w:val="16"/>
                <w:szCs w:val="16"/>
              </w:rPr>
            </w:pPr>
            <w:r>
              <w:rPr>
                <w:color w:val="3A3E3E" w:themeColor="background2" w:themeShade="40"/>
                <w:sz w:val="16"/>
                <w:szCs w:val="16"/>
              </w:rPr>
              <w:t>5</w:t>
            </w:r>
          </w:p>
        </w:tc>
        <w:tc>
          <w:tcPr>
            <w:tcW w:w="2693" w:type="dxa"/>
          </w:tcPr>
          <w:p w14:paraId="6F0134E3"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2%</w:t>
            </w:r>
          </w:p>
        </w:tc>
      </w:tr>
      <w:tr w:rsidR="00BD104E" w14:paraId="53640189" w14:textId="77777777">
        <w:tc>
          <w:tcPr>
            <w:tcW w:w="3119" w:type="dxa"/>
          </w:tcPr>
          <w:p w14:paraId="4BB30AAE" w14:textId="77777777" w:rsidR="00BD104E" w:rsidRPr="00CF6843" w:rsidRDefault="00BD104E">
            <w:pPr>
              <w:keepNext/>
              <w:spacing w:line="276" w:lineRule="auto"/>
              <w:ind w:left="0" w:right="0"/>
              <w:rPr>
                <w:color w:val="3A3E3E" w:themeColor="background2" w:themeShade="40"/>
                <w:sz w:val="16"/>
                <w:szCs w:val="16"/>
              </w:rPr>
            </w:pPr>
            <w:r w:rsidRPr="00CF6843">
              <w:rPr>
                <w:color w:val="3A3E3E" w:themeColor="background2" w:themeShade="40"/>
                <w:sz w:val="16"/>
                <w:szCs w:val="16"/>
              </w:rPr>
              <w:t xml:space="preserve">Other </w:t>
            </w:r>
          </w:p>
        </w:tc>
        <w:tc>
          <w:tcPr>
            <w:tcW w:w="1276" w:type="dxa"/>
          </w:tcPr>
          <w:p w14:paraId="2EAD9439"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7</w:t>
            </w:r>
          </w:p>
        </w:tc>
        <w:tc>
          <w:tcPr>
            <w:tcW w:w="2693" w:type="dxa"/>
          </w:tcPr>
          <w:p w14:paraId="541C0E78" w14:textId="77777777" w:rsidR="00BD104E" w:rsidRPr="00CF6843" w:rsidRDefault="00BD104E">
            <w:pPr>
              <w:keepNext/>
              <w:spacing w:line="276" w:lineRule="auto"/>
              <w:ind w:left="0" w:right="0"/>
              <w:jc w:val="right"/>
              <w:rPr>
                <w:color w:val="3A3E3E" w:themeColor="background2" w:themeShade="40"/>
                <w:sz w:val="16"/>
                <w:szCs w:val="16"/>
              </w:rPr>
            </w:pPr>
            <w:r w:rsidRPr="00CF6843">
              <w:rPr>
                <w:color w:val="3A3E3E" w:themeColor="background2" w:themeShade="40"/>
                <w:sz w:val="16"/>
                <w:szCs w:val="16"/>
              </w:rPr>
              <w:t>2%</w:t>
            </w:r>
          </w:p>
        </w:tc>
      </w:tr>
    </w:tbl>
    <w:p w14:paraId="3E9BCCD8" w14:textId="77777777" w:rsidR="00BD104E" w:rsidRPr="00F46A1B" w:rsidRDefault="00BD104E" w:rsidP="00BD104E">
      <w:pPr>
        <w:pStyle w:val="BodyText"/>
        <w:rPr>
          <w:color w:val="7F7F7F" w:themeColor="text1" w:themeTint="80"/>
          <w:sz w:val="14"/>
          <w:szCs w:val="14"/>
        </w:rPr>
      </w:pPr>
      <w:r w:rsidRPr="00F46A1B">
        <w:rPr>
          <w:color w:val="7F7F7F" w:themeColor="text1" w:themeTint="80"/>
          <w:sz w:val="14"/>
          <w:szCs w:val="14"/>
        </w:rPr>
        <w:t>Note: Proportions do not add to 100% due to rounding.</w:t>
      </w:r>
    </w:p>
    <w:p w14:paraId="7A0E5FC5" w14:textId="77777777" w:rsidR="00BD104E" w:rsidRDefault="00BD104E" w:rsidP="00BD104E">
      <w:pPr>
        <w:pStyle w:val="BodyText"/>
      </w:pPr>
      <w:r>
        <w:t>Overall, the consultation period provided a material set of additional information in relation to:</w:t>
      </w:r>
    </w:p>
    <w:p w14:paraId="147CF896" w14:textId="77777777" w:rsidR="00BD104E" w:rsidRDefault="00BD104E" w:rsidP="00BD104E">
      <w:pPr>
        <w:pStyle w:val="ListBullet"/>
      </w:pPr>
      <w:r>
        <w:t>the current state (context)</w:t>
      </w:r>
    </w:p>
    <w:p w14:paraId="19595B40" w14:textId="77777777" w:rsidR="00BD104E" w:rsidRDefault="00BD104E" w:rsidP="00BD104E">
      <w:pPr>
        <w:pStyle w:val="ListBullet"/>
      </w:pPr>
      <w:r>
        <w:t>views on harms occurring in the current state</w:t>
      </w:r>
    </w:p>
    <w:p w14:paraId="140E680A" w14:textId="77777777" w:rsidR="00BD104E" w:rsidRDefault="00BD104E" w:rsidP="00BD104E">
      <w:pPr>
        <w:pStyle w:val="ListBullet"/>
      </w:pPr>
      <w:r>
        <w:t>the feasibility and/or impact of different options</w:t>
      </w:r>
    </w:p>
    <w:p w14:paraId="07BA0D8B" w14:textId="77777777" w:rsidR="00BD104E" w:rsidRDefault="00BD104E" w:rsidP="00BD104E">
      <w:pPr>
        <w:pStyle w:val="ListBullet"/>
      </w:pPr>
      <w:r>
        <w:t>practical concerns and/or perceived unintended consequences of different options.</w:t>
      </w:r>
    </w:p>
    <w:p w14:paraId="28EF7DB1" w14:textId="2614E5B6" w:rsidR="00E266E5" w:rsidRDefault="00BD104E" w:rsidP="00972F5E">
      <w:pPr>
        <w:pStyle w:val="BodyText"/>
      </w:pPr>
      <w:r>
        <w:t xml:space="preserve">Consultation findings have been incorporated throughout the document (i.e. principal views, key areas of agreement and dissent, and modifications to the proposal). </w:t>
      </w:r>
      <w:bookmarkStart w:id="181" w:name="_Ref172369334"/>
    </w:p>
    <w:p w14:paraId="12CC22F7" w14:textId="5A5C7B35" w:rsidR="00BD104E" w:rsidRDefault="00BD104E" w:rsidP="00BD104E">
      <w:pPr>
        <w:pStyle w:val="Heading2"/>
      </w:pPr>
      <w:bookmarkStart w:id="182" w:name="_Ref193805964"/>
      <w:bookmarkStart w:id="183" w:name="_Toc198138616"/>
      <w:r>
        <w:t>Scope considerations</w:t>
      </w:r>
      <w:bookmarkEnd w:id="181"/>
      <w:bookmarkEnd w:id="182"/>
      <w:bookmarkEnd w:id="183"/>
    </w:p>
    <w:p w14:paraId="33418955" w14:textId="77777777" w:rsidR="00BD104E" w:rsidRDefault="00BD104E" w:rsidP="00BD104E">
      <w:pPr>
        <w:pStyle w:val="BodyText"/>
      </w:pPr>
      <w:r>
        <w:t>Throughout the consultation period, strong (though not unanimous) feedback was received that audiologists and audiometrists should be subject to a consistent regulatory approach. Feedback included views that:</w:t>
      </w:r>
    </w:p>
    <w:p w14:paraId="743E48E8" w14:textId="3044A21E" w:rsidR="00BD104E" w:rsidRDefault="00BD104E" w:rsidP="00BD104E">
      <w:pPr>
        <w:pStyle w:val="ListBullet"/>
      </w:pPr>
      <w:r>
        <w:t>both audiologists and audiometrists are part of the “audiology profession”, and are thus considered in-scope by definition</w:t>
      </w:r>
    </w:p>
    <w:p w14:paraId="147FF3FB" w14:textId="77777777" w:rsidR="00BD104E" w:rsidRDefault="00BD104E" w:rsidP="00BD104E">
      <w:pPr>
        <w:pStyle w:val="ListBullet"/>
      </w:pPr>
      <w:r>
        <w:t>separate regulation for the two workforces would produce negative consequences.</w:t>
      </w:r>
    </w:p>
    <w:p w14:paraId="0BBF95DD" w14:textId="77777777" w:rsidR="00BD104E" w:rsidRDefault="00BD104E" w:rsidP="00BD104E">
      <w:pPr>
        <w:pStyle w:val="BodyText"/>
      </w:pPr>
      <w:r>
        <w:t xml:space="preserve">This feedback has been acknowledged in the development of the Decision RIS. In relation to the first set of views, title protection and scope of practice are key elements of the policy problem discussed for consideration. Variation in stakeholder views has been summarised in the relevant section. In relation to the second set of views, key impacts of different options on the audiometrist workforce have been included where they were expressed as part of stakeholder consultation (i.e. in the description of the problem and impact analysis). </w:t>
      </w:r>
    </w:p>
    <w:p w14:paraId="480E10A4" w14:textId="77777777" w:rsidR="00361975" w:rsidRPr="00626AB8" w:rsidRDefault="00361975" w:rsidP="00170E47">
      <w:pPr>
        <w:pStyle w:val="Heading2"/>
      </w:pPr>
      <w:bookmarkStart w:id="184" w:name="_Toc198138617"/>
      <w:r>
        <w:t xml:space="preserve">Summary of </w:t>
      </w:r>
      <w:r w:rsidRPr="00C93616">
        <w:t>consultation</w:t>
      </w:r>
      <w:r>
        <w:t xml:space="preserve"> findings</w:t>
      </w:r>
      <w:bookmarkEnd w:id="184"/>
    </w:p>
    <w:p w14:paraId="5EA134E0" w14:textId="77777777" w:rsidR="00361975" w:rsidRDefault="00361975" w:rsidP="00361975">
      <w:pPr>
        <w:pStyle w:val="BodyText"/>
      </w:pPr>
      <w:r>
        <w:t xml:space="preserve">As stated in Chapter 1, the consultation process provided a material set of additional information in relation to the elements of this Decision RIS. </w:t>
      </w:r>
    </w:p>
    <w:p w14:paraId="69765249" w14:textId="5AB0907E" w:rsidR="00361975" w:rsidRDefault="00361975" w:rsidP="00361975">
      <w:pPr>
        <w:pStyle w:val="BodyText"/>
      </w:pPr>
      <w:r w:rsidRPr="00DC1518">
        <w:rPr>
          <w:b/>
          <w:bCs/>
        </w:rPr>
        <w:t>What is the policy problem?</w:t>
      </w:r>
      <w:r>
        <w:t xml:space="preserve"> Overall, there was clear acknowledgement across stakeholders of the serious nature of the harms described in the public sector reports. However, there was some disagreement regarding how representative these reports were of issues within the profession. One set of stakeholders viewed these events as occurring within a small part of audiology’s scope of practice (public sector </w:t>
      </w:r>
      <w:r w:rsidRPr="00C83C6B">
        <w:t>paediatric diagnostic audiology and cochlear implant care services</w:t>
      </w:r>
      <w:r>
        <w:t xml:space="preserve">), and driven by organisation-level problems and site-specific factors. A separate set of stakeholders raised concerns that underling causal factors associated with these high-profile instances of sub-standard care might be present elsewhere. Stakeholders </w:t>
      </w:r>
      <w:r w:rsidR="00885436">
        <w:t>raised additional</w:t>
      </w:r>
      <w:r>
        <w:t xml:space="preserve"> concerns in relation to problems occurring in the private sector, where close to 90% of the profession practises. The problem statements were ultimately refined from the Consultation Paper to reflect:</w:t>
      </w:r>
    </w:p>
    <w:p w14:paraId="7B3F9D59" w14:textId="12B73302" w:rsidR="00361975" w:rsidRDefault="00361975" w:rsidP="00361975">
      <w:pPr>
        <w:pStyle w:val="ListBullet"/>
      </w:pPr>
      <w:r>
        <w:t xml:space="preserve">views on causes (e.g., </w:t>
      </w:r>
      <w:r w:rsidR="00914592">
        <w:t>lack of profession-level goods such as clinical guidance documentation</w:t>
      </w:r>
      <w:r>
        <w:t>)</w:t>
      </w:r>
    </w:p>
    <w:p w14:paraId="52844F93" w14:textId="77777777" w:rsidR="00361975" w:rsidRDefault="00361975" w:rsidP="00361975">
      <w:pPr>
        <w:pStyle w:val="ListBullet"/>
      </w:pPr>
      <w:r>
        <w:t>views on a broader set of harms observed to be occurring in the private sector</w:t>
      </w:r>
    </w:p>
    <w:p w14:paraId="38ED9823" w14:textId="77777777" w:rsidR="00361975" w:rsidRDefault="00361975" w:rsidP="00361975">
      <w:pPr>
        <w:pStyle w:val="ListBullet"/>
      </w:pPr>
      <w:r>
        <w:t>views that the delivery of audiology services is heavily influenced by organisational pressures in both the public and private sector.</w:t>
      </w:r>
    </w:p>
    <w:p w14:paraId="225BA6E2" w14:textId="64C7128C" w:rsidR="00361975" w:rsidRPr="007B2497" w:rsidRDefault="00361975" w:rsidP="00361975">
      <w:pPr>
        <w:pStyle w:val="BodyText"/>
        <w:rPr>
          <w:b/>
          <w:bCs/>
        </w:rPr>
      </w:pPr>
      <w:r w:rsidRPr="007B2497">
        <w:rPr>
          <w:b/>
          <w:bCs/>
        </w:rPr>
        <w:t>What policy options are to be considered?</w:t>
      </w:r>
      <w:r w:rsidRPr="0060016B">
        <w:t xml:space="preserve"> </w:t>
      </w:r>
      <w:r>
        <w:t>Stakeholder feedback on the current state and longlisted options identified that mandatory current clinical certification (rather than mandatory PPB membership) was the more relevant approach to signal currency of clinical skills.</w:t>
      </w:r>
      <w:r w:rsidRPr="007B2497">
        <w:rPr>
          <w:b/>
          <w:bCs/>
        </w:rPr>
        <w:t xml:space="preserve"> </w:t>
      </w:r>
      <w:r>
        <w:t xml:space="preserve">For stakeholders that broadly supported retaining the current state, feedback was also provided in relation to government funding proposals for competency development that had been submitted but not received funding. As a result of this feedback, an amended option was included for the impact analysis of Strengthened Status Quo (jurisdictional </w:t>
      </w:r>
      <w:r w:rsidR="00CF27A7">
        <w:t xml:space="preserve">mandatory </w:t>
      </w:r>
      <w:r>
        <w:t xml:space="preserve">current clinical certification of public sector audiologists and uplift </w:t>
      </w:r>
      <w:r w:rsidR="005E45AA">
        <w:t xml:space="preserve">in </w:t>
      </w:r>
      <w:r>
        <w:t xml:space="preserve">CPD). </w:t>
      </w:r>
      <w:r w:rsidR="00066694">
        <w:t>R</w:t>
      </w:r>
      <w:r>
        <w:t>egarding targeted regulation of paediatric diagnostic and cochlear implant care services</w:t>
      </w:r>
      <w:r w:rsidR="00066694">
        <w:t>,</w:t>
      </w:r>
      <w:r w:rsidR="000975CD">
        <w:t xml:space="preserve"> </w:t>
      </w:r>
      <w:r w:rsidR="007F59EA">
        <w:t>feedback found</w:t>
      </w:r>
      <w:r>
        <w:t xml:space="preserve"> low support </w:t>
      </w:r>
      <w:r w:rsidR="00E56762">
        <w:t>for this option</w:t>
      </w:r>
      <w:r w:rsidR="00A928D9">
        <w:t xml:space="preserve">, </w:t>
      </w:r>
      <w:r w:rsidR="00E56762">
        <w:t xml:space="preserve">particularly among </w:t>
      </w:r>
      <w:r w:rsidR="00381D73">
        <w:t xml:space="preserve">stakeholders </w:t>
      </w:r>
      <w:r w:rsidR="004A6E8B">
        <w:t>with a clinical background</w:t>
      </w:r>
      <w:r w:rsidR="00E56762">
        <w:t xml:space="preserve">. </w:t>
      </w:r>
      <w:r w:rsidR="00275204">
        <w:t>Reasons provided included</w:t>
      </w:r>
      <w:r>
        <w:t xml:space="preserve"> a lack of an available regulatory mechanism (e.g., a common funding source), and feasibility concerns in practice. This shortlisted option was thus not progressed through impact analysis.</w:t>
      </w:r>
    </w:p>
    <w:p w14:paraId="258E94AC" w14:textId="5FB39DBE" w:rsidR="003542A3" w:rsidRDefault="00361975" w:rsidP="00361975">
      <w:pPr>
        <w:pStyle w:val="BodyText"/>
      </w:pPr>
      <w:r w:rsidRPr="007B2497">
        <w:rPr>
          <w:b/>
          <w:bCs/>
        </w:rPr>
        <w:t>What is the best option from those considered?</w:t>
      </w:r>
      <w:r>
        <w:t xml:space="preserve"> The option with the most support from the public consultation process was </w:t>
      </w:r>
      <w:r w:rsidR="0011696E">
        <w:t xml:space="preserve">Option 7 - </w:t>
      </w:r>
      <w:r w:rsidR="00A2137D">
        <w:t>National Registration</w:t>
      </w:r>
      <w:r w:rsidR="008945C7">
        <w:t xml:space="preserve"> (</w:t>
      </w:r>
      <w:r w:rsidR="00312804">
        <w:t>63% of stakeholders), followed by the Status Quo (</w:t>
      </w:r>
      <w:r w:rsidR="003542A3">
        <w:t>28% of stakeholders)</w:t>
      </w:r>
      <w:r>
        <w:t xml:space="preserve">. </w:t>
      </w:r>
      <w:r w:rsidR="00670D8A">
        <w:t>The</w:t>
      </w:r>
      <w:r w:rsidR="00BA6699">
        <w:t xml:space="preserve"> </w:t>
      </w:r>
      <w:r w:rsidR="00482773">
        <w:t xml:space="preserve">‘Strengthened Status Quo’ </w:t>
      </w:r>
      <w:r w:rsidR="00BA6699">
        <w:t>option was</w:t>
      </w:r>
      <w:r w:rsidR="00FD2E13">
        <w:t xml:space="preserve"> </w:t>
      </w:r>
      <w:r w:rsidR="00482773">
        <w:t>included after the consultation process concluded</w:t>
      </w:r>
      <w:r w:rsidR="00FD2E13">
        <w:t xml:space="preserve">, </w:t>
      </w:r>
      <w:r w:rsidR="00BA6699">
        <w:t xml:space="preserve">and thus </w:t>
      </w:r>
      <w:r w:rsidR="00F9783D">
        <w:t>was not able to be tested with stakeholder</w:t>
      </w:r>
      <w:r w:rsidR="00670D8A">
        <w:t>s</w:t>
      </w:r>
      <w:r w:rsidR="00F9783D">
        <w:t xml:space="preserve"> in a similar manner</w:t>
      </w:r>
      <w:r w:rsidR="00482773">
        <w:t>.</w:t>
      </w:r>
    </w:p>
    <w:p w14:paraId="3B87468D" w14:textId="28AD6D91" w:rsidR="001279C1" w:rsidRDefault="001279C1" w:rsidP="001279C1">
      <w:pPr>
        <w:pStyle w:val="Caption"/>
        <w:keepNext/>
      </w:pPr>
      <w:r>
        <w:t xml:space="preserve">Figure </w:t>
      </w:r>
      <w:fldSimple w:instr=" STYLEREF 1 \s ">
        <w:r w:rsidR="00F32107">
          <w:rPr>
            <w:noProof/>
          </w:rPr>
          <w:t>6</w:t>
        </w:r>
      </w:fldSimple>
      <w:r w:rsidR="00222D06">
        <w:t>.</w:t>
      </w:r>
      <w:fldSimple w:instr=" SEQ Figure \* ARABIC \s 1 ">
        <w:r w:rsidR="00F32107">
          <w:rPr>
            <w:noProof/>
          </w:rPr>
          <w:t>1</w:t>
        </w:r>
      </w:fldSimple>
      <w:r>
        <w:t xml:space="preserve"> Public </w:t>
      </w:r>
      <w:r w:rsidR="006033F0">
        <w:t>submission</w:t>
      </w:r>
      <w:r>
        <w:t xml:space="preserve"> outcomes</w:t>
      </w:r>
    </w:p>
    <w:p w14:paraId="40A40F2F" w14:textId="3C9DF6D5" w:rsidR="003371BF" w:rsidRDefault="0048102B" w:rsidP="00361975">
      <w:pPr>
        <w:pStyle w:val="BodyText"/>
      </w:pPr>
      <w:r w:rsidRPr="0048102B">
        <w:t xml:space="preserve"> </w:t>
      </w:r>
      <w:r w:rsidRPr="0048102B">
        <w:rPr>
          <w:noProof/>
          <w:lang w:eastAsia="en-AU"/>
        </w:rPr>
        <w:drawing>
          <wp:inline distT="0" distB="0" distL="0" distR="0" wp14:anchorId="20B414D4" wp14:editId="5FA6EE17">
            <wp:extent cx="5615940" cy="4034790"/>
            <wp:effectExtent l="0" t="0" r="3810" b="3810"/>
            <wp:docPr id="450827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5940" cy="4034790"/>
                    </a:xfrm>
                    <a:prstGeom prst="rect">
                      <a:avLst/>
                    </a:prstGeom>
                    <a:noFill/>
                    <a:ln>
                      <a:noFill/>
                    </a:ln>
                  </pic:spPr>
                </pic:pic>
              </a:graphicData>
            </a:graphic>
          </wp:inline>
        </w:drawing>
      </w:r>
    </w:p>
    <w:p w14:paraId="633992A4" w14:textId="0CCCF81D" w:rsidR="00974168" w:rsidRPr="00F16A6F" w:rsidRDefault="00974168" w:rsidP="00361975">
      <w:pPr>
        <w:pStyle w:val="BodyText"/>
        <w:rPr>
          <w:sz w:val="14"/>
          <w:szCs w:val="14"/>
        </w:rPr>
      </w:pPr>
      <w:r w:rsidRPr="00F16A6F">
        <w:rPr>
          <w:sz w:val="14"/>
          <w:szCs w:val="14"/>
        </w:rPr>
        <w:t xml:space="preserve">Note: </w:t>
      </w:r>
      <w:r w:rsidR="009D03CC" w:rsidRPr="00F16A6F">
        <w:rPr>
          <w:sz w:val="14"/>
          <w:szCs w:val="14"/>
        </w:rPr>
        <w:t xml:space="preserve">Following an </w:t>
      </w:r>
      <w:r w:rsidR="00593C1C" w:rsidRPr="00F16A6F">
        <w:rPr>
          <w:sz w:val="14"/>
          <w:szCs w:val="14"/>
        </w:rPr>
        <w:t>assessment of duplicate IP addresses, 25 responses were removed</w:t>
      </w:r>
      <w:r w:rsidR="009737A6" w:rsidRPr="00F16A6F">
        <w:rPr>
          <w:sz w:val="14"/>
          <w:szCs w:val="14"/>
        </w:rPr>
        <w:t xml:space="preserve"> from </w:t>
      </w:r>
      <w:r w:rsidR="00F16A6F" w:rsidRPr="00F16A6F">
        <w:rPr>
          <w:sz w:val="14"/>
          <w:szCs w:val="14"/>
        </w:rPr>
        <w:t>the calculation of this graph</w:t>
      </w:r>
      <w:r w:rsidR="009737A6" w:rsidRPr="00F16A6F">
        <w:rPr>
          <w:sz w:val="14"/>
          <w:szCs w:val="14"/>
        </w:rPr>
        <w:t xml:space="preserve">. </w:t>
      </w:r>
    </w:p>
    <w:p w14:paraId="5B3B72B4" w14:textId="6D32C376" w:rsidR="00A64AC9" w:rsidRDefault="00FB27BB" w:rsidP="00361975">
      <w:pPr>
        <w:pStyle w:val="BodyText"/>
      </w:pPr>
      <w:r>
        <w:t xml:space="preserve">The </w:t>
      </w:r>
      <w:r w:rsidR="00377098">
        <w:t xml:space="preserve">Decision RIS has considered the </w:t>
      </w:r>
      <w:r w:rsidR="00C71FC2">
        <w:t>treatment of unidentified stakeholder feedback as follows:</w:t>
      </w:r>
    </w:p>
    <w:p w14:paraId="362C7BDB" w14:textId="7EF47E49" w:rsidR="00C71FC2" w:rsidRDefault="008A68AF" w:rsidP="00557BE7">
      <w:pPr>
        <w:pStyle w:val="ListBullet"/>
      </w:pPr>
      <w:r>
        <w:t>G</w:t>
      </w:r>
      <w:r w:rsidR="00AD0C0F">
        <w:t xml:space="preserve">iven the sensitive nature of the </w:t>
      </w:r>
      <w:r w:rsidR="00DA3D61">
        <w:t>issues under consideration, equal treatment has been given to identified and unidentified stakeholder</w:t>
      </w:r>
      <w:r w:rsidR="000C3BC0">
        <w:t xml:space="preserve"> input</w:t>
      </w:r>
      <w:r w:rsidR="00DA3D61">
        <w:t xml:space="preserve"> in the development of the current state, problem </w:t>
      </w:r>
      <w:r w:rsidR="000C3BC0">
        <w:t xml:space="preserve">statements, </w:t>
      </w:r>
      <w:r>
        <w:t>feasibility/impact considerations</w:t>
      </w:r>
      <w:r w:rsidR="000C3BC0">
        <w:t xml:space="preserve"> and impact analysis (with appropriate caveats</w:t>
      </w:r>
      <w:r>
        <w:t xml:space="preserve">). </w:t>
      </w:r>
    </w:p>
    <w:p w14:paraId="2EFC659C" w14:textId="09A19FA0" w:rsidR="00557BE7" w:rsidRDefault="00557BE7" w:rsidP="00557BE7">
      <w:pPr>
        <w:pStyle w:val="ListBullet"/>
      </w:pPr>
      <w:r>
        <w:t xml:space="preserve">In relation to the preferred option, </w:t>
      </w:r>
      <w:r w:rsidR="00FE5815">
        <w:t>this Decision RIS is unable to discern potential stakeholder biases</w:t>
      </w:r>
      <w:r w:rsidR="00687B39">
        <w:t xml:space="preserve">, particularly for respondents who provided a preferred option and nil additional information. </w:t>
      </w:r>
      <w:r w:rsidR="00B80C61">
        <w:t xml:space="preserve">It is considered likely that the audiology workforce (and </w:t>
      </w:r>
      <w:r w:rsidR="00384DAA">
        <w:t>audiometry workforce) is a large component of unidentified responses</w:t>
      </w:r>
      <w:r w:rsidR="008A2CBD">
        <w:t xml:space="preserve"> due to the </w:t>
      </w:r>
      <w:r w:rsidR="006B26DA">
        <w:t xml:space="preserve">strong sectoral interest in this Decision RIS. </w:t>
      </w:r>
    </w:p>
    <w:p w14:paraId="64373EE3" w14:textId="74D94981" w:rsidR="00AF6C8D" w:rsidRDefault="0070084D" w:rsidP="00557BE7">
      <w:pPr>
        <w:pStyle w:val="ListBullet"/>
      </w:pPr>
      <w:r>
        <w:t xml:space="preserve">Overall, the preferred option from </w:t>
      </w:r>
      <w:r w:rsidR="00FF7873">
        <w:t>public submissions</w:t>
      </w:r>
      <w:r>
        <w:t xml:space="preserve"> </w:t>
      </w:r>
      <w:r w:rsidR="00DF71FB">
        <w:t xml:space="preserve">is considered </w:t>
      </w:r>
      <w:r w:rsidR="00FF7873">
        <w:t xml:space="preserve">as </w:t>
      </w:r>
      <w:r w:rsidR="00DF71FB">
        <w:t>one input in the overall</w:t>
      </w:r>
      <w:r w:rsidR="00FF7873">
        <w:t xml:space="preserve"> impact analysis</w:t>
      </w:r>
      <w:r w:rsidR="00193A49">
        <w:t xml:space="preserve"> alongside with information presented in Chapters 7 and 8.</w:t>
      </w:r>
    </w:p>
    <w:p w14:paraId="311DE413" w14:textId="12BF1335" w:rsidR="00361975" w:rsidRDefault="00361975" w:rsidP="00361975">
      <w:pPr>
        <w:pStyle w:val="BodyText"/>
      </w:pPr>
      <w:r>
        <w:t>It is</w:t>
      </w:r>
      <w:r w:rsidR="00193A49">
        <w:t xml:space="preserve"> additionally</w:t>
      </w:r>
      <w:r>
        <w:t xml:space="preserve"> noted with caution that some of the stakeholder feedback provided in support of </w:t>
      </w:r>
      <w:r w:rsidR="00E21E68">
        <w:t>N</w:t>
      </w:r>
      <w:r w:rsidR="00A2137D">
        <w:t xml:space="preserve">ational </w:t>
      </w:r>
      <w:r w:rsidR="00E21E68">
        <w:t>R</w:t>
      </w:r>
      <w:r w:rsidR="00A2137D">
        <w:t>egistration</w:t>
      </w:r>
      <w:r>
        <w:t xml:space="preserve"> appeared to be either at odds with </w:t>
      </w:r>
      <w:r w:rsidR="001358EA">
        <w:t>Ahpra</w:t>
      </w:r>
      <w:r>
        <w:t>’s defined powers (specifically in relation to investigating business practices), or is contingent upon a series of policy decisions that would need to be made at a future date. Specifically, these decisions include:</w:t>
      </w:r>
    </w:p>
    <w:p w14:paraId="62C37AAD" w14:textId="66DD6B43" w:rsidR="00361975" w:rsidRDefault="00361975" w:rsidP="00361975">
      <w:pPr>
        <w:pStyle w:val="ListBullet"/>
      </w:pPr>
      <w:r>
        <w:t xml:space="preserve">whether any elements of audiology’s scope of practice meet the criteria to be defined as a restricted act in the National Law (as </w:t>
      </w:r>
      <w:r w:rsidR="001358EA">
        <w:t>Ahpra</w:t>
      </w:r>
      <w:r>
        <w:t xml:space="preserve"> does not otherwise define scope of practice)</w:t>
      </w:r>
    </w:p>
    <w:p w14:paraId="00462D85" w14:textId="77777777" w:rsidR="00361975" w:rsidRDefault="00361975" w:rsidP="00361975">
      <w:pPr>
        <w:pStyle w:val="ListBullet"/>
      </w:pPr>
      <w:r>
        <w:t>what words and phrases will be considered part of audiologist’s protected title.</w:t>
      </w:r>
    </w:p>
    <w:p w14:paraId="3EB3D959" w14:textId="75393E13" w:rsidR="00DF3026" w:rsidRDefault="00DF3026" w:rsidP="00DF3026">
      <w:pPr>
        <w:pStyle w:val="Heading2"/>
      </w:pPr>
      <w:bookmarkStart w:id="185" w:name="_Toc198138618"/>
      <w:r>
        <w:t>Additional options from consultation</w:t>
      </w:r>
      <w:bookmarkEnd w:id="185"/>
    </w:p>
    <w:p w14:paraId="14A613EF" w14:textId="77777777" w:rsidR="00DF3026" w:rsidRDefault="00DF3026" w:rsidP="00DF3026">
      <w:pPr>
        <w:pStyle w:val="BodyText"/>
      </w:pPr>
      <w:r>
        <w:t>A range of stakeholders provided additional options for consideration. These included:</w:t>
      </w:r>
    </w:p>
    <w:p w14:paraId="4257812E" w14:textId="6063CB24" w:rsidR="00DF3026" w:rsidRDefault="00DF3026" w:rsidP="00DF3026">
      <w:pPr>
        <w:pStyle w:val="ListBullet"/>
      </w:pPr>
      <w:r w:rsidRPr="00FE65D5">
        <w:rPr>
          <w:b/>
          <w:bCs/>
        </w:rPr>
        <w:t>Establishment of a National Taskforce to set minimum national standards for paediatric cochlear implant care</w:t>
      </w:r>
      <w:r>
        <w:t xml:space="preserve">. Section </w:t>
      </w:r>
      <w:r>
        <w:fldChar w:fldCharType="begin"/>
      </w:r>
      <w:r>
        <w:instrText xml:space="preserve"> REF _Ref170133404 \r \h  \* MERGEFORMAT </w:instrText>
      </w:r>
      <w:r>
        <w:fldChar w:fldCharType="separate"/>
      </w:r>
      <w:r w:rsidR="00F32107">
        <w:t>5.2.1</w:t>
      </w:r>
      <w:r>
        <w:fldChar w:fldCharType="end"/>
      </w:r>
      <w:r>
        <w:t xml:space="preserve"> </w:t>
      </w:r>
      <w:r w:rsidR="008C0AB5">
        <w:t>describes</w:t>
      </w:r>
      <w:r>
        <w:t xml:space="preserve"> current work being undertaken in </w:t>
      </w:r>
      <w:r w:rsidR="00A943D6">
        <w:t>this space</w:t>
      </w:r>
      <w:r>
        <w:t>, noting that establishment of a National Taskforce requires a stated commitment from HMM.</w:t>
      </w:r>
      <w:r w:rsidR="008C0AB5">
        <w:t xml:space="preserve"> Due to the current work in progress, this was not </w:t>
      </w:r>
      <w:r w:rsidR="00806E17">
        <w:t>added as a</w:t>
      </w:r>
      <w:r w:rsidR="00A943D6">
        <w:t>n additional option.</w:t>
      </w:r>
      <w:r w:rsidR="00FC324B">
        <w:t xml:space="preserve"> </w:t>
      </w:r>
    </w:p>
    <w:p w14:paraId="320394E2" w14:textId="75D95691" w:rsidR="00DF3026" w:rsidRPr="00D60BD3" w:rsidRDefault="00DF3026" w:rsidP="00DF3026">
      <w:pPr>
        <w:pStyle w:val="ListBullet"/>
        <w:rPr>
          <w:rStyle w:val="CommentReference"/>
          <w:rFonts w:cs="Arial"/>
          <w:sz w:val="20"/>
          <w:szCs w:val="18"/>
        </w:rPr>
      </w:pPr>
      <w:r w:rsidRPr="00D60BD3">
        <w:rPr>
          <w:b/>
          <w:bCs/>
        </w:rPr>
        <w:t xml:space="preserve">Formal recognition by the Australian Government of NASRHP as the legislative equivalent of </w:t>
      </w:r>
      <w:r w:rsidR="001358EA">
        <w:rPr>
          <w:b/>
          <w:bCs/>
        </w:rPr>
        <w:t>Ahpra</w:t>
      </w:r>
      <w:r w:rsidR="003734D5">
        <w:rPr>
          <w:b/>
          <w:bCs/>
        </w:rPr>
        <w:t>.</w:t>
      </w:r>
      <w:r w:rsidRPr="00D60BD3">
        <w:rPr>
          <w:b/>
        </w:rPr>
        <w:t xml:space="preserve"> </w:t>
      </w:r>
      <w:r>
        <w:t xml:space="preserve">At the time of </w:t>
      </w:r>
      <w:r w:rsidR="00187A15">
        <w:t>Consultation Phase 1</w:t>
      </w:r>
      <w:r>
        <w:t xml:space="preserve">, sectoral stakeholders had developed a proposal in relation to a higher standard of regulation for non-registered professions. This Decision RIS understands that this proposal was submitted to the Issues </w:t>
      </w:r>
      <w:r w:rsidR="002A1447">
        <w:t xml:space="preserve">Paper </w:t>
      </w:r>
      <w:r>
        <w:t>2 of the Unleashing the Potential of our Health Workforce independent review.</w:t>
      </w:r>
      <w:r w:rsidR="001829FF">
        <w:t xml:space="preserve"> </w:t>
      </w:r>
      <w:r w:rsidR="00A60BDE">
        <w:t>S</w:t>
      </w:r>
      <w:r w:rsidR="00F11FB3">
        <w:t xml:space="preserve">trengthening </w:t>
      </w:r>
      <w:r w:rsidR="00BA46A3">
        <w:t>health pract</w:t>
      </w:r>
      <w:r w:rsidR="00A60BDE">
        <w:t>itioner regulation through a co-regulatory pathway was also</w:t>
      </w:r>
      <w:r w:rsidR="00E9554A">
        <w:t xml:space="preserve"> raised as</w:t>
      </w:r>
      <w:r w:rsidR="00275F91">
        <w:t xml:space="preserve"> a </w:t>
      </w:r>
      <w:r w:rsidR="005D2DAA">
        <w:t xml:space="preserve">potential reform </w:t>
      </w:r>
      <w:r w:rsidR="00A938D6">
        <w:t xml:space="preserve">theme </w:t>
      </w:r>
      <w:r w:rsidR="00275F91">
        <w:t xml:space="preserve">in </w:t>
      </w:r>
      <w:r w:rsidR="00EA1163">
        <w:t xml:space="preserve">Consultation Paper 1 of the Complexity Review. </w:t>
      </w:r>
      <w:r w:rsidR="00AC4B74">
        <w:t>This</w:t>
      </w:r>
      <w:r w:rsidR="005D2DAA">
        <w:t xml:space="preserve"> option was not </w:t>
      </w:r>
      <w:r w:rsidR="00A938D6">
        <w:t>included as an additional option in this Decision RIS, however</w:t>
      </w:r>
      <w:r w:rsidR="00923799">
        <w:t xml:space="preserve"> the impact of current policy workstreams on the Decision RIS is discussed in Section </w:t>
      </w:r>
      <w:r w:rsidR="00F74FF1">
        <w:fldChar w:fldCharType="begin"/>
      </w:r>
      <w:r w:rsidR="00F74FF1">
        <w:instrText xml:space="preserve"> REF _Ref191576946 \r \h </w:instrText>
      </w:r>
      <w:r w:rsidR="00F74FF1">
        <w:fldChar w:fldCharType="separate"/>
      </w:r>
      <w:r w:rsidR="00F32107">
        <w:t>9.1.2</w:t>
      </w:r>
      <w:r w:rsidR="00F74FF1">
        <w:fldChar w:fldCharType="end"/>
      </w:r>
      <w:r w:rsidR="00923799">
        <w:t>.</w:t>
      </w:r>
      <w:r w:rsidR="005D2DAA">
        <w:t xml:space="preserve"> </w:t>
      </w:r>
    </w:p>
    <w:p w14:paraId="3C5EA9CA" w14:textId="431AB20A" w:rsidR="00DF634E" w:rsidRDefault="00DF3026" w:rsidP="007B4C92">
      <w:pPr>
        <w:pStyle w:val="ListBullet"/>
      </w:pPr>
      <w:r>
        <w:rPr>
          <w:b/>
          <w:bCs/>
        </w:rPr>
        <w:t>Increased clinical auditing of audiology</w:t>
      </w:r>
      <w:r w:rsidRPr="00D1056D">
        <w:t>.</w:t>
      </w:r>
      <w:r>
        <w:t xml:space="preserve"> </w:t>
      </w:r>
      <w:r w:rsidR="00A80BCD">
        <w:t>As per</w:t>
      </w:r>
      <w:r>
        <w:t xml:space="preserve"> Section </w:t>
      </w:r>
      <w:r>
        <w:fldChar w:fldCharType="begin"/>
      </w:r>
      <w:r>
        <w:instrText xml:space="preserve"> REF _Ref170205247 \r \h  \* MERGEFORMAT </w:instrText>
      </w:r>
      <w:r>
        <w:fldChar w:fldCharType="separate"/>
      </w:r>
      <w:r w:rsidR="00F32107">
        <w:t>4.2</w:t>
      </w:r>
      <w:r>
        <w:fldChar w:fldCharType="end"/>
      </w:r>
      <w:r w:rsidR="00A80BCD">
        <w:t xml:space="preserve">, </w:t>
      </w:r>
      <w:r w:rsidR="00001B30">
        <w:t xml:space="preserve">clinical auditing represents </w:t>
      </w:r>
      <w:r w:rsidR="003B401B">
        <w:t>a government</w:t>
      </w:r>
      <w:r w:rsidR="005C5C0F">
        <w:t>al</w:t>
      </w:r>
      <w:r w:rsidR="003B401B">
        <w:t xml:space="preserve"> or organisational budget allocation</w:t>
      </w:r>
      <w:r w:rsidR="00175BD1">
        <w:t xml:space="preserve"> to retrospectively assess </w:t>
      </w:r>
      <w:r w:rsidR="000C29BF">
        <w:t xml:space="preserve">services provided. </w:t>
      </w:r>
      <w:r w:rsidR="00DB082F">
        <w:t>This option was not incorpo</w:t>
      </w:r>
      <w:r w:rsidR="00171642">
        <w:t>rated into the impact analysis</w:t>
      </w:r>
      <w:r w:rsidR="00D21A95">
        <w:t xml:space="preserve"> </w:t>
      </w:r>
      <w:r w:rsidR="00965DF4">
        <w:t>for the following reasons.</w:t>
      </w:r>
    </w:p>
    <w:p w14:paraId="4D9C6DA9" w14:textId="444CE5CD" w:rsidR="00656FF2" w:rsidRDefault="004A1122" w:rsidP="00DF634E">
      <w:pPr>
        <w:pStyle w:val="BulletList2Column"/>
      </w:pPr>
      <w:r>
        <w:t>S</w:t>
      </w:r>
      <w:r w:rsidR="009636D6">
        <w:t xml:space="preserve">takeholder feedback regarding availability of clinical guidance documentation and </w:t>
      </w:r>
      <w:r w:rsidR="008D5663">
        <w:t xml:space="preserve">the value of </w:t>
      </w:r>
      <w:r w:rsidR="00693676">
        <w:t>forward-looking</w:t>
      </w:r>
      <w:r w:rsidR="008D5663">
        <w:t xml:space="preserve"> measures to support service delivery</w:t>
      </w:r>
      <w:r w:rsidR="00EA794D">
        <w:t xml:space="preserve"> </w:t>
      </w:r>
      <w:r w:rsidR="007F3FE3">
        <w:t xml:space="preserve">(and prevent patient harm) </w:t>
      </w:r>
      <w:r w:rsidR="00EA794D">
        <w:t xml:space="preserve">were considered in the </w:t>
      </w:r>
      <w:r w:rsidR="00FF078C">
        <w:t xml:space="preserve">development of the additional option added from consultation </w:t>
      </w:r>
      <w:r w:rsidR="00746286">
        <w:t>‘</w:t>
      </w:r>
      <w:r w:rsidR="00FF078C">
        <w:t xml:space="preserve">Strengthened Status Quo </w:t>
      </w:r>
      <w:r w:rsidR="00924ABA">
        <w:t>–</w:t>
      </w:r>
      <w:r w:rsidR="00FF078C">
        <w:t xml:space="preserve"> </w:t>
      </w:r>
      <w:r w:rsidR="00924ABA">
        <w:t xml:space="preserve">Jurisdictional mandatory current clinical certification </w:t>
      </w:r>
      <w:r w:rsidR="005E45AA">
        <w:t xml:space="preserve">of public sector audiologists </w:t>
      </w:r>
      <w:r w:rsidR="00924ABA">
        <w:t>and uplift in CPD</w:t>
      </w:r>
      <w:r w:rsidR="00746286">
        <w:t>’</w:t>
      </w:r>
      <w:r w:rsidR="00656FF2">
        <w:t>. Here, it is noted that</w:t>
      </w:r>
      <w:r w:rsidR="006D475B">
        <w:t xml:space="preserve"> clinical auditing is retrospective in nature</w:t>
      </w:r>
      <w:r w:rsidR="00E31BDB">
        <w:t xml:space="preserve"> (though corrective measures may </w:t>
      </w:r>
      <w:r w:rsidR="00D94F2D">
        <w:t>prevent future episodes of harm).</w:t>
      </w:r>
      <w:r w:rsidR="006D475B">
        <w:t xml:space="preserve"> </w:t>
      </w:r>
    </w:p>
    <w:p w14:paraId="088EA271" w14:textId="32A4483F" w:rsidR="009636D6" w:rsidRDefault="006D475B" w:rsidP="00DF634E">
      <w:pPr>
        <w:pStyle w:val="BulletList2Column"/>
      </w:pPr>
      <w:r>
        <w:t xml:space="preserve">Feasibility and time constraints to report back to decision-makers </w:t>
      </w:r>
      <w:r w:rsidR="000A5007">
        <w:t xml:space="preserve">within requested timeframes </w:t>
      </w:r>
      <w:r>
        <w:t>was a</w:t>
      </w:r>
      <w:r w:rsidR="00641D23">
        <w:t>lso a factor i</w:t>
      </w:r>
      <w:r w:rsidR="00823031">
        <w:t>n the number of options carried through to impact analysis.</w:t>
      </w:r>
    </w:p>
    <w:p w14:paraId="564DE40A" w14:textId="1DF991DB" w:rsidR="000F3CE4" w:rsidRDefault="005168BF" w:rsidP="005168BF">
      <w:pPr>
        <w:pStyle w:val="Heading2"/>
      </w:pPr>
      <w:bookmarkStart w:id="186" w:name="_Toc198138619"/>
      <w:r>
        <w:t>Consultation Phase 2</w:t>
      </w:r>
      <w:bookmarkEnd w:id="186"/>
    </w:p>
    <w:p w14:paraId="4F8AB6EF" w14:textId="29C2CF99" w:rsidR="00562455" w:rsidRDefault="00C973E6" w:rsidP="00562455">
      <w:pPr>
        <w:pStyle w:val="BodyText"/>
      </w:pPr>
      <w:r>
        <w:t xml:space="preserve">HMM agreed in-principle to the inclusion of </w:t>
      </w:r>
      <w:r w:rsidR="00D372C1">
        <w:t>audiology in the National Scheme, however requested further consultation in order to inform a final decision.</w:t>
      </w:r>
      <w:r w:rsidR="00562455">
        <w:t xml:space="preserve"> The purpose and objectives of the consultation process were:</w:t>
      </w:r>
    </w:p>
    <w:p w14:paraId="1798CAB0" w14:textId="3FCA6EB8" w:rsidR="00562455" w:rsidRDefault="00562455" w:rsidP="00562455">
      <w:pPr>
        <w:pStyle w:val="ListBullet"/>
      </w:pPr>
      <w:r w:rsidRPr="00B00AAB">
        <w:rPr>
          <w:b/>
          <w:bCs/>
        </w:rPr>
        <w:t>Purpose</w:t>
      </w:r>
      <w:r>
        <w:t xml:space="preserve">: </w:t>
      </w:r>
      <w:r w:rsidR="0011085C">
        <w:t>Source</w:t>
      </w:r>
      <w:r w:rsidR="00563123">
        <w:t xml:space="preserve"> additional information</w:t>
      </w:r>
      <w:r>
        <w:t xml:space="preserve"> </w:t>
      </w:r>
      <w:r w:rsidR="0011085C">
        <w:t>for</w:t>
      </w:r>
      <w:r w:rsidR="00563123">
        <w:t xml:space="preserve"> the</w:t>
      </w:r>
      <w:r>
        <w:t xml:space="preserve"> regulatory impact analysis </w:t>
      </w:r>
      <w:r w:rsidR="0011085C">
        <w:t>requested by HMM to inform a final decision.</w:t>
      </w:r>
    </w:p>
    <w:p w14:paraId="5BA48FF0" w14:textId="2C57430C" w:rsidR="00562455" w:rsidRDefault="00562455" w:rsidP="00562455">
      <w:pPr>
        <w:pStyle w:val="ListBullet"/>
      </w:pPr>
      <w:r w:rsidRPr="00B00AAB">
        <w:rPr>
          <w:b/>
          <w:bCs/>
        </w:rPr>
        <w:t>Objective</w:t>
      </w:r>
      <w:r>
        <w:t xml:space="preserve">: Document key stakeholders’ views </w:t>
      </w:r>
      <w:r w:rsidR="00A75903">
        <w:t xml:space="preserve">and estimates </w:t>
      </w:r>
      <w:r>
        <w:t>in relation to:</w:t>
      </w:r>
    </w:p>
    <w:p w14:paraId="3F9CADFA" w14:textId="5831F877" w:rsidR="00212656" w:rsidRDefault="00B006AF" w:rsidP="00562455">
      <w:pPr>
        <w:pStyle w:val="BulletList2Column"/>
      </w:pPr>
      <w:r>
        <w:t xml:space="preserve">Implementation considerations associated with </w:t>
      </w:r>
      <w:r w:rsidR="009D65B6">
        <w:t>National Registration</w:t>
      </w:r>
      <w:r>
        <w:t xml:space="preserve"> of the audiology profession under the National Scheme, including timing, costs, and feasibility of a multi-profession Board or a Board with two professions</w:t>
      </w:r>
    </w:p>
    <w:p w14:paraId="396D96C3" w14:textId="2F46466B" w:rsidR="008A13E3" w:rsidRDefault="008A13E3" w:rsidP="00562455">
      <w:pPr>
        <w:pStyle w:val="BulletList2Column"/>
      </w:pPr>
      <w:r>
        <w:t xml:space="preserve">Consideration of the key risks and unintended consequences of </w:t>
      </w:r>
      <w:r w:rsidR="009D65B6">
        <w:t>National Registration</w:t>
      </w:r>
      <w:r>
        <w:t xml:space="preserve"> of the audiology profession </w:t>
      </w:r>
      <w:r w:rsidR="005A2E00">
        <w:t>under the National Scheme</w:t>
      </w:r>
    </w:p>
    <w:p w14:paraId="35865D06" w14:textId="763B7CBD" w:rsidR="005A2E00" w:rsidRDefault="005A2E00" w:rsidP="00562455">
      <w:pPr>
        <w:pStyle w:val="BulletList2Column"/>
      </w:pPr>
      <w:r>
        <w:t xml:space="preserve">Consideration of the impacts of </w:t>
      </w:r>
      <w:r w:rsidR="009D65B6">
        <w:t>National Registration</w:t>
      </w:r>
      <w:r>
        <w:t xml:space="preserve"> of the audiology profession under the National Scheme on First Nations communities.</w:t>
      </w:r>
    </w:p>
    <w:p w14:paraId="4F2C5BC1" w14:textId="7843D6B1" w:rsidR="004A1FA9" w:rsidRDefault="005A2E00" w:rsidP="004A1FA9">
      <w:pPr>
        <w:pStyle w:val="BulletList2Column"/>
      </w:pPr>
      <w:r>
        <w:t xml:space="preserve">Consideration of the </w:t>
      </w:r>
      <w:r w:rsidR="00B60786">
        <w:t xml:space="preserve">audiology profession against the Intergovernmental </w:t>
      </w:r>
      <w:r w:rsidR="004A1FA9">
        <w:t>Agreement criteria</w:t>
      </w:r>
    </w:p>
    <w:p w14:paraId="4C489BBD" w14:textId="5B37C5EB" w:rsidR="004A1FA9" w:rsidRDefault="004A1FA9" w:rsidP="004A1FA9">
      <w:pPr>
        <w:pStyle w:val="BulletList2Column"/>
      </w:pPr>
      <w:r>
        <w:t xml:space="preserve">Consideration of the Audiology Decision RIS in the context of preliminary findings from </w:t>
      </w:r>
      <w:r w:rsidR="00952C07">
        <w:t>the Scope of Practice Review and the Complexity Review.</w:t>
      </w:r>
    </w:p>
    <w:p w14:paraId="5116F55D" w14:textId="0F080572" w:rsidR="00F7412A" w:rsidRDefault="00F7412A" w:rsidP="00972F5E">
      <w:pPr>
        <w:pStyle w:val="BodyText"/>
      </w:pPr>
      <w:r>
        <w:t>A Consultation Paper was developed</w:t>
      </w:r>
      <w:r w:rsidR="00952C07">
        <w:t xml:space="preserve"> to support </w:t>
      </w:r>
      <w:r w:rsidR="00B26302">
        <w:t>Consultation Period 2. It contained selected summarised content from the Decision RIS (and related government reviews) coupled with a series of targeted questions to solicit stakeholder feedback.</w:t>
      </w:r>
    </w:p>
    <w:p w14:paraId="690C5646" w14:textId="77777777" w:rsidR="00562455" w:rsidRPr="000371FE" w:rsidRDefault="00562455" w:rsidP="00562455">
      <w:pPr>
        <w:pStyle w:val="HeadingA"/>
      </w:pPr>
      <w:r w:rsidRPr="000371FE">
        <w:t>Public Consultation Period</w:t>
      </w:r>
    </w:p>
    <w:p w14:paraId="2BD9D085" w14:textId="27692773" w:rsidR="00562455" w:rsidRDefault="00585684" w:rsidP="00562455">
      <w:pPr>
        <w:pStyle w:val="BodyText"/>
      </w:pPr>
      <w:r>
        <w:t xml:space="preserve">Invitations for interview were distributed from </w:t>
      </w:r>
      <w:r w:rsidR="003E69EC">
        <w:t>4</w:t>
      </w:r>
      <w:r>
        <w:t xml:space="preserve"> December 2024</w:t>
      </w:r>
      <w:r w:rsidR="00592F33">
        <w:t xml:space="preserve">. </w:t>
      </w:r>
      <w:r w:rsidR="00562455">
        <w:t xml:space="preserve">Consultations were </w:t>
      </w:r>
      <w:r w:rsidR="000E36BA">
        <w:t xml:space="preserve">conducted virtually </w:t>
      </w:r>
      <w:r w:rsidR="008C1FD7">
        <w:t xml:space="preserve">using Microsoft Teams, </w:t>
      </w:r>
      <w:r w:rsidR="00D647BE">
        <w:t>at</w:t>
      </w:r>
      <w:r w:rsidR="000E36BA">
        <w:t xml:space="preserve"> </w:t>
      </w:r>
      <w:r w:rsidR="00562455">
        <w:t xml:space="preserve">approximately </w:t>
      </w:r>
      <w:r w:rsidR="000E36BA">
        <w:t>45 minutes</w:t>
      </w:r>
      <w:r w:rsidR="00562455">
        <w:t xml:space="preserve"> in length. </w:t>
      </w:r>
      <w:r w:rsidR="00723B67">
        <w:t xml:space="preserve">The consultation period ran from </w:t>
      </w:r>
      <w:r w:rsidR="003E69EC">
        <w:t>9 December 2024 to 7 February 2025</w:t>
      </w:r>
      <w:r w:rsidR="00D61FD4">
        <w:t xml:space="preserve">, with a single stakeholder consultation held on </w:t>
      </w:r>
      <w:r w:rsidR="00057353">
        <w:t>17 February 2025 due to scheduling challenges.</w:t>
      </w:r>
    </w:p>
    <w:p w14:paraId="43383BEC" w14:textId="611BD637" w:rsidR="00A601D7" w:rsidRDefault="00562455" w:rsidP="00972F5E">
      <w:pPr>
        <w:pStyle w:val="BodyText"/>
      </w:pPr>
      <w:r>
        <w:t>The public submission process was hosted on the Queensland Health website</w:t>
      </w:r>
      <w:r w:rsidR="007F2AA9">
        <w:t xml:space="preserve"> from 10 December 2025 to 7 February 2025</w:t>
      </w:r>
      <w:r>
        <w:t xml:space="preserve">. Supported by the Consultation Paper, respondents were invited to provide their responses to the project email inbox. </w:t>
      </w:r>
      <w:r w:rsidR="00E33D02" w:rsidRPr="00524AC4">
        <w:t xml:space="preserve">The project conducted </w:t>
      </w:r>
      <w:r w:rsidR="00E33D02">
        <w:t>41</w:t>
      </w:r>
      <w:r w:rsidR="00E33D02" w:rsidRPr="00524AC4">
        <w:t xml:space="preserve"> </w:t>
      </w:r>
      <w:r w:rsidR="000779DA">
        <w:t xml:space="preserve">unique stakeholder </w:t>
      </w:r>
      <w:r w:rsidR="00E33D02" w:rsidRPr="00524AC4">
        <w:t xml:space="preserve">interviews and </w:t>
      </w:r>
      <w:r w:rsidR="00E33D02">
        <w:t>received 20 public</w:t>
      </w:r>
      <w:r w:rsidR="00E33D02" w:rsidRPr="00524AC4">
        <w:t xml:space="preserve"> submissions</w:t>
      </w:r>
      <w:r w:rsidR="00E33D02">
        <w:t xml:space="preserve"> that contained material in-scope for the consultation</w:t>
      </w:r>
      <w:r w:rsidR="00E33D02" w:rsidRPr="00524AC4">
        <w:t>.</w:t>
      </w:r>
      <w:r w:rsidR="00C17951">
        <w:t xml:space="preserve"> </w:t>
      </w:r>
      <w:r w:rsidR="00C17951" w:rsidRPr="00524AC4">
        <w:t>Stakeholders were invited to submit a public submission in addition to their interview if they wished to do so</w:t>
      </w:r>
      <w:r w:rsidR="00C17951">
        <w:t xml:space="preserve">. </w:t>
      </w:r>
    </w:p>
    <w:p w14:paraId="407C257D" w14:textId="701244E1" w:rsidR="00562455" w:rsidRDefault="00734839" w:rsidP="00A601D7">
      <w:pPr>
        <w:pStyle w:val="BodyText"/>
      </w:pPr>
      <w:r>
        <w:t>To support HMM’s requested scope of additional work on implementation and costings</w:t>
      </w:r>
      <w:r w:rsidR="008B46C5">
        <w:t xml:space="preserve"> of </w:t>
      </w:r>
      <w:r w:rsidR="009D65B6">
        <w:t>National Registration</w:t>
      </w:r>
      <w:r>
        <w:t xml:space="preserve">, the project undertook a series of </w:t>
      </w:r>
      <w:r w:rsidR="001D16F3">
        <w:t xml:space="preserve">consultations with </w:t>
      </w:r>
      <w:r w:rsidR="00A601D7">
        <w:t>Ahpra</w:t>
      </w:r>
      <w:r w:rsidR="008866B0">
        <w:t xml:space="preserve">. </w:t>
      </w:r>
      <w:r w:rsidR="000364DD">
        <w:t xml:space="preserve">Ahpra worked collaboratively with the project to provide </w:t>
      </w:r>
      <w:r w:rsidR="00A601D7">
        <w:t>estimates regarding seed funding, initial application fees and registration fees</w:t>
      </w:r>
      <w:r w:rsidR="00F21D93">
        <w:t>, as well as additional implementation considerations</w:t>
      </w:r>
      <w:r w:rsidR="00A601D7">
        <w:t>.</w:t>
      </w:r>
      <w:r w:rsidR="003B67E3">
        <w:t xml:space="preserve"> It is explicitly stated that Ahpra</w:t>
      </w:r>
      <w:r w:rsidR="00B42A5A">
        <w:t>’s engagemen</w:t>
      </w:r>
      <w:r w:rsidR="00697526">
        <w:t xml:space="preserve">t with the project during Consultation </w:t>
      </w:r>
      <w:r w:rsidR="004D2A17">
        <w:t>Phase</w:t>
      </w:r>
      <w:r w:rsidR="00697526">
        <w:t xml:space="preserve"> 2 </w:t>
      </w:r>
      <w:r w:rsidR="00B370B8">
        <w:t xml:space="preserve">does not </w:t>
      </w:r>
      <w:r w:rsidR="00572048">
        <w:t>reflect an underlying</w:t>
      </w:r>
      <w:r w:rsidR="00BF080F">
        <w:t xml:space="preserve"> organisational</w:t>
      </w:r>
      <w:r w:rsidR="00572048">
        <w:t xml:space="preserve"> p</w:t>
      </w:r>
      <w:r w:rsidR="00BF080F">
        <w:t>reference for audiology to be regulated under the National Scheme</w:t>
      </w:r>
      <w:r w:rsidR="0018606C">
        <w:t>, relative to the other shortlisted options</w:t>
      </w:r>
      <w:r w:rsidR="00F21D93">
        <w:t xml:space="preserve">. </w:t>
      </w:r>
      <w:r w:rsidR="00FB0252">
        <w:t xml:space="preserve">Rather, </w:t>
      </w:r>
      <w:r w:rsidR="00BE0D8C">
        <w:t xml:space="preserve">ongoing engagement was </w:t>
      </w:r>
      <w:r w:rsidR="00FB0252">
        <w:t>conducted</w:t>
      </w:r>
      <w:r w:rsidR="00BE0D8C">
        <w:t xml:space="preserve"> </w:t>
      </w:r>
      <w:r w:rsidR="0008481D">
        <w:t xml:space="preserve">based on the requested additional consultation scope </w:t>
      </w:r>
      <w:r w:rsidR="00BE0D8C">
        <w:t xml:space="preserve">to provide </w:t>
      </w:r>
      <w:r w:rsidR="00770B2C">
        <w:t>Health Ministers wi</w:t>
      </w:r>
      <w:r w:rsidR="00416D11">
        <w:t>th</w:t>
      </w:r>
      <w:r w:rsidR="0008481D">
        <w:t xml:space="preserve"> the information required to i</w:t>
      </w:r>
      <w:r w:rsidR="00B6757B">
        <w:t>nform a final decision</w:t>
      </w:r>
      <w:r w:rsidR="00770B2C">
        <w:t>.</w:t>
      </w:r>
      <w:r w:rsidR="00BF080F">
        <w:t xml:space="preserve"> </w:t>
      </w:r>
    </w:p>
    <w:p w14:paraId="33D1F4C9" w14:textId="420C4271" w:rsidR="00DD42C2" w:rsidRDefault="00E33D02" w:rsidP="00DD42C2">
      <w:pPr>
        <w:pStyle w:val="Heading2"/>
      </w:pPr>
      <w:bookmarkStart w:id="187" w:name="_Ref193036289"/>
      <w:bookmarkStart w:id="188" w:name="_Toc198138620"/>
      <w:r>
        <w:t>Summary of consultation findings</w:t>
      </w:r>
      <w:bookmarkEnd w:id="187"/>
      <w:bookmarkEnd w:id="188"/>
    </w:p>
    <w:p w14:paraId="17FE5B04" w14:textId="62DEA806" w:rsidR="00B817CB" w:rsidRDefault="0014488B" w:rsidP="00B817CB">
      <w:pPr>
        <w:pStyle w:val="BodyText"/>
      </w:pPr>
      <w:r>
        <w:t>The</w:t>
      </w:r>
      <w:r w:rsidR="00B817CB">
        <w:t xml:space="preserve"> consultation process provided a material set of additional information in relation to the elements of this Decision RIS. </w:t>
      </w:r>
      <w:r w:rsidR="00CB3DC0">
        <w:t xml:space="preserve">While option preferences were not directly re-tested with stakeholders in Consultation Phase 2, Audiology Australia (the largest PPB) stated that the majority of its members support </w:t>
      </w:r>
      <w:r w:rsidR="0095286E">
        <w:t>N</w:t>
      </w:r>
      <w:r w:rsidR="00DA384C">
        <w:t xml:space="preserve">ational </w:t>
      </w:r>
      <w:r w:rsidR="0095286E">
        <w:t>R</w:t>
      </w:r>
      <w:r w:rsidR="00DA384C">
        <w:t>egistration</w:t>
      </w:r>
      <w:r w:rsidR="00CB3DC0">
        <w:t xml:space="preserve"> if it provides clear benefits such as strengthening consumer confidence, offering protection of title and enhancing transparency.</w:t>
      </w:r>
    </w:p>
    <w:p w14:paraId="62394CE4" w14:textId="5E785A1A" w:rsidR="0064735E" w:rsidRDefault="002B6E80" w:rsidP="00B817CB">
      <w:pPr>
        <w:pStyle w:val="BodyText"/>
      </w:pPr>
      <w:r>
        <w:rPr>
          <w:b/>
          <w:bCs/>
        </w:rPr>
        <w:t xml:space="preserve">Key risks and unintended consequences of </w:t>
      </w:r>
      <w:r w:rsidR="00AC12D6">
        <w:rPr>
          <w:b/>
          <w:bCs/>
        </w:rPr>
        <w:t>N</w:t>
      </w:r>
      <w:r w:rsidR="00780414">
        <w:rPr>
          <w:b/>
          <w:bCs/>
        </w:rPr>
        <w:t xml:space="preserve">ational </w:t>
      </w:r>
      <w:r w:rsidR="00AC12D6">
        <w:rPr>
          <w:b/>
          <w:bCs/>
        </w:rPr>
        <w:t>R</w:t>
      </w:r>
      <w:r w:rsidR="00780414">
        <w:rPr>
          <w:b/>
          <w:bCs/>
        </w:rPr>
        <w:t xml:space="preserve">egistration of the audiology profession under the National Scheme. </w:t>
      </w:r>
      <w:r w:rsidR="00B9734E">
        <w:t>Sta</w:t>
      </w:r>
      <w:r w:rsidR="001B0148">
        <w:t xml:space="preserve">keholder feedback </w:t>
      </w:r>
      <w:r w:rsidR="006004CF">
        <w:t xml:space="preserve">generally agreed </w:t>
      </w:r>
      <w:r w:rsidR="00891615">
        <w:t xml:space="preserve">with </w:t>
      </w:r>
      <w:r w:rsidR="000A63CF">
        <w:t xml:space="preserve">the </w:t>
      </w:r>
      <w:r w:rsidR="00214113">
        <w:t>core</w:t>
      </w:r>
      <w:r w:rsidR="000A63CF">
        <w:t xml:space="preserve"> themes presented </w:t>
      </w:r>
      <w:r w:rsidR="00195BA4">
        <w:t xml:space="preserve">in </w:t>
      </w:r>
      <w:r w:rsidR="00195BA4" w:rsidRPr="00972F5E">
        <w:rPr>
          <w:i/>
          <w:iCs/>
        </w:rPr>
        <w:t>Consultation Paper 2</w:t>
      </w:r>
      <w:r w:rsidR="00195BA4">
        <w:t xml:space="preserve"> </w:t>
      </w:r>
      <w:r w:rsidR="000A63CF">
        <w:t>(</w:t>
      </w:r>
      <w:r w:rsidR="00505323">
        <w:t>e.g.,</w:t>
      </w:r>
      <w:r w:rsidR="000A63CF">
        <w:t xml:space="preserve"> workforce impacts, </w:t>
      </w:r>
      <w:r w:rsidR="00434B10">
        <w:t>regulatory burden</w:t>
      </w:r>
      <w:r w:rsidR="00417E1D">
        <w:t>)</w:t>
      </w:r>
      <w:r w:rsidR="00651F44">
        <w:t xml:space="preserve">, however </w:t>
      </w:r>
      <w:r w:rsidR="00437F32">
        <w:t xml:space="preserve">perspectives on the ratings presented differed greatly. </w:t>
      </w:r>
    </w:p>
    <w:p w14:paraId="34DAA615" w14:textId="10B06492" w:rsidR="00EE0E73" w:rsidRDefault="00437F32" w:rsidP="00EE0E73">
      <w:pPr>
        <w:pStyle w:val="ListBullet"/>
      </w:pPr>
      <w:r>
        <w:t xml:space="preserve">For those that supported </w:t>
      </w:r>
      <w:r w:rsidR="00AC12D6">
        <w:t>N</w:t>
      </w:r>
      <w:r>
        <w:t xml:space="preserve">ational </w:t>
      </w:r>
      <w:r w:rsidR="00AC12D6">
        <w:t>R</w:t>
      </w:r>
      <w:r>
        <w:t xml:space="preserve">egistration, implementation risks were considered </w:t>
      </w:r>
      <w:r w:rsidR="00A25576">
        <w:t xml:space="preserve">to </w:t>
      </w:r>
      <w:r w:rsidR="00141A02">
        <w:t xml:space="preserve">broadly </w:t>
      </w:r>
      <w:r w:rsidR="00A25576">
        <w:t>be of low consequence</w:t>
      </w:r>
      <w:r w:rsidR="00FE27CE">
        <w:t xml:space="preserve">, </w:t>
      </w:r>
      <w:r w:rsidR="00CE4A1F">
        <w:t xml:space="preserve">citing </w:t>
      </w:r>
      <w:r w:rsidR="008D03A9">
        <w:t xml:space="preserve">existing </w:t>
      </w:r>
      <w:r w:rsidR="00CE4A1F">
        <w:t>professions in the National Scheme</w:t>
      </w:r>
      <w:r w:rsidR="000F1A65">
        <w:t xml:space="preserve"> </w:t>
      </w:r>
      <w:r w:rsidR="00346272">
        <w:t xml:space="preserve">as </w:t>
      </w:r>
      <w:r w:rsidR="008F6F04">
        <w:t>proof of the functionality of this type of regulatory reform</w:t>
      </w:r>
      <w:r w:rsidR="00CE4A1F">
        <w:t xml:space="preserve">. </w:t>
      </w:r>
      <w:r w:rsidR="00052F85">
        <w:t>F</w:t>
      </w:r>
      <w:r w:rsidR="00B03A01">
        <w:t xml:space="preserve">or stakeholders that had serious concerns about </w:t>
      </w:r>
      <w:r w:rsidR="00AC12D6">
        <w:t>N</w:t>
      </w:r>
      <w:r w:rsidR="00B03A01">
        <w:t xml:space="preserve">ational </w:t>
      </w:r>
      <w:r w:rsidR="00AC12D6">
        <w:t>R</w:t>
      </w:r>
      <w:r w:rsidR="00B03A01">
        <w:t xml:space="preserve">egistration or did not support </w:t>
      </w:r>
      <w:r w:rsidR="00AC12D6">
        <w:t>N</w:t>
      </w:r>
      <w:r w:rsidR="00B03A01">
        <w:t xml:space="preserve">ational </w:t>
      </w:r>
      <w:r w:rsidR="00AC12D6">
        <w:t>R</w:t>
      </w:r>
      <w:r w:rsidR="00B03A01">
        <w:t xml:space="preserve">egistration, </w:t>
      </w:r>
      <w:r w:rsidR="00A856D4">
        <w:t xml:space="preserve">feedback was that multiple risks were not rated highly enough in terms of their likelihood and/or consequence. </w:t>
      </w:r>
    </w:p>
    <w:p w14:paraId="23325964" w14:textId="1BF95A9A" w:rsidR="007815E4" w:rsidRDefault="00EE0E73" w:rsidP="00972F5E">
      <w:pPr>
        <w:pStyle w:val="ListBullet"/>
      </w:pPr>
      <w:r>
        <w:t>O</w:t>
      </w:r>
      <w:r w:rsidR="00850B53">
        <w:t xml:space="preserve">ne of the strongest areas of disagreement was </w:t>
      </w:r>
      <w:r w:rsidR="00461CE5">
        <w:t>the</w:t>
      </w:r>
      <w:r w:rsidR="008A3771">
        <w:t xml:space="preserve"> risks and/or unintended consequences of labour dynamics between audiometrists and audiologist</w:t>
      </w:r>
      <w:r w:rsidR="00635EC6">
        <w:t>s</w:t>
      </w:r>
      <w:r w:rsidR="00583050">
        <w:t xml:space="preserve">, with each profession concerned about </w:t>
      </w:r>
      <w:r w:rsidR="003B0209">
        <w:t>the</w:t>
      </w:r>
      <w:r w:rsidR="00C50623">
        <w:t xml:space="preserve"> risk of </w:t>
      </w:r>
      <w:r w:rsidR="006755BC">
        <w:t>reduced employment prospects</w:t>
      </w:r>
      <w:r w:rsidR="00C50623">
        <w:t xml:space="preserve">. </w:t>
      </w:r>
      <w:r w:rsidR="0027118F">
        <w:t>Certain stakeholders viewed the likelihood of audio</w:t>
      </w:r>
      <w:r w:rsidR="007A2C95">
        <w:t>logists being substituted for audiometrists</w:t>
      </w:r>
      <w:r w:rsidR="00EF3822">
        <w:t xml:space="preserve"> in private sector adult rehabilitation to be </w:t>
      </w:r>
      <w:r w:rsidR="00832BF6">
        <w:t>high</w:t>
      </w:r>
      <w:r w:rsidR="008D1DDB">
        <w:t xml:space="preserve"> under National Registration</w:t>
      </w:r>
      <w:r w:rsidR="00832BF6">
        <w:t xml:space="preserve">, </w:t>
      </w:r>
      <w:r w:rsidR="007746BA">
        <w:t xml:space="preserve">with increased regulatory </w:t>
      </w:r>
      <w:r w:rsidR="00D65D64">
        <w:t xml:space="preserve">burden and the potential costs of registration fees for audiologists as key drivers. </w:t>
      </w:r>
      <w:r w:rsidR="00123F52">
        <w:t>Under this scenario, labour dynamics may favour audiometrist employment</w:t>
      </w:r>
      <w:r w:rsidR="002645A6">
        <w:t xml:space="preserve"> relative to audiologist employment. </w:t>
      </w:r>
      <w:r w:rsidR="00D65D64">
        <w:t>However</w:t>
      </w:r>
      <w:r w:rsidR="007815E4">
        <w:t>:</w:t>
      </w:r>
    </w:p>
    <w:p w14:paraId="116CB34C" w14:textId="6EBC84E1" w:rsidR="002101F5" w:rsidRDefault="00D65D64" w:rsidP="00972F5E">
      <w:pPr>
        <w:pStyle w:val="BulletList2Column"/>
      </w:pPr>
      <w:r>
        <w:t xml:space="preserve">other stakeholders disagreed that regulatory burden </w:t>
      </w:r>
      <w:r w:rsidR="007815E4">
        <w:t xml:space="preserve">costs would </w:t>
      </w:r>
      <w:r w:rsidR="002101F5">
        <w:t>be high</w:t>
      </w:r>
      <w:r w:rsidR="004705A2">
        <w:t xml:space="preserve"> (or that registration fees would be substantial, relative to an audiologist’s median salary)</w:t>
      </w:r>
    </w:p>
    <w:p w14:paraId="54A117FC" w14:textId="62E5AF08" w:rsidR="008D2028" w:rsidRDefault="007C59B1" w:rsidP="00972F5E">
      <w:pPr>
        <w:pStyle w:val="BulletList2Column"/>
      </w:pPr>
      <w:r>
        <w:t xml:space="preserve">stakeholders also spoke of </w:t>
      </w:r>
      <w:r w:rsidR="000D6BF4">
        <w:t xml:space="preserve">labour force </w:t>
      </w:r>
      <w:r w:rsidR="004B2EB9">
        <w:t xml:space="preserve">and funding </w:t>
      </w:r>
      <w:r w:rsidR="000D6BF4">
        <w:t xml:space="preserve">dynamics </w:t>
      </w:r>
      <w:r w:rsidR="00F30645">
        <w:t xml:space="preserve">that </w:t>
      </w:r>
      <w:r w:rsidR="004B2EB9">
        <w:t xml:space="preserve">might lead to </w:t>
      </w:r>
      <w:r w:rsidR="00F30645">
        <w:t xml:space="preserve">substitution </w:t>
      </w:r>
      <w:r>
        <w:t>under</w:t>
      </w:r>
      <w:r w:rsidR="000D6BF4">
        <w:t xml:space="preserve"> the current state</w:t>
      </w:r>
      <w:r w:rsidR="00D76C01">
        <w:t xml:space="preserve"> (hence, the incremental </w:t>
      </w:r>
      <w:r w:rsidR="008D2028">
        <w:t xml:space="preserve">impact of </w:t>
      </w:r>
      <w:r w:rsidR="004B3D1E">
        <w:t>N</w:t>
      </w:r>
      <w:r w:rsidR="008D2028">
        <w:t xml:space="preserve">ational </w:t>
      </w:r>
      <w:r w:rsidR="004B3D1E">
        <w:t>R</w:t>
      </w:r>
      <w:r w:rsidR="008D2028">
        <w:t xml:space="preserve">egistration </w:t>
      </w:r>
      <w:r w:rsidR="006F1528">
        <w:t>would be</w:t>
      </w:r>
      <w:r w:rsidR="008D2028">
        <w:t xml:space="preserve"> lessened). </w:t>
      </w:r>
    </w:p>
    <w:p w14:paraId="774780A9" w14:textId="2D98688C" w:rsidR="001F64AB" w:rsidRDefault="00985530" w:rsidP="00972F5E">
      <w:pPr>
        <w:pStyle w:val="ListBullet"/>
      </w:pPr>
      <w:r>
        <w:t>Separately,</w:t>
      </w:r>
      <w:r w:rsidR="00FD6CB0">
        <w:t xml:space="preserve"> </w:t>
      </w:r>
      <w:r w:rsidR="000A3217">
        <w:t xml:space="preserve">strong concern was raised that </w:t>
      </w:r>
      <w:r w:rsidR="009D65B6">
        <w:t>National Registration</w:t>
      </w:r>
      <w:r w:rsidR="000A3217">
        <w:t xml:space="preserve"> of audiologists would lead to </w:t>
      </w:r>
      <w:r w:rsidR="008B7650">
        <w:t xml:space="preserve">professional tension between </w:t>
      </w:r>
      <w:r w:rsidR="00C502CE">
        <w:t>audiologists and audiometrists</w:t>
      </w:r>
      <w:r w:rsidR="008B7650">
        <w:t>, and</w:t>
      </w:r>
      <w:r w:rsidR="00770038">
        <w:t xml:space="preserve"> </w:t>
      </w:r>
      <w:r w:rsidR="008B7650">
        <w:t xml:space="preserve">behaviour which may seek to use registration </w:t>
      </w:r>
      <w:r w:rsidR="00D74E8F">
        <w:t xml:space="preserve">as a way of </w:t>
      </w:r>
      <w:r w:rsidR="00770038">
        <w:t xml:space="preserve">audiologist-staffed businesses </w:t>
      </w:r>
      <w:r w:rsidR="00D74E8F">
        <w:t xml:space="preserve">gaining market share on </w:t>
      </w:r>
      <w:r w:rsidR="00C15114">
        <w:t>audiometrist</w:t>
      </w:r>
      <w:r w:rsidR="00770038">
        <w:t>s</w:t>
      </w:r>
      <w:r w:rsidR="006607EE">
        <w:t>, by reducing consumer confidence in audiometrist services</w:t>
      </w:r>
      <w:r w:rsidR="00770038">
        <w:t xml:space="preserve">. </w:t>
      </w:r>
      <w:r w:rsidR="009912BE">
        <w:t>Under this scenario, labour dynamics may favour audiologist employment relative to audiometrist</w:t>
      </w:r>
      <w:r w:rsidR="000C7F0A">
        <w:t xml:space="preserve"> employment.</w:t>
      </w:r>
    </w:p>
    <w:p w14:paraId="0A1759F1" w14:textId="0BA76B38" w:rsidR="00EF7178" w:rsidRDefault="00264C35" w:rsidP="00264C35">
      <w:pPr>
        <w:pStyle w:val="ListBullet"/>
      </w:pPr>
      <w:r>
        <w:t xml:space="preserve">Overall, </w:t>
      </w:r>
      <w:r w:rsidR="00EE0E73">
        <w:t>additional information was provided that led to a material reframing of risks in this document</w:t>
      </w:r>
      <w:r w:rsidR="008C47B5">
        <w:t xml:space="preserve"> to</w:t>
      </w:r>
      <w:r w:rsidR="00EF7178">
        <w:t>:</w:t>
      </w:r>
    </w:p>
    <w:p w14:paraId="1D7173BA" w14:textId="35CBC22E" w:rsidR="008C47B5" w:rsidRDefault="00CE55EB" w:rsidP="00EF7178">
      <w:pPr>
        <w:pStyle w:val="BulletList2Column"/>
      </w:pPr>
      <w:r>
        <w:t xml:space="preserve">acknowledge stakeholder observations regarding </w:t>
      </w:r>
      <w:r w:rsidR="00690D24">
        <w:t>changes under the current state</w:t>
      </w:r>
    </w:p>
    <w:p w14:paraId="6DC022E8" w14:textId="77777777" w:rsidR="00BF3227" w:rsidRDefault="00A21E76" w:rsidP="00EF7178">
      <w:pPr>
        <w:pStyle w:val="BulletList2Column"/>
      </w:pPr>
      <w:r>
        <w:t xml:space="preserve">address </w:t>
      </w:r>
      <w:r w:rsidR="00BF3227">
        <w:t>risks of different labour force dynamics emerging</w:t>
      </w:r>
    </w:p>
    <w:p w14:paraId="28F2A9BB" w14:textId="613C6029" w:rsidR="00A21E76" w:rsidRDefault="00BF3227" w:rsidP="00EF7178">
      <w:pPr>
        <w:pStyle w:val="BulletList2Column"/>
      </w:pPr>
      <w:r>
        <w:t xml:space="preserve">defining potential risks for consumers more clearly (i.e., how </w:t>
      </w:r>
      <w:r w:rsidR="009D65B6">
        <w:t>National Registration</w:t>
      </w:r>
      <w:r>
        <w:t xml:space="preserve"> may impact prices, service access or patient behaviour)</w:t>
      </w:r>
      <w:r w:rsidR="00F27B66">
        <w:t>.</w:t>
      </w:r>
      <w:r w:rsidR="00A21E76">
        <w:t xml:space="preserve"> </w:t>
      </w:r>
    </w:p>
    <w:p w14:paraId="68740B04" w14:textId="2A9F503C" w:rsidR="0073536F" w:rsidRDefault="00E217F8" w:rsidP="00972F5E">
      <w:pPr>
        <w:pStyle w:val="ListBullet"/>
      </w:pPr>
      <w:r>
        <w:t>Other implementation risks were added</w:t>
      </w:r>
      <w:r w:rsidR="002B1BB1">
        <w:t xml:space="preserve"> based on consultation feedback, including</w:t>
      </w:r>
      <w:r w:rsidR="0073536F">
        <w:t>:</w:t>
      </w:r>
    </w:p>
    <w:p w14:paraId="28C8B504" w14:textId="14084ADF" w:rsidR="002B6E80" w:rsidRDefault="00F159CB" w:rsidP="00972F5E">
      <w:pPr>
        <w:pStyle w:val="BulletList2Column"/>
      </w:pPr>
      <w:r>
        <w:t>reduced flexibility to handle low-risk complaints</w:t>
      </w:r>
    </w:p>
    <w:p w14:paraId="6741EE45" w14:textId="494349E3" w:rsidR="0073536F" w:rsidRPr="00972F5E" w:rsidRDefault="00F159CB" w:rsidP="00972F5E">
      <w:pPr>
        <w:pStyle w:val="BulletList2Column"/>
      </w:pPr>
      <w:r>
        <w:t>professional policy work is diverted away from other system priorities.</w:t>
      </w:r>
    </w:p>
    <w:p w14:paraId="01B5CA44" w14:textId="4F3E8FD5" w:rsidR="00F42CC3" w:rsidRDefault="00270969" w:rsidP="002215A9">
      <w:pPr>
        <w:pStyle w:val="BodyText"/>
      </w:pPr>
      <w:r>
        <w:rPr>
          <w:b/>
          <w:bCs/>
        </w:rPr>
        <w:t xml:space="preserve">Impacts </w:t>
      </w:r>
      <w:r w:rsidR="00FC2516">
        <w:rPr>
          <w:b/>
          <w:bCs/>
        </w:rPr>
        <w:t xml:space="preserve">of </w:t>
      </w:r>
      <w:r w:rsidR="009D65B6">
        <w:rPr>
          <w:b/>
          <w:bCs/>
        </w:rPr>
        <w:t>N</w:t>
      </w:r>
      <w:r w:rsidR="00FC2516">
        <w:rPr>
          <w:b/>
          <w:bCs/>
        </w:rPr>
        <w:t xml:space="preserve">ational </w:t>
      </w:r>
      <w:r w:rsidR="009D65B6">
        <w:rPr>
          <w:b/>
          <w:bCs/>
        </w:rPr>
        <w:t>R</w:t>
      </w:r>
      <w:r w:rsidR="00FC2516">
        <w:rPr>
          <w:b/>
          <w:bCs/>
        </w:rPr>
        <w:t>egistration on First Nations communities.</w:t>
      </w:r>
      <w:r w:rsidR="00B817CB">
        <w:t xml:space="preserve"> </w:t>
      </w:r>
      <w:r w:rsidR="00782B5A">
        <w:t xml:space="preserve">To </w:t>
      </w:r>
      <w:r w:rsidR="00206C5D">
        <w:t>strengthen the Decision RIS regarding</w:t>
      </w:r>
      <w:r w:rsidR="00E70C9E">
        <w:t xml:space="preserve"> impacts of </w:t>
      </w:r>
      <w:r w:rsidR="009D65B6">
        <w:t>N</w:t>
      </w:r>
      <w:r w:rsidR="00E70C9E">
        <w:t xml:space="preserve">ational </w:t>
      </w:r>
      <w:r w:rsidR="009D65B6">
        <w:t>R</w:t>
      </w:r>
      <w:r w:rsidR="00E70C9E">
        <w:t xml:space="preserve">egistration on First Nations communities, </w:t>
      </w:r>
      <w:r w:rsidR="000617D0">
        <w:t>stakeholder consultation sought to</w:t>
      </w:r>
      <w:r w:rsidR="006E6127">
        <w:t xml:space="preserve"> </w:t>
      </w:r>
      <w:r w:rsidR="002D1328">
        <w:t xml:space="preserve">gather </w:t>
      </w:r>
      <w:r w:rsidR="006E6127">
        <w:t>additional information on major service delivery programs to First Nations communities (particularly outreach services), as well</w:t>
      </w:r>
      <w:r w:rsidR="00417CB3">
        <w:t xml:space="preserve"> as </w:t>
      </w:r>
      <w:r w:rsidR="00281A99">
        <w:t>seek a range of perspectives</w:t>
      </w:r>
      <w:r w:rsidR="00504973">
        <w:t xml:space="preserve"> </w:t>
      </w:r>
      <w:r w:rsidR="00281A99">
        <w:t xml:space="preserve">on </w:t>
      </w:r>
      <w:r w:rsidR="0023537C">
        <w:t xml:space="preserve">other potential impacts of </w:t>
      </w:r>
      <w:r w:rsidR="009D65B6">
        <w:t>N</w:t>
      </w:r>
      <w:r w:rsidR="0023537C">
        <w:t xml:space="preserve">ational </w:t>
      </w:r>
      <w:r w:rsidR="009D65B6">
        <w:t>R</w:t>
      </w:r>
      <w:r w:rsidR="0023537C">
        <w:t xml:space="preserve">egistration. Overall, </w:t>
      </w:r>
      <w:r w:rsidR="00061066">
        <w:t>key stakeholder themes related to cultural safety</w:t>
      </w:r>
      <w:r w:rsidR="00192E5F">
        <w:t xml:space="preserve"> of services, access to services</w:t>
      </w:r>
      <w:r w:rsidR="0088581E">
        <w:t xml:space="preserve"> and workforce</w:t>
      </w:r>
      <w:r w:rsidR="00192E5F">
        <w:t xml:space="preserve">, and the potential for price increases. </w:t>
      </w:r>
    </w:p>
    <w:p w14:paraId="5F20AB9C" w14:textId="2D36B532" w:rsidR="00156557" w:rsidRDefault="0095565B" w:rsidP="00972F5E">
      <w:pPr>
        <w:pStyle w:val="ListBullet"/>
      </w:pPr>
      <w:r>
        <w:t xml:space="preserve">Regarding cultural safety of services, </w:t>
      </w:r>
      <w:r w:rsidR="00426FE0">
        <w:t xml:space="preserve">multiple stakeholders raised </w:t>
      </w:r>
      <w:r w:rsidR="007D1919">
        <w:t xml:space="preserve">the </w:t>
      </w:r>
      <w:r w:rsidR="002D32A5">
        <w:t>work that Ahpra has undertaken over the past several years in relation to Aboriginal and Torres Strait Island</w:t>
      </w:r>
      <w:r w:rsidR="004637FB">
        <w:t>er cultural safety</w:t>
      </w:r>
      <w:r w:rsidR="009F1790">
        <w:t xml:space="preserve">, </w:t>
      </w:r>
      <w:r w:rsidR="00C5797E">
        <w:t xml:space="preserve">and the </w:t>
      </w:r>
      <w:r w:rsidR="00A11E65">
        <w:t xml:space="preserve">emphasis that the National Scheme has placed on this issue. </w:t>
      </w:r>
      <w:r w:rsidR="001F749B">
        <w:t xml:space="preserve">This feedback was provided in the </w:t>
      </w:r>
      <w:r w:rsidR="005B725B">
        <w:t xml:space="preserve">context of the potential for </w:t>
      </w:r>
      <w:r w:rsidR="009D65B6">
        <w:t>N</w:t>
      </w:r>
      <w:r w:rsidR="005B725B">
        <w:t xml:space="preserve">ational </w:t>
      </w:r>
      <w:r w:rsidR="009D65B6">
        <w:t>R</w:t>
      </w:r>
      <w:r w:rsidR="005B725B">
        <w:t xml:space="preserve">egistration of audiologists to have positive impacts on First Nations </w:t>
      </w:r>
      <w:r w:rsidR="003D1BDB">
        <w:t xml:space="preserve">communities. </w:t>
      </w:r>
      <w:r w:rsidR="00C15B3C">
        <w:t xml:space="preserve">As per the National Scheme’s </w:t>
      </w:r>
      <w:r w:rsidR="00715E1E" w:rsidRPr="00972F5E">
        <w:rPr>
          <w:i/>
          <w:iCs/>
        </w:rPr>
        <w:t>Aboriginal and Torres Strait Islander Health and Cultural Safety Strategy 2020-2025</w:t>
      </w:r>
      <w:r w:rsidR="00715E1E">
        <w:t xml:space="preserve">, </w:t>
      </w:r>
      <w:r w:rsidR="009F3281">
        <w:t>the Strategy’s vision is</w:t>
      </w:r>
      <w:r w:rsidR="00064423">
        <w:t>, ‘</w:t>
      </w:r>
      <w:r w:rsidR="009F3281" w:rsidRPr="00972F5E">
        <w:rPr>
          <w:i/>
          <w:iCs/>
        </w:rPr>
        <w:t>Patient safety for Aboriginal and Torres Strait islander People is the norm. We recognise that patient safety includes the inextricably linked elements of clinical and cultural safety, and that this link must be defined by the Aborig</w:t>
      </w:r>
      <w:r w:rsidR="00064423" w:rsidRPr="00972F5E">
        <w:rPr>
          <w:i/>
          <w:iCs/>
        </w:rPr>
        <w:t>inal and Torres Strait Islander Peoples.</w:t>
      </w:r>
      <w:r w:rsidR="00064423">
        <w:t xml:space="preserve">’ </w:t>
      </w:r>
      <w:r w:rsidR="00585E9F">
        <w:t xml:space="preserve">Activities </w:t>
      </w:r>
      <w:r w:rsidR="00CC39D6">
        <w:t xml:space="preserve">that have been </w:t>
      </w:r>
      <w:r w:rsidR="00585E9F">
        <w:t xml:space="preserve">undertaken in this space </w:t>
      </w:r>
      <w:r w:rsidR="00DD6017">
        <w:t>include</w:t>
      </w:r>
      <w:r w:rsidR="00CC39D6">
        <w:t xml:space="preserve"> </w:t>
      </w:r>
      <w:r w:rsidR="00585E9F">
        <w:t xml:space="preserve">amendments to the National Law such that </w:t>
      </w:r>
      <w:r w:rsidR="00ED6445">
        <w:t>if c</w:t>
      </w:r>
      <w:r w:rsidR="00EF398E">
        <w:t>are fails to meet the expectation of being culturally safe and free of racism</w:t>
      </w:r>
      <w:r w:rsidR="002215A9">
        <w:t>,</w:t>
      </w:r>
      <w:r w:rsidR="00EF398E">
        <w:t xml:space="preserve"> </w:t>
      </w:r>
      <w:r w:rsidR="00904782">
        <w:t>Aboriginal and Torres Strait Islander health consumers are able to submit a complaint</w:t>
      </w:r>
      <w:r w:rsidR="00F8580A">
        <w:t>, and if the complaint enters the court system</w:t>
      </w:r>
      <w:r w:rsidR="002215A9">
        <w:t>,</w:t>
      </w:r>
      <w:r w:rsidR="00F8580A">
        <w:t xml:space="preserve"> cultural safety is required to be taken into account</w:t>
      </w:r>
      <w:r w:rsidR="002215A9">
        <w:t>.</w:t>
      </w:r>
      <w:r w:rsidR="00D626CD">
        <w:rPr>
          <w:rStyle w:val="FootnoteReference"/>
        </w:rPr>
        <w:footnoteReference w:id="231"/>
      </w:r>
      <w:r w:rsidR="002215A9">
        <w:t xml:space="preserve"> Other ongoing processes include </w:t>
      </w:r>
      <w:r w:rsidR="00DD6017">
        <w:t xml:space="preserve">creation of a culturally safe notifications process for Aboriginal and Torres Strait Islander </w:t>
      </w:r>
      <w:r w:rsidR="00CC590E">
        <w:t>p</w:t>
      </w:r>
      <w:r w:rsidR="00DD6017">
        <w:t>eoples making a complaint</w:t>
      </w:r>
      <w:r w:rsidR="002215A9">
        <w:t xml:space="preserve"> and </w:t>
      </w:r>
      <w:r w:rsidR="008A41E2">
        <w:t>development of cultural safety CPD for all registered health practitioners</w:t>
      </w:r>
      <w:r w:rsidR="0043031F">
        <w:t>.</w:t>
      </w:r>
      <w:r w:rsidR="00E83347">
        <w:t xml:space="preserve"> </w:t>
      </w:r>
    </w:p>
    <w:p w14:paraId="2DB3F2BE" w14:textId="7BA08D3D" w:rsidR="00D04A72" w:rsidRDefault="00FC0F79" w:rsidP="00972F5E">
      <w:pPr>
        <w:pStyle w:val="ListBullet"/>
      </w:pPr>
      <w:r>
        <w:t xml:space="preserve">A broad range of stakeholders </w:t>
      </w:r>
      <w:r w:rsidR="009952F8">
        <w:t>(including practising professionals</w:t>
      </w:r>
      <w:r w:rsidR="00B206FB">
        <w:t xml:space="preserve"> and professional associations</w:t>
      </w:r>
      <w:r w:rsidR="000B777C">
        <w:t xml:space="preserve">) </w:t>
      </w:r>
      <w:r w:rsidR="003F6C24">
        <w:t xml:space="preserve">commented that </w:t>
      </w:r>
      <w:r w:rsidR="003A4DAD">
        <w:t xml:space="preserve">under the current state </w:t>
      </w:r>
      <w:r w:rsidR="0005775C">
        <w:t xml:space="preserve">First </w:t>
      </w:r>
      <w:r w:rsidR="00A96AFE">
        <w:t xml:space="preserve">Nations people may have reduced access to services </w:t>
      </w:r>
      <w:r w:rsidR="00346E06">
        <w:t>if they live in rural or remote areas, and</w:t>
      </w:r>
      <w:r w:rsidR="000B777C">
        <w:t>/or</w:t>
      </w:r>
      <w:r w:rsidR="00346E06">
        <w:t xml:space="preserve"> that ACCHOs as employers may operate in thin markets</w:t>
      </w:r>
      <w:r w:rsidR="00133CB7">
        <w:t xml:space="preserve"> where </w:t>
      </w:r>
      <w:r w:rsidR="007F2B46">
        <w:t>it is difficult to source staff</w:t>
      </w:r>
      <w:r w:rsidR="00346E06">
        <w:t xml:space="preserve">. Hence, </w:t>
      </w:r>
      <w:r w:rsidR="00585682">
        <w:t xml:space="preserve">First Nations communities </w:t>
      </w:r>
      <w:r w:rsidR="00B162E9">
        <w:t>could</w:t>
      </w:r>
      <w:r w:rsidR="00585682">
        <w:t xml:space="preserve"> be </w:t>
      </w:r>
      <w:r w:rsidR="00922574">
        <w:t xml:space="preserve">disproportionately impacted by </w:t>
      </w:r>
      <w:r w:rsidR="00B162E9">
        <w:t>regulatory costs, i</w:t>
      </w:r>
      <w:r w:rsidR="0064160A">
        <w:t>f</w:t>
      </w:r>
      <w:r w:rsidR="00B162E9">
        <w:t xml:space="preserve"> these costs changed service delivery decisions</w:t>
      </w:r>
      <w:r w:rsidR="007253D2">
        <w:t xml:space="preserve">, </w:t>
      </w:r>
      <w:r w:rsidR="0064160A">
        <w:t>had major impacts on salary expectations</w:t>
      </w:r>
      <w:r w:rsidR="007253D2">
        <w:t xml:space="preserve">, or increased prices for consumers. </w:t>
      </w:r>
      <w:r w:rsidR="001D3A0B">
        <w:t xml:space="preserve">However, </w:t>
      </w:r>
      <w:r w:rsidR="00FF149C">
        <w:t xml:space="preserve">further consultation with service providers and </w:t>
      </w:r>
      <w:r w:rsidR="00D538B8">
        <w:t>analysis of service program requirements</w:t>
      </w:r>
      <w:r w:rsidR="005F30DD">
        <w:t xml:space="preserve"> highlighted t</w:t>
      </w:r>
      <w:r w:rsidR="00926320">
        <w:t xml:space="preserve">hat </w:t>
      </w:r>
      <w:r w:rsidR="005F30DD">
        <w:t xml:space="preserve">there are a series of </w:t>
      </w:r>
      <w:r w:rsidR="00C17BF1">
        <w:t xml:space="preserve">programs which are specifically </w:t>
      </w:r>
      <w:r w:rsidR="00F8489A">
        <w:t>subsidised by government</w:t>
      </w:r>
      <w:r w:rsidR="00C17BF1">
        <w:t xml:space="preserve"> to deliver </w:t>
      </w:r>
      <w:r w:rsidR="00B77580">
        <w:t xml:space="preserve">low-cost or no-cost </w:t>
      </w:r>
      <w:r w:rsidR="00C17BF1">
        <w:t xml:space="preserve">services </w:t>
      </w:r>
      <w:r w:rsidR="002276FA">
        <w:t>First Nations people, including</w:t>
      </w:r>
      <w:r w:rsidR="00D04A72">
        <w:t>:</w:t>
      </w:r>
    </w:p>
    <w:p w14:paraId="00FEE9CA" w14:textId="77777777" w:rsidR="00926320" w:rsidRPr="00000197" w:rsidRDefault="00B77580" w:rsidP="00972F5E">
      <w:pPr>
        <w:pStyle w:val="BulletList2Column"/>
      </w:pPr>
      <w:r w:rsidRPr="00000197">
        <w:t xml:space="preserve">Hearing Services Program voucher and </w:t>
      </w:r>
      <w:r w:rsidR="00926320" w:rsidRPr="00000197">
        <w:t>CSO stream</w:t>
      </w:r>
    </w:p>
    <w:p w14:paraId="209ED866" w14:textId="27FAF789" w:rsidR="00F8489A" w:rsidRPr="00000197" w:rsidRDefault="009B5EFE" w:rsidP="00972F5E">
      <w:pPr>
        <w:pStyle w:val="BulletList2Column"/>
      </w:pPr>
      <w:r w:rsidRPr="00000197">
        <w:t>Hearing Australia</w:t>
      </w:r>
      <w:r w:rsidR="002542D7" w:rsidRPr="00000197">
        <w:t xml:space="preserve">’s </w:t>
      </w:r>
      <w:r w:rsidR="008D334B" w:rsidRPr="00000197">
        <w:t xml:space="preserve">HAPEE Program </w:t>
      </w:r>
    </w:p>
    <w:p w14:paraId="216102AB" w14:textId="5731CBB1" w:rsidR="002276FA" w:rsidRPr="00000197" w:rsidRDefault="002276FA" w:rsidP="00972F5E">
      <w:pPr>
        <w:pStyle w:val="BulletList2Column"/>
      </w:pPr>
      <w:r w:rsidRPr="00000197">
        <w:t>Healthy Ears, Better Hearing, Better Listening</w:t>
      </w:r>
      <w:r w:rsidR="00D04A72" w:rsidRPr="00000197">
        <w:t xml:space="preserve"> program</w:t>
      </w:r>
      <w:r w:rsidR="00926320" w:rsidRPr="00000197">
        <w:t>.</w:t>
      </w:r>
    </w:p>
    <w:p w14:paraId="3DE26D1C" w14:textId="785FA72A" w:rsidR="00206C5D" w:rsidRDefault="00000197" w:rsidP="00972F5E">
      <w:pPr>
        <w:pStyle w:val="ListBullet"/>
        <w:numPr>
          <w:ilvl w:val="0"/>
          <w:numId w:val="0"/>
        </w:numPr>
        <w:ind w:left="360"/>
      </w:pPr>
      <w:r>
        <w:t xml:space="preserve">Hence, </w:t>
      </w:r>
      <w:r w:rsidR="004C34EA">
        <w:t xml:space="preserve">cohorts of </w:t>
      </w:r>
      <w:r w:rsidR="00DE35A0">
        <w:t xml:space="preserve">First Nations </w:t>
      </w:r>
      <w:r w:rsidR="004C34EA">
        <w:t xml:space="preserve">people are protected from </w:t>
      </w:r>
      <w:r w:rsidR="00E7255C">
        <w:t>price increases due to the delivery of services free of charge</w:t>
      </w:r>
      <w:r w:rsidR="00BE553B">
        <w:t>, or where consumer choice can elect to avoid out-of-pocket costs</w:t>
      </w:r>
      <w:r w:rsidR="00E7255C">
        <w:t>.</w:t>
      </w:r>
      <w:r w:rsidR="00295E9B">
        <w:t xml:space="preserve"> These cohorts include</w:t>
      </w:r>
      <w:r w:rsidR="00E7255C">
        <w:t xml:space="preserve"> </w:t>
      </w:r>
      <w:r w:rsidR="00DE35A0">
        <w:t>children and young adults</w:t>
      </w:r>
      <w:r w:rsidR="00295E9B">
        <w:t xml:space="preserve"> under 26</w:t>
      </w:r>
      <w:r w:rsidR="00DE35A0">
        <w:t>, as well as those aged 50 years and over</w:t>
      </w:r>
      <w:r w:rsidR="00295E9B">
        <w:t>.</w:t>
      </w:r>
      <w:r w:rsidR="00EA6C85">
        <w:t xml:space="preserve"> Furthermore, the strong involvement of government oversight of these programs (and Hearing Australia as a </w:t>
      </w:r>
      <w:r w:rsidR="00174120">
        <w:t>corporate Commonwealth entity) are protective against decisions to withdraw services.</w:t>
      </w:r>
    </w:p>
    <w:p w14:paraId="350D282E" w14:textId="69E1BE29" w:rsidR="00346817" w:rsidRDefault="00346817" w:rsidP="00346817">
      <w:pPr>
        <w:pStyle w:val="BodyText"/>
      </w:pPr>
      <w:r>
        <w:rPr>
          <w:b/>
          <w:bCs/>
        </w:rPr>
        <w:t>Costings.</w:t>
      </w:r>
      <w:r w:rsidRPr="00FD0A8E">
        <w:t xml:space="preserve"> </w:t>
      </w:r>
      <w:r>
        <w:t xml:space="preserve">The project team worked collaboratively with Ahpra to refine seed funding, initial application fees and registration fees for the </w:t>
      </w:r>
      <w:r w:rsidR="009D65B6">
        <w:t>National Registration</w:t>
      </w:r>
      <w:r>
        <w:t xml:space="preserve"> option. Outcomes of this process are summarised below and included in Chapter 8 analysis.</w:t>
      </w:r>
    </w:p>
    <w:p w14:paraId="54CB2D4C" w14:textId="77777777" w:rsidR="00346817" w:rsidRDefault="00346817" w:rsidP="00346817">
      <w:pPr>
        <w:pStyle w:val="ListBullet"/>
      </w:pPr>
      <w:r>
        <w:t>The seed funding estimate for Ahpra increased to acknowledge:</w:t>
      </w:r>
    </w:p>
    <w:p w14:paraId="1195AC7B" w14:textId="77777777" w:rsidR="00346817" w:rsidRDefault="00346817" w:rsidP="00346817">
      <w:pPr>
        <w:pStyle w:val="BulletList2Column"/>
      </w:pPr>
      <w:r>
        <w:t>the fixed nature of costs associated with a number of implementation activities (i.e., where profession size is not a key cost driver)</w:t>
      </w:r>
    </w:p>
    <w:p w14:paraId="3606A56E" w14:textId="48D12705" w:rsidR="00346817" w:rsidRDefault="00346817" w:rsidP="00346817">
      <w:pPr>
        <w:pStyle w:val="BulletList2Column"/>
      </w:pPr>
      <w:r>
        <w:t xml:space="preserve">the work required to be performed by the National Board under the National </w:t>
      </w:r>
      <w:r w:rsidR="00FA5A34">
        <w:t>L</w:t>
      </w:r>
      <w:r>
        <w:t>aw (and in accordance with procedures approved by the Ahpra Board) regarding registration standards, codes and guidelines</w:t>
      </w:r>
    </w:p>
    <w:p w14:paraId="38053006" w14:textId="0BF3734A" w:rsidR="00346817" w:rsidRDefault="00346817" w:rsidP="00346817">
      <w:pPr>
        <w:pStyle w:val="BulletList2Column"/>
      </w:pPr>
      <w:r>
        <w:t>costs required for communication and engagement with a predominantly private sector self-regulated profession</w:t>
      </w:r>
      <w:r w:rsidR="00FA5A34">
        <w:t>.</w:t>
      </w:r>
    </w:p>
    <w:p w14:paraId="3A101F76" w14:textId="775E4F61" w:rsidR="00346817" w:rsidRDefault="00346817" w:rsidP="00346817">
      <w:pPr>
        <w:pStyle w:val="ListBullet"/>
      </w:pPr>
      <w:r>
        <w:t>A registration fee estimate range of $600-$650 was provided</w:t>
      </w:r>
      <w:r w:rsidR="003B5B97">
        <w:t xml:space="preserve"> by Ahpra</w:t>
      </w:r>
      <w:r>
        <w:t xml:space="preserve">, alongside an initial application fee range of $600-650. This fee range is based on information available for the audiology profession and the National Scheme as it currently operates. </w:t>
      </w:r>
      <w:r w:rsidRPr="00FD0A8E">
        <w:rPr>
          <w:i/>
          <w:iCs/>
        </w:rPr>
        <w:t>Consultation Paper 2</w:t>
      </w:r>
      <w:r>
        <w:t xml:space="preserve"> included a registration fee estimate of $500 based on initial calculations, and it is noted that registration fees did not feature as</w:t>
      </w:r>
      <w:r w:rsidR="00BC4530">
        <w:t xml:space="preserve"> </w:t>
      </w:r>
      <w:r>
        <w:t xml:space="preserve">a </w:t>
      </w:r>
      <w:r w:rsidR="00AA7860">
        <w:t>perceived drawback</w:t>
      </w:r>
      <w:r>
        <w:t xml:space="preserve"> </w:t>
      </w:r>
      <w:r w:rsidR="00781F7B">
        <w:t xml:space="preserve">of </w:t>
      </w:r>
      <w:r w:rsidR="00CF5994">
        <w:t xml:space="preserve">the </w:t>
      </w:r>
      <w:r w:rsidR="009D65B6">
        <w:t>National Registration</w:t>
      </w:r>
      <w:r w:rsidR="00CF5994">
        <w:t xml:space="preserve"> option</w:t>
      </w:r>
      <w:r>
        <w:t xml:space="preserve"> from audiologists throughout Consultation Period 2.</w:t>
      </w:r>
    </w:p>
    <w:p w14:paraId="1793BE12" w14:textId="2FEDE94C" w:rsidR="00346817" w:rsidRDefault="00346817" w:rsidP="00346817">
      <w:pPr>
        <w:pStyle w:val="ListBullet"/>
      </w:pPr>
      <w:r>
        <w:t>A material revision was required to be made regarding the potential ongoing registration fee reductions from a board comprising multiple professions, relative to a Single Board. Estimates declined to 8% based on the types of costs able to be shared among professions in a board structure of this type.</w:t>
      </w:r>
      <w:r w:rsidR="00EE2057">
        <w:t xml:space="preserve"> </w:t>
      </w:r>
    </w:p>
    <w:p w14:paraId="19EF87F7" w14:textId="77777777" w:rsidR="00346817" w:rsidRPr="00FD0A8E" w:rsidRDefault="00346817" w:rsidP="00346817">
      <w:pPr>
        <w:pStyle w:val="ListBullet"/>
        <w:numPr>
          <w:ilvl w:val="0"/>
          <w:numId w:val="0"/>
        </w:numPr>
      </w:pPr>
      <w:r>
        <w:t>Separate to Ahpra, NSW Ministry of Health also provided an estimate for the establishment of a Health Professions Council in NSW, which has been included in Chapter 8.</w:t>
      </w:r>
    </w:p>
    <w:p w14:paraId="6A64126E" w14:textId="3D49DC85" w:rsidR="00820097" w:rsidRDefault="00CC6FE2" w:rsidP="00BF10D2">
      <w:pPr>
        <w:pStyle w:val="BodyText"/>
      </w:pPr>
      <w:r>
        <w:rPr>
          <w:b/>
          <w:bCs/>
        </w:rPr>
        <w:t>Implementation considerations</w:t>
      </w:r>
      <w:r w:rsidR="00F44F7F">
        <w:rPr>
          <w:b/>
          <w:bCs/>
        </w:rPr>
        <w:t>.</w:t>
      </w:r>
      <w:r w:rsidR="00B817CB" w:rsidRPr="0060016B">
        <w:t xml:space="preserve"> </w:t>
      </w:r>
      <w:r w:rsidR="003D39B3">
        <w:t>Consultation</w:t>
      </w:r>
      <w:r w:rsidR="00B817CB">
        <w:t xml:space="preserve"> feedback o</w:t>
      </w:r>
      <w:r w:rsidR="00336488">
        <w:t xml:space="preserve">n </w:t>
      </w:r>
      <w:r w:rsidR="001C54EF">
        <w:t xml:space="preserve">implementation considerations for </w:t>
      </w:r>
      <w:r w:rsidR="009D65B6">
        <w:t>National Registration</w:t>
      </w:r>
      <w:r w:rsidR="001C54EF">
        <w:t xml:space="preserve"> c</w:t>
      </w:r>
      <w:r w:rsidR="00683555">
        <w:t xml:space="preserve">omprised two </w:t>
      </w:r>
      <w:r w:rsidR="003D39B3">
        <w:t xml:space="preserve">processes. </w:t>
      </w:r>
      <w:r w:rsidR="000C7061">
        <w:t>Firstly</w:t>
      </w:r>
      <w:r w:rsidR="003D39B3">
        <w:t xml:space="preserve">, </w:t>
      </w:r>
      <w:r w:rsidR="00C0671E">
        <w:t>as a major stakeholder in a potential implementation process, the</w:t>
      </w:r>
      <w:r w:rsidR="00E02164">
        <w:t xml:space="preserve"> project undertook a series of consultations with </w:t>
      </w:r>
      <w:r w:rsidR="008756A6">
        <w:t xml:space="preserve">Ahpra </w:t>
      </w:r>
      <w:r w:rsidR="0026402D">
        <w:t>where</w:t>
      </w:r>
      <w:r w:rsidR="00E02164">
        <w:t xml:space="preserve"> implementation considerations</w:t>
      </w:r>
      <w:r w:rsidR="00083070">
        <w:t xml:space="preserve"> </w:t>
      </w:r>
      <w:r w:rsidR="0026402D">
        <w:t>were a key focus</w:t>
      </w:r>
      <w:r w:rsidR="00D00C4B">
        <w:t xml:space="preserve">. </w:t>
      </w:r>
      <w:r w:rsidR="00064AE5">
        <w:t xml:space="preserve">Section </w:t>
      </w:r>
      <w:r w:rsidR="00064AE5">
        <w:fldChar w:fldCharType="begin"/>
      </w:r>
      <w:r w:rsidR="00064AE5">
        <w:instrText xml:space="preserve"> REF _Ref191400809 \r \h </w:instrText>
      </w:r>
      <w:r w:rsidR="00064AE5">
        <w:fldChar w:fldCharType="separate"/>
      </w:r>
      <w:r w:rsidR="00F32107">
        <w:t>9.2.1</w:t>
      </w:r>
      <w:r w:rsidR="00064AE5">
        <w:fldChar w:fldCharType="end"/>
      </w:r>
      <w:r w:rsidR="00064AE5">
        <w:t xml:space="preserve"> has been updated to</w:t>
      </w:r>
      <w:r w:rsidR="008D4CAF">
        <w:t xml:space="preserve"> provide increased granularity of </w:t>
      </w:r>
      <w:r w:rsidR="009F7737">
        <w:t xml:space="preserve">information regarding </w:t>
      </w:r>
      <w:r w:rsidR="008D4CAF">
        <w:t xml:space="preserve">the roles and actions of </w:t>
      </w:r>
      <w:r w:rsidR="00064AE5">
        <w:t xml:space="preserve">the Ministerial Council, Ahpra, the National Boards and the Accreditation Committee </w:t>
      </w:r>
      <w:r w:rsidR="00F3218D">
        <w:t>in an implementation process</w:t>
      </w:r>
      <w:r w:rsidR="008D4CAF">
        <w:t>.</w:t>
      </w:r>
      <w:r w:rsidR="006D4226">
        <w:t xml:space="preserve"> </w:t>
      </w:r>
      <w:r w:rsidR="004E04EF">
        <w:t xml:space="preserve">Section </w:t>
      </w:r>
      <w:r w:rsidR="009E3961">
        <w:fldChar w:fldCharType="begin"/>
      </w:r>
      <w:r w:rsidR="009E3961">
        <w:instrText xml:space="preserve"> REF _Ref191400809 \r \h </w:instrText>
      </w:r>
      <w:r w:rsidR="009E3961">
        <w:fldChar w:fldCharType="separate"/>
      </w:r>
      <w:r w:rsidR="00F32107">
        <w:t>9.2.1</w:t>
      </w:r>
      <w:r w:rsidR="009E3961">
        <w:fldChar w:fldCharType="end"/>
      </w:r>
      <w:r w:rsidR="004E04EF">
        <w:t xml:space="preserve"> also includes</w:t>
      </w:r>
      <w:r w:rsidR="00F3218D">
        <w:t xml:space="preserve"> consultation feedback received in one-on-one interviews and </w:t>
      </w:r>
      <w:r w:rsidR="000E12CD">
        <w:t xml:space="preserve">public submissions regarding </w:t>
      </w:r>
      <w:r w:rsidR="001C1C8E">
        <w:t xml:space="preserve">additional </w:t>
      </w:r>
      <w:r w:rsidR="000E12CD">
        <w:t>activities</w:t>
      </w:r>
      <w:r w:rsidR="009F7376">
        <w:t xml:space="preserve"> that would be required</w:t>
      </w:r>
      <w:r w:rsidR="009F7737">
        <w:t>, including for QLD and NSW as co-regulatory jurisdiction</w:t>
      </w:r>
      <w:r w:rsidR="006C5266">
        <w:t>s</w:t>
      </w:r>
      <w:r w:rsidR="009E3961">
        <w:t>.</w:t>
      </w:r>
      <w:r w:rsidR="009F7376">
        <w:t xml:space="preserve"> </w:t>
      </w:r>
    </w:p>
    <w:p w14:paraId="231E9CA0" w14:textId="222768A7" w:rsidR="00B817CB" w:rsidRDefault="00215D51" w:rsidP="00BF10D2">
      <w:pPr>
        <w:pStyle w:val="BodyText"/>
      </w:pPr>
      <w:r>
        <w:t>Separate to this,</w:t>
      </w:r>
      <w:r w:rsidR="004A6091">
        <w:t xml:space="preserve"> </w:t>
      </w:r>
      <w:r w:rsidR="00612569">
        <w:t xml:space="preserve">one of the major </w:t>
      </w:r>
      <w:r w:rsidR="004A6091">
        <w:t>implementation considerations that</w:t>
      </w:r>
      <w:r w:rsidR="0068100F">
        <w:t xml:space="preserve"> has a material impact on </w:t>
      </w:r>
      <w:r w:rsidR="00FC0FB5">
        <w:t xml:space="preserve">the policy reform overall </w:t>
      </w:r>
      <w:r w:rsidR="00612569">
        <w:t>is the</w:t>
      </w:r>
      <w:r w:rsidR="00FC0FB5">
        <w:t xml:space="preserve"> </w:t>
      </w:r>
      <w:r w:rsidR="00E2644E">
        <w:t xml:space="preserve">preferred National Board structure. </w:t>
      </w:r>
      <w:r w:rsidR="00A74813">
        <w:t xml:space="preserve">Stakeholders provided a range of feedback regarding the </w:t>
      </w:r>
      <w:r w:rsidR="00FC0FB5">
        <w:t>advantages a board comprising more than one profession</w:t>
      </w:r>
      <w:r w:rsidR="007B3C82">
        <w:t xml:space="preserve"> (either a Multi-Profession Board or a </w:t>
      </w:r>
      <w:r w:rsidR="00894997">
        <w:t>B</w:t>
      </w:r>
      <w:r w:rsidR="00E2644E">
        <w:t xml:space="preserve">oard with </w:t>
      </w:r>
      <w:r w:rsidR="00894997">
        <w:t>T</w:t>
      </w:r>
      <w:r w:rsidR="00E2644E">
        <w:t xml:space="preserve">wo or </w:t>
      </w:r>
      <w:r w:rsidR="00894997">
        <w:t>M</w:t>
      </w:r>
      <w:r w:rsidR="00E2644E">
        <w:t xml:space="preserve">ore </w:t>
      </w:r>
      <w:r w:rsidR="00894997">
        <w:t>P</w:t>
      </w:r>
      <w:r w:rsidR="00E2644E">
        <w:t>rofessions)</w:t>
      </w:r>
      <w:r w:rsidR="00494CBB">
        <w:t>, ver</w:t>
      </w:r>
      <w:r w:rsidR="00FF24CF">
        <w:t>sus a Single Board</w:t>
      </w:r>
      <w:r w:rsidR="00FC0FB5">
        <w:t>.</w:t>
      </w:r>
      <w:r w:rsidR="00A74813">
        <w:rPr>
          <w:rStyle w:val="FootnoteReference"/>
        </w:rPr>
        <w:footnoteReference w:id="232"/>
      </w:r>
      <w:r w:rsidR="00FC0FB5">
        <w:t xml:space="preserve"> </w:t>
      </w:r>
      <w:r w:rsidR="00605B04">
        <w:t xml:space="preserve">Overall, a majority of stakeholders expressed openness to a board comprising more than one profession, with </w:t>
      </w:r>
      <w:r w:rsidR="00022677">
        <w:t xml:space="preserve">reduced registration fees </w:t>
      </w:r>
      <w:r w:rsidR="00617BCB">
        <w:t>raised as a key reason for</w:t>
      </w:r>
      <w:r w:rsidR="00022677">
        <w:t xml:space="preserve"> support. </w:t>
      </w:r>
      <w:r w:rsidR="00017F22">
        <w:t xml:space="preserve">Other key implementation considerations </w:t>
      </w:r>
      <w:r w:rsidR="00F413B4">
        <w:t xml:space="preserve">included feedback on the </w:t>
      </w:r>
      <w:r w:rsidR="00C37378">
        <w:t xml:space="preserve">preliminary </w:t>
      </w:r>
      <w:r w:rsidR="00F413B4">
        <w:t xml:space="preserve">evaluation plan, with </w:t>
      </w:r>
      <w:r w:rsidR="00C37378">
        <w:t>changes made to proposed lines of inquiry</w:t>
      </w:r>
      <w:r w:rsidR="00216CA3">
        <w:t xml:space="preserve"> as well as additional governance considerations added.</w:t>
      </w:r>
    </w:p>
    <w:p w14:paraId="405F76EF" w14:textId="7F41492B" w:rsidR="00DA2EF4" w:rsidRDefault="00704CA0" w:rsidP="00DA2EF4">
      <w:pPr>
        <w:pStyle w:val="BodyText"/>
      </w:pPr>
      <w:r>
        <w:rPr>
          <w:b/>
          <w:bCs/>
        </w:rPr>
        <w:t>Stakehol</w:t>
      </w:r>
      <w:r w:rsidR="00ED48D9">
        <w:rPr>
          <w:b/>
          <w:bCs/>
        </w:rPr>
        <w:t>der feedback on the Complexity Review.</w:t>
      </w:r>
      <w:r w:rsidR="00ED48D9" w:rsidRPr="00972F5E">
        <w:t xml:space="preserve"> </w:t>
      </w:r>
      <w:r w:rsidR="00DA2EF4">
        <w:t xml:space="preserve">In consultation, stakeholders that supported </w:t>
      </w:r>
      <w:r w:rsidR="009D65B6">
        <w:t>National Registration</w:t>
      </w:r>
      <w:r w:rsidR="00DA2EF4">
        <w:t xml:space="preserve"> for audiologists tended to raise concerns with the middle tier of the Complexity Review’s potential three-tier structure, including:</w:t>
      </w:r>
    </w:p>
    <w:p w14:paraId="296286DE" w14:textId="696C7280" w:rsidR="00DA2EF4" w:rsidRDefault="00DA2EF4" w:rsidP="00972F5E">
      <w:pPr>
        <w:pStyle w:val="ListBullet"/>
      </w:pPr>
      <w:r>
        <w:t>scepticism regarding a voluntary register and the effectiveness of this approach</w:t>
      </w:r>
    </w:p>
    <w:p w14:paraId="43DCB689" w14:textId="13FCFCD8" w:rsidR="00DA2EF4" w:rsidRDefault="00DA2EF4" w:rsidP="00972F5E">
      <w:pPr>
        <w:pStyle w:val="ListBullet"/>
      </w:pPr>
      <w:r>
        <w:t xml:space="preserve">concern that tiers reinforce a class structure for professions (particularly if allied health professions continued to be present across multiple tiers). </w:t>
      </w:r>
    </w:p>
    <w:p w14:paraId="4C7D2F01" w14:textId="66A2DFFC" w:rsidR="002E7D13" w:rsidRDefault="00DA2EF4" w:rsidP="00DA2EF4">
      <w:pPr>
        <w:pStyle w:val="BodyText"/>
      </w:pPr>
      <w:r>
        <w:t xml:space="preserve">For stakeholders that did not support </w:t>
      </w:r>
      <w:r w:rsidR="009D65B6">
        <w:t>National Registration</w:t>
      </w:r>
      <w:r w:rsidR="002E7D13">
        <w:t>:</w:t>
      </w:r>
    </w:p>
    <w:p w14:paraId="05536EFA" w14:textId="098849A0" w:rsidR="00DA2EF4" w:rsidRDefault="00DA2EF4" w:rsidP="00EE3AA4">
      <w:pPr>
        <w:pStyle w:val="ListBullet"/>
      </w:pPr>
      <w:r>
        <w:t>benefits of the middle tier approach for audiology were viewed to include:</w:t>
      </w:r>
    </w:p>
    <w:p w14:paraId="6CD5320D" w14:textId="3FEFE952" w:rsidR="00DA2EF4" w:rsidRDefault="00DA2EF4" w:rsidP="00EE3AA4">
      <w:pPr>
        <w:pStyle w:val="BulletList2Column"/>
      </w:pPr>
      <w:r>
        <w:t>a proportional and balanced response (where several stakeholders observed that there are multiple professions that wish to gain entry into Ahpra, and as such a three-tiered approach may provide greater ability to manage different profession’s inherent risk more consistently)</w:t>
      </w:r>
    </w:p>
    <w:p w14:paraId="49EE16A1" w14:textId="39CBB409" w:rsidR="00DA2EF4" w:rsidRDefault="00DA2EF4" w:rsidP="002E7D13">
      <w:pPr>
        <w:pStyle w:val="BulletList2Column"/>
      </w:pPr>
      <w:r>
        <w:t xml:space="preserve">a more sustainable response relative to costs associated with </w:t>
      </w:r>
      <w:r w:rsidR="009D65B6">
        <w:t>National Registration</w:t>
      </w:r>
    </w:p>
    <w:p w14:paraId="0066F787" w14:textId="2F1D70D7" w:rsidR="004B4B45" w:rsidRDefault="004B4B45" w:rsidP="004B4B45">
      <w:pPr>
        <w:pStyle w:val="ListBullet"/>
      </w:pPr>
      <w:r w:rsidRPr="004B4B45">
        <w:t>concerns were raised about the timing of the Complexity Review with the Decision RIS</w:t>
      </w:r>
      <w:r>
        <w:t>.</w:t>
      </w:r>
    </w:p>
    <w:p w14:paraId="5960884F" w14:textId="66FAEC44" w:rsidR="007D149C" w:rsidRDefault="00DA2EF4">
      <w:pPr>
        <w:pStyle w:val="BodyText"/>
      </w:pPr>
      <w:r>
        <w:t>Broadly however, stakeholders agreed that additional information was required to provide an informed view regarding their overall preference.</w:t>
      </w:r>
      <w:r w:rsidR="00C01ED3">
        <w:t xml:space="preserve"> Given the timing of the Complexity Review </w:t>
      </w:r>
      <w:r w:rsidR="00D45F31">
        <w:t xml:space="preserve">(due to be completed by July 2025), </w:t>
      </w:r>
      <w:r w:rsidR="00CB2459">
        <w:t>it is possible that</w:t>
      </w:r>
      <w:r>
        <w:t xml:space="preserve"> recommendations are </w:t>
      </w:r>
      <w:r w:rsidR="00CB2459">
        <w:t xml:space="preserve">made and </w:t>
      </w:r>
      <w:r>
        <w:t>accepted in a manner which creates a viable additional option for regulation of the audiology profession</w:t>
      </w:r>
      <w:r w:rsidR="00CB2459">
        <w:t xml:space="preserve">. </w:t>
      </w:r>
    </w:p>
    <w:p w14:paraId="53B3B4D3" w14:textId="26077D06" w:rsidR="009F67D1" w:rsidRDefault="007D149C" w:rsidP="009F67D1">
      <w:pPr>
        <w:pStyle w:val="BodyText"/>
      </w:pPr>
      <w:r w:rsidRPr="00972F5E">
        <w:rPr>
          <w:b/>
          <w:bCs/>
        </w:rPr>
        <w:t xml:space="preserve">Stakeholder feedback on audiometrist </w:t>
      </w:r>
      <w:r w:rsidR="00A96FBF" w:rsidRPr="00972F5E">
        <w:rPr>
          <w:b/>
          <w:bCs/>
        </w:rPr>
        <w:t>scope of practice</w:t>
      </w:r>
      <w:r w:rsidR="00A96FBF">
        <w:t xml:space="preserve">. </w:t>
      </w:r>
      <w:r w:rsidR="009F67D1">
        <w:t xml:space="preserve">A potential risk raised of the audiology profession’s inclusion in the National Scheme was audiometrists </w:t>
      </w:r>
      <w:r w:rsidR="00727A63">
        <w:t>not operating to</w:t>
      </w:r>
      <w:r w:rsidR="00F35FE0">
        <w:t xml:space="preserve"> their full scope of practice</w:t>
      </w:r>
      <w:r w:rsidR="00B92996">
        <w:t xml:space="preserve">, including </w:t>
      </w:r>
      <w:r w:rsidR="00F35FE0">
        <w:t xml:space="preserve">due to funding changes </w:t>
      </w:r>
      <w:r w:rsidR="005344D0">
        <w:t xml:space="preserve">(particularly </w:t>
      </w:r>
      <w:r w:rsidR="0075756B">
        <w:t>for the Hearing Services Program</w:t>
      </w:r>
      <w:r w:rsidR="005344D0">
        <w:t>)</w:t>
      </w:r>
      <w:r w:rsidR="009F67D1">
        <w:t xml:space="preserve">. This risk was </w:t>
      </w:r>
      <w:r w:rsidR="00B92996">
        <w:t xml:space="preserve">also </w:t>
      </w:r>
      <w:r w:rsidR="009F67D1">
        <w:t>raised in the context of the Scope of Practice review recently undertaken, and stakeholder recognition of the health system’s current emphasis on enabling health professions to work to the top of their scope. Stakeholder feedback on this issue considered the risk to be low, noting:</w:t>
      </w:r>
    </w:p>
    <w:p w14:paraId="302CDE5E" w14:textId="07B7FAC5" w:rsidR="009F67D1" w:rsidRDefault="009F67D1" w:rsidP="00972F5E">
      <w:pPr>
        <w:pStyle w:val="ListBullet"/>
      </w:pPr>
      <w:r>
        <w:t>if audiometrists are funded to provide services and it is within their scope of practice, they will</w:t>
      </w:r>
    </w:p>
    <w:p w14:paraId="0957962F" w14:textId="5A4A854D" w:rsidR="007D149C" w:rsidRDefault="009F67D1" w:rsidP="004F3B87">
      <w:pPr>
        <w:pStyle w:val="ListBullet"/>
      </w:pPr>
      <w:r>
        <w:t>it is considered more likely a change in audiometrist’s everyday experience of their scope of practice would be due to a change in consumer confidence (demand) rather than a withdrawal of service delivery (supply).</w:t>
      </w:r>
    </w:p>
    <w:p w14:paraId="33214F12" w14:textId="5D4F4197" w:rsidR="00176C98" w:rsidRDefault="002B4438" w:rsidP="0007458C">
      <w:pPr>
        <w:pStyle w:val="ListBullet"/>
        <w:numPr>
          <w:ilvl w:val="0"/>
          <w:numId w:val="0"/>
        </w:numPr>
      </w:pPr>
      <w:r>
        <w:t>The</w:t>
      </w:r>
      <w:r w:rsidR="0075756B">
        <w:t xml:space="preserve"> Hearing Services Program </w:t>
      </w:r>
      <w:r>
        <w:t>provided the following feedback</w:t>
      </w:r>
      <w:r w:rsidR="00015169">
        <w:t>, “</w:t>
      </w:r>
      <w:r w:rsidR="00F300A8" w:rsidRPr="00972F5E">
        <w:rPr>
          <w:i/>
          <w:iCs/>
        </w:rPr>
        <w:t>Audiometrists make a significant portion of QPs under the program and are important for successful delivery of the program. If regulatory settings were to change, program legislation would adapt accordingly to be consistent with broader regulatory settings, but it does not necessarily follow that audiometrists could no longer provide program services. It could be that program requirements for QPs could look different for audiologists vs audiometrists. However, the Department cannot predict future policy settings at this stage of the process, and would have to consider program impacts and settings if/as any regulatory changes to the sector become clearer</w:t>
      </w:r>
      <w:r w:rsidR="00F300A8">
        <w:t>.”</w:t>
      </w:r>
      <w:r w:rsidR="00DB04CF">
        <w:t xml:space="preserve"> </w:t>
      </w:r>
      <w:r w:rsidR="00B92996">
        <w:t xml:space="preserve">As well, it is noted that </w:t>
      </w:r>
      <w:r w:rsidR="00FC5509">
        <w:t>the overlapping scope of practice between audiologists and audiometrists does not relate to activities such as prescribing, reducing the likelihood that inclusion of audiologists in the National Scheme but not audi</w:t>
      </w:r>
      <w:r w:rsidR="00372294">
        <w:t>o</w:t>
      </w:r>
      <w:r w:rsidR="00E64A5F">
        <w:t>metrists would lead to a reduction in a</w:t>
      </w:r>
      <w:r w:rsidR="003C6882">
        <w:t>udiometrist scope of practice.</w:t>
      </w:r>
    </w:p>
    <w:p w14:paraId="1BB72488" w14:textId="77777777" w:rsidR="00506338" w:rsidRDefault="00506338" w:rsidP="00506338">
      <w:pPr>
        <w:pStyle w:val="BodyText"/>
      </w:pPr>
    </w:p>
    <w:p w14:paraId="542E79DD" w14:textId="77777777" w:rsidR="00B92996" w:rsidRDefault="00B92996" w:rsidP="00506338">
      <w:pPr>
        <w:pStyle w:val="BodyText"/>
        <w:sectPr w:rsidR="00B92996" w:rsidSect="007F4E7D">
          <w:pgSz w:w="11906" w:h="16838" w:code="9"/>
          <w:pgMar w:top="1531" w:right="1531" w:bottom="1531" w:left="1531" w:header="709" w:footer="709" w:gutter="0"/>
          <w:cols w:space="708"/>
          <w:docGrid w:linePitch="360"/>
        </w:sectPr>
      </w:pPr>
    </w:p>
    <w:p w14:paraId="085A416F" w14:textId="0E2F5251" w:rsidR="005E6447" w:rsidRDefault="006D192C" w:rsidP="00506338">
      <w:pPr>
        <w:pStyle w:val="Heading1"/>
      </w:pPr>
      <w:bookmarkStart w:id="189" w:name="_Ref172794863"/>
      <w:bookmarkStart w:id="190" w:name="_Toc198138621"/>
      <w:r>
        <w:t>Methodology for assessing the net benefit of each option</w:t>
      </w:r>
      <w:bookmarkEnd w:id="189"/>
      <w:bookmarkEnd w:id="190"/>
    </w:p>
    <w:tbl>
      <w:tblPr>
        <w:tblStyle w:val="TableGrid"/>
        <w:tblW w:w="0" w:type="auto"/>
        <w:tblLook w:val="04A0" w:firstRow="1" w:lastRow="0" w:firstColumn="1" w:lastColumn="0" w:noHBand="0" w:noVBand="1"/>
      </w:tblPr>
      <w:tblGrid>
        <w:gridCol w:w="8834"/>
      </w:tblGrid>
      <w:tr w:rsidR="001914B9" w14:paraId="7FA6934C" w14:textId="77777777" w:rsidTr="001914B9">
        <w:tc>
          <w:tcPr>
            <w:tcW w:w="8834" w:type="dxa"/>
          </w:tcPr>
          <w:p w14:paraId="58F575EF" w14:textId="7FB53DB1" w:rsidR="00477DD3" w:rsidRPr="00477DD3" w:rsidRDefault="00477DD3" w:rsidP="00D329C9">
            <w:pPr>
              <w:pStyle w:val="BodyText"/>
              <w:rPr>
                <w:b/>
                <w:bCs/>
              </w:rPr>
            </w:pPr>
            <w:r w:rsidRPr="00477DD3">
              <w:rPr>
                <w:b/>
                <w:bCs/>
              </w:rPr>
              <w:t>Chapter summary</w:t>
            </w:r>
          </w:p>
          <w:p w14:paraId="43ECB4EA" w14:textId="28D0450B" w:rsidR="00D329C9" w:rsidRDefault="00D329C9" w:rsidP="00D329C9">
            <w:pPr>
              <w:pStyle w:val="BodyText"/>
            </w:pPr>
            <w:r>
              <w:t>This chapter outlines the impact framework methodology for assessing the net benefit of each option. This includes describing:</w:t>
            </w:r>
          </w:p>
          <w:p w14:paraId="6AE55EBB" w14:textId="61538BDF" w:rsidR="00D329C9" w:rsidRDefault="00D329C9" w:rsidP="00D329C9">
            <w:pPr>
              <w:pStyle w:val="ListBullet"/>
            </w:pPr>
            <w:r>
              <w:t>a theory of change for each option (</w:t>
            </w:r>
            <w:r w:rsidR="00840108">
              <w:t xml:space="preserve">relative to the </w:t>
            </w:r>
            <w:r w:rsidR="00A80F45">
              <w:t>Status Quo</w:t>
            </w:r>
            <w:r>
              <w:t>)</w:t>
            </w:r>
          </w:p>
          <w:p w14:paraId="7C701115" w14:textId="53CB4BF8" w:rsidR="00D329C9" w:rsidRDefault="00D329C9" w:rsidP="00D329C9">
            <w:pPr>
              <w:pStyle w:val="ListBullet"/>
            </w:pPr>
            <w:r>
              <w:t xml:space="preserve">the impact </w:t>
            </w:r>
            <w:r w:rsidR="00D720B2">
              <w:t>analysis</w:t>
            </w:r>
            <w:r>
              <w:t xml:space="preserve"> framework</w:t>
            </w:r>
          </w:p>
          <w:p w14:paraId="724C5B38" w14:textId="77777777" w:rsidR="00D329C9" w:rsidRDefault="00D329C9" w:rsidP="00D329C9">
            <w:pPr>
              <w:pStyle w:val="ListBullet"/>
            </w:pPr>
            <w:r>
              <w:t>the multi-criteria assessment framework used to compare each option</w:t>
            </w:r>
          </w:p>
          <w:p w14:paraId="765478A3" w14:textId="77777777" w:rsidR="00D329C9" w:rsidRDefault="00D329C9" w:rsidP="00D329C9">
            <w:pPr>
              <w:pStyle w:val="ListBullet"/>
            </w:pPr>
            <w:r>
              <w:t xml:space="preserve">the general limitations that apply to the impact analysis. </w:t>
            </w:r>
          </w:p>
          <w:p w14:paraId="78CA3029" w14:textId="287BDAA6" w:rsidR="001914B9" w:rsidRDefault="00D329C9" w:rsidP="008B079A">
            <w:pPr>
              <w:pStyle w:val="BodyText"/>
            </w:pPr>
            <w:r>
              <w:t xml:space="preserve">Chapter </w:t>
            </w:r>
            <w:r w:rsidR="00A955BE">
              <w:t>8</w:t>
            </w:r>
            <w:r>
              <w:t xml:space="preserve"> then applies this impact framework to each option to analyse the various incremental costs and benefits of each option relative to the </w:t>
            </w:r>
            <w:r w:rsidR="00A80F45">
              <w:t>Status Quo</w:t>
            </w:r>
            <w:r>
              <w:t>.</w:t>
            </w:r>
          </w:p>
        </w:tc>
      </w:tr>
    </w:tbl>
    <w:p w14:paraId="08326434" w14:textId="77777777" w:rsidR="00833D91" w:rsidRDefault="00833D91" w:rsidP="00F24996">
      <w:pPr>
        <w:pStyle w:val="Heading2"/>
        <w:numPr>
          <w:ilvl w:val="1"/>
          <w:numId w:val="28"/>
        </w:numPr>
      </w:pPr>
      <w:bookmarkStart w:id="191" w:name="_Toc171324774"/>
      <w:bookmarkStart w:id="192" w:name="_Toc198138622"/>
      <w:r>
        <w:t xml:space="preserve">Methodology </w:t>
      </w:r>
      <w:r w:rsidRPr="00DF197F">
        <w:t>overview</w:t>
      </w:r>
      <w:bookmarkEnd w:id="191"/>
      <w:bookmarkEnd w:id="192"/>
    </w:p>
    <w:p w14:paraId="103AE21B" w14:textId="77777777" w:rsidR="00833D91" w:rsidRDefault="00833D91" w:rsidP="00DF197F">
      <w:pPr>
        <w:pStyle w:val="BodyText"/>
      </w:pPr>
      <w:r>
        <w:t>An impact framework was established to provide an organising structure for the impact analysis. The framework consists of three substantive components:</w:t>
      </w:r>
    </w:p>
    <w:p w14:paraId="3E00D6AA" w14:textId="4A0A5221" w:rsidR="00833D91" w:rsidRPr="00104690" w:rsidRDefault="00833D91" w:rsidP="00DF197F">
      <w:pPr>
        <w:pStyle w:val="ListBullet"/>
      </w:pPr>
      <w:r w:rsidRPr="00104690">
        <w:t xml:space="preserve">A theory of change </w:t>
      </w:r>
    </w:p>
    <w:p w14:paraId="4137FBB8" w14:textId="08FDA963" w:rsidR="00833D91" w:rsidRPr="00104690" w:rsidRDefault="00833D91" w:rsidP="00DF197F">
      <w:pPr>
        <w:pStyle w:val="ListBullet"/>
      </w:pPr>
      <w:r w:rsidRPr="00104690">
        <w:t xml:space="preserve">An impact assessment </w:t>
      </w:r>
    </w:p>
    <w:p w14:paraId="1BC09205" w14:textId="4282E6DF" w:rsidR="00833D91" w:rsidRPr="00104690" w:rsidRDefault="00833D91" w:rsidP="00DF197F">
      <w:pPr>
        <w:pStyle w:val="ListBullet"/>
      </w:pPr>
      <w:r w:rsidRPr="00104690">
        <w:t>A multi-criteria analysis (MCA)</w:t>
      </w:r>
      <w:r w:rsidR="00165DCC">
        <w:t>.</w:t>
      </w:r>
      <w:r w:rsidRPr="00104690">
        <w:t xml:space="preserve"> </w:t>
      </w:r>
    </w:p>
    <w:p w14:paraId="45AE8AEE" w14:textId="77777777" w:rsidR="00833D91" w:rsidRDefault="00833D91" w:rsidP="00DF197F">
      <w:pPr>
        <w:pStyle w:val="BodyText"/>
      </w:pPr>
      <w:r>
        <w:t>Each of these components are described in further detail in this chapter.</w:t>
      </w:r>
    </w:p>
    <w:p w14:paraId="5414A061" w14:textId="77777777" w:rsidR="00833D91" w:rsidRPr="005E11DF" w:rsidRDefault="00833D91" w:rsidP="00DF197F">
      <w:pPr>
        <w:pStyle w:val="Heading2"/>
      </w:pPr>
      <w:bookmarkStart w:id="193" w:name="_Toc171324775"/>
      <w:bookmarkStart w:id="194" w:name="_Toc198138623"/>
      <w:r>
        <w:t xml:space="preserve">Theory of </w:t>
      </w:r>
      <w:r w:rsidRPr="00DF197F">
        <w:t>change</w:t>
      </w:r>
      <w:bookmarkEnd w:id="193"/>
      <w:bookmarkEnd w:id="194"/>
    </w:p>
    <w:p w14:paraId="365993DD" w14:textId="3DC12C99" w:rsidR="00833D91" w:rsidRPr="00BF46D2" w:rsidRDefault="00833D91" w:rsidP="00DF197F">
      <w:pPr>
        <w:pStyle w:val="BodyText"/>
      </w:pPr>
      <w:r w:rsidRPr="00F02717">
        <w:t xml:space="preserve">A theory of change explains how the </w:t>
      </w:r>
      <w:r>
        <w:t xml:space="preserve">inputs, </w:t>
      </w:r>
      <w:r w:rsidRPr="00F02717">
        <w:t>activities</w:t>
      </w:r>
      <w:r>
        <w:t xml:space="preserve"> and outputs</w:t>
      </w:r>
      <w:r w:rsidRPr="00F02717">
        <w:t xml:space="preserve"> undertaken by an intervention (such as a project, program or policy) contribute to a chain of results that lead to the intended or observed </w:t>
      </w:r>
      <w:r w:rsidR="00287F61">
        <w:t xml:space="preserve">incremental </w:t>
      </w:r>
      <w:r>
        <w:t>outcomes</w:t>
      </w:r>
      <w:r w:rsidR="00287F61">
        <w:t xml:space="preserve"> relative to the </w:t>
      </w:r>
      <w:r w:rsidR="00A80F45">
        <w:t>Status Quo</w:t>
      </w:r>
      <w:r w:rsidRPr="00F02717">
        <w:t>.</w:t>
      </w:r>
      <w:r>
        <w:t xml:space="preserve"> </w:t>
      </w:r>
      <w:r w:rsidR="003E1405">
        <w:fldChar w:fldCharType="begin"/>
      </w:r>
      <w:r w:rsidR="003E1405">
        <w:instrText xml:space="preserve"> REF _Ref172045862 \h </w:instrText>
      </w:r>
      <w:r w:rsidR="003E1405">
        <w:fldChar w:fldCharType="separate"/>
      </w:r>
      <w:r w:rsidR="00F32107">
        <w:t xml:space="preserve">Figure </w:t>
      </w:r>
      <w:r w:rsidR="00F32107">
        <w:rPr>
          <w:noProof/>
        </w:rPr>
        <w:t>7</w:t>
      </w:r>
      <w:r w:rsidR="00F32107">
        <w:t>.</w:t>
      </w:r>
      <w:r w:rsidR="00F32107">
        <w:rPr>
          <w:noProof/>
        </w:rPr>
        <w:t>1</w:t>
      </w:r>
      <w:r w:rsidR="003E1405">
        <w:fldChar w:fldCharType="end"/>
      </w:r>
      <w:r>
        <w:t xml:space="preserve"> provides an overview of the theory of change diagram which is completed for each option </w:t>
      </w:r>
      <w:r w:rsidR="00287F61">
        <w:t xml:space="preserve">(other than the </w:t>
      </w:r>
      <w:r w:rsidR="00A80F45">
        <w:t>Status Quo</w:t>
      </w:r>
      <w:r w:rsidR="00287F61">
        <w:t xml:space="preserve">) </w:t>
      </w:r>
      <w:r>
        <w:t xml:space="preserve">in Chapter </w:t>
      </w:r>
      <w:r w:rsidR="00FF7A76">
        <w:t>8</w:t>
      </w:r>
      <w:r>
        <w:t>.</w:t>
      </w:r>
      <w:r w:rsidR="00287F61">
        <w:rPr>
          <w:rStyle w:val="FootnoteReference"/>
        </w:rPr>
        <w:footnoteReference w:id="233"/>
      </w:r>
    </w:p>
    <w:p w14:paraId="56AC59C5" w14:textId="59DCF257" w:rsidR="003E1405" w:rsidRDefault="003E1405" w:rsidP="003E1405">
      <w:pPr>
        <w:pStyle w:val="Caption"/>
        <w:keepNext/>
      </w:pPr>
      <w:bookmarkStart w:id="195" w:name="_Ref172045862"/>
      <w:r>
        <w:t xml:space="preserve">Figure </w:t>
      </w:r>
      <w:fldSimple w:instr=" STYLEREF 1 \s ">
        <w:r w:rsidR="00F32107">
          <w:rPr>
            <w:noProof/>
          </w:rPr>
          <w:t>7</w:t>
        </w:r>
      </w:fldSimple>
      <w:r w:rsidR="00222D06">
        <w:t>.</w:t>
      </w:r>
      <w:fldSimple w:instr=" SEQ Figure \* ARABIC \s 1 ">
        <w:r w:rsidR="00F32107">
          <w:rPr>
            <w:noProof/>
          </w:rPr>
          <w:t>1</w:t>
        </w:r>
      </w:fldSimple>
      <w:bookmarkEnd w:id="195"/>
      <w:r>
        <w:t xml:space="preserve"> Example theory of change</w:t>
      </w:r>
    </w:p>
    <w:p w14:paraId="10940037" w14:textId="78A1A9ED" w:rsidR="006D192C" w:rsidRDefault="009E7234" w:rsidP="006D192C">
      <w:pPr>
        <w:pStyle w:val="BodyText"/>
      </w:pPr>
      <w:r w:rsidRPr="009E7234">
        <w:rPr>
          <w:noProof/>
          <w:lang w:eastAsia="en-AU"/>
        </w:rPr>
        <w:drawing>
          <wp:inline distT="0" distB="0" distL="0" distR="0" wp14:anchorId="7C08E759" wp14:editId="548C69F7">
            <wp:extent cx="5615940" cy="23996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5940" cy="2399665"/>
                    </a:xfrm>
                    <a:prstGeom prst="rect">
                      <a:avLst/>
                    </a:prstGeom>
                    <a:noFill/>
                    <a:ln>
                      <a:noFill/>
                    </a:ln>
                  </pic:spPr>
                </pic:pic>
              </a:graphicData>
            </a:graphic>
          </wp:inline>
        </w:drawing>
      </w:r>
    </w:p>
    <w:p w14:paraId="34240756" w14:textId="77777777" w:rsidR="007F1FF8" w:rsidRDefault="007F1FF8" w:rsidP="00682895">
      <w:pPr>
        <w:pStyle w:val="Heading2"/>
      </w:pPr>
      <w:bookmarkStart w:id="196" w:name="_Ref170909984"/>
      <w:bookmarkStart w:id="197" w:name="_Toc171324776"/>
      <w:bookmarkStart w:id="198" w:name="_Toc198138624"/>
      <w:r>
        <w:t xml:space="preserve">Impact </w:t>
      </w:r>
      <w:r w:rsidRPr="007F1FF8">
        <w:t>assessment</w:t>
      </w:r>
      <w:bookmarkEnd w:id="196"/>
      <w:bookmarkEnd w:id="197"/>
      <w:bookmarkEnd w:id="198"/>
    </w:p>
    <w:p w14:paraId="4E4D3504" w14:textId="1120C8DF" w:rsidR="00864C87" w:rsidRDefault="007F1FF8" w:rsidP="007F1FF8">
      <w:pPr>
        <w:pStyle w:val="BodyText"/>
      </w:pPr>
      <w:r>
        <w:t xml:space="preserve">For each option, an impact framework is used to summarise the key potential impacts (i.e., benefits and costs) of the option by stakeholder group. </w:t>
      </w:r>
      <w:r w:rsidR="00864C87">
        <w:t xml:space="preserve">For each option, each of the impacts identified in the impact framework are then analysed </w:t>
      </w:r>
      <w:r w:rsidR="007342B9">
        <w:t xml:space="preserve">and summarised </w:t>
      </w:r>
      <w:r w:rsidR="0045093D">
        <w:t xml:space="preserve">using both </w:t>
      </w:r>
      <w:r w:rsidR="007443FE">
        <w:t>quantitative</w:t>
      </w:r>
      <w:r w:rsidR="0045093D">
        <w:t xml:space="preserve"> and qualitative </w:t>
      </w:r>
      <w:r w:rsidR="001324EF">
        <w:t xml:space="preserve">analysis </w:t>
      </w:r>
      <w:r w:rsidR="0045093D">
        <w:t>approaches</w:t>
      </w:r>
      <w:r w:rsidR="00864C87">
        <w:t>.</w:t>
      </w:r>
      <w:r w:rsidR="0045093D">
        <w:t xml:space="preserve"> </w:t>
      </w:r>
    </w:p>
    <w:p w14:paraId="3D8CA2DD" w14:textId="7EBD88AA" w:rsidR="0045093D" w:rsidRDefault="0045093D" w:rsidP="007F1FF8">
      <w:pPr>
        <w:pStyle w:val="BodyText"/>
      </w:pPr>
      <w:r>
        <w:t xml:space="preserve">The incremental impacts identified in the impact frameworks </w:t>
      </w:r>
      <w:r w:rsidR="00845924">
        <w:t xml:space="preserve">for each option </w:t>
      </w:r>
      <w:r>
        <w:t xml:space="preserve">are not labelled as a benefit or cost to avoid presumption on the direction of change prior to conducting the impact analysis. </w:t>
      </w:r>
    </w:p>
    <w:p w14:paraId="750B848F" w14:textId="30F419FF" w:rsidR="00864C87" w:rsidRDefault="00864C87" w:rsidP="00EC35AB">
      <w:pPr>
        <w:pStyle w:val="HeadingA"/>
      </w:pPr>
      <w:r>
        <w:t>Incremental approach</w:t>
      </w:r>
    </w:p>
    <w:p w14:paraId="23D141B7" w14:textId="339F313D" w:rsidR="00D037EF" w:rsidRDefault="003D2656" w:rsidP="007F1FF8">
      <w:pPr>
        <w:pStyle w:val="BodyText"/>
      </w:pPr>
      <w:r>
        <w:t xml:space="preserve">The impacts </w:t>
      </w:r>
      <w:r w:rsidR="00864C87">
        <w:t>identified</w:t>
      </w:r>
      <w:r>
        <w:t xml:space="preserve"> in the impact frameworks for options other than the </w:t>
      </w:r>
      <w:r w:rsidR="00A80F45">
        <w:t>Status Quo</w:t>
      </w:r>
      <w:r>
        <w:t xml:space="preserve"> are </w:t>
      </w:r>
      <w:r w:rsidR="006E642A">
        <w:t>framed</w:t>
      </w:r>
      <w:r>
        <w:t xml:space="preserve"> as impacts that are rel</w:t>
      </w:r>
      <w:r w:rsidR="0085274E">
        <w:t>a</w:t>
      </w:r>
      <w:r>
        <w:t xml:space="preserve">tive to the </w:t>
      </w:r>
      <w:r w:rsidR="00A80F45">
        <w:t>Status Quo</w:t>
      </w:r>
      <w:r>
        <w:t xml:space="preserve"> (e.g., ‘change in accreditation costs’).</w:t>
      </w:r>
      <w:r w:rsidR="007A10A7">
        <w:t xml:space="preserve"> </w:t>
      </w:r>
      <w:r w:rsidR="00FD3081">
        <w:t>These</w:t>
      </w:r>
      <w:r w:rsidR="00D037EF">
        <w:t xml:space="preserve"> impacts </w:t>
      </w:r>
      <w:r w:rsidR="00FD3081">
        <w:t>are then an</w:t>
      </w:r>
      <w:r w:rsidR="0045093D">
        <w:t>a</w:t>
      </w:r>
      <w:r w:rsidR="00FD3081">
        <w:t>lysed</w:t>
      </w:r>
      <w:r w:rsidR="00D037EF">
        <w:t xml:space="preserve"> using an </w:t>
      </w:r>
      <w:r w:rsidR="00FD3081">
        <w:t>incremental</w:t>
      </w:r>
      <w:r w:rsidR="00D037EF">
        <w:t xml:space="preserve"> approach. That is, the incremental benefits or costs associated with the option are assessed relative to the </w:t>
      </w:r>
      <w:r w:rsidR="00A80F45">
        <w:t>Status Quo</w:t>
      </w:r>
      <w:r w:rsidR="00D037EF">
        <w:t>.</w:t>
      </w:r>
    </w:p>
    <w:p w14:paraId="52417FE4" w14:textId="515B82B1" w:rsidR="007A10A7" w:rsidRDefault="007F1FF8" w:rsidP="007F1FF8">
      <w:pPr>
        <w:pStyle w:val="BodyText"/>
      </w:pPr>
      <w:r>
        <w:t xml:space="preserve">The impact framework for </w:t>
      </w:r>
      <w:r w:rsidR="009D65B6">
        <w:t>National Registration</w:t>
      </w:r>
      <w:r>
        <w:t xml:space="preserve"> of the audiology profession under the NRAS is provided in </w:t>
      </w:r>
      <w:r w:rsidR="00DD5F77">
        <w:fldChar w:fldCharType="begin"/>
      </w:r>
      <w:r w:rsidR="00DD5F77">
        <w:instrText xml:space="preserve"> REF _Ref172045940 \h </w:instrText>
      </w:r>
      <w:r w:rsidR="00DD5F77">
        <w:fldChar w:fldCharType="separate"/>
      </w:r>
      <w:r w:rsidR="00F32107">
        <w:t xml:space="preserve">Figure </w:t>
      </w:r>
      <w:r w:rsidR="00F32107">
        <w:rPr>
          <w:noProof/>
        </w:rPr>
        <w:t>7</w:t>
      </w:r>
      <w:r w:rsidR="00F32107">
        <w:t>.</w:t>
      </w:r>
      <w:r w:rsidR="00F32107">
        <w:rPr>
          <w:noProof/>
        </w:rPr>
        <w:t>2</w:t>
      </w:r>
      <w:r w:rsidR="00DD5F77">
        <w:fldChar w:fldCharType="end"/>
      </w:r>
      <w:r>
        <w:t xml:space="preserve"> as an illustrative example, however each option has a slightly different impact framework. </w:t>
      </w:r>
    </w:p>
    <w:p w14:paraId="21E6C08A" w14:textId="16B9FD7C" w:rsidR="00DD5F77" w:rsidRDefault="00DD5F77" w:rsidP="00DD5F77">
      <w:pPr>
        <w:pStyle w:val="Caption"/>
        <w:keepNext/>
      </w:pPr>
      <w:bookmarkStart w:id="199" w:name="_Ref172045940"/>
      <w:r>
        <w:t xml:space="preserve">Figure </w:t>
      </w:r>
      <w:fldSimple w:instr=" STYLEREF 1 \s ">
        <w:r w:rsidR="00F32107">
          <w:rPr>
            <w:noProof/>
          </w:rPr>
          <w:t>7</w:t>
        </w:r>
      </w:fldSimple>
      <w:r w:rsidR="00222D06">
        <w:t>.</w:t>
      </w:r>
      <w:fldSimple w:instr=" SEQ Figure \* ARABIC \s 1 ">
        <w:r w:rsidR="00F32107">
          <w:rPr>
            <w:noProof/>
          </w:rPr>
          <w:t>2</w:t>
        </w:r>
      </w:fldSimple>
      <w:bookmarkEnd w:id="199"/>
      <w:r>
        <w:t xml:space="preserve"> Incremental impact assessment framework - </w:t>
      </w:r>
      <w:r w:rsidR="009D65B6">
        <w:t>National Registration</w:t>
      </w:r>
      <w:r>
        <w:t xml:space="preserve"> of audiology profession under NRAS</w:t>
      </w:r>
    </w:p>
    <w:p w14:paraId="056BD67F" w14:textId="1568A077" w:rsidR="003E1405" w:rsidRDefault="00682DE4" w:rsidP="006D192C">
      <w:pPr>
        <w:pStyle w:val="BodyText"/>
      </w:pPr>
      <w:r w:rsidRPr="00682DE4">
        <w:rPr>
          <w:noProof/>
          <w:lang w:eastAsia="en-AU"/>
        </w:rPr>
        <w:drawing>
          <wp:inline distT="0" distB="0" distL="0" distR="0" wp14:anchorId="48499626" wp14:editId="703858CD">
            <wp:extent cx="5615940" cy="3122295"/>
            <wp:effectExtent l="0" t="0" r="3810" b="0"/>
            <wp:docPr id="41180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940" cy="3122295"/>
                    </a:xfrm>
                    <a:prstGeom prst="rect">
                      <a:avLst/>
                    </a:prstGeom>
                    <a:noFill/>
                    <a:ln>
                      <a:noFill/>
                    </a:ln>
                  </pic:spPr>
                </pic:pic>
              </a:graphicData>
            </a:graphic>
          </wp:inline>
        </w:drawing>
      </w:r>
    </w:p>
    <w:p w14:paraId="5F00750D" w14:textId="77777777" w:rsidR="00781B09" w:rsidRDefault="00781B09" w:rsidP="00781B09">
      <w:pPr>
        <w:pStyle w:val="Heading2"/>
      </w:pPr>
      <w:bookmarkStart w:id="200" w:name="_Ref170896363"/>
      <w:bookmarkStart w:id="201" w:name="_Toc171324777"/>
      <w:bookmarkStart w:id="202" w:name="_Toc198138625"/>
      <w:r>
        <w:t>Multi-criteria analysis</w:t>
      </w:r>
      <w:bookmarkEnd w:id="200"/>
      <w:bookmarkEnd w:id="201"/>
      <w:bookmarkEnd w:id="202"/>
    </w:p>
    <w:p w14:paraId="2F975E92" w14:textId="12D16489" w:rsidR="00781B09" w:rsidRDefault="00781B09" w:rsidP="00781B09">
      <w:pPr>
        <w:pStyle w:val="BodyText"/>
      </w:pPr>
      <w:r>
        <w:t xml:space="preserve">Multi-criteria analysis (MCA) is a process of calculating scores against a framework of assessment criteria to identify a preferred option, supported by a qualitative discussion of the rationale for scoring. MCA is used when it is not possible to quantify and value the main benefits of options. This includes situations where some data is available, but it is not possible to isolate the specific effects of the proposed options. </w:t>
      </w:r>
    </w:p>
    <w:p w14:paraId="28FE0C72" w14:textId="3DC4F62D" w:rsidR="00757E1B" w:rsidRDefault="003D42F6" w:rsidP="00781B09">
      <w:pPr>
        <w:pStyle w:val="BodyText"/>
      </w:pPr>
      <w:r>
        <w:t xml:space="preserve">In Chapter </w:t>
      </w:r>
      <w:r w:rsidR="00220F6B">
        <w:t>8</w:t>
      </w:r>
      <w:r>
        <w:t>, an</w:t>
      </w:r>
      <w:r w:rsidR="00781B09">
        <w:t xml:space="preserve"> MCA framework </w:t>
      </w:r>
      <w:r>
        <w:t xml:space="preserve">is used to </w:t>
      </w:r>
      <w:r w:rsidR="00781B09">
        <w:t>assess each option</w:t>
      </w:r>
      <w:r w:rsidR="00263E1E">
        <w:t>. Each option is assessed</w:t>
      </w:r>
      <w:r w:rsidR="00781B09">
        <w:t xml:space="preserve"> against the </w:t>
      </w:r>
      <w:r>
        <w:t>following</w:t>
      </w:r>
      <w:r w:rsidR="00781B09">
        <w:t xml:space="preserve"> objectives for government action </w:t>
      </w:r>
      <w:r w:rsidR="004E37A6">
        <w:t>(</w:t>
      </w:r>
      <w:r>
        <w:t xml:space="preserve">originally </w:t>
      </w:r>
      <w:r w:rsidR="004E37A6">
        <w:t>outlined</w:t>
      </w:r>
      <w:r w:rsidR="00781B09">
        <w:t xml:space="preserve"> in Section </w:t>
      </w:r>
      <w:r w:rsidR="00781B09">
        <w:fldChar w:fldCharType="begin"/>
      </w:r>
      <w:r w:rsidR="00781B09">
        <w:instrText xml:space="preserve"> REF _Ref170982488 \r \h  \* MERGEFORMAT </w:instrText>
      </w:r>
      <w:r w:rsidR="00781B09">
        <w:fldChar w:fldCharType="separate"/>
      </w:r>
      <w:r w:rsidR="00F32107">
        <w:t>4.3</w:t>
      </w:r>
      <w:r w:rsidR="00781B09">
        <w:fldChar w:fldCharType="end"/>
      </w:r>
      <w:r w:rsidR="004E37A6">
        <w:t>):</w:t>
      </w:r>
      <w:r w:rsidR="00781B09">
        <w:t xml:space="preserve"> </w:t>
      </w:r>
    </w:p>
    <w:p w14:paraId="6C5E2AEC" w14:textId="77777777" w:rsidR="00EA69D9" w:rsidRPr="00EB112B" w:rsidRDefault="00EA69D9" w:rsidP="00EA69D9">
      <w:pPr>
        <w:pStyle w:val="ListBullet"/>
      </w:pPr>
      <w:r>
        <w:rPr>
          <w:b/>
          <w:bCs/>
        </w:rPr>
        <w:t>Care quality assurance</w:t>
      </w:r>
      <w:r w:rsidRPr="00040DB3">
        <w:rPr>
          <w:b/>
          <w:bCs/>
        </w:rPr>
        <w:t>.</w:t>
      </w:r>
      <w:r>
        <w:t xml:space="preserve"> Ensure audiology services are delivered by practitioners who are supported by a clear scope of practice and profession-level goods. </w:t>
      </w:r>
    </w:p>
    <w:p w14:paraId="73A193A5" w14:textId="77777777" w:rsidR="004E37A6" w:rsidRDefault="004E37A6" w:rsidP="004E37A6">
      <w:pPr>
        <w:pStyle w:val="ListBullet"/>
      </w:pPr>
      <w:r>
        <w:rPr>
          <w:b/>
          <w:bCs/>
        </w:rPr>
        <w:t>Regulatory c</w:t>
      </w:r>
      <w:r w:rsidRPr="00040DB3">
        <w:rPr>
          <w:b/>
          <w:bCs/>
        </w:rPr>
        <w:t>onsistency.</w:t>
      </w:r>
      <w:r>
        <w:t xml:space="preserve"> A </w:t>
      </w:r>
      <w:r w:rsidRPr="00EB112B">
        <w:t xml:space="preserve">regulatory context that </w:t>
      </w:r>
      <w:r>
        <w:t>provides consistent oversight of the whole profession, regardless of jurisdiction, elective membership or employment type.</w:t>
      </w:r>
    </w:p>
    <w:p w14:paraId="18AA2125" w14:textId="77777777" w:rsidR="004E37A6" w:rsidRDefault="004E37A6" w:rsidP="004E37A6">
      <w:pPr>
        <w:pStyle w:val="ListBullet"/>
      </w:pPr>
      <w:r w:rsidRPr="00040DB3">
        <w:rPr>
          <w:b/>
          <w:bCs/>
        </w:rPr>
        <w:t>Escalation systems</w:t>
      </w:r>
      <w:r>
        <w:t xml:space="preserve">. </w:t>
      </w:r>
      <w:r w:rsidR="00EA69D9">
        <w:t>Robust regulatory systems that maximise the identification of cases of substandard care and ensure they are appropriately treated</w:t>
      </w:r>
      <w:r>
        <w:t xml:space="preserve">. </w:t>
      </w:r>
    </w:p>
    <w:p w14:paraId="51C65A30" w14:textId="77777777" w:rsidR="00EA69D9" w:rsidRDefault="00EA69D9" w:rsidP="00EA69D9">
      <w:pPr>
        <w:pStyle w:val="ListBullet"/>
      </w:pPr>
      <w:r w:rsidRPr="00EB6DE4">
        <w:rPr>
          <w:b/>
          <w:bCs/>
        </w:rPr>
        <w:t>Market</w:t>
      </w:r>
      <w:r>
        <w:rPr>
          <w:b/>
          <w:bCs/>
        </w:rPr>
        <w:t xml:space="preserve"> awareness</w:t>
      </w:r>
      <w:r w:rsidRPr="00EB6DE4">
        <w:rPr>
          <w:b/>
          <w:bCs/>
        </w:rPr>
        <w:t xml:space="preserve">. </w:t>
      </w:r>
      <w:r w:rsidRPr="00EB6DE4">
        <w:t>Mechan</w:t>
      </w:r>
      <w:r>
        <w:t>i</w:t>
      </w:r>
      <w:r w:rsidRPr="00EB6DE4">
        <w:t xml:space="preserve">sms that </w:t>
      </w:r>
      <w:r>
        <w:t xml:space="preserve">increase market signalling, with a view to raising </w:t>
      </w:r>
      <w:r w:rsidRPr="00EB6DE4">
        <w:t>consumer</w:t>
      </w:r>
      <w:r>
        <w:t xml:space="preserve"> and employer understanding of</w:t>
      </w:r>
      <w:r w:rsidRPr="00EB6DE4">
        <w:t xml:space="preserve"> </w:t>
      </w:r>
      <w:r>
        <w:t>who is fit and proper to deliver different types of hearing health services.</w:t>
      </w:r>
    </w:p>
    <w:p w14:paraId="417EC3CC" w14:textId="77777777" w:rsidR="00757E1B" w:rsidRDefault="004E37A6" w:rsidP="00781B09">
      <w:pPr>
        <w:pStyle w:val="ListBullet"/>
      </w:pPr>
      <w:r>
        <w:rPr>
          <w:b/>
          <w:bCs/>
        </w:rPr>
        <w:t xml:space="preserve">Ethical practice. </w:t>
      </w:r>
      <w:r>
        <w:t xml:space="preserve">Mechanisms that seek to minimise undue commercial influence on clinical practice, with the goal of preventing practitioner behaviours that are unethical or unsafe. </w:t>
      </w:r>
    </w:p>
    <w:p w14:paraId="5812C7EC" w14:textId="77777777" w:rsidR="00757E1B" w:rsidRDefault="00757E1B" w:rsidP="00781B09">
      <w:pPr>
        <w:pStyle w:val="BodyText"/>
      </w:pPr>
    </w:p>
    <w:p w14:paraId="5D13E1A0" w14:textId="54EE612C" w:rsidR="00781B09" w:rsidRDefault="00781B09" w:rsidP="00781B09">
      <w:pPr>
        <w:pStyle w:val="BodyText"/>
      </w:pPr>
      <w:r>
        <w:t>To allow for comparison across options, the following scoring system is applied across each objective and option:</w:t>
      </w:r>
    </w:p>
    <w:p w14:paraId="5EC3A81E" w14:textId="77777777" w:rsidR="00781B09" w:rsidRDefault="00781B09" w:rsidP="00F24996">
      <w:pPr>
        <w:pStyle w:val="List"/>
        <w:numPr>
          <w:ilvl w:val="0"/>
          <w:numId w:val="30"/>
        </w:numPr>
      </w:pPr>
      <w:r>
        <w:t>Not at all</w:t>
      </w:r>
    </w:p>
    <w:p w14:paraId="13155D72" w14:textId="77777777" w:rsidR="00781B09" w:rsidRDefault="00781B09" w:rsidP="00F24996">
      <w:pPr>
        <w:pStyle w:val="List"/>
        <w:numPr>
          <w:ilvl w:val="0"/>
          <w:numId w:val="30"/>
        </w:numPr>
      </w:pPr>
      <w:r>
        <w:t>Somewhat</w:t>
      </w:r>
    </w:p>
    <w:p w14:paraId="35AE8A06" w14:textId="77777777" w:rsidR="00781B09" w:rsidRDefault="00781B09" w:rsidP="00F24996">
      <w:pPr>
        <w:pStyle w:val="List"/>
        <w:numPr>
          <w:ilvl w:val="0"/>
          <w:numId w:val="30"/>
        </w:numPr>
      </w:pPr>
      <w:r>
        <w:t>Mostly</w:t>
      </w:r>
    </w:p>
    <w:p w14:paraId="40C073FF" w14:textId="36D3FA65" w:rsidR="00827CA8" w:rsidRDefault="00781B09" w:rsidP="00A936BC">
      <w:pPr>
        <w:pStyle w:val="List"/>
        <w:numPr>
          <w:ilvl w:val="0"/>
          <w:numId w:val="30"/>
        </w:numPr>
      </w:pPr>
      <w:r>
        <w:t>Fully</w:t>
      </w:r>
    </w:p>
    <w:p w14:paraId="46C8BAA0" w14:textId="04C22927" w:rsidR="00827CA8" w:rsidRDefault="007E1A50" w:rsidP="00F31AD3">
      <w:pPr>
        <w:pStyle w:val="BodyText"/>
      </w:pPr>
      <w:r>
        <w:t>C</w:t>
      </w:r>
      <w:r w:rsidR="0032501F">
        <w:t>riteria weighting (i.e.</w:t>
      </w:r>
      <w:r w:rsidR="002246EC">
        <w:t>,</w:t>
      </w:r>
      <w:r w:rsidR="0032501F">
        <w:t xml:space="preserve"> equal weighting) </w:t>
      </w:r>
      <w:r>
        <w:t>and scores</w:t>
      </w:r>
      <w:r w:rsidR="00001D70">
        <w:t xml:space="preserve"> were assigned by the </w:t>
      </w:r>
      <w:r w:rsidR="00C105DC">
        <w:t>Decision RIS</w:t>
      </w:r>
      <w:r w:rsidR="0071306A">
        <w:t xml:space="preserve"> authors based on </w:t>
      </w:r>
      <w:r w:rsidR="00F31AD3">
        <w:t>stakeho</w:t>
      </w:r>
      <w:r w:rsidR="00C263D0">
        <w:t>lder feedback</w:t>
      </w:r>
      <w:r w:rsidR="003651FA">
        <w:t xml:space="preserve"> and other </w:t>
      </w:r>
      <w:r w:rsidR="00C26A71">
        <w:t>data gathered through the review</w:t>
      </w:r>
      <w:r w:rsidR="00C263D0">
        <w:t>.</w:t>
      </w:r>
      <w:r w:rsidR="00C263D0" w:rsidRPr="00037828">
        <w:t xml:space="preserve"> </w:t>
      </w:r>
      <w:r w:rsidR="00BB3776" w:rsidRPr="00037828">
        <w:t>Due to the timeframes for delivery of the Decision RIS</w:t>
      </w:r>
      <w:r w:rsidR="004305C7">
        <w:t xml:space="preserve"> in 2024</w:t>
      </w:r>
      <w:r w:rsidR="00E81A74">
        <w:t xml:space="preserve"> and the </w:t>
      </w:r>
      <w:r w:rsidR="00062C0A">
        <w:t xml:space="preserve">nature of the </w:t>
      </w:r>
      <w:r w:rsidR="00E81A74">
        <w:t>consultation scope as requested by HMM</w:t>
      </w:r>
      <w:r w:rsidR="00BB3776" w:rsidRPr="00037828">
        <w:t xml:space="preserve">, </w:t>
      </w:r>
      <w:r w:rsidR="00F91DF3" w:rsidRPr="00037828">
        <w:t xml:space="preserve">MCA </w:t>
      </w:r>
      <w:r w:rsidR="003C0CC5" w:rsidRPr="00037828">
        <w:t>criteria</w:t>
      </w:r>
      <w:r w:rsidR="004011EA" w:rsidRPr="00037828">
        <w:t>, weighting</w:t>
      </w:r>
      <w:r w:rsidR="00A46B0B" w:rsidRPr="00037828">
        <w:t xml:space="preserve"> method</w:t>
      </w:r>
      <w:r w:rsidR="003C0CC5" w:rsidRPr="00037828">
        <w:t xml:space="preserve"> and scoring</w:t>
      </w:r>
      <w:r w:rsidR="00F91DF3" w:rsidRPr="00037828">
        <w:t xml:space="preserve"> were not able to be tested with stakeholders</w:t>
      </w:r>
      <w:r w:rsidR="00135B6A" w:rsidRPr="00037828">
        <w:t xml:space="preserve"> for </w:t>
      </w:r>
      <w:r w:rsidR="004454D8" w:rsidRPr="00037828">
        <w:t>feedback.</w:t>
      </w:r>
      <w:r w:rsidR="004454D8">
        <w:t xml:space="preserve"> </w:t>
      </w:r>
      <w:r w:rsidR="0066207E">
        <w:t xml:space="preserve">MCA criteria were given equal weighting </w:t>
      </w:r>
      <w:r w:rsidR="00A740E9">
        <w:t>due to the view that these cri</w:t>
      </w:r>
      <w:r w:rsidR="00207C60">
        <w:t xml:space="preserve">teria equally contribute to the overall </w:t>
      </w:r>
      <w:r w:rsidR="00F15BED">
        <w:t xml:space="preserve">objective of government which is </w:t>
      </w:r>
      <w:r w:rsidR="00D538EE" w:rsidRPr="00D538EE">
        <w:t>to protect the Australian public by minimising the incidence of patient harm associated with delivery of audiology services.</w:t>
      </w:r>
    </w:p>
    <w:p w14:paraId="4CE22BA5" w14:textId="77777777" w:rsidR="00C85C15" w:rsidRPr="00F75F2E" w:rsidRDefault="00C85C15" w:rsidP="00C85C15">
      <w:pPr>
        <w:pStyle w:val="Heading2"/>
      </w:pPr>
      <w:bookmarkStart w:id="203" w:name="_Toc171324778"/>
      <w:bookmarkStart w:id="204" w:name="_Toc198138626"/>
      <w:r w:rsidRPr="00F75F2E">
        <w:t xml:space="preserve">General </w:t>
      </w:r>
      <w:r w:rsidRPr="00C85C15">
        <w:t>assumptions</w:t>
      </w:r>
      <w:bookmarkEnd w:id="203"/>
      <w:bookmarkEnd w:id="204"/>
    </w:p>
    <w:p w14:paraId="1BB12F30" w14:textId="6B244A2D" w:rsidR="00C85C15" w:rsidRPr="00F75F2E" w:rsidRDefault="00C85C15" w:rsidP="00C85C15">
      <w:pPr>
        <w:pStyle w:val="BodyText"/>
      </w:pPr>
      <w:r w:rsidRPr="00F75F2E">
        <w:t xml:space="preserve">The impact assessment calculations presented in Chapter </w:t>
      </w:r>
      <w:r w:rsidR="00406A3C">
        <w:t>8</w:t>
      </w:r>
      <w:r w:rsidRPr="00F75F2E">
        <w:t xml:space="preserve"> draw on a number of general assumptions:</w:t>
      </w:r>
    </w:p>
    <w:p w14:paraId="2E481D3A" w14:textId="34ABE003" w:rsidR="00EE7FC0" w:rsidRPr="00EE7FC0" w:rsidRDefault="00C85C15" w:rsidP="00EE7FC0">
      <w:pPr>
        <w:pStyle w:val="ListBullet"/>
        <w:numPr>
          <w:ilvl w:val="0"/>
          <w:numId w:val="0"/>
        </w:numPr>
        <w:ind w:left="360" w:hanging="360"/>
      </w:pPr>
      <w:r>
        <w:rPr>
          <w:b/>
          <w:bCs/>
        </w:rPr>
        <w:t>Workforce size</w:t>
      </w:r>
    </w:p>
    <w:p w14:paraId="776BFA88" w14:textId="7ED8CFAB" w:rsidR="00C85C15" w:rsidRDefault="00C85C15" w:rsidP="00C85C15">
      <w:pPr>
        <w:pStyle w:val="ListBullet"/>
      </w:pPr>
      <w:r w:rsidRPr="0058522F">
        <w:t xml:space="preserve">A combination of 2021 Census data and </w:t>
      </w:r>
      <w:r>
        <w:t xml:space="preserve">2024 </w:t>
      </w:r>
      <w:r w:rsidRPr="0058522F">
        <w:t xml:space="preserve">PPB membership figures were used to derive estimates of the workforce size over the ten-year proposal period, including inflows and outflows in each year. </w:t>
      </w:r>
      <w:r>
        <w:t xml:space="preserve">These estimates are provided in Appendix </w:t>
      </w:r>
      <w:r w:rsidR="004E3431">
        <w:t>D</w:t>
      </w:r>
      <w:r>
        <w:t xml:space="preserve">. To derive workforce size estimates, it was assumed that in FY25, AudA membership comprised 94% of practicing audiologists, AcAud membership comprised 5% of practicing audiologists, and 1% of practicing audiologists held no PPB membership. </w:t>
      </w:r>
    </w:p>
    <w:p w14:paraId="04773928" w14:textId="77777777" w:rsidR="00C85C15" w:rsidRDefault="00C85C15" w:rsidP="00C85C15">
      <w:pPr>
        <w:pStyle w:val="ListBullet"/>
      </w:pPr>
      <w:r>
        <w:t xml:space="preserve">Drawing on the 2021 </w:t>
      </w:r>
      <w:r w:rsidRPr="00200080">
        <w:rPr>
          <w:i/>
        </w:rPr>
        <w:t>Hearing Health Workforce Audit</w:t>
      </w:r>
      <w:r>
        <w:t>, i</w:t>
      </w:r>
      <w:r w:rsidRPr="005E38C7">
        <w:t>t was assumed that net annual growth in the audiology workforce is 4% and that annual attrition of practicing audiologists is 2%</w:t>
      </w:r>
      <w:r>
        <w:t>.</w:t>
      </w:r>
      <w:r>
        <w:rPr>
          <w:rStyle w:val="FootnoteReference"/>
          <w:color w:val="000000" w:themeColor="text1"/>
        </w:rPr>
        <w:footnoteReference w:id="234"/>
      </w:r>
    </w:p>
    <w:p w14:paraId="6CD86FD9" w14:textId="506928AE" w:rsidR="00C85C15" w:rsidRDefault="00C85C15" w:rsidP="00C85C15">
      <w:pPr>
        <w:pStyle w:val="ListBullet"/>
      </w:pPr>
      <w:r>
        <w:t xml:space="preserve">To inform estimates of registration figures under the </w:t>
      </w:r>
      <w:r w:rsidR="009D65B6">
        <w:t>National Registration</w:t>
      </w:r>
      <w:r>
        <w:t xml:space="preserve"> and </w:t>
      </w:r>
      <w:r w:rsidR="009D65B6">
        <w:t>Jurisdictional Registration</w:t>
      </w:r>
      <w:r>
        <w:t xml:space="preserve"> options, it was assumed that 80% of practicing audiologists would report that audiology was their ‘main job worked’ in the past a week in the ABS Census and would therefore seek and be eligible for general registration.</w:t>
      </w:r>
      <w:r>
        <w:rPr>
          <w:rStyle w:val="FootnoteReference"/>
          <w:color w:val="000000" w:themeColor="text1"/>
        </w:rPr>
        <w:footnoteReference w:id="235"/>
      </w:r>
      <w:r>
        <w:t xml:space="preserve"> It was assumed that of the remaining 20% of practicing audiologists who would not report that audiology was not their ‘main job worked’ in the past a week in the ABS Census, 13% of these audiologists would seek general registration, 4% would seek non-practicing registration, and 3% would not seek any form of registration. </w:t>
      </w:r>
    </w:p>
    <w:p w14:paraId="6C6017D1" w14:textId="5EA3C071" w:rsidR="001E7B03" w:rsidRPr="0058522F" w:rsidRDefault="001E7B03" w:rsidP="00C85C15">
      <w:pPr>
        <w:pStyle w:val="ListBullet"/>
      </w:pPr>
      <w:r>
        <w:t xml:space="preserve">A summary of workforce estimates is provided in Appendix </w:t>
      </w:r>
      <w:r w:rsidR="000752F6">
        <w:t>D</w:t>
      </w:r>
      <w:r>
        <w:t>.</w:t>
      </w:r>
    </w:p>
    <w:p w14:paraId="4AB144B7" w14:textId="4691C44A" w:rsidR="00EE7FC0" w:rsidRDefault="00C85C15" w:rsidP="00EE7FC0">
      <w:pPr>
        <w:pStyle w:val="ListBullet"/>
        <w:numPr>
          <w:ilvl w:val="0"/>
          <w:numId w:val="0"/>
        </w:numPr>
      </w:pPr>
      <w:r w:rsidRPr="00F75F2E">
        <w:rPr>
          <w:b/>
          <w:bCs/>
        </w:rPr>
        <w:t>Median wage</w:t>
      </w:r>
    </w:p>
    <w:p w14:paraId="4647BA23" w14:textId="59631F36" w:rsidR="00C85C15" w:rsidRPr="00F75F2E" w:rsidRDefault="00C85C15" w:rsidP="00C85C15">
      <w:pPr>
        <w:pStyle w:val="ListBullet"/>
      </w:pPr>
      <w:r w:rsidRPr="00F75F2E">
        <w:t>Using ABS salary statistics, it is assumed that the median wage of an audiologist is $</w:t>
      </w:r>
      <w:r>
        <w:t>97,730</w:t>
      </w:r>
      <w:r w:rsidRPr="00F75F2E">
        <w:t xml:space="preserve"> in 2024. It is assumed that a public sector audiology hiring manager is a Level 4 Health Practitioner with a median wage of $124,435 in 2024. To inform estimates of time costs, median wages are multiplied by a factor of 1.75 to account for oncosts and overhead costs.</w:t>
      </w:r>
    </w:p>
    <w:p w14:paraId="2550D086" w14:textId="77777777" w:rsidR="00EE7FC0" w:rsidRDefault="00C85C15" w:rsidP="00EE7FC0">
      <w:pPr>
        <w:pStyle w:val="ListBullet"/>
        <w:numPr>
          <w:ilvl w:val="0"/>
          <w:numId w:val="0"/>
        </w:numPr>
        <w:rPr>
          <w:b/>
        </w:rPr>
      </w:pPr>
      <w:r>
        <w:rPr>
          <w:b/>
        </w:rPr>
        <w:t>NPV</w:t>
      </w:r>
    </w:p>
    <w:p w14:paraId="48BCB68B" w14:textId="56A8D06D" w:rsidR="00C85C15" w:rsidRPr="00F75F2E" w:rsidRDefault="00C85C15" w:rsidP="00C85C15">
      <w:pPr>
        <w:pStyle w:val="ListBullet"/>
      </w:pPr>
      <w:r w:rsidRPr="00F75F2E">
        <w:t xml:space="preserve">Total and annualised costs over a ten-year period are estimated in Net Present Value (NPV) terms using a 7% per annum discount rate. </w:t>
      </w:r>
    </w:p>
    <w:p w14:paraId="21867945" w14:textId="77777777" w:rsidR="00EE7FC0" w:rsidRDefault="00C85C15" w:rsidP="00EE7FC0">
      <w:pPr>
        <w:pStyle w:val="ListBullet"/>
        <w:numPr>
          <w:ilvl w:val="0"/>
          <w:numId w:val="0"/>
        </w:numPr>
        <w:rPr>
          <w:b/>
          <w:bCs/>
        </w:rPr>
      </w:pPr>
      <w:r w:rsidRPr="00F75F2E">
        <w:rPr>
          <w:b/>
          <w:bCs/>
        </w:rPr>
        <w:t>Ten-year proposal period</w:t>
      </w:r>
    </w:p>
    <w:p w14:paraId="3B5179F2" w14:textId="756A61D0" w:rsidR="00C85C15" w:rsidRPr="00F75F2E" w:rsidRDefault="00720D81" w:rsidP="00C85C15">
      <w:pPr>
        <w:pStyle w:val="ListBullet"/>
      </w:pPr>
      <w:r>
        <w:t xml:space="preserve">For </w:t>
      </w:r>
      <w:r w:rsidR="00620929">
        <w:t xml:space="preserve">each regulatory option (other than the </w:t>
      </w:r>
      <w:r w:rsidR="00A80F45">
        <w:t>Status Quo</w:t>
      </w:r>
      <w:r w:rsidR="00620929">
        <w:t>)</w:t>
      </w:r>
      <w:r>
        <w:t xml:space="preserve"> i</w:t>
      </w:r>
      <w:r w:rsidR="00C85C15" w:rsidRPr="00F75F2E">
        <w:t xml:space="preserve">t is assumed that the first </w:t>
      </w:r>
      <w:r w:rsidR="00110A51">
        <w:t xml:space="preserve">four </w:t>
      </w:r>
      <w:r w:rsidR="00C85C15">
        <w:t xml:space="preserve">years </w:t>
      </w:r>
      <w:r w:rsidR="00C85C15" w:rsidRPr="00F75F2E">
        <w:t xml:space="preserve">of the ten-year evaluation period </w:t>
      </w:r>
      <w:r w:rsidR="00C85C15">
        <w:t>are</w:t>
      </w:r>
      <w:r w:rsidR="00C85C15" w:rsidRPr="00F75F2E">
        <w:t xml:space="preserve"> establishment year</w:t>
      </w:r>
      <w:r w:rsidR="00C85C15">
        <w:t>s,</w:t>
      </w:r>
      <w:r w:rsidR="00C85C15" w:rsidRPr="00F75F2E">
        <w:t xml:space="preserve"> and that </w:t>
      </w:r>
      <w:r w:rsidR="00604597">
        <w:t>the changes</w:t>
      </w:r>
      <w:r w:rsidR="00C85C15" w:rsidRPr="00F75F2E">
        <w:t xml:space="preserve"> w</w:t>
      </w:r>
      <w:r w:rsidR="00C85C15">
        <w:t>ould</w:t>
      </w:r>
      <w:r w:rsidR="00C85C15" w:rsidRPr="00F75F2E">
        <w:t xml:space="preserve"> become operational in the </w:t>
      </w:r>
      <w:r w:rsidR="00110A51">
        <w:t>fifth</w:t>
      </w:r>
      <w:r w:rsidR="00110A51" w:rsidRPr="00F75F2E">
        <w:t xml:space="preserve"> </w:t>
      </w:r>
      <w:r w:rsidR="00C85C15" w:rsidRPr="00F75F2E">
        <w:t>year.</w:t>
      </w:r>
      <w:r w:rsidR="00C85C15">
        <w:t xml:space="preserve"> This assumption is based on advice from </w:t>
      </w:r>
      <w:r w:rsidR="001358EA">
        <w:t>Ahpra</w:t>
      </w:r>
      <w:r w:rsidR="00C85C15">
        <w:t xml:space="preserve"> and the experience of enacting a state </w:t>
      </w:r>
      <w:r w:rsidR="004A556D">
        <w:t>b</w:t>
      </w:r>
      <w:r w:rsidR="00C85C15">
        <w:t>oard in South Australia for social work.</w:t>
      </w:r>
    </w:p>
    <w:p w14:paraId="2DD57AE0" w14:textId="77777777" w:rsidR="00C85C15" w:rsidRDefault="00C85C15" w:rsidP="00371510">
      <w:pPr>
        <w:pStyle w:val="Heading2"/>
      </w:pPr>
      <w:bookmarkStart w:id="206" w:name="_Ref171318838"/>
      <w:bookmarkStart w:id="207" w:name="_Toc171324779"/>
      <w:bookmarkStart w:id="208" w:name="_Toc198138627"/>
      <w:r>
        <w:t xml:space="preserve">Benefits of </w:t>
      </w:r>
      <w:r w:rsidRPr="00371510">
        <w:t>harm</w:t>
      </w:r>
      <w:r>
        <w:t xml:space="preserve"> minimisation</w:t>
      </w:r>
      <w:bookmarkEnd w:id="206"/>
      <w:bookmarkEnd w:id="207"/>
      <w:bookmarkEnd w:id="208"/>
    </w:p>
    <w:p w14:paraId="71D7A0D0" w14:textId="20756CF0" w:rsidR="00C85C15" w:rsidRPr="00371510" w:rsidRDefault="00C85C15" w:rsidP="00371510">
      <w:pPr>
        <w:pStyle w:val="BodyText"/>
      </w:pPr>
      <w:r w:rsidRPr="00371510">
        <w:t xml:space="preserve">Each </w:t>
      </w:r>
      <w:r w:rsidR="00263E1E">
        <w:t>shortlisted</w:t>
      </w:r>
      <w:r w:rsidRPr="00371510">
        <w:t xml:space="preserve"> regulatory option is expected to result in various levels of harm minimisation</w:t>
      </w:r>
      <w:r w:rsidR="00263E1E">
        <w:t xml:space="preserve"> relative to the </w:t>
      </w:r>
      <w:r w:rsidR="00A80F45">
        <w:t>Status Quo</w:t>
      </w:r>
      <w:r w:rsidRPr="00371510">
        <w:t xml:space="preserve">. The incremental impact assessment framework presented in </w:t>
      </w:r>
      <w:r w:rsidR="00371510">
        <w:fldChar w:fldCharType="begin"/>
      </w:r>
      <w:r w:rsidR="00371510">
        <w:instrText xml:space="preserve"> REF _Ref172045940 \h </w:instrText>
      </w:r>
      <w:r w:rsidR="00371510">
        <w:fldChar w:fldCharType="separate"/>
      </w:r>
      <w:r w:rsidR="00F32107">
        <w:t xml:space="preserve">Figure </w:t>
      </w:r>
      <w:r w:rsidR="00F32107">
        <w:rPr>
          <w:noProof/>
        </w:rPr>
        <w:t>7</w:t>
      </w:r>
      <w:r w:rsidR="00F32107">
        <w:t>.</w:t>
      </w:r>
      <w:r w:rsidR="00F32107">
        <w:rPr>
          <w:noProof/>
        </w:rPr>
        <w:t>2</w:t>
      </w:r>
      <w:r w:rsidR="00371510">
        <w:fldChar w:fldCharType="end"/>
      </w:r>
      <w:r w:rsidR="00371510">
        <w:t xml:space="preserve"> </w:t>
      </w:r>
      <w:r w:rsidRPr="00371510">
        <w:t xml:space="preserve">shows a number of potential benefits of harm minimisation that may occur as a result of moving to a new regulatory option. While these impacts are shown on the impact framework for </w:t>
      </w:r>
      <w:r w:rsidR="009D65B6">
        <w:t>National Registration</w:t>
      </w:r>
      <w:r w:rsidRPr="00371510">
        <w:t xml:space="preserve">, they also apply to the impact frameworks for </w:t>
      </w:r>
      <w:r w:rsidR="009D65B6">
        <w:t>Jurisdictional Registration</w:t>
      </w:r>
      <w:r w:rsidR="00263E1E">
        <w:t xml:space="preserve"> and</w:t>
      </w:r>
      <w:r w:rsidR="0082448D">
        <w:t xml:space="preserve"> </w:t>
      </w:r>
      <w:r w:rsidR="00C944D9">
        <w:t>Strengthened Status Quo</w:t>
      </w:r>
      <w:r w:rsidRPr="00371510">
        <w:t>. Benefits include:</w:t>
      </w:r>
    </w:p>
    <w:p w14:paraId="784149AA" w14:textId="77777777" w:rsidR="00C85C15" w:rsidRDefault="00C85C15" w:rsidP="00371510">
      <w:pPr>
        <w:pStyle w:val="ListBullet"/>
      </w:pPr>
      <w:r>
        <w:t>Change in patient short-term quality of life associated with unaddressed hearing loss</w:t>
      </w:r>
    </w:p>
    <w:p w14:paraId="7BB3F391" w14:textId="77777777" w:rsidR="00C85C15" w:rsidRDefault="00C85C15" w:rsidP="00371510">
      <w:pPr>
        <w:pStyle w:val="ListBullet"/>
      </w:pPr>
      <w:r>
        <w:t>Change in patient and family/carer long-term social and economic outcomes associated with delayed time to diagnosis</w:t>
      </w:r>
    </w:p>
    <w:p w14:paraId="419408C6" w14:textId="5526BF68" w:rsidR="00C85C15" w:rsidRDefault="00C85C15" w:rsidP="00371510">
      <w:pPr>
        <w:pStyle w:val="ListBullet"/>
      </w:pPr>
      <w:r>
        <w:t>Change in long-term government spending (e.g., health, education, welfare payments)</w:t>
      </w:r>
      <w:r w:rsidR="00054F7B">
        <w:t>.</w:t>
      </w:r>
    </w:p>
    <w:p w14:paraId="67215A96" w14:textId="33640C62" w:rsidR="00C85C15" w:rsidRDefault="00C85C15" w:rsidP="00371510">
      <w:pPr>
        <w:pStyle w:val="BodyText"/>
      </w:pPr>
      <w:r>
        <w:t xml:space="preserve">As noted under Problem 1 (see Section </w:t>
      </w:r>
      <w:r>
        <w:fldChar w:fldCharType="begin"/>
      </w:r>
      <w:r>
        <w:instrText xml:space="preserve"> REF _Ref170200359 \r \h </w:instrText>
      </w:r>
      <w:r w:rsidR="00371510">
        <w:instrText xml:space="preserve"> \* MERGEFORMAT </w:instrText>
      </w:r>
      <w:r>
        <w:fldChar w:fldCharType="separate"/>
      </w:r>
      <w:r w:rsidR="00F32107">
        <w:t>3.1</w:t>
      </w:r>
      <w:r>
        <w:fldChar w:fldCharType="end"/>
      </w:r>
      <w:r>
        <w:t>), audiologists work with vulnerable members of the public. Where substandard care results in delayed time to diagnosis or appropriate treatment, this has both short-term and long-term social and economic consequences for patients, families/carers, and government services, especially when diagnosis occurs after a ‘critical period’.</w:t>
      </w:r>
      <w:r>
        <w:rPr>
          <w:rStyle w:val="FootnoteReference"/>
        </w:rPr>
        <w:footnoteReference w:id="236"/>
      </w:r>
      <w:r>
        <w:t xml:space="preserve"> Insights from stakeholder consultations and the public sector external reviews highlighted a number of patient types (patient personas) that are at greater risk of substandard care and long-term adverse outcomes. A summary of these personas, the harms that may be experienced, and the associated social and economic impacts are summarised in</w:t>
      </w:r>
      <w:r w:rsidR="009E4538">
        <w:t xml:space="preserve"> </w:t>
      </w:r>
      <w:r w:rsidR="009E4538">
        <w:fldChar w:fldCharType="begin"/>
      </w:r>
      <w:r w:rsidR="009E4538">
        <w:instrText xml:space="preserve"> REF _Ref172874370 \h </w:instrText>
      </w:r>
      <w:r w:rsidR="009E4538">
        <w:fldChar w:fldCharType="separate"/>
      </w:r>
      <w:r w:rsidR="00F32107">
        <w:t xml:space="preserve">Figure </w:t>
      </w:r>
      <w:r w:rsidR="00F32107">
        <w:rPr>
          <w:noProof/>
        </w:rPr>
        <w:t>7</w:t>
      </w:r>
      <w:r w:rsidR="00F32107">
        <w:t>.</w:t>
      </w:r>
      <w:r w:rsidR="00F32107">
        <w:rPr>
          <w:noProof/>
        </w:rPr>
        <w:t>3</w:t>
      </w:r>
      <w:r w:rsidR="009E4538">
        <w:fldChar w:fldCharType="end"/>
      </w:r>
      <w:r>
        <w:t>.</w:t>
      </w:r>
    </w:p>
    <w:p w14:paraId="1170B4BF" w14:textId="2E13384B" w:rsidR="00B77ADE" w:rsidRDefault="00B77ADE" w:rsidP="00371510">
      <w:pPr>
        <w:pStyle w:val="BodyText"/>
        <w:sectPr w:rsidR="00B77ADE" w:rsidSect="007F4E7D">
          <w:pgSz w:w="11906" w:h="16838" w:code="9"/>
          <w:pgMar w:top="1531" w:right="1531" w:bottom="1531" w:left="1531" w:header="709" w:footer="709" w:gutter="0"/>
          <w:cols w:space="708"/>
          <w:docGrid w:linePitch="360"/>
        </w:sectPr>
      </w:pPr>
      <w:bookmarkStart w:id="209" w:name="_Ref172046277"/>
    </w:p>
    <w:p w14:paraId="4D2EC77E" w14:textId="02C43FDA" w:rsidR="00FC0410" w:rsidRDefault="00FC0410" w:rsidP="00FC0410">
      <w:pPr>
        <w:pStyle w:val="Caption"/>
        <w:keepNext/>
      </w:pPr>
      <w:bookmarkStart w:id="210" w:name="_Ref197950768"/>
      <w:bookmarkStart w:id="211" w:name="_Ref172874370"/>
      <w:r>
        <w:t xml:space="preserve">Figure </w:t>
      </w:r>
      <w:fldSimple w:instr=" STYLEREF 1 \s ">
        <w:r w:rsidR="00F32107">
          <w:rPr>
            <w:noProof/>
          </w:rPr>
          <w:t>7</w:t>
        </w:r>
      </w:fldSimple>
      <w:r w:rsidR="00222D06">
        <w:t>.</w:t>
      </w:r>
      <w:fldSimple w:instr=" SEQ Figure \* ARABIC \s 1 ">
        <w:r w:rsidR="00F32107">
          <w:rPr>
            <w:noProof/>
          </w:rPr>
          <w:t>3</w:t>
        </w:r>
      </w:fldSimple>
      <w:bookmarkEnd w:id="209"/>
      <w:bookmarkEnd w:id="210"/>
      <w:bookmarkEnd w:id="211"/>
      <w:r>
        <w:t xml:space="preserve"> Pathways of patient personas at greater risk of harm under </w:t>
      </w:r>
      <w:r w:rsidR="00A80F45">
        <w:t>Status Quo</w:t>
      </w:r>
    </w:p>
    <w:p w14:paraId="1AA9D340" w14:textId="2A496693" w:rsidR="00B77ADE" w:rsidRDefault="00B77ADE" w:rsidP="00B77ADE">
      <w:pPr>
        <w:pStyle w:val="BodyText"/>
      </w:pPr>
      <w:r>
        <w:rPr>
          <w:noProof/>
          <w:lang w:eastAsia="en-AU"/>
        </w:rPr>
        <w:drawing>
          <wp:inline distT="0" distB="0" distL="0" distR="0" wp14:anchorId="3B45086C" wp14:editId="27D2AAC4">
            <wp:extent cx="6687047" cy="515993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48889" cy="5207656"/>
                    </a:xfrm>
                    <a:prstGeom prst="rect">
                      <a:avLst/>
                    </a:prstGeom>
                    <a:noFill/>
                  </pic:spPr>
                </pic:pic>
              </a:graphicData>
            </a:graphic>
          </wp:inline>
        </w:drawing>
      </w:r>
    </w:p>
    <w:p w14:paraId="28AB0F59" w14:textId="77777777" w:rsidR="00B77ADE" w:rsidRDefault="00B77ADE" w:rsidP="006D192C">
      <w:pPr>
        <w:pStyle w:val="BodyText"/>
        <w:sectPr w:rsidR="00B77ADE" w:rsidSect="00B77ADE">
          <w:pgSz w:w="16838" w:h="11906" w:orient="landscape" w:code="9"/>
          <w:pgMar w:top="1531" w:right="1531" w:bottom="1531" w:left="1531" w:header="709" w:footer="709" w:gutter="0"/>
          <w:cols w:space="708"/>
          <w:docGrid w:linePitch="360"/>
        </w:sectPr>
      </w:pPr>
    </w:p>
    <w:p w14:paraId="61253B97" w14:textId="59FD3E2E" w:rsidR="001E7119" w:rsidRDefault="001E7119" w:rsidP="001E7119">
      <w:pPr>
        <w:pStyle w:val="BodyText"/>
      </w:pPr>
      <w:r>
        <w:t xml:space="preserve">It was not possible to estimate the volume and value of harms that could be avoided under </w:t>
      </w:r>
      <w:r w:rsidR="009D65B6">
        <w:t>National Registration</w:t>
      </w:r>
      <w:r w:rsidR="003639C4">
        <w:t xml:space="preserve">, </w:t>
      </w:r>
      <w:r w:rsidR="009D65B6">
        <w:t>Jurisdictional Registration</w:t>
      </w:r>
      <w:r w:rsidR="003639C4">
        <w:t xml:space="preserve"> </w:t>
      </w:r>
      <w:r w:rsidR="008E76BA">
        <w:t xml:space="preserve">or </w:t>
      </w:r>
      <w:r w:rsidR="001900D5">
        <w:t>Strengthened Status Quo</w:t>
      </w:r>
      <w:r>
        <w:t>,</w:t>
      </w:r>
      <w:r w:rsidR="00EE71ED">
        <w:t xml:space="preserve"> owing to the following data limitations</w:t>
      </w:r>
      <w:r>
        <w:t>:</w:t>
      </w:r>
    </w:p>
    <w:p w14:paraId="6C6BF023" w14:textId="3124A7BD" w:rsidR="001E7119" w:rsidRDefault="001E7119" w:rsidP="001E7119">
      <w:pPr>
        <w:pStyle w:val="ListBullet"/>
      </w:pPr>
      <w:r w:rsidRPr="00E3433F">
        <w:rPr>
          <w:b/>
          <w:bCs/>
        </w:rPr>
        <w:t xml:space="preserve">Lack of data on actual incidence of substandard care under the </w:t>
      </w:r>
      <w:r w:rsidR="00243265">
        <w:rPr>
          <w:b/>
          <w:bCs/>
        </w:rPr>
        <w:t>Status Quo</w:t>
      </w:r>
      <w:r>
        <w:t xml:space="preserve">. Due to the issues described in Section </w:t>
      </w:r>
      <w:r>
        <w:fldChar w:fldCharType="begin"/>
      </w:r>
      <w:r>
        <w:instrText xml:space="preserve"> REF _Ref170058163 \r \h  \* MERGEFORMAT </w:instrText>
      </w:r>
      <w:r>
        <w:fldChar w:fldCharType="separate"/>
      </w:r>
      <w:r w:rsidR="00F32107">
        <w:t>3.4</w:t>
      </w:r>
      <w:r>
        <w:fldChar w:fldCharType="end"/>
      </w:r>
      <w:r>
        <w:t xml:space="preserve">, the actual incidence of substandard care under the </w:t>
      </w:r>
      <w:r w:rsidR="00243265">
        <w:t>Status Quo</w:t>
      </w:r>
      <w:r>
        <w:t xml:space="preserve"> could not be quantified at a national level.</w:t>
      </w:r>
    </w:p>
    <w:p w14:paraId="03E85838" w14:textId="7240A03D" w:rsidR="001E7119" w:rsidRDefault="001E7119" w:rsidP="001E7119">
      <w:pPr>
        <w:pStyle w:val="ListBullet"/>
      </w:pPr>
      <w:r>
        <w:rPr>
          <w:b/>
          <w:bCs/>
        </w:rPr>
        <w:t>Lack of data in relation to long</w:t>
      </w:r>
      <w:r w:rsidRPr="00215491">
        <w:rPr>
          <w:b/>
          <w:bCs/>
        </w:rPr>
        <w:t>-term outcomes</w:t>
      </w:r>
      <w:r>
        <w:t xml:space="preserve">. Because of the wide variation in types of cases seen by audiologists (and hence wide variation in potential instances of substandard care), it was not possible to quantify or qualify all of the long-term harms which may be occurring under the </w:t>
      </w:r>
      <w:r w:rsidR="009948C8">
        <w:t>Status Quo</w:t>
      </w:r>
      <w:r>
        <w:t>.</w:t>
      </w:r>
    </w:p>
    <w:p w14:paraId="038D063C" w14:textId="0A8573AF" w:rsidR="001E7119" w:rsidRDefault="001E7119" w:rsidP="009F668B">
      <w:pPr>
        <w:pStyle w:val="BodyText"/>
      </w:pPr>
      <w:r>
        <w:t xml:space="preserve">To this end, the impact analysis presented in Chapter </w:t>
      </w:r>
      <w:r w:rsidR="009948C8">
        <w:t>8</w:t>
      </w:r>
      <w:r>
        <w:t xml:space="preserve"> does not attempt to </w:t>
      </w:r>
      <w:r w:rsidR="009C3023">
        <w:t>quantify</w:t>
      </w:r>
      <w:r>
        <w:t xml:space="preserve"> the </w:t>
      </w:r>
      <w:r w:rsidR="00022573">
        <w:t>patient, family/carer and</w:t>
      </w:r>
      <w:r w:rsidR="00EE6292">
        <w:t>/or</w:t>
      </w:r>
      <w:r w:rsidR="00022573">
        <w:t xml:space="preserve"> government </w:t>
      </w:r>
      <w:r>
        <w:t xml:space="preserve">social and economic </w:t>
      </w:r>
      <w:r w:rsidR="00022573">
        <w:t xml:space="preserve">impacts </w:t>
      </w:r>
      <w:r>
        <w:t>of harm</w:t>
      </w:r>
      <w:r w:rsidR="00022573">
        <w:t xml:space="preserve">s under the </w:t>
      </w:r>
      <w:r w:rsidR="00BA06C1">
        <w:t>Status Quo</w:t>
      </w:r>
      <w:r w:rsidR="00EE6292">
        <w:t>. Nor does it attempt to</w:t>
      </w:r>
      <w:r w:rsidR="00C50828">
        <w:t xml:space="preserve"> </w:t>
      </w:r>
      <w:r w:rsidR="009C3023">
        <w:t>quantify</w:t>
      </w:r>
      <w:r w:rsidR="00EE6292">
        <w:t xml:space="preserve"> the</w:t>
      </w:r>
      <w:r w:rsidR="00022573">
        <w:t xml:space="preserve"> </w:t>
      </w:r>
      <w:r w:rsidR="008E76BA">
        <w:t xml:space="preserve">social and economic impacts of </w:t>
      </w:r>
      <w:r w:rsidR="00022573">
        <w:t xml:space="preserve">harm minimisation that </w:t>
      </w:r>
      <w:r w:rsidR="004D401C">
        <w:t xml:space="preserve">may </w:t>
      </w:r>
      <w:r w:rsidR="00022573">
        <w:t xml:space="preserve">be realised under </w:t>
      </w:r>
      <w:r w:rsidR="00A2137D">
        <w:t>National Registration</w:t>
      </w:r>
      <w:r w:rsidR="00BF3B87">
        <w:t xml:space="preserve">, </w:t>
      </w:r>
      <w:r w:rsidR="00A2137D">
        <w:t>Jurisdictional Registration</w:t>
      </w:r>
      <w:r w:rsidR="00BF3B87">
        <w:t xml:space="preserve"> or </w:t>
      </w:r>
      <w:r w:rsidR="00BA06C1">
        <w:t>Strengthened Status Quo</w:t>
      </w:r>
      <w:r>
        <w:t xml:space="preserve">. </w:t>
      </w:r>
    </w:p>
    <w:p w14:paraId="5434CD84" w14:textId="515D0549" w:rsidR="001E7119" w:rsidRPr="0055664A" w:rsidRDefault="001E7119" w:rsidP="009F668B">
      <w:pPr>
        <w:pStyle w:val="BodyText"/>
      </w:pPr>
      <w:r>
        <w:t>As an alternative, the following sections estimate the avoided social and economic costs of one case of avoided substandard care (i.e., misdiagnosis) for a select number of patient personas, with a view to profiling the potential benefits of avoiding one episode of substandard care. This analysis is then used in a break-even analysis at the conclusion of the i</w:t>
      </w:r>
      <w:r w:rsidR="008E76BA">
        <w:t>mpact</w:t>
      </w:r>
      <w:r>
        <w:t xml:space="preserve"> analysis for each option </w:t>
      </w:r>
      <w:r w:rsidR="008E76BA">
        <w:t xml:space="preserve">(other than the </w:t>
      </w:r>
      <w:r w:rsidR="000612E6">
        <w:t>Status Quo</w:t>
      </w:r>
      <w:r w:rsidR="008E76BA">
        <w:t xml:space="preserve">) </w:t>
      </w:r>
      <w:r>
        <w:t xml:space="preserve">presented in Chapter </w:t>
      </w:r>
      <w:r w:rsidR="000612E6">
        <w:t>8</w:t>
      </w:r>
      <w:r>
        <w:t>. The break-even analysis estimates the number of avoided cases of substandard care that would need to be achieved under each option to offset the costs associated with the additional regulatory burden</w:t>
      </w:r>
      <w:r w:rsidR="00EA4CFC">
        <w:t xml:space="preserve"> relative to the </w:t>
      </w:r>
      <w:r w:rsidR="00F837BF">
        <w:t>Status Quo</w:t>
      </w:r>
      <w:r>
        <w:t>.</w:t>
      </w:r>
    </w:p>
    <w:p w14:paraId="08BD10C1" w14:textId="558D1A1A" w:rsidR="001E7119" w:rsidRDefault="007F0090" w:rsidP="009F668B">
      <w:pPr>
        <w:pStyle w:val="Heading3"/>
      </w:pPr>
      <w:bookmarkStart w:id="212" w:name="_Ref169854609"/>
      <w:bookmarkStart w:id="213" w:name="_Toc171324780"/>
      <w:bookmarkStart w:id="214" w:name="_Ref172536929"/>
      <w:bookmarkStart w:id="215" w:name="_Ref172538825"/>
      <w:bookmarkStart w:id="216" w:name="_Ref172799869"/>
      <w:bookmarkStart w:id="217" w:name="_Toc198138628"/>
      <w:r>
        <w:t>P</w:t>
      </w:r>
      <w:r w:rsidR="001E7119">
        <w:t xml:space="preserve">atient </w:t>
      </w:r>
      <w:r w:rsidR="001E7119" w:rsidRPr="009F668B">
        <w:t>short</w:t>
      </w:r>
      <w:r w:rsidR="001E7119">
        <w:t xml:space="preserve">-term quality of life associated with </w:t>
      </w:r>
      <w:bookmarkEnd w:id="212"/>
      <w:r w:rsidR="001E7119">
        <w:t>unaddressed hearing loss</w:t>
      </w:r>
      <w:bookmarkEnd w:id="213"/>
      <w:bookmarkEnd w:id="214"/>
      <w:bookmarkEnd w:id="215"/>
      <w:bookmarkEnd w:id="216"/>
      <w:bookmarkEnd w:id="217"/>
    </w:p>
    <w:p w14:paraId="583880BF" w14:textId="5C487359" w:rsidR="001E7119" w:rsidRDefault="001E7119" w:rsidP="009F668B">
      <w:pPr>
        <w:pStyle w:val="BodyText"/>
      </w:pPr>
      <w:r>
        <w:t>The analysis presented in this section estimates the change in patient quality of life associated with one case of substandard care occurring in FY2</w:t>
      </w:r>
      <w:r w:rsidR="00720897">
        <w:t>9</w:t>
      </w:r>
      <w:r>
        <w:t xml:space="preserve"> leading to unaddressed hearing loss for an infant. Estimates are produced for two distinct types of substandard care - </w:t>
      </w:r>
      <w:r w:rsidRPr="009E2DE8">
        <w:t>incorrect cochlear mapping</w:t>
      </w:r>
      <w:r>
        <w:t xml:space="preserve"> and improper neonatal diagnostics</w:t>
      </w:r>
      <w:r w:rsidRPr="009E2DE8">
        <w:t>.</w:t>
      </w:r>
      <w:r>
        <w:rPr>
          <w:rStyle w:val="FootnoteReference"/>
        </w:rPr>
        <w:footnoteReference w:id="237"/>
      </w:r>
    </w:p>
    <w:p w14:paraId="0AB007EA" w14:textId="0AB9FE52" w:rsidR="001E7119" w:rsidRPr="002D44E7" w:rsidRDefault="001E7119" w:rsidP="009F668B">
      <w:pPr>
        <w:pStyle w:val="BodyText"/>
      </w:pPr>
      <w:r>
        <w:t>It is important to note that the events which occurred in the public-sector external reviews involve processes for patients and families which are still ongoing. Due to the highly individual circumstances of each affected person, this Decision RIS does not attempt to, and should not be construed as, estimating a monetary value of either short-term or long-term harms as a result of these specific events. Instead, a generalised persona-based approach is used to quantify a limited set of short-term quality of life impacts</w:t>
      </w:r>
      <w:r w:rsidR="000D240B">
        <w:t xml:space="preserve"> </w:t>
      </w:r>
      <w:r>
        <w:t xml:space="preserve">based on disability-adjusted life years. This is a common measure used in health economics – it does not represent, or correspond to, individual circumstances. </w:t>
      </w:r>
    </w:p>
    <w:p w14:paraId="1E2C5E66" w14:textId="77777777" w:rsidR="001E7119" w:rsidRPr="004C3598" w:rsidRDefault="001E7119" w:rsidP="00A04F9E">
      <w:pPr>
        <w:pStyle w:val="Heading4"/>
      </w:pPr>
      <w:r w:rsidRPr="004C3598">
        <w:t>Incorrect infant cochlear mapping – short-term quality of life impacts</w:t>
      </w:r>
    </w:p>
    <w:p w14:paraId="272E1FFC" w14:textId="77777777" w:rsidR="001E7119" w:rsidRPr="009F668B" w:rsidRDefault="001E7119" w:rsidP="009F668B">
      <w:pPr>
        <w:pStyle w:val="BodyText"/>
      </w:pPr>
      <w:r w:rsidRPr="009F668B">
        <w:t>The following assumptions were used to estimate the change in patient quality of life associated with unaddressed hearing loss in a case of incorrect infant cochlear mapping:</w:t>
      </w:r>
    </w:p>
    <w:p w14:paraId="6EAA015F" w14:textId="77777777" w:rsidR="001E7119" w:rsidRDefault="001E7119" w:rsidP="009F668B">
      <w:pPr>
        <w:pStyle w:val="ListBullet"/>
      </w:pPr>
      <w:r w:rsidRPr="00E40C51">
        <w:rPr>
          <w:b/>
        </w:rPr>
        <w:t>Age whe</w:t>
      </w:r>
      <w:r>
        <w:rPr>
          <w:b/>
        </w:rPr>
        <w:t>n</w:t>
      </w:r>
      <w:r w:rsidRPr="00E40C51">
        <w:rPr>
          <w:b/>
        </w:rPr>
        <w:t xml:space="preserve"> substandard care is received</w:t>
      </w:r>
      <w:r>
        <w:t>. It was assumed that cochlear implantation and mapping was performed at age six months. This assumption was drawn from the</w:t>
      </w:r>
      <w:r w:rsidRPr="000C3110">
        <w:t xml:space="preserve"> Longitudinal Outcomes of Children with Hearing Impairment (LOCHI) study</w:t>
      </w:r>
      <w:r>
        <w:t>, which suggests that intervention will typically occur during the first year of life.</w:t>
      </w:r>
      <w:r>
        <w:rPr>
          <w:rStyle w:val="FootnoteReference"/>
        </w:rPr>
        <w:footnoteReference w:id="238"/>
      </w:r>
      <w:r>
        <w:t xml:space="preserve"> </w:t>
      </w:r>
    </w:p>
    <w:p w14:paraId="0B03815E" w14:textId="77777777" w:rsidR="001E7119" w:rsidRDefault="001E7119" w:rsidP="009F668B">
      <w:pPr>
        <w:pStyle w:val="ListBullet"/>
      </w:pPr>
      <w:r w:rsidRPr="00E40C51">
        <w:rPr>
          <w:b/>
        </w:rPr>
        <w:t>Duration of hearing loss</w:t>
      </w:r>
      <w:r>
        <w:t>. It was assumed that cochlear implantation remediation would not occur until age three years, resulting in unaddressed hearing loss of two and a half years. This assumption was drawn from consultation insights which suggested that three years of age is typically when speech and other abnormalities are identified and addressed.</w:t>
      </w:r>
    </w:p>
    <w:p w14:paraId="20869D56" w14:textId="77777777" w:rsidR="001E7119" w:rsidRDefault="001E7119" w:rsidP="009F668B">
      <w:pPr>
        <w:pStyle w:val="ListBullet"/>
      </w:pPr>
      <w:r w:rsidRPr="000A6850">
        <w:rPr>
          <w:b/>
        </w:rPr>
        <w:t>Severity of unaddressed hearing loss</w:t>
      </w:r>
      <w:r w:rsidRPr="00A62360">
        <w:t>:</w:t>
      </w:r>
      <w:r>
        <w:t xml:space="preserve"> To quantify the severity of unaddressed hearing loss over the two and a half year period, a disability adjusted life year (DALY) approach was used.</w:t>
      </w:r>
      <w:r w:rsidRPr="006824EE">
        <w:t xml:space="preserve"> </w:t>
      </w:r>
      <w:r>
        <w:t>DALYs have two components – premature mortality, measured in years of life lost due to premature death (YLL), and morbidity, measured in years of healthy life lost due to disability (YLD) where:</w:t>
      </w:r>
    </w:p>
    <w:p w14:paraId="64B4E630" w14:textId="1AECE315" w:rsidR="00FC0410" w:rsidRDefault="000C1EE2" w:rsidP="000C1EE2">
      <w:pPr>
        <w:pStyle w:val="BodyText"/>
        <w:jc w:val="center"/>
      </w:pPr>
      <w:r w:rsidRPr="000C1EE2">
        <w:rPr>
          <w:noProof/>
          <w:lang w:eastAsia="en-AU"/>
        </w:rPr>
        <w:drawing>
          <wp:inline distT="0" distB="0" distL="0" distR="0" wp14:anchorId="0FE37CDA" wp14:editId="3CEAE8AC">
            <wp:extent cx="3550920" cy="866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0920" cy="866775"/>
                    </a:xfrm>
                    <a:prstGeom prst="rect">
                      <a:avLst/>
                    </a:prstGeom>
                    <a:noFill/>
                    <a:ln>
                      <a:noFill/>
                    </a:ln>
                  </pic:spPr>
                </pic:pic>
              </a:graphicData>
            </a:graphic>
          </wp:inline>
        </w:drawing>
      </w:r>
    </w:p>
    <w:p w14:paraId="7D8FCA2C" w14:textId="77777777" w:rsidR="008F5DEE" w:rsidRPr="008F5DEE" w:rsidRDefault="008F5DEE" w:rsidP="008F5DEE">
      <w:pPr>
        <w:rPr>
          <w:color w:val="7F7F7F" w:themeColor="text1" w:themeTint="80"/>
          <w:kern w:val="21"/>
          <w:sz w:val="14"/>
          <w:szCs w:val="14"/>
          <w:lang w:val="en-AU"/>
          <w14:numSpacing w14:val="proportional"/>
        </w:rPr>
      </w:pPr>
      <w:r w:rsidRPr="008F5DEE">
        <w:rPr>
          <w:color w:val="7F7F7F" w:themeColor="text1" w:themeTint="80"/>
          <w:kern w:val="21"/>
          <w:sz w:val="14"/>
          <w:szCs w:val="14"/>
          <w:lang w:val="en-AU"/>
          <w14:numSpacing w14:val="proportional"/>
        </w:rPr>
        <w:t>Source: Australian Institute of Health and Welfare (AIHW) 2023</w:t>
      </w:r>
    </w:p>
    <w:p w14:paraId="2327C40A" w14:textId="77777777" w:rsidR="008F5DEE" w:rsidRDefault="008F5DEE" w:rsidP="008F5DEE"/>
    <w:p w14:paraId="104C04AE" w14:textId="72DE7030" w:rsidR="008F5DEE" w:rsidRDefault="008F5DEE" w:rsidP="008F5DEE">
      <w:pPr>
        <w:pStyle w:val="BodyText"/>
      </w:pPr>
      <w:r>
        <w:t xml:space="preserve">YLDs are calculated using disability weights, where the disability weight of a health condition reflects a relative health state. A weight of 0 represents a perfect year of health and a weight of 1 represents death. For example, the disability weight for mild hearing loss is 0.01, which represents losing 1% of a year of healthy life due to hearing impairment. Disability weights are applied to the population who has the condition to estimate YLDs. Disability weights for hearing loss by severity are outlined in </w:t>
      </w:r>
      <w:r w:rsidR="00762B31">
        <w:fldChar w:fldCharType="begin"/>
      </w:r>
      <w:r w:rsidR="00762B31">
        <w:instrText xml:space="preserve"> REF _Ref172795713 \h </w:instrText>
      </w:r>
      <w:r w:rsidR="00762B31">
        <w:fldChar w:fldCharType="separate"/>
      </w:r>
      <w:r w:rsidR="00F32107">
        <w:t xml:space="preserve">Table </w:t>
      </w:r>
      <w:r w:rsidR="00F32107">
        <w:rPr>
          <w:noProof/>
        </w:rPr>
        <w:t>7</w:t>
      </w:r>
      <w:r w:rsidR="00F32107">
        <w:t>.</w:t>
      </w:r>
      <w:r w:rsidR="00F32107">
        <w:rPr>
          <w:noProof/>
        </w:rPr>
        <w:t>1</w:t>
      </w:r>
      <w:r w:rsidR="00762B31">
        <w:fldChar w:fldCharType="end"/>
      </w:r>
      <w:r>
        <w:t xml:space="preserve">. </w:t>
      </w:r>
    </w:p>
    <w:p w14:paraId="21863521" w14:textId="6C32F0E1" w:rsidR="008F5DEE" w:rsidRPr="008F5DEE" w:rsidRDefault="008F5DEE" w:rsidP="008F5DEE">
      <w:pPr>
        <w:pStyle w:val="BodyText"/>
      </w:pPr>
      <w:r>
        <w:t xml:space="preserve">It was assumed that over the period of unaddressed hearing loss, the severity of hearing loss experienced was between ‘severe’ and ‘profound’ (i.e., a disability weight of 0.181 in each year). This assumption was drawn from clinical guidelines on when to refer to a cochlear implant clinic, which typically recommend referral if suspected hearing loss is severe-profound. It is thus estimated that over the two and a half year period of </w:t>
      </w:r>
      <w:r w:rsidRPr="009808C9">
        <w:t>unaddressed hearing loss</w:t>
      </w:r>
      <w:r>
        <w:t>, 0.453 DALYs are lost per</w:t>
      </w:r>
      <w:r w:rsidRPr="009808C9">
        <w:t xml:space="preserve"> case of </w:t>
      </w:r>
      <w:r>
        <w:t xml:space="preserve">infant </w:t>
      </w:r>
      <w:r w:rsidRPr="009808C9">
        <w:t>incorrect cochlear mapping</w:t>
      </w:r>
      <w:r>
        <w:t>.</w:t>
      </w:r>
    </w:p>
    <w:p w14:paraId="5525B942" w14:textId="09A2949C" w:rsidR="008F5DEE" w:rsidRDefault="008F5DEE" w:rsidP="008F5DEE">
      <w:pPr>
        <w:pStyle w:val="Caption"/>
        <w:keepNext/>
      </w:pPr>
      <w:bookmarkStart w:id="218" w:name="_Ref172795713"/>
      <w:r>
        <w:t xml:space="preserve">Table </w:t>
      </w:r>
      <w:fldSimple w:instr=" STYLEREF 1 \s ">
        <w:r w:rsidR="00F32107">
          <w:rPr>
            <w:noProof/>
          </w:rPr>
          <w:t>7</w:t>
        </w:r>
      </w:fldSimple>
      <w:r w:rsidR="008944FB">
        <w:t>.</w:t>
      </w:r>
      <w:fldSimple w:instr=" SEQ Table \* ARABIC \s 1 ">
        <w:r w:rsidR="00F32107">
          <w:rPr>
            <w:noProof/>
          </w:rPr>
          <w:t>1</w:t>
        </w:r>
      </w:fldSimple>
      <w:bookmarkEnd w:id="218"/>
      <w:r>
        <w:t xml:space="preserve"> Disability weight for hearing loss by severity</w:t>
      </w:r>
    </w:p>
    <w:tbl>
      <w:tblPr>
        <w:tblStyle w:val="BodyTable"/>
        <w:tblW w:w="8627" w:type="dxa"/>
        <w:tblLook w:val="0420" w:firstRow="1" w:lastRow="0" w:firstColumn="0" w:lastColumn="0" w:noHBand="0" w:noVBand="1"/>
      </w:tblPr>
      <w:tblGrid>
        <w:gridCol w:w="1701"/>
        <w:gridCol w:w="5670"/>
        <w:gridCol w:w="1256"/>
      </w:tblGrid>
      <w:tr w:rsidR="008F5DEE" w:rsidRPr="00214D4F" w14:paraId="5134CF77" w14:textId="77777777" w:rsidTr="008F5DEE">
        <w:trPr>
          <w:cnfStyle w:val="100000000000" w:firstRow="1" w:lastRow="0" w:firstColumn="0" w:lastColumn="0" w:oddVBand="0" w:evenVBand="0" w:oddHBand="0" w:evenHBand="0" w:firstRowFirstColumn="0" w:firstRowLastColumn="0" w:lastRowFirstColumn="0" w:lastRowLastColumn="0"/>
          <w:trHeight w:val="268"/>
        </w:trPr>
        <w:tc>
          <w:tcPr>
            <w:tcW w:w="1701" w:type="dxa"/>
            <w:hideMark/>
          </w:tcPr>
          <w:p w14:paraId="34B0E4D1" w14:textId="77777777" w:rsidR="008F5DEE" w:rsidRPr="00FE4606" w:rsidRDefault="008F5DEE">
            <w:pPr>
              <w:keepNext/>
              <w:spacing w:line="240" w:lineRule="auto"/>
              <w:rPr>
                <w:rFonts w:eastAsia="Times New Roman" w:cs="Calibri Light"/>
                <w:color w:val="000000" w:themeColor="text1"/>
                <w:sz w:val="36"/>
                <w:szCs w:val="36"/>
                <w:lang w:eastAsia="en-AU"/>
              </w:rPr>
            </w:pPr>
            <w:r w:rsidRPr="00FE4606">
              <w:rPr>
                <w:rFonts w:eastAsia="Calibri" w:cs="Calibri Light"/>
                <w:b/>
                <w:color w:val="000000" w:themeColor="text1"/>
                <w:kern w:val="24"/>
                <w:sz w:val="21"/>
                <w:szCs w:val="21"/>
                <w:lang w:eastAsia="en-AU"/>
              </w:rPr>
              <w:t>Severity</w:t>
            </w:r>
          </w:p>
        </w:tc>
        <w:tc>
          <w:tcPr>
            <w:tcW w:w="5670" w:type="dxa"/>
          </w:tcPr>
          <w:p w14:paraId="0146F7C0" w14:textId="77777777" w:rsidR="008F5DEE" w:rsidRPr="00FE4606" w:rsidRDefault="008F5DEE">
            <w:pPr>
              <w:keepNext/>
              <w:spacing w:line="240" w:lineRule="auto"/>
              <w:rPr>
                <w:rFonts w:eastAsia="Calibri" w:cs="Calibri Light"/>
                <w:b/>
                <w:color w:val="000000" w:themeColor="text1"/>
                <w:kern w:val="24"/>
                <w:sz w:val="21"/>
                <w:szCs w:val="21"/>
                <w:lang w:eastAsia="en-AU"/>
              </w:rPr>
            </w:pPr>
            <w:r w:rsidRPr="00FE4606">
              <w:rPr>
                <w:rFonts w:eastAsia="Calibri" w:cs="Calibri Light"/>
                <w:b/>
                <w:color w:val="000000" w:themeColor="text1"/>
                <w:kern w:val="24"/>
                <w:sz w:val="21"/>
                <w:szCs w:val="21"/>
                <w:lang w:eastAsia="en-AU"/>
              </w:rPr>
              <w:t>Lay description</w:t>
            </w:r>
          </w:p>
        </w:tc>
        <w:tc>
          <w:tcPr>
            <w:tcW w:w="1256" w:type="dxa"/>
            <w:hideMark/>
          </w:tcPr>
          <w:p w14:paraId="1A9B41B7" w14:textId="77777777" w:rsidR="008F5DEE" w:rsidRPr="00FE4606" w:rsidRDefault="008F5DEE">
            <w:pPr>
              <w:keepNext/>
              <w:spacing w:line="240" w:lineRule="auto"/>
              <w:jc w:val="center"/>
              <w:rPr>
                <w:rFonts w:eastAsia="Times New Roman" w:cs="Calibri Light"/>
                <w:color w:val="000000" w:themeColor="text1"/>
                <w:sz w:val="36"/>
                <w:szCs w:val="36"/>
                <w:lang w:eastAsia="en-AU"/>
              </w:rPr>
            </w:pPr>
            <w:r w:rsidRPr="00FE4606">
              <w:rPr>
                <w:rFonts w:eastAsia="Calibri" w:cs="Calibri Light"/>
                <w:b/>
                <w:color w:val="000000" w:themeColor="text1"/>
                <w:kern w:val="24"/>
                <w:sz w:val="21"/>
                <w:szCs w:val="21"/>
                <w:lang w:eastAsia="en-AU"/>
              </w:rPr>
              <w:t>Disability weight</w:t>
            </w:r>
          </w:p>
        </w:tc>
      </w:tr>
      <w:tr w:rsidR="008F5DEE" w:rsidRPr="00214D4F" w14:paraId="0C1E3DEF" w14:textId="77777777" w:rsidTr="008F5DEE">
        <w:trPr>
          <w:trHeight w:val="439"/>
        </w:trPr>
        <w:tc>
          <w:tcPr>
            <w:tcW w:w="1701" w:type="dxa"/>
            <w:hideMark/>
          </w:tcPr>
          <w:p w14:paraId="7207E03B" w14:textId="77777777" w:rsidR="008F5DEE" w:rsidRPr="00214D4F" w:rsidRDefault="008F5DEE">
            <w:pPr>
              <w:keepNext/>
              <w:rPr>
                <w:rFonts w:cs="Calibri Light"/>
              </w:rPr>
            </w:pPr>
            <w:r w:rsidRPr="00214D4F">
              <w:rPr>
                <w:rFonts w:cs="Calibri Light"/>
              </w:rPr>
              <w:t>Normal (unilateral hearing loss)</w:t>
            </w:r>
          </w:p>
        </w:tc>
        <w:tc>
          <w:tcPr>
            <w:tcW w:w="5670" w:type="dxa"/>
          </w:tcPr>
          <w:p w14:paraId="3332316B" w14:textId="77777777" w:rsidR="008F5DEE" w:rsidRPr="00214D4F" w:rsidRDefault="008F5DEE">
            <w:pPr>
              <w:keepNext/>
              <w:rPr>
                <w:rFonts w:cs="Calibri Light"/>
              </w:rPr>
            </w:pPr>
            <w:r w:rsidRPr="00214D4F">
              <w:rPr>
                <w:rFonts w:cs="Calibri Light"/>
              </w:rPr>
              <w:t>Normal hearing</w:t>
            </w:r>
            <w:r>
              <w:rPr>
                <w:rFonts w:cs="Calibri Light"/>
              </w:rPr>
              <w:t>.</w:t>
            </w:r>
          </w:p>
        </w:tc>
        <w:tc>
          <w:tcPr>
            <w:tcW w:w="1256" w:type="dxa"/>
            <w:hideMark/>
          </w:tcPr>
          <w:p w14:paraId="279EA49F" w14:textId="77777777" w:rsidR="008F5DEE" w:rsidRPr="00214D4F" w:rsidRDefault="008F5DEE">
            <w:pPr>
              <w:keepNext/>
              <w:jc w:val="center"/>
              <w:rPr>
                <w:rFonts w:cs="Calibri Light"/>
              </w:rPr>
            </w:pPr>
            <w:r w:rsidRPr="00214D4F">
              <w:rPr>
                <w:rFonts w:cs="Calibri Light"/>
              </w:rPr>
              <w:t>0.000</w:t>
            </w:r>
          </w:p>
        </w:tc>
      </w:tr>
      <w:tr w:rsidR="008F5DEE" w:rsidRPr="00214D4F" w14:paraId="5CE39A58" w14:textId="77777777" w:rsidTr="008F5DEE">
        <w:trPr>
          <w:trHeight w:val="268"/>
        </w:trPr>
        <w:tc>
          <w:tcPr>
            <w:tcW w:w="1701" w:type="dxa"/>
            <w:hideMark/>
          </w:tcPr>
          <w:p w14:paraId="7F3AA8F3" w14:textId="77777777" w:rsidR="008F5DEE" w:rsidRPr="00214D4F" w:rsidRDefault="008F5DEE">
            <w:pPr>
              <w:keepNext/>
              <w:rPr>
                <w:rFonts w:cs="Calibri Light"/>
              </w:rPr>
            </w:pPr>
            <w:r w:rsidRPr="00214D4F">
              <w:rPr>
                <w:rFonts w:cs="Calibri Light"/>
              </w:rPr>
              <w:t>Mild</w:t>
            </w:r>
          </w:p>
        </w:tc>
        <w:tc>
          <w:tcPr>
            <w:tcW w:w="5670" w:type="dxa"/>
          </w:tcPr>
          <w:p w14:paraId="08707C26" w14:textId="77777777" w:rsidR="008F5DEE" w:rsidRPr="00214D4F" w:rsidRDefault="008F5DEE">
            <w:pPr>
              <w:keepNext/>
              <w:rPr>
                <w:rFonts w:cs="Calibri Light"/>
              </w:rPr>
            </w:pPr>
            <w:r w:rsidRPr="00214D4F">
              <w:rPr>
                <w:rFonts w:cs="Calibri Light"/>
              </w:rPr>
              <w:t>Has great difficulty hearing and understanding another person talking in a noisy place (e.g., on an urban street)</w:t>
            </w:r>
            <w:r>
              <w:rPr>
                <w:rFonts w:cs="Calibri Light"/>
              </w:rPr>
              <w:t>.</w:t>
            </w:r>
          </w:p>
        </w:tc>
        <w:tc>
          <w:tcPr>
            <w:tcW w:w="1256" w:type="dxa"/>
            <w:hideMark/>
          </w:tcPr>
          <w:p w14:paraId="5E5779AC" w14:textId="77777777" w:rsidR="008F5DEE" w:rsidRPr="00214D4F" w:rsidRDefault="008F5DEE">
            <w:pPr>
              <w:keepNext/>
              <w:jc w:val="center"/>
              <w:rPr>
                <w:rFonts w:cs="Calibri Light"/>
              </w:rPr>
            </w:pPr>
            <w:r w:rsidRPr="00214D4F">
              <w:rPr>
                <w:rFonts w:cs="Calibri Light"/>
              </w:rPr>
              <w:t>0.010</w:t>
            </w:r>
          </w:p>
        </w:tc>
      </w:tr>
      <w:tr w:rsidR="008F5DEE" w:rsidRPr="00214D4F" w14:paraId="5F2DFA2E" w14:textId="77777777" w:rsidTr="008F5DEE">
        <w:trPr>
          <w:trHeight w:val="268"/>
        </w:trPr>
        <w:tc>
          <w:tcPr>
            <w:tcW w:w="1701" w:type="dxa"/>
            <w:hideMark/>
          </w:tcPr>
          <w:p w14:paraId="22A4FA29" w14:textId="77777777" w:rsidR="008F5DEE" w:rsidRPr="00214D4F" w:rsidRDefault="008F5DEE">
            <w:pPr>
              <w:keepNext/>
              <w:rPr>
                <w:rFonts w:cs="Calibri Light"/>
              </w:rPr>
            </w:pPr>
            <w:r w:rsidRPr="00214D4F">
              <w:rPr>
                <w:rFonts w:cs="Calibri Light"/>
              </w:rPr>
              <w:t>Moderate</w:t>
            </w:r>
          </w:p>
        </w:tc>
        <w:tc>
          <w:tcPr>
            <w:tcW w:w="5670" w:type="dxa"/>
          </w:tcPr>
          <w:p w14:paraId="2E1DC8B8" w14:textId="77777777" w:rsidR="008F5DEE" w:rsidRPr="00214D4F" w:rsidRDefault="008F5DEE">
            <w:pPr>
              <w:keepNext/>
              <w:rPr>
                <w:rFonts w:cs="Calibri Light"/>
              </w:rPr>
            </w:pPr>
            <w:r w:rsidRPr="00F33939">
              <w:rPr>
                <w:rFonts w:cs="Calibri Light"/>
              </w:rPr>
              <w:t>Is unable to hear and understand another person talking in a noisy place (e.g., on an urban street), and has difficulty hearing</w:t>
            </w:r>
            <w:r>
              <w:rPr>
                <w:rFonts w:cs="Calibri Light"/>
              </w:rPr>
              <w:t xml:space="preserve"> </w:t>
            </w:r>
            <w:r w:rsidRPr="00F33939">
              <w:rPr>
                <w:rFonts w:cs="Calibri Light"/>
              </w:rPr>
              <w:t>another person talking even in a quiet place or on the telephone</w:t>
            </w:r>
            <w:r>
              <w:rPr>
                <w:rFonts w:cs="Calibri Light"/>
              </w:rPr>
              <w:t>.</w:t>
            </w:r>
          </w:p>
        </w:tc>
        <w:tc>
          <w:tcPr>
            <w:tcW w:w="1256" w:type="dxa"/>
            <w:hideMark/>
          </w:tcPr>
          <w:p w14:paraId="47A9FBCE" w14:textId="77777777" w:rsidR="008F5DEE" w:rsidRPr="00214D4F" w:rsidRDefault="008F5DEE">
            <w:pPr>
              <w:keepNext/>
              <w:jc w:val="center"/>
              <w:rPr>
                <w:rFonts w:cs="Calibri Light"/>
              </w:rPr>
            </w:pPr>
            <w:r w:rsidRPr="00214D4F">
              <w:rPr>
                <w:rFonts w:cs="Calibri Light"/>
              </w:rPr>
              <w:t>0.027</w:t>
            </w:r>
          </w:p>
        </w:tc>
      </w:tr>
      <w:tr w:rsidR="008F5DEE" w:rsidRPr="00214D4F" w14:paraId="3654F115" w14:textId="77777777" w:rsidTr="008F5DEE">
        <w:trPr>
          <w:trHeight w:val="268"/>
        </w:trPr>
        <w:tc>
          <w:tcPr>
            <w:tcW w:w="1701" w:type="dxa"/>
            <w:hideMark/>
          </w:tcPr>
          <w:p w14:paraId="01E3A995" w14:textId="77777777" w:rsidR="008F5DEE" w:rsidRPr="00214D4F" w:rsidRDefault="008F5DEE">
            <w:pPr>
              <w:keepNext/>
              <w:rPr>
                <w:rFonts w:cs="Calibri Light"/>
              </w:rPr>
            </w:pPr>
            <w:r w:rsidRPr="00214D4F">
              <w:rPr>
                <w:rFonts w:cs="Calibri Light"/>
              </w:rPr>
              <w:t>Severe</w:t>
            </w:r>
          </w:p>
        </w:tc>
        <w:tc>
          <w:tcPr>
            <w:tcW w:w="5670" w:type="dxa"/>
          </w:tcPr>
          <w:p w14:paraId="15ED57B4" w14:textId="77777777" w:rsidR="008F5DEE" w:rsidRPr="00214D4F" w:rsidRDefault="008F5DEE">
            <w:pPr>
              <w:keepNext/>
              <w:rPr>
                <w:rFonts w:cs="Calibri Light"/>
              </w:rPr>
            </w:pPr>
            <w:r w:rsidRPr="000B16DF">
              <w:rPr>
                <w:rFonts w:cs="Calibri Light"/>
              </w:rPr>
              <w:t>Is unable to hear and understand another person talking, even in a quiet place, and unable to take part in a telephone</w:t>
            </w:r>
            <w:r>
              <w:rPr>
                <w:rFonts w:cs="Calibri Light"/>
              </w:rPr>
              <w:t xml:space="preserve"> </w:t>
            </w:r>
            <w:r w:rsidRPr="000B16DF">
              <w:rPr>
                <w:rFonts w:cs="Calibri Light"/>
              </w:rPr>
              <w:t>conversation; difficulties with communicating and relating to others sometimes cause emotional effects (e.g., worry or</w:t>
            </w:r>
            <w:r>
              <w:rPr>
                <w:rFonts w:cs="Calibri Light"/>
              </w:rPr>
              <w:t xml:space="preserve"> </w:t>
            </w:r>
            <w:r w:rsidRPr="000B16DF">
              <w:rPr>
                <w:rFonts w:cs="Calibri Light"/>
              </w:rPr>
              <w:t>depression)</w:t>
            </w:r>
            <w:r>
              <w:rPr>
                <w:rFonts w:cs="Calibri Light"/>
              </w:rPr>
              <w:t>.</w:t>
            </w:r>
          </w:p>
        </w:tc>
        <w:tc>
          <w:tcPr>
            <w:tcW w:w="1256" w:type="dxa"/>
            <w:hideMark/>
          </w:tcPr>
          <w:p w14:paraId="4D4A4C10" w14:textId="77777777" w:rsidR="008F5DEE" w:rsidRPr="00214D4F" w:rsidRDefault="008F5DEE">
            <w:pPr>
              <w:keepNext/>
              <w:jc w:val="center"/>
              <w:rPr>
                <w:rFonts w:cs="Calibri Light"/>
              </w:rPr>
            </w:pPr>
            <w:r w:rsidRPr="00214D4F">
              <w:rPr>
                <w:rFonts w:cs="Calibri Light"/>
              </w:rPr>
              <w:t>0.158</w:t>
            </w:r>
          </w:p>
        </w:tc>
      </w:tr>
      <w:tr w:rsidR="008F5DEE" w:rsidRPr="00214D4F" w14:paraId="780F4E83" w14:textId="77777777" w:rsidTr="008F5DEE">
        <w:trPr>
          <w:trHeight w:val="268"/>
        </w:trPr>
        <w:tc>
          <w:tcPr>
            <w:tcW w:w="1701" w:type="dxa"/>
            <w:hideMark/>
          </w:tcPr>
          <w:p w14:paraId="73B1825A" w14:textId="77777777" w:rsidR="008F5DEE" w:rsidRPr="00214D4F" w:rsidRDefault="008F5DEE">
            <w:pPr>
              <w:keepNext/>
              <w:rPr>
                <w:rFonts w:cs="Calibri Light"/>
              </w:rPr>
            </w:pPr>
            <w:r w:rsidRPr="00214D4F">
              <w:rPr>
                <w:rFonts w:cs="Calibri Light"/>
              </w:rPr>
              <w:t>Profound</w:t>
            </w:r>
          </w:p>
        </w:tc>
        <w:tc>
          <w:tcPr>
            <w:tcW w:w="5670" w:type="dxa"/>
          </w:tcPr>
          <w:p w14:paraId="7BE29AB9" w14:textId="77777777" w:rsidR="008F5DEE" w:rsidRPr="00214D4F" w:rsidRDefault="008F5DEE">
            <w:pPr>
              <w:keepNext/>
              <w:rPr>
                <w:rFonts w:cs="Calibri Light"/>
              </w:rPr>
            </w:pPr>
            <w:r w:rsidRPr="00192C9E">
              <w:rPr>
                <w:rFonts w:cs="Calibri Light"/>
              </w:rPr>
              <w:t>Is unable to hear and understand another person talking, even in a quiet place, is unable to take part in a telephone</w:t>
            </w:r>
            <w:r>
              <w:rPr>
                <w:rFonts w:cs="Calibri Light"/>
              </w:rPr>
              <w:t xml:space="preserve"> </w:t>
            </w:r>
            <w:r w:rsidRPr="00192C9E">
              <w:rPr>
                <w:rFonts w:cs="Calibri Light"/>
              </w:rPr>
              <w:t>conversation, and has great difficulty hearing anything in any other situation; difficulties with communicating and relating</w:t>
            </w:r>
            <w:r>
              <w:rPr>
                <w:rFonts w:cs="Calibri Light"/>
              </w:rPr>
              <w:t xml:space="preserve"> </w:t>
            </w:r>
            <w:r w:rsidRPr="00192C9E">
              <w:rPr>
                <w:rFonts w:cs="Calibri Light"/>
              </w:rPr>
              <w:t>to others often cause worry, depression, and loneliness</w:t>
            </w:r>
            <w:r>
              <w:rPr>
                <w:rFonts w:cs="Calibri Light"/>
              </w:rPr>
              <w:t>.</w:t>
            </w:r>
          </w:p>
        </w:tc>
        <w:tc>
          <w:tcPr>
            <w:tcW w:w="1256" w:type="dxa"/>
            <w:hideMark/>
          </w:tcPr>
          <w:p w14:paraId="3F5697EE" w14:textId="77777777" w:rsidR="008F5DEE" w:rsidRPr="00214D4F" w:rsidRDefault="008F5DEE">
            <w:pPr>
              <w:keepNext/>
              <w:jc w:val="center"/>
              <w:rPr>
                <w:rFonts w:cs="Calibri Light"/>
              </w:rPr>
            </w:pPr>
            <w:r w:rsidRPr="00214D4F">
              <w:rPr>
                <w:rFonts w:cs="Calibri Light"/>
              </w:rPr>
              <w:t>0.204</w:t>
            </w:r>
          </w:p>
        </w:tc>
      </w:tr>
    </w:tbl>
    <w:p w14:paraId="7E43FB9C" w14:textId="77777777" w:rsidR="008F5DEE" w:rsidRPr="008F5DEE" w:rsidRDefault="008F5DEE" w:rsidP="008F5DEE">
      <w:pPr>
        <w:rPr>
          <w:color w:val="7F7F7F" w:themeColor="text1" w:themeTint="80"/>
          <w:kern w:val="21"/>
          <w:sz w:val="14"/>
          <w:szCs w:val="14"/>
          <w:lang w:val="en-AU"/>
          <w14:numSpacing w14:val="proportional"/>
        </w:rPr>
      </w:pPr>
      <w:r w:rsidRPr="008F5DEE">
        <w:rPr>
          <w:color w:val="7F7F7F" w:themeColor="text1" w:themeTint="80"/>
          <w:kern w:val="21"/>
          <w:sz w:val="14"/>
          <w:szCs w:val="14"/>
          <w:lang w:val="en-AU"/>
          <w14:numSpacing w14:val="proportional"/>
        </w:rPr>
        <w:t>Source: AIHW (2016) and Global Burden of Disease Study 2019.</w:t>
      </w:r>
    </w:p>
    <w:p w14:paraId="3FBCB12E" w14:textId="77777777" w:rsidR="008F5DEE" w:rsidRDefault="008F5DEE" w:rsidP="008F5DEE">
      <w:pPr>
        <w:rPr>
          <w:bCs/>
          <w:i/>
          <w:iCs/>
        </w:rPr>
      </w:pPr>
    </w:p>
    <w:p w14:paraId="111891FA" w14:textId="4416F4DE" w:rsidR="008F5DEE" w:rsidRPr="008F5DEE" w:rsidRDefault="008F5DEE" w:rsidP="008F5DEE">
      <w:pPr>
        <w:pStyle w:val="BodyText"/>
        <w:rPr>
          <w:i/>
          <w:iCs/>
        </w:rPr>
      </w:pPr>
      <w:r w:rsidRPr="008F5DEE">
        <w:rPr>
          <w:i/>
          <w:iCs/>
        </w:rPr>
        <w:t>Estimating a non-market value of change in patient quality of life</w:t>
      </w:r>
    </w:p>
    <w:p w14:paraId="76A4D27F" w14:textId="77777777" w:rsidR="008F5DEE" w:rsidRDefault="008F5DEE" w:rsidP="008F5DEE">
      <w:pPr>
        <w:pStyle w:val="BodyText"/>
      </w:pPr>
      <w:r>
        <w:t>The loss of wellbeing as measured in DALYs can be converted to a dollar figure using an estimate of the value of a statistical life (VSL). The Department of Prime Minister and Cabinet and Office of Impact Analysis provide best practice regulation guidance on VSL, and relatedly, the value of a statistical life year (VSLY).</w:t>
      </w:r>
      <w:r>
        <w:rPr>
          <w:rStyle w:val="FootnoteReference"/>
        </w:rPr>
        <w:footnoteReference w:id="239"/>
      </w:r>
      <w:r>
        <w:t xml:space="preserve"> A VSL is an estimate of the value society places on reducing the risk of dying. By convention, the life is assumed to be the life of a young adult with at least 40 years of life ahead. It is a statistical life because it is not the life of any particular person. A VSLY is an estimate of the value society places on a year of life. The</w:t>
      </w:r>
      <w:r w:rsidDel="004E20F6">
        <w:t xml:space="preserve"> </w:t>
      </w:r>
      <w:r>
        <w:t>VSL is most appropriately measured by estimating how much society is willing to pay to reduce the risk of death.</w:t>
      </w:r>
    </w:p>
    <w:p w14:paraId="2C2C588F" w14:textId="77777777" w:rsidR="008F5DEE" w:rsidRDefault="008F5DEE" w:rsidP="008F5DEE">
      <w:pPr>
        <w:pStyle w:val="BodyText"/>
      </w:pPr>
      <w:r w:rsidRPr="00D02D8F">
        <w:t>Based on international and Australian research</w:t>
      </w:r>
      <w:r>
        <w:t>,</w:t>
      </w:r>
      <w:r w:rsidRPr="00D02D8F">
        <w:t xml:space="preserve"> </w:t>
      </w:r>
      <w:r>
        <w:t>it is assumed that the</w:t>
      </w:r>
      <w:r w:rsidRPr="00D02D8F">
        <w:t xml:space="preserve"> </w:t>
      </w:r>
      <w:r>
        <w:t>VSL</w:t>
      </w:r>
      <w:r w:rsidRPr="00D02D8F">
        <w:t xml:space="preserve"> is $5.4m and the </w:t>
      </w:r>
      <w:r>
        <w:t>VSLY</w:t>
      </w:r>
      <w:r w:rsidRPr="00D02D8F">
        <w:t xml:space="preserve"> is $235,000 in 202</w:t>
      </w:r>
      <w:r>
        <w:t>4</w:t>
      </w:r>
      <w:r w:rsidRPr="00D02D8F">
        <w:t xml:space="preserve"> dollars.</w:t>
      </w:r>
      <w:r>
        <w:rPr>
          <w:rStyle w:val="FootnoteReference"/>
        </w:rPr>
        <w:footnoteReference w:id="240"/>
      </w:r>
      <w:r>
        <w:t xml:space="preserve"> </w:t>
      </w:r>
      <w:r w:rsidRPr="0092351B">
        <w:t>It is recognised willingness to pay values for life are derived in three main ways: from wage-risk studies, studies of consumer purchases, and stated preference surveys in adult populations. As such, the VSL accounts for income trade-offs. It is not expected that paediatric cohorts would be working but consider the VSL estimate appropriate to retain given the income trade-offs for carers/families.</w:t>
      </w:r>
      <w:r>
        <w:t xml:space="preserve"> </w:t>
      </w:r>
    </w:p>
    <w:p w14:paraId="3C4E3AB2" w14:textId="212EA1F4" w:rsidR="008F5DEE" w:rsidRDefault="008F5DEE" w:rsidP="008F5DEE">
      <w:pPr>
        <w:pStyle w:val="BodyText"/>
      </w:pPr>
      <w:r>
        <w:t xml:space="preserve">Applying </w:t>
      </w:r>
      <w:r w:rsidRPr="00D02D8F">
        <w:t>$235,000</w:t>
      </w:r>
      <w:r>
        <w:t xml:space="preserve"> to 0.453 DALYs, the value of reduced quality of life associated with </w:t>
      </w:r>
      <w:r w:rsidRPr="009808C9">
        <w:t xml:space="preserve">unaddressed hearing loss </w:t>
      </w:r>
      <w:r>
        <w:t xml:space="preserve">is FY25 NPV </w:t>
      </w:r>
      <w:r w:rsidRPr="005D3CD8">
        <w:t>$</w:t>
      </w:r>
      <w:r w:rsidR="004944AF">
        <w:t>74,</w:t>
      </w:r>
      <w:r w:rsidR="00C8269C">
        <w:t>393</w:t>
      </w:r>
      <w:r>
        <w:t xml:space="preserve"> per case of incorrect cochlear mapping. </w:t>
      </w:r>
    </w:p>
    <w:p w14:paraId="202E82DA" w14:textId="77777777" w:rsidR="008F5DEE" w:rsidRPr="00A04F9E" w:rsidRDefault="008F5DEE" w:rsidP="00A04F9E">
      <w:pPr>
        <w:pStyle w:val="Heading4"/>
      </w:pPr>
      <w:r w:rsidRPr="000835E4">
        <w:t>Improper neonatal hearing screening – short-term quality of life impacts</w:t>
      </w:r>
    </w:p>
    <w:p w14:paraId="50C2FCC2" w14:textId="12F5C039" w:rsidR="008F5DEE" w:rsidRPr="00B3467A" w:rsidRDefault="008F5DEE" w:rsidP="00B3467A">
      <w:pPr>
        <w:pStyle w:val="BodyText"/>
      </w:pPr>
      <w:r w:rsidRPr="00266C3A">
        <w:t xml:space="preserve">The following assumptions were used to </w:t>
      </w:r>
      <w:r>
        <w:t xml:space="preserve">estimate </w:t>
      </w:r>
      <w:r w:rsidRPr="00266C3A">
        <w:t xml:space="preserve">the change in patient quality of life associated with </w:t>
      </w:r>
      <w:r>
        <w:t>unaddressed hearing loss per case of improper neonatal hearing screening</w:t>
      </w:r>
      <w:r w:rsidRPr="00266C3A">
        <w:t>:</w:t>
      </w:r>
    </w:p>
    <w:p w14:paraId="63677385" w14:textId="4BD0A0C0" w:rsidR="008F5DEE" w:rsidRDefault="008F5DEE" w:rsidP="00B3467A">
      <w:pPr>
        <w:pStyle w:val="ListBullet"/>
      </w:pPr>
      <w:r w:rsidRPr="000A6850">
        <w:rPr>
          <w:b/>
        </w:rPr>
        <w:t>Age when substandard care is received</w:t>
      </w:r>
      <w:r>
        <w:t xml:space="preserve">. </w:t>
      </w:r>
      <w:r w:rsidR="00344B7E">
        <w:t>Clinical</w:t>
      </w:r>
      <w:r>
        <w:t xml:space="preserve"> guidelines suggest neonatal screening should occur within 30 days of birth.</w:t>
      </w:r>
      <w:r>
        <w:rPr>
          <w:rStyle w:val="FootnoteReference"/>
        </w:rPr>
        <w:footnoteReference w:id="241"/>
      </w:r>
    </w:p>
    <w:p w14:paraId="12C79561" w14:textId="77777777" w:rsidR="008F5DEE" w:rsidRDefault="008F5DEE" w:rsidP="00B3467A">
      <w:pPr>
        <w:pStyle w:val="ListBullet"/>
      </w:pPr>
      <w:r w:rsidRPr="000A6850">
        <w:rPr>
          <w:b/>
        </w:rPr>
        <w:t>Duration of hearing loss</w:t>
      </w:r>
      <w:r>
        <w:t>: For the same reasons cited under a</w:t>
      </w:r>
      <w:r w:rsidRPr="000766FC">
        <w:t xml:space="preserve"> case of incorrect infant cochlear mapping</w:t>
      </w:r>
      <w:r>
        <w:t>, it was assumed that a correct diagnosis would not occur until three years of age. This results in a period of unaddressed hearing loss of three years.</w:t>
      </w:r>
    </w:p>
    <w:p w14:paraId="0DBA5879" w14:textId="77777777" w:rsidR="008F5DEE" w:rsidRDefault="008F5DEE" w:rsidP="00B3467A">
      <w:pPr>
        <w:pStyle w:val="ListBullet"/>
      </w:pPr>
      <w:r w:rsidRPr="000A6850">
        <w:rPr>
          <w:b/>
        </w:rPr>
        <w:t>Severity of unaddressed hearing loss</w:t>
      </w:r>
      <w:r w:rsidRPr="00A62360">
        <w:t>:</w:t>
      </w:r>
      <w:r>
        <w:t xml:space="preserve"> To quantify the severity of unaddressed hearing loss over the three-year period, the DALY approach described above was used. It was assumed that over the period of unaddressed hearing loss, the severity of hearing loss experienced was equally as likely to be ‘mild’, ‘moderate’, ‘severe’ or ‘profound’ (i.e., a DALY weight of 0.0975 in each year). It is thus estimated that over the three-year period</w:t>
      </w:r>
      <w:r w:rsidRPr="005715E4">
        <w:t xml:space="preserve"> </w:t>
      </w:r>
      <w:r>
        <w:t xml:space="preserve">of </w:t>
      </w:r>
      <w:r w:rsidRPr="009808C9">
        <w:t>unaddressed hearing loss</w:t>
      </w:r>
      <w:r>
        <w:t>, 0.293 DALYs are lost per case of improper neonatal screening.</w:t>
      </w:r>
    </w:p>
    <w:p w14:paraId="40E0D035" w14:textId="1507D473" w:rsidR="008F5DEE" w:rsidRDefault="008F5DEE" w:rsidP="00B3467A">
      <w:pPr>
        <w:pStyle w:val="BodyText"/>
      </w:pPr>
      <w:r>
        <w:t xml:space="preserve">Applying </w:t>
      </w:r>
      <w:r w:rsidRPr="00D02D8F">
        <w:t>$235,000</w:t>
      </w:r>
      <w:r>
        <w:t xml:space="preserve"> to 0.293 DALYs, the value of reduced quality of life associated with </w:t>
      </w:r>
      <w:r w:rsidRPr="009808C9">
        <w:t xml:space="preserve">unaddressed hearing loss </w:t>
      </w:r>
      <w:r>
        <w:t xml:space="preserve">is FY25 NPV </w:t>
      </w:r>
      <w:r w:rsidRPr="005D3CD8">
        <w:t>$</w:t>
      </w:r>
      <w:r w:rsidR="006D4120">
        <w:t>47,454</w:t>
      </w:r>
      <w:r>
        <w:t xml:space="preserve"> per case of improper neonatal screening. </w:t>
      </w:r>
    </w:p>
    <w:p w14:paraId="0BA04837" w14:textId="26595754" w:rsidR="008F5DEE" w:rsidRPr="00C00DED" w:rsidRDefault="007F0090" w:rsidP="00B3467A">
      <w:pPr>
        <w:pStyle w:val="Heading3"/>
      </w:pPr>
      <w:bookmarkStart w:id="219" w:name="_Ref170033230"/>
      <w:bookmarkStart w:id="220" w:name="_Toc171324781"/>
      <w:bookmarkStart w:id="221" w:name="_Toc198138629"/>
      <w:r>
        <w:t>L</w:t>
      </w:r>
      <w:r w:rsidR="008F5DEE">
        <w:t>ong-term social and economic outcomes associated with substandard care – for patients, families/carers and government services</w:t>
      </w:r>
      <w:bookmarkEnd w:id="219"/>
      <w:bookmarkEnd w:id="220"/>
      <w:bookmarkEnd w:id="221"/>
    </w:p>
    <w:p w14:paraId="1EFF19FC" w14:textId="4176AE3F" w:rsidR="008F5DEE" w:rsidRPr="00024100" w:rsidRDefault="008F5DEE" w:rsidP="00B3467A">
      <w:pPr>
        <w:pStyle w:val="BodyText"/>
      </w:pPr>
      <w:r w:rsidRPr="00024100">
        <w:t>As highlighted in the patient persona pathways</w:t>
      </w:r>
      <w:r w:rsidR="002305CF">
        <w:t>,</w:t>
      </w:r>
      <w:r w:rsidRPr="00024100">
        <w:t xml:space="preserve"> where substandard care results in delayed time to diagnosis</w:t>
      </w:r>
      <w:r>
        <w:t xml:space="preserve"> or appropriate treatment</w:t>
      </w:r>
      <w:r w:rsidRPr="00024100">
        <w:t xml:space="preserve">, this can have long-term social and economic impacts for patients, families/carers, and government services, especially where diagnosis occurs after a ‘critical period’. Critical period refers to the specific window of time during development when the brain is receptive to certain types of auditory input. </w:t>
      </w:r>
      <w:r>
        <w:t>Delayed diagnosis</w:t>
      </w:r>
      <w:r w:rsidRPr="00024100">
        <w:t xml:space="preserve"> beyond this period </w:t>
      </w:r>
      <w:r>
        <w:t>for</w:t>
      </w:r>
      <w:r w:rsidRPr="00024100">
        <w:t xml:space="preserve"> can have a negative effect on speech and language development and result in</w:t>
      </w:r>
      <w:r>
        <w:t xml:space="preserve"> long-term</w:t>
      </w:r>
      <w:r w:rsidRPr="00024100">
        <w:t xml:space="preserve"> sensory, cognitive, emotional </w:t>
      </w:r>
      <w:r>
        <w:t>impairments</w:t>
      </w:r>
      <w:r w:rsidRPr="00024100">
        <w:t>.</w:t>
      </w:r>
      <w:r w:rsidRPr="00024100">
        <w:rPr>
          <w:rStyle w:val="FootnoteReference"/>
          <w:color w:val="000000" w:themeColor="text1"/>
        </w:rPr>
        <w:footnoteReference w:id="242"/>
      </w:r>
    </w:p>
    <w:p w14:paraId="3B948E45" w14:textId="2DAC2CBA" w:rsidR="008F5DEE" w:rsidRDefault="008F5DEE" w:rsidP="00B3467A">
      <w:pPr>
        <w:pStyle w:val="BodyText"/>
      </w:pPr>
      <w:r>
        <w:t>Using infants and people with tinnitus or vestibular disorders as case studies, this section draws on evidence to profile the types of economic and social costs to patients, families/carers and government services associated with delayed time to diagnosis or appropriate treatment.</w:t>
      </w:r>
    </w:p>
    <w:p w14:paraId="4D22CFF9" w14:textId="77777777" w:rsidR="008F5DEE" w:rsidRPr="000835E4" w:rsidRDefault="008F5DEE" w:rsidP="00F04204">
      <w:pPr>
        <w:pStyle w:val="Heading4"/>
      </w:pPr>
      <w:r>
        <w:t>Social and economic impacts of d</w:t>
      </w:r>
      <w:r w:rsidRPr="000835E4">
        <w:t xml:space="preserve">elayed time to diagnosis or appropriate treatment in infants </w:t>
      </w:r>
    </w:p>
    <w:p w14:paraId="4B91544E" w14:textId="77777777" w:rsidR="008F5DEE" w:rsidRPr="006C7F67" w:rsidRDefault="008F5DEE" w:rsidP="00F04204">
      <w:pPr>
        <w:pStyle w:val="Heading5"/>
      </w:pPr>
      <w:r>
        <w:t>Family/carer impacts of delayed s</w:t>
      </w:r>
      <w:r w:rsidRPr="006C7F67">
        <w:t>peech and language development</w:t>
      </w:r>
    </w:p>
    <w:p w14:paraId="215C0DCD" w14:textId="3EE1433E" w:rsidR="008F5DEE" w:rsidRDefault="008F5DEE" w:rsidP="001346FF">
      <w:pPr>
        <w:pStyle w:val="BodyText"/>
      </w:pPr>
      <w:r>
        <w:t>For infants, the ‘critical period’</w:t>
      </w:r>
      <w:r w:rsidRPr="00024100">
        <w:t xml:space="preserve"> is typically in the pre-lingual stage</w:t>
      </w:r>
      <w:r>
        <w:t>, as p</w:t>
      </w:r>
      <w:r w:rsidRPr="00024100">
        <w:t xml:space="preserve">honological perception matures during the first </w:t>
      </w:r>
      <w:r>
        <w:t>eight to ten</w:t>
      </w:r>
      <w:r w:rsidRPr="00024100">
        <w:t xml:space="preserve"> months of life,</w:t>
      </w:r>
      <w:r>
        <w:t xml:space="preserve"> and</w:t>
      </w:r>
      <w:r w:rsidRPr="00024100">
        <w:t xml:space="preserve"> basic semantic abilities during the first </w:t>
      </w:r>
      <w:r>
        <w:t>two to four</w:t>
      </w:r>
      <w:r w:rsidRPr="00024100">
        <w:t xml:space="preserve"> years</w:t>
      </w:r>
      <w:r>
        <w:t xml:space="preserve"> of life</w:t>
      </w:r>
      <w:r w:rsidRPr="00024100">
        <w:t>.</w:t>
      </w:r>
      <w:r w:rsidRPr="00024100">
        <w:rPr>
          <w:rStyle w:val="FootnoteReference"/>
          <w:rFonts w:cstheme="minorHAnsi"/>
          <w:color w:val="000000" w:themeColor="text1"/>
        </w:rPr>
        <w:footnoteReference w:id="243"/>
      </w:r>
      <w:r w:rsidRPr="00024100">
        <w:t xml:space="preserve"> </w:t>
      </w:r>
      <w:r>
        <w:t xml:space="preserve">Diagnosis and treatment beyond this period can have profound impacts on speech and development. </w:t>
      </w:r>
    </w:p>
    <w:p w14:paraId="638A46AA" w14:textId="33BBEC34" w:rsidR="008F5DEE" w:rsidRPr="006B6996" w:rsidRDefault="008F5DEE" w:rsidP="001346FF">
      <w:pPr>
        <w:pStyle w:val="BodyText"/>
      </w:pPr>
      <w:r>
        <w:t>An Australian</w:t>
      </w:r>
      <w:r w:rsidRPr="4765A4D6">
        <w:t xml:space="preserve"> population-based prospective study evaluated the impact of age at intervention on later language, literacy, psychosocial and educational outcomes of a population-based sample of children with different degrees of hearing loss.</w:t>
      </w:r>
      <w:r>
        <w:t xml:space="preserve"> The study showed that</w:t>
      </w:r>
      <w:r w:rsidRPr="4765A4D6">
        <w:t xml:space="preserve"> children fitted with hearing aids before </w:t>
      </w:r>
      <w:r>
        <w:t>five</w:t>
      </w:r>
      <w:r w:rsidRPr="4765A4D6">
        <w:t xml:space="preserve"> months of age had </w:t>
      </w:r>
      <w:r>
        <w:t>better spoken language abilities and</w:t>
      </w:r>
      <w:r w:rsidRPr="4765A4D6">
        <w:t xml:space="preserve"> higher language scores </w:t>
      </w:r>
      <w:r>
        <w:t>at five years of age</w:t>
      </w:r>
      <w:r w:rsidRPr="4765A4D6">
        <w:t xml:space="preserve"> </w:t>
      </w:r>
      <w:r>
        <w:t>compared to</w:t>
      </w:r>
      <w:r w:rsidRPr="4765A4D6">
        <w:t xml:space="preserve"> those fitted at an older age.</w:t>
      </w:r>
      <w:r w:rsidRPr="4765A4D6">
        <w:rPr>
          <w:rStyle w:val="FootnoteReference"/>
        </w:rPr>
        <w:footnoteReference w:id="244"/>
      </w:r>
      <w:r w:rsidR="006E7527">
        <w:rPr>
          <w:vertAlign w:val="superscript"/>
        </w:rPr>
        <w:t>,</w:t>
      </w:r>
      <w:r w:rsidRPr="4765A4D6">
        <w:rPr>
          <w:rStyle w:val="FootnoteReference"/>
        </w:rPr>
        <w:footnoteReference w:id="245"/>
      </w:r>
      <w:r>
        <w:t xml:space="preserve"> Similar findings were reported in a study of neonatal and infant children in the United States, which found that</w:t>
      </w:r>
      <w:r w:rsidRPr="4765A4D6">
        <w:t xml:space="preserve"> babies who </w:t>
      </w:r>
      <w:r>
        <w:t>were</w:t>
      </w:r>
      <w:r w:rsidRPr="4765A4D6">
        <w:t xml:space="preserve"> identified with moderate-to-profound hearing loss in the first six months of life and provided with immediate and appropriate intervention including amplification and/or cochlear implantation, ha</w:t>
      </w:r>
      <w:r>
        <w:t>d</w:t>
      </w:r>
      <w:r w:rsidRPr="4765A4D6">
        <w:t xml:space="preserve"> significantly better outcomes than later-identified infants and children in vocabulary development, receptive and expressive language syntax, speech production and social-emotional development.</w:t>
      </w:r>
      <w:r w:rsidRPr="4765A4D6">
        <w:rPr>
          <w:rStyle w:val="FootnoteReference"/>
        </w:rPr>
        <w:footnoteReference w:id="246"/>
      </w:r>
    </w:p>
    <w:p w14:paraId="4AC5D5C1" w14:textId="20B9B544" w:rsidR="008F5DEE" w:rsidRDefault="008F5DEE" w:rsidP="001346FF">
      <w:pPr>
        <w:pStyle w:val="BodyText"/>
      </w:pPr>
      <w:r>
        <w:t>The financial impact of delayed speech and language development can be significant</w:t>
      </w:r>
      <w:r w:rsidR="004F12EC">
        <w:t xml:space="preserve">, with </w:t>
      </w:r>
      <w:r w:rsidR="00D76D26">
        <w:t>increased health service utilisation (e.g.,</w:t>
      </w:r>
      <w:r>
        <w:t xml:space="preserve"> speech pathology</w:t>
      </w:r>
      <w:r w:rsidR="00277B63">
        <w:t>, occupational therapy</w:t>
      </w:r>
      <w:r w:rsidR="00D76D26">
        <w:t xml:space="preserve">) </w:t>
      </w:r>
      <w:r w:rsidR="00983426">
        <w:t>and</w:t>
      </w:r>
      <w:r>
        <w:t xml:space="preserve"> substantial informal carer costs associated with the parents’ reduced workforce participation to meet care needs.</w:t>
      </w:r>
      <w:r w:rsidR="000979CC">
        <w:t xml:space="preserve"> </w:t>
      </w:r>
    </w:p>
    <w:p w14:paraId="22A61978" w14:textId="3C0C6D39" w:rsidR="008F5DEE" w:rsidRPr="004900D6" w:rsidRDefault="008F5DEE" w:rsidP="001346FF">
      <w:pPr>
        <w:pStyle w:val="BodyText"/>
      </w:pPr>
      <w:r>
        <w:t xml:space="preserve">Families/carers can also experience financial and emotional costs associated with a diagnostic odyssey. Stakeholder consultations highlighted that in cases of unaddressed hearing loss, </w:t>
      </w:r>
      <w:r w:rsidRPr="004900D6">
        <w:t xml:space="preserve">it is not uncommon for </w:t>
      </w:r>
      <w:r>
        <w:t>families/carers</w:t>
      </w:r>
      <w:r w:rsidRPr="004900D6">
        <w:t xml:space="preserve"> to seek treatment for </w:t>
      </w:r>
      <w:r w:rsidR="00E6437A">
        <w:t>maladaptive behaviours (due to the child’s frustration</w:t>
      </w:r>
      <w:r w:rsidRPr="004900D6">
        <w:t xml:space="preserve">) as </w:t>
      </w:r>
      <w:r w:rsidR="00011934">
        <w:t xml:space="preserve">well as developmental </w:t>
      </w:r>
      <w:r w:rsidR="00927712">
        <w:t>concerns</w:t>
      </w:r>
      <w:r w:rsidR="00992C71">
        <w:t xml:space="preserve"> (</w:t>
      </w:r>
      <w:r w:rsidR="00A41B5B">
        <w:t xml:space="preserve">e.g., </w:t>
      </w:r>
      <w:r w:rsidR="00E32D00">
        <w:t>failure to meet speech</w:t>
      </w:r>
      <w:r w:rsidR="00011934">
        <w:t xml:space="preserve"> milestone</w:t>
      </w:r>
      <w:r w:rsidR="00992C71">
        <w:t>s</w:t>
      </w:r>
      <w:r w:rsidR="00E32D00">
        <w:t xml:space="preserve">, </w:t>
      </w:r>
      <w:r w:rsidR="00FB6767">
        <w:t>failure to make eye contact and respond to name</w:t>
      </w:r>
      <w:r w:rsidR="00A41B5B">
        <w:t>).</w:t>
      </w:r>
      <w:r>
        <w:t xml:space="preserve"> </w:t>
      </w:r>
      <w:r w:rsidR="00495ECB">
        <w:t>These</w:t>
      </w:r>
      <w:r w:rsidRPr="004900D6">
        <w:t xml:space="preserve"> </w:t>
      </w:r>
      <w:r w:rsidR="00B302BD">
        <w:t xml:space="preserve">children may </w:t>
      </w:r>
      <w:r w:rsidR="00FB6767">
        <w:t xml:space="preserve">meet criteria for NDIS supports, however </w:t>
      </w:r>
      <w:r w:rsidR="00A1397C">
        <w:t xml:space="preserve">without </w:t>
      </w:r>
      <w:r w:rsidR="00285D0B">
        <w:t>appropriate diagnosis</w:t>
      </w:r>
      <w:r w:rsidRPr="004900D6">
        <w:t xml:space="preserve"> of </w:t>
      </w:r>
      <w:r w:rsidR="00285D0B">
        <w:t xml:space="preserve">the underlying </w:t>
      </w:r>
      <w:r w:rsidR="000979CC">
        <w:t xml:space="preserve">condition </w:t>
      </w:r>
      <w:r w:rsidR="005B5F17">
        <w:t>desired treatment goals are unlikely to be reached</w:t>
      </w:r>
      <w:r w:rsidRPr="004900D6">
        <w:t>.</w:t>
      </w:r>
      <w:r>
        <w:t xml:space="preserve"> </w:t>
      </w:r>
    </w:p>
    <w:p w14:paraId="592BC797" w14:textId="77777777" w:rsidR="008F5DEE" w:rsidRPr="007B6F5F" w:rsidRDefault="008F5DEE" w:rsidP="00F04204">
      <w:pPr>
        <w:pStyle w:val="Heading5"/>
      </w:pPr>
      <w:bookmarkStart w:id="222" w:name="_Ref172538358"/>
      <w:r>
        <w:t>P</w:t>
      </w:r>
      <w:r w:rsidRPr="007B6F5F">
        <w:t>atient</w:t>
      </w:r>
      <w:r>
        <w:t xml:space="preserve"> quality of life impacts of</w:t>
      </w:r>
      <w:r>
        <w:rPr>
          <w:rFonts w:cstheme="minorHAnsi"/>
        </w:rPr>
        <w:t xml:space="preserve"> delayed intervention</w:t>
      </w:r>
      <w:bookmarkEnd w:id="222"/>
    </w:p>
    <w:p w14:paraId="7F94D221" w14:textId="411A7ED8" w:rsidR="008F5DEE" w:rsidRDefault="008F5DEE" w:rsidP="001346FF">
      <w:pPr>
        <w:pStyle w:val="BodyText"/>
      </w:pPr>
      <w:r>
        <w:t>The reduction in p</w:t>
      </w:r>
      <w:r w:rsidRPr="000475A7">
        <w:t xml:space="preserve">atient quality of life associated </w:t>
      </w:r>
      <w:r>
        <w:t xml:space="preserve">with a misdiagnosis may extend beyond the immediate period of unaddressed hearing loss described in Section </w:t>
      </w:r>
      <w:r w:rsidR="004907DC">
        <w:fldChar w:fldCharType="begin"/>
      </w:r>
      <w:r w:rsidR="004907DC">
        <w:instrText xml:space="preserve"> REF _Ref172799869 \r \h </w:instrText>
      </w:r>
      <w:r w:rsidR="004907DC">
        <w:fldChar w:fldCharType="separate"/>
      </w:r>
      <w:r w:rsidR="00F32107">
        <w:t>7.6.1</w:t>
      </w:r>
      <w:r w:rsidR="004907DC">
        <w:fldChar w:fldCharType="end"/>
      </w:r>
      <w:r>
        <w:t xml:space="preserve">. </w:t>
      </w:r>
      <w:r>
        <w:rPr>
          <w:rFonts w:cstheme="minorHAnsi"/>
        </w:rPr>
        <w:t xml:space="preserve">Developmental delays attributable to delayed time to diagnosis can impact long-term </w:t>
      </w:r>
      <w:r w:rsidR="000B07D7">
        <w:rPr>
          <w:rFonts w:cstheme="minorHAnsi"/>
        </w:rPr>
        <w:t xml:space="preserve">patient </w:t>
      </w:r>
      <w:r>
        <w:rPr>
          <w:rFonts w:cstheme="minorHAnsi"/>
        </w:rPr>
        <w:t xml:space="preserve">quality of life </w:t>
      </w:r>
      <w:r w:rsidR="000B07D7">
        <w:rPr>
          <w:rFonts w:cstheme="minorHAnsi"/>
        </w:rPr>
        <w:t>through adverse impacts on</w:t>
      </w:r>
      <w:r w:rsidRPr="00B97EE8">
        <w:rPr>
          <w:rFonts w:cstheme="minorHAnsi"/>
        </w:rPr>
        <w:t xml:space="preserve"> social and emotional development and education and employment prospects</w:t>
      </w:r>
      <w:r>
        <w:rPr>
          <w:rFonts w:cstheme="minorHAnsi"/>
        </w:rPr>
        <w:t>.</w:t>
      </w:r>
      <w:r>
        <w:rPr>
          <w:rStyle w:val="FootnoteReference"/>
          <w:rFonts w:cstheme="minorHAnsi"/>
        </w:rPr>
        <w:footnoteReference w:id="247"/>
      </w:r>
    </w:p>
    <w:p w14:paraId="0B4E39DF" w14:textId="2557DFC1" w:rsidR="008F5DEE" w:rsidRPr="00B674D1" w:rsidRDefault="008F5DEE" w:rsidP="001346FF">
      <w:pPr>
        <w:pStyle w:val="BodyText"/>
      </w:pPr>
      <w:r>
        <w:t>An economic evaluation conducted by cochlear implantation researchers in the</w:t>
      </w:r>
      <w:r w:rsidRPr="4765A4D6">
        <w:t xml:space="preserve"> United States </w:t>
      </w:r>
      <w:r>
        <w:t>estimated that children who were correctly implanted at &lt;18 months of age gained an additional 2.3 Quality Adjusted Life Years (QALYs) over their lifetime compared to an infant who was correctly implanted at three years of age.</w:t>
      </w:r>
      <w:r w:rsidRPr="4765A4D6">
        <w:rPr>
          <w:rStyle w:val="FootnoteReference"/>
        </w:rPr>
        <w:footnoteReference w:id="248"/>
      </w:r>
      <w:r>
        <w:t xml:space="preserve"> Applying a </w:t>
      </w:r>
      <w:r w:rsidRPr="00D02D8F">
        <w:t>$235,000</w:t>
      </w:r>
      <w:r>
        <w:t xml:space="preserve"> VSLY to 1.8 QALYs (2.3 QALYs less the 0.45 DALYs associated with the two and half year period of un</w:t>
      </w:r>
      <w:r w:rsidR="00A82D61">
        <w:t>addressed</w:t>
      </w:r>
      <w:r>
        <w:t xml:space="preserve"> hearing loss), this equates to an additional wellbeing loss of NPV $</w:t>
      </w:r>
      <w:r w:rsidR="002066F8">
        <w:t>52,404</w:t>
      </w:r>
      <w:r>
        <w:t xml:space="preserve"> per case of incorrect infant cochlear mapping. When combined with the previously estimated NPV </w:t>
      </w:r>
      <w:r w:rsidRPr="005D3CD8">
        <w:t>$</w:t>
      </w:r>
      <w:r w:rsidR="004E78A9">
        <w:t>74,</w:t>
      </w:r>
      <w:r w:rsidR="003B2CDC">
        <w:t>393</w:t>
      </w:r>
      <w:r>
        <w:t xml:space="preserve"> associated with the immediate patient quality of life impact associated with the short-term period of unaddressed hearing loss, it is estimated that the lifetime patient quality of life impact for a case of incorrect infant cochlear mapping that occurred in FY25 is NPV $</w:t>
      </w:r>
      <w:r w:rsidR="00D84BE4">
        <w:t>12</w:t>
      </w:r>
      <w:r w:rsidR="007E6429">
        <w:t>6,</w:t>
      </w:r>
      <w:r w:rsidR="00C47613">
        <w:t>797</w:t>
      </w:r>
      <w:r>
        <w:t>.</w:t>
      </w:r>
      <w:r>
        <w:rPr>
          <w:rStyle w:val="FootnoteReference"/>
        </w:rPr>
        <w:footnoteReference w:id="249"/>
      </w:r>
    </w:p>
    <w:p w14:paraId="530ED97B" w14:textId="77777777" w:rsidR="008F5DEE" w:rsidRPr="00024100" w:rsidRDefault="008F5DEE" w:rsidP="00F04204">
      <w:pPr>
        <w:pStyle w:val="Heading5"/>
      </w:pPr>
      <w:r w:rsidRPr="00024100">
        <w:t>Other</w:t>
      </w:r>
      <w:r>
        <w:t xml:space="preserve"> social and economic impacts of delayed intervention</w:t>
      </w:r>
    </w:p>
    <w:p w14:paraId="7BBA29BC" w14:textId="77777777" w:rsidR="008F5DEE" w:rsidRPr="00354A8B" w:rsidRDefault="008F5DEE" w:rsidP="001346FF">
      <w:pPr>
        <w:pStyle w:val="BodyText"/>
      </w:pPr>
      <w:r w:rsidRPr="00354A8B">
        <w:t>Other social and e</w:t>
      </w:r>
      <w:r>
        <w:t>conomic</w:t>
      </w:r>
      <w:r w:rsidRPr="00354A8B">
        <w:t xml:space="preserve"> impacts of delayed time to diagnosis </w:t>
      </w:r>
      <w:r>
        <w:t>or appropriate treatment</w:t>
      </w:r>
      <w:r w:rsidRPr="00354A8B">
        <w:t xml:space="preserve"> in infants include:</w:t>
      </w:r>
    </w:p>
    <w:p w14:paraId="2FDFFA46" w14:textId="136CE11E" w:rsidR="008F5DEE" w:rsidRDefault="008F5DEE" w:rsidP="001346FF">
      <w:pPr>
        <w:pStyle w:val="ListBullet"/>
      </w:pPr>
      <w:r w:rsidRPr="00354A8B">
        <w:t xml:space="preserve">Delayed access to critical early intervention programs such as First Voice. </w:t>
      </w:r>
      <w:r w:rsidR="00146F09">
        <w:t xml:space="preserve">Delayed access to multi-disciplinary early intervention programs in the first five years of life with children with a hearing impairment can have profound long-term social and economic impacts, as described in </w:t>
      </w:r>
      <w:r w:rsidRPr="00354A8B">
        <w:t>Box 6.1</w:t>
      </w:r>
      <w:r>
        <w:t>.</w:t>
      </w:r>
    </w:p>
    <w:p w14:paraId="3E911557" w14:textId="289084A6" w:rsidR="008F5DEE" w:rsidRDefault="008F5DEE" w:rsidP="001346FF">
      <w:pPr>
        <w:pStyle w:val="ListBullet"/>
      </w:pPr>
      <w:r>
        <w:t>A</w:t>
      </w:r>
      <w:r w:rsidRPr="00354A8B">
        <w:t xml:space="preserve">voidable costs to government health and social services and welfare payment programs. To the extent that </w:t>
      </w:r>
      <w:r w:rsidRPr="00354A8B">
        <w:rPr>
          <w:rFonts w:cstheme="minorHAnsi"/>
        </w:rPr>
        <w:t>delayed time to diagnosis</w:t>
      </w:r>
      <w:r>
        <w:rPr>
          <w:rFonts w:cstheme="minorHAnsi"/>
        </w:rPr>
        <w:t xml:space="preserve"> or appropriate treatment leads to </w:t>
      </w:r>
      <w:r w:rsidRPr="00024100">
        <w:t xml:space="preserve">sensory, cognitive, emotional </w:t>
      </w:r>
      <w:r>
        <w:t>impairments in</w:t>
      </w:r>
      <w:r w:rsidRPr="00024100">
        <w:t xml:space="preserve"> adulthood</w:t>
      </w:r>
      <w:r>
        <w:t xml:space="preserve">, this </w:t>
      </w:r>
      <w:r w:rsidR="000C51EA">
        <w:t>can increase utilisation</w:t>
      </w:r>
      <w:r>
        <w:t xml:space="preserve"> of health and social services, such as speech pathology and medical services, Disability Carer Payments to families/carers, National Disability Insurance Scheme (NDIS) payments, and disability student loading payments to schools.</w:t>
      </w:r>
    </w:p>
    <w:p w14:paraId="2DCA2E6E" w14:textId="77777777" w:rsidR="00BD0C1E" w:rsidRPr="00354A8B" w:rsidRDefault="00BD0C1E" w:rsidP="00BD0C1E">
      <w:pPr>
        <w:pStyle w:val="ListBullet"/>
        <w:numPr>
          <w:ilvl w:val="0"/>
          <w:numId w:val="0"/>
        </w:numPr>
      </w:pPr>
    </w:p>
    <w:tbl>
      <w:tblPr>
        <w:tblStyle w:val="TableGrid"/>
        <w:tblW w:w="0" w:type="auto"/>
        <w:tblLook w:val="04A0" w:firstRow="1" w:lastRow="0" w:firstColumn="1" w:lastColumn="0" w:noHBand="0" w:noVBand="1"/>
      </w:tblPr>
      <w:tblGrid>
        <w:gridCol w:w="8834"/>
      </w:tblGrid>
      <w:tr w:rsidR="001346FF" w14:paraId="2A2BA8F5" w14:textId="77777777" w:rsidTr="001346FF">
        <w:tc>
          <w:tcPr>
            <w:tcW w:w="8834" w:type="dxa"/>
          </w:tcPr>
          <w:p w14:paraId="12DD438B" w14:textId="77777777" w:rsidR="00BD0C1E" w:rsidRPr="00BD0C1E" w:rsidRDefault="00BD0C1E" w:rsidP="00BD0C1E">
            <w:pPr>
              <w:pStyle w:val="BodyText"/>
              <w:rPr>
                <w:b/>
                <w:bCs/>
              </w:rPr>
            </w:pPr>
            <w:r w:rsidRPr="00BD0C1E">
              <w:rPr>
                <w:b/>
                <w:bCs/>
              </w:rPr>
              <w:t>Box 6.1. Impact of access to multi-disciplinary hearing program in the first five years of life</w:t>
            </w:r>
          </w:p>
          <w:p w14:paraId="4D74DEBF" w14:textId="77777777" w:rsidR="00BD0C1E" w:rsidRPr="00D978A8" w:rsidRDefault="00BD0C1E" w:rsidP="00D978A8">
            <w:pPr>
              <w:pStyle w:val="BodyText"/>
            </w:pPr>
            <w:r w:rsidRPr="00D978A8">
              <w:t>First Voice is the Australian national voice for member organisations whose primary focus is the provision of listening and spoken language therapy services for children who are deaf or hearing impaired. Each organisation provides early intervention services to develop listening and spoken language skills in children and infants who are deaf or hearing impaired. It is a family-based, multi-disciplinary model which predominantly utilises auditory-verbal therapy and auditory-oral approaches. The program is provided by multi-disciplinary teams of health and education professionals including auditory-verbal therapists, speech pathologists, paediatric audiologists, teachers of the deaf, psychologists, family counsellors and occupational therapists.</w:t>
            </w:r>
          </w:p>
          <w:p w14:paraId="17922885" w14:textId="77777777" w:rsidR="00BD0C1E" w:rsidRPr="00D978A8" w:rsidRDefault="00BD0C1E" w:rsidP="00D978A8">
            <w:pPr>
              <w:pStyle w:val="BodyText"/>
            </w:pPr>
            <w:r w:rsidRPr="00D978A8">
              <w:t>The early childhood intervention service is offered to children with hearing impairment from birth until the child starts compulsory schooling (typically the age of five years). It aims to teach parents how to create and use a listening and learning environment at home and elsewhere so their child can develop spoken language using their ‘aided’ hearing.</w:t>
            </w:r>
            <w:r w:rsidRPr="00D978A8">
              <w:rPr>
                <w:rStyle w:val="FootnoteReference"/>
                <w:sz w:val="21"/>
              </w:rPr>
              <w:footnoteReference w:id="250"/>
            </w:r>
            <w:r w:rsidRPr="00D978A8">
              <w:rPr>
                <w:vertAlign w:val="superscript"/>
              </w:rPr>
              <w:t xml:space="preserve"> </w:t>
            </w:r>
          </w:p>
          <w:p w14:paraId="7D9A7948" w14:textId="5D2935B4" w:rsidR="001346FF" w:rsidRDefault="00BD0C1E" w:rsidP="00D978A8">
            <w:pPr>
              <w:pStyle w:val="BodyText"/>
            </w:pPr>
            <w:r w:rsidRPr="00D978A8">
              <w:t>A recent economic evaluation of First Voice compared children with a hearing aid or implant who were enrolled in the program to children of the same age with a hearing aid or implant who were not enrolled in the program. The study estimated and valued differences in educational outcomes, employment, wellbeing and avoided deadweight losses over a 50-year period. It estimated the 2017 NPV of a child with hearing impairment receiving support from a First Voice program in the first five years of life at $57,894 in improved employment prospects, $220,236 in improved wellbeing, and $103,091 in higher levels of educational attainment.</w:t>
            </w:r>
            <w:r w:rsidRPr="00024100">
              <w:rPr>
                <w:rStyle w:val="FootnoteReference"/>
                <w:color w:val="000000" w:themeColor="text1"/>
              </w:rPr>
              <w:footnoteReference w:id="251"/>
            </w:r>
          </w:p>
        </w:tc>
      </w:tr>
    </w:tbl>
    <w:p w14:paraId="165AFBD3" w14:textId="77777777" w:rsidR="00FB5008" w:rsidRDefault="00FB5008" w:rsidP="00FB5008">
      <w:pPr>
        <w:rPr>
          <w:b/>
          <w:bCs/>
          <w:color w:val="000000" w:themeColor="text1"/>
        </w:rPr>
      </w:pPr>
    </w:p>
    <w:p w14:paraId="09AD9DE2" w14:textId="79DC5FFA" w:rsidR="00FB5008" w:rsidRPr="00C55472" w:rsidRDefault="00FB5008" w:rsidP="00F04204">
      <w:pPr>
        <w:pStyle w:val="Heading4"/>
      </w:pPr>
      <w:r>
        <w:t>Social and economic impacts of d</w:t>
      </w:r>
      <w:r w:rsidRPr="00C55472">
        <w:t>elayed time to diagnosis or appropriate treatment in people with tinnitus or vestibular disorders</w:t>
      </w:r>
    </w:p>
    <w:p w14:paraId="648E9A20" w14:textId="372FB313" w:rsidR="00FB5008" w:rsidRPr="00EE3AA4" w:rsidRDefault="00FB5008" w:rsidP="00FB5008">
      <w:pPr>
        <w:pStyle w:val="BodyText"/>
      </w:pPr>
      <w:r w:rsidRPr="00EE3AA4">
        <w:rPr>
          <w:rStyle w:val="ListBulletChar"/>
        </w:rPr>
        <w:t>Several studies have shown that unaddressed tinnitus or vestibular disorders can be debilitating for patients. Quality of life in tinnitus sufferers is often affected by psychological or emotional wellbeing, sleep disturbance, or auditory and health impairments</w:t>
      </w:r>
      <w:r w:rsidRPr="00E50ED1">
        <w:t>.</w:t>
      </w:r>
      <w:r>
        <w:rPr>
          <w:rStyle w:val="FootnoteReference"/>
        </w:rPr>
        <w:footnoteReference w:id="252"/>
      </w:r>
      <w:r>
        <w:t xml:space="preserve"> Australian studies have shown that people with tinnitus and </w:t>
      </w:r>
      <w:r w:rsidRPr="00EE3AA4">
        <w:t>vestibular disorders</w:t>
      </w:r>
      <w:r>
        <w:t xml:space="preserve"> are more likely to suffer from stress, depression and anxiety.</w:t>
      </w:r>
      <w:r>
        <w:rPr>
          <w:rStyle w:val="FootnoteReference"/>
        </w:rPr>
        <w:footnoteReference w:id="253"/>
      </w:r>
      <w:r>
        <w:rPr>
          <w:color w:val="000000" w:themeColor="text1"/>
        </w:rPr>
        <w:t xml:space="preserve"> </w:t>
      </w:r>
      <w:r w:rsidRPr="006352FA">
        <w:t>Additionally, issues with the vestibular system have been shown to be related to cognitive issues related to poorer spatial cognition, attention, and executive function, memory attention, affecting the ability to work or engage in day-to-day tasks.</w:t>
      </w:r>
      <w:r w:rsidRPr="006352FA">
        <w:rPr>
          <w:vertAlign w:val="superscript"/>
        </w:rPr>
        <w:footnoteReference w:id="254"/>
      </w:r>
      <w:r w:rsidRPr="00EE3AA4">
        <w:t xml:space="preserve"> </w:t>
      </w:r>
      <w:r>
        <w:t>The length of time without appropriate intervention is typically a predict</w:t>
      </w:r>
      <w:r w:rsidR="000842E8">
        <w:t>o</w:t>
      </w:r>
      <w:r>
        <w:t>r of the likelihood and severity of these adverse outcomes.</w:t>
      </w:r>
    </w:p>
    <w:p w14:paraId="4DBBB237" w14:textId="77777777" w:rsidR="00FB5008" w:rsidRDefault="00FB5008" w:rsidP="00FB5008">
      <w:pPr>
        <w:pStyle w:val="BodyText"/>
      </w:pPr>
      <w:r>
        <w:t>These studies highlight the</w:t>
      </w:r>
      <w:r w:rsidRPr="00FF1EF8">
        <w:t xml:space="preserve"> importance of </w:t>
      </w:r>
      <w:r>
        <w:t>timely diagnosis and appropriate treatment to prevent long-term morbidity. The 2017 r</w:t>
      </w:r>
      <w:r w:rsidRPr="00942DEA">
        <w:t xml:space="preserve">eport on the </w:t>
      </w:r>
      <w:r w:rsidRPr="00EE3AA4">
        <w:rPr>
          <w:i/>
        </w:rPr>
        <w:t>Inquiry into the Hearing Health and Wellbeing of Australia</w:t>
      </w:r>
      <w:r>
        <w:t xml:space="preserve"> found that</w:t>
      </w:r>
      <w:r w:rsidRPr="00DA17BC">
        <w:t xml:space="preserve"> regardless of the age or background of the people they affect, balance disorders have significant social and economic impacts. These impacts can be lessened, however, if they are diagnosed and treated as early as possible.</w:t>
      </w:r>
      <w:r w:rsidRPr="008B374C">
        <w:rPr>
          <w:rStyle w:val="FootnoteReference"/>
        </w:rPr>
        <w:t xml:space="preserve"> </w:t>
      </w:r>
      <w:r>
        <w:rPr>
          <w:rStyle w:val="FootnoteReference"/>
        </w:rPr>
        <w:footnoteReference w:id="255"/>
      </w:r>
    </w:p>
    <w:p w14:paraId="015CC77F" w14:textId="77777777" w:rsidR="00FB5008" w:rsidRDefault="00FB5008" w:rsidP="008F5DEE">
      <w:pPr>
        <w:pStyle w:val="BodyText"/>
        <w:sectPr w:rsidR="00FB5008" w:rsidSect="007F4E7D">
          <w:pgSz w:w="11906" w:h="16838" w:code="9"/>
          <w:pgMar w:top="1531" w:right="1531" w:bottom="1531" w:left="1531" w:header="709" w:footer="709" w:gutter="0"/>
          <w:cols w:space="708"/>
          <w:docGrid w:linePitch="360"/>
        </w:sectPr>
      </w:pPr>
    </w:p>
    <w:p w14:paraId="384CC6F3" w14:textId="576179FE" w:rsidR="008F5DEE" w:rsidRDefault="00FB5008" w:rsidP="00FB5008">
      <w:pPr>
        <w:pStyle w:val="Heading1"/>
      </w:pPr>
      <w:bookmarkStart w:id="223" w:name="_Toc198138630"/>
      <w:r>
        <w:t>What is the likely net benefit of each option?</w:t>
      </w:r>
      <w:bookmarkEnd w:id="223"/>
    </w:p>
    <w:tbl>
      <w:tblPr>
        <w:tblStyle w:val="TableGrid"/>
        <w:tblW w:w="0" w:type="auto"/>
        <w:tblLook w:val="04A0" w:firstRow="1" w:lastRow="0" w:firstColumn="1" w:lastColumn="0" w:noHBand="0" w:noVBand="1"/>
      </w:tblPr>
      <w:tblGrid>
        <w:gridCol w:w="8834"/>
      </w:tblGrid>
      <w:tr w:rsidR="001914B9" w14:paraId="69A4838C" w14:textId="77777777" w:rsidTr="001914B9">
        <w:tc>
          <w:tcPr>
            <w:tcW w:w="8834" w:type="dxa"/>
          </w:tcPr>
          <w:p w14:paraId="71C72AC1" w14:textId="77777777" w:rsidR="001914B9" w:rsidRDefault="0056243E" w:rsidP="00D1034B">
            <w:pPr>
              <w:rPr>
                <w:b/>
              </w:rPr>
            </w:pPr>
            <w:r w:rsidRPr="00823EA5">
              <w:rPr>
                <w:b/>
              </w:rPr>
              <w:t>Chapter summary</w:t>
            </w:r>
          </w:p>
          <w:p w14:paraId="748B6070" w14:textId="4556EE40" w:rsidR="005F4E49" w:rsidRDefault="00750D5F" w:rsidP="0020577D">
            <w:pPr>
              <w:pStyle w:val="ListBullet"/>
            </w:pPr>
            <w:r>
              <w:t xml:space="preserve">To inform an assessment of </w:t>
            </w:r>
            <w:r w:rsidR="00564AE4">
              <w:t>the net benefits and costs of each option,</w:t>
            </w:r>
            <w:r w:rsidR="004B447C">
              <w:t xml:space="preserve"> </w:t>
            </w:r>
            <w:r w:rsidR="00396A69">
              <w:t>quantitative</w:t>
            </w:r>
            <w:r w:rsidR="007124D0">
              <w:t xml:space="preserve"> and </w:t>
            </w:r>
            <w:r w:rsidR="00396A69">
              <w:t>qualitative</w:t>
            </w:r>
            <w:r w:rsidR="007124D0">
              <w:t xml:space="preserve"> benefits </w:t>
            </w:r>
            <w:r w:rsidR="00D555F9">
              <w:t>and costs</w:t>
            </w:r>
            <w:r w:rsidR="004B447C">
              <w:t xml:space="preserve"> associated with each regulatory option </w:t>
            </w:r>
            <w:r w:rsidR="00540F3D">
              <w:t xml:space="preserve">were </w:t>
            </w:r>
            <w:r w:rsidR="009759AB">
              <w:t xml:space="preserve">assessed relative to the </w:t>
            </w:r>
            <w:r w:rsidR="00A80F45">
              <w:t>Status Quo</w:t>
            </w:r>
            <w:r w:rsidR="009759AB">
              <w:t xml:space="preserve">. </w:t>
            </w:r>
          </w:p>
          <w:p w14:paraId="6B84B080" w14:textId="76EBBAEC" w:rsidR="004136A7" w:rsidRDefault="009759AB" w:rsidP="0020577D">
            <w:pPr>
              <w:pStyle w:val="ListBullet"/>
            </w:pPr>
            <w:r w:rsidRPr="00371510">
              <w:t>Each regulatory option is expected to result in various levels of harm minimisation</w:t>
            </w:r>
            <w:r>
              <w:t xml:space="preserve"> relative to the </w:t>
            </w:r>
            <w:r w:rsidR="00A80F45">
              <w:t>Status Quo</w:t>
            </w:r>
            <w:r w:rsidR="00FD5D12">
              <w:t>, however</w:t>
            </w:r>
            <w:r w:rsidRPr="00371510">
              <w:t xml:space="preserve"> </w:t>
            </w:r>
            <w:r w:rsidR="00FD5D12">
              <w:t xml:space="preserve">this could not be </w:t>
            </w:r>
            <w:r w:rsidR="004E6021">
              <w:t>quantified</w:t>
            </w:r>
            <w:r w:rsidR="00FD5D12">
              <w:t xml:space="preserve"> owing to</w:t>
            </w:r>
            <w:r w:rsidR="00542072">
              <w:t xml:space="preserve"> </w:t>
            </w:r>
            <w:r w:rsidR="002B5ADE">
              <w:t>data</w:t>
            </w:r>
            <w:r w:rsidR="00542072">
              <w:t xml:space="preserve"> limitations</w:t>
            </w:r>
            <w:r w:rsidR="008C6348">
              <w:t>.</w:t>
            </w:r>
            <w:r w:rsidR="00A1625E">
              <w:t xml:space="preserve"> </w:t>
            </w:r>
            <w:r w:rsidR="00BC1E4D">
              <w:t>Given the primary benefit of harm</w:t>
            </w:r>
            <w:r w:rsidR="00DA63D3">
              <w:t xml:space="preserve"> minimisation </w:t>
            </w:r>
            <w:r w:rsidR="00BC1E4D">
              <w:t>could not be quantified</w:t>
            </w:r>
            <w:r w:rsidR="00481781">
              <w:t xml:space="preserve">, </w:t>
            </w:r>
            <w:r w:rsidR="00A1625E">
              <w:t xml:space="preserve">to compare the options, </w:t>
            </w:r>
            <w:r w:rsidR="004065D7">
              <w:t>the incremental costs associated with each option w</w:t>
            </w:r>
            <w:r w:rsidR="005F0FF8">
              <w:t>as</w:t>
            </w:r>
            <w:r w:rsidR="004065D7">
              <w:t xml:space="preserve"> considered </w:t>
            </w:r>
            <w:r w:rsidR="00BC1E4D">
              <w:t>alongside a</w:t>
            </w:r>
            <w:r w:rsidR="004065D7">
              <w:t xml:space="preserve"> multi-cri</w:t>
            </w:r>
            <w:r w:rsidR="00BC1E4D">
              <w:t xml:space="preserve">teria analysis. </w:t>
            </w:r>
          </w:p>
          <w:p w14:paraId="691556DF" w14:textId="113E92FB" w:rsidR="005B0E57" w:rsidRDefault="0054195F" w:rsidP="0020577D">
            <w:pPr>
              <w:pStyle w:val="ListBullet"/>
            </w:pPr>
            <w:r>
              <w:t>For each option, the assessment of i</w:t>
            </w:r>
            <w:r w:rsidR="005B0E57">
              <w:t>ncremental costs included both</w:t>
            </w:r>
            <w:r w:rsidR="00F72B84">
              <w:t xml:space="preserve"> direct</w:t>
            </w:r>
            <w:r w:rsidR="005B0E57">
              <w:t xml:space="preserve"> financial costs associated with the change in regulatory burden</w:t>
            </w:r>
            <w:r w:rsidR="00F72B84">
              <w:t xml:space="preserve"> (e.g., registration fees)</w:t>
            </w:r>
            <w:r w:rsidR="005B0E57">
              <w:t xml:space="preserve"> and </w:t>
            </w:r>
            <w:r w:rsidR="004136A7">
              <w:t xml:space="preserve">the value of </w:t>
            </w:r>
            <w:r w:rsidR="005B0E57">
              <w:t xml:space="preserve">any social and economic costs </w:t>
            </w:r>
            <w:r w:rsidR="00F72B84">
              <w:t>associated with the regulatory change (e.g., time costs).</w:t>
            </w:r>
          </w:p>
          <w:p w14:paraId="25CF76BA" w14:textId="5639E478" w:rsidR="001F243E" w:rsidRDefault="001F243E" w:rsidP="0020577D">
            <w:pPr>
              <w:pStyle w:val="ListBullet"/>
            </w:pPr>
            <w:r>
              <w:t xml:space="preserve">Over the ten-year evaluation period, the incremental costs associated with each option relative to the </w:t>
            </w:r>
            <w:r w:rsidR="00A80F45">
              <w:t>Status Quo</w:t>
            </w:r>
            <w:r>
              <w:t xml:space="preserve"> is </w:t>
            </w:r>
            <w:r w:rsidR="006415AF">
              <w:t>estimated at</w:t>
            </w:r>
            <w:r w:rsidR="00770381">
              <w:t>, in FY25 NPV terms</w:t>
            </w:r>
            <w:r>
              <w:t>:</w:t>
            </w:r>
          </w:p>
          <w:p w14:paraId="3E2ED2EB" w14:textId="66CDBCB6" w:rsidR="00770381" w:rsidRDefault="00770381" w:rsidP="0020577D">
            <w:pPr>
              <w:pStyle w:val="BulletList2Column"/>
              <w:numPr>
                <w:ilvl w:val="1"/>
                <w:numId w:val="5"/>
              </w:numPr>
            </w:pPr>
            <w:r w:rsidRPr="000C6608">
              <w:rPr>
                <w:b/>
              </w:rPr>
              <w:t xml:space="preserve">National </w:t>
            </w:r>
            <w:r w:rsidR="006E2F09">
              <w:rPr>
                <w:b/>
              </w:rPr>
              <w:t>R</w:t>
            </w:r>
            <w:r w:rsidRPr="000C6608">
              <w:rPr>
                <w:b/>
              </w:rPr>
              <w:t>egistration</w:t>
            </w:r>
            <w:r w:rsidR="006E2F09">
              <w:rPr>
                <w:b/>
              </w:rPr>
              <w:t xml:space="preserve"> (Option 7)</w:t>
            </w:r>
            <w:r w:rsidRPr="000C6608">
              <w:rPr>
                <w:b/>
              </w:rPr>
              <w:t>:</w:t>
            </w:r>
            <w:r>
              <w:t xml:space="preserve"> </w:t>
            </w:r>
            <w:r w:rsidR="00F82A0D">
              <w:t>$21</w:t>
            </w:r>
            <w:r w:rsidR="004A662E">
              <w:t>,</w:t>
            </w:r>
            <w:r w:rsidR="0069175A" w:rsidRPr="0069175A">
              <w:t>545,567</w:t>
            </w:r>
            <w:r w:rsidR="00AA092A">
              <w:t>.</w:t>
            </w:r>
            <w:r w:rsidR="0069175A" w:rsidRPr="0069175A">
              <w:t xml:space="preserve"> </w:t>
            </w:r>
            <w:r w:rsidR="00CB2C45" w:rsidRPr="007A5771">
              <w:t>Th</w:t>
            </w:r>
            <w:r w:rsidR="009B528E">
              <w:t xml:space="preserve">is </w:t>
            </w:r>
            <w:r w:rsidR="00CB2C45" w:rsidRPr="007A5771">
              <w:t xml:space="preserve">cost estimate </w:t>
            </w:r>
            <w:r w:rsidR="009B528E">
              <w:t>is</w:t>
            </w:r>
            <w:r w:rsidR="00CB2C45" w:rsidRPr="007A5771">
              <w:t xml:space="preserve"> based on a single National Board structure. An alternate Board structure (e.g., National Board with two professions) would reduce the cost</w:t>
            </w:r>
            <w:r w:rsidR="00CB2C45">
              <w:t>.</w:t>
            </w:r>
          </w:p>
          <w:p w14:paraId="36DC8E00" w14:textId="5ADD2CDE" w:rsidR="00770381" w:rsidRDefault="00770381" w:rsidP="0020577D">
            <w:pPr>
              <w:pStyle w:val="BulletList2Column"/>
              <w:numPr>
                <w:ilvl w:val="1"/>
                <w:numId w:val="5"/>
              </w:numPr>
            </w:pPr>
            <w:r w:rsidRPr="000C6608">
              <w:rPr>
                <w:b/>
                <w:bCs/>
              </w:rPr>
              <w:t>Jurisdiction</w:t>
            </w:r>
            <w:r w:rsidR="007E3EBC">
              <w:rPr>
                <w:b/>
                <w:bCs/>
              </w:rPr>
              <w:t>al</w:t>
            </w:r>
            <w:r w:rsidRPr="000C6608">
              <w:rPr>
                <w:b/>
              </w:rPr>
              <w:t xml:space="preserve"> </w:t>
            </w:r>
            <w:r w:rsidR="006E2F09">
              <w:rPr>
                <w:b/>
              </w:rPr>
              <w:t>R</w:t>
            </w:r>
            <w:r w:rsidR="00791E1D">
              <w:rPr>
                <w:b/>
                <w:bCs/>
              </w:rPr>
              <w:t>egistration</w:t>
            </w:r>
            <w:r w:rsidR="006E2F09">
              <w:rPr>
                <w:b/>
                <w:bCs/>
              </w:rPr>
              <w:t xml:space="preserve"> (Option 6)</w:t>
            </w:r>
            <w:r w:rsidRPr="000C6608">
              <w:rPr>
                <w:b/>
              </w:rPr>
              <w:t>:</w:t>
            </w:r>
            <w:r w:rsidR="00F82A0D">
              <w:t xml:space="preserve"> $23,</w:t>
            </w:r>
            <w:r w:rsidR="00AA092A" w:rsidRPr="00AA092A">
              <w:t>694,654</w:t>
            </w:r>
            <w:r w:rsidR="009D4F3A">
              <w:t xml:space="preserve">. This cost estimate </w:t>
            </w:r>
            <w:r w:rsidR="009D4F3A" w:rsidRPr="007A5771">
              <w:t>assume</w:t>
            </w:r>
            <w:r w:rsidR="009D4F3A">
              <w:t>s</w:t>
            </w:r>
            <w:r w:rsidR="009D4F3A" w:rsidRPr="007A5771">
              <w:t xml:space="preserve"> all jurisdictions would establish a separate Board, sharing fixed costs. If only some jurisdictions establish a Board, costs borne by each individual jurisdiction would be higher.</w:t>
            </w:r>
          </w:p>
          <w:p w14:paraId="6332C8F4" w14:textId="26109D01" w:rsidR="00770381" w:rsidRDefault="00770381" w:rsidP="0020577D">
            <w:pPr>
              <w:pStyle w:val="BulletList2Column"/>
              <w:numPr>
                <w:ilvl w:val="1"/>
                <w:numId w:val="5"/>
              </w:numPr>
            </w:pPr>
            <w:r w:rsidRPr="000C6608">
              <w:rPr>
                <w:b/>
              </w:rPr>
              <w:t xml:space="preserve">Strengthened </w:t>
            </w:r>
            <w:r w:rsidR="00A80F45">
              <w:rPr>
                <w:b/>
              </w:rPr>
              <w:t>Status Quo</w:t>
            </w:r>
            <w:r w:rsidR="006E2F09">
              <w:rPr>
                <w:b/>
              </w:rPr>
              <w:t xml:space="preserve"> (Modified Option 3)</w:t>
            </w:r>
            <w:r w:rsidRPr="000C6608">
              <w:rPr>
                <w:b/>
              </w:rPr>
              <w:t>:</w:t>
            </w:r>
            <w:r>
              <w:t xml:space="preserve"> </w:t>
            </w:r>
            <w:r w:rsidR="00F82A0D">
              <w:t>$1,</w:t>
            </w:r>
            <w:r w:rsidR="00A92F91" w:rsidRPr="00A92F91">
              <w:t>317,945</w:t>
            </w:r>
            <w:r w:rsidR="001D478D">
              <w:t>. H</w:t>
            </w:r>
            <w:r w:rsidR="00947AFD">
              <w:t>owever, this c</w:t>
            </w:r>
            <w:r w:rsidR="00947AFD" w:rsidRPr="007A5771">
              <w:t xml:space="preserve">ost </w:t>
            </w:r>
            <w:r w:rsidR="009D4F3A">
              <w:t>estimate</w:t>
            </w:r>
            <w:r w:rsidR="00947AFD" w:rsidRPr="001D478D">
              <w:t xml:space="preserve"> </w:t>
            </w:r>
            <w:r w:rsidR="00947AFD" w:rsidRPr="007A5771">
              <w:t>do</w:t>
            </w:r>
            <w:r w:rsidR="00947AFD">
              <w:t>es</w:t>
            </w:r>
            <w:r w:rsidR="00947AFD" w:rsidRPr="007A5771">
              <w:t xml:space="preserve"> not include the funding envelope for CPD</w:t>
            </w:r>
            <w:r w:rsidR="007D5435">
              <w:t xml:space="preserve"> uplift, </w:t>
            </w:r>
            <w:r w:rsidR="00B37252">
              <w:t>to be determined</w:t>
            </w:r>
            <w:r w:rsidR="007D5435">
              <w:t xml:space="preserve"> by</w:t>
            </w:r>
            <w:r w:rsidR="00947AFD" w:rsidRPr="007A5771">
              <w:t xml:space="preserve"> decision-</w:t>
            </w:r>
            <w:r w:rsidR="007D5435" w:rsidRPr="001D478D">
              <w:t>maker</w:t>
            </w:r>
            <w:r w:rsidR="007D5435">
              <w:t>s. In addition,</w:t>
            </w:r>
            <w:r w:rsidR="001D478D" w:rsidRPr="001D478D">
              <w:t xml:space="preserve"> </w:t>
            </w:r>
            <w:r w:rsidR="00F12E4A">
              <w:t xml:space="preserve">it </w:t>
            </w:r>
            <w:r w:rsidR="00947AFD" w:rsidRPr="007A5771">
              <w:t xml:space="preserve">does not include any fees </w:t>
            </w:r>
            <w:r w:rsidR="007D5435">
              <w:t xml:space="preserve">associated </w:t>
            </w:r>
            <w:r w:rsidR="00947AFD" w:rsidRPr="007A5771">
              <w:t xml:space="preserve">with precedent setting </w:t>
            </w:r>
            <w:r w:rsidR="00D41896">
              <w:t xml:space="preserve">that may </w:t>
            </w:r>
            <w:r w:rsidR="00947AFD" w:rsidRPr="007A5771">
              <w:t>requir</w:t>
            </w:r>
            <w:r w:rsidR="00D41896">
              <w:t>e</w:t>
            </w:r>
            <w:r w:rsidR="00947AFD" w:rsidRPr="007A5771">
              <w:t xml:space="preserve"> clinical certification of other self-regulated professions</w:t>
            </w:r>
            <w:r w:rsidR="00F73747">
              <w:t>.</w:t>
            </w:r>
            <w:r w:rsidR="007D5435">
              <w:t xml:space="preserve"> </w:t>
            </w:r>
            <w:bookmarkStart w:id="224" w:name="_Hlk193812958"/>
            <w:r w:rsidR="000D0E25" w:rsidRPr="000D0E25">
              <w:t>Preliminary national calculations on two potential eligible professions – speech pathology and dietetics are of a range between $18-$29 million depending on the timing of jurisdictional enterprise bargaining cycles between FY26-FY29.</w:t>
            </w:r>
            <w:bookmarkEnd w:id="224"/>
          </w:p>
          <w:p w14:paraId="72711F45" w14:textId="424B4DCE" w:rsidR="00402F61" w:rsidRDefault="000114CB" w:rsidP="0020577D">
            <w:pPr>
              <w:pStyle w:val="ListBullet"/>
            </w:pPr>
            <w:r>
              <w:t xml:space="preserve">Costs above do not include implementation costs </w:t>
            </w:r>
            <w:r w:rsidR="0080571D">
              <w:t xml:space="preserve">and legislative costs </w:t>
            </w:r>
            <w:r>
              <w:t>as per OIA guidance. Implementation costs</w:t>
            </w:r>
            <w:r w:rsidR="0080571D">
              <w:t xml:space="preserve"> </w:t>
            </w:r>
            <w:r w:rsidR="0079009F">
              <w:t xml:space="preserve">borne by government </w:t>
            </w:r>
            <w:r w:rsidR="0080571D">
              <w:t>estimated</w:t>
            </w:r>
            <w:r>
              <w:t xml:space="preserve"> for </w:t>
            </w:r>
            <w:r w:rsidR="009D65B6">
              <w:t>National Registration</w:t>
            </w:r>
            <w:r>
              <w:t xml:space="preserve"> are significantly lower than for </w:t>
            </w:r>
            <w:r w:rsidR="009D65B6">
              <w:t>Jurisdictional Registration</w:t>
            </w:r>
            <w:r>
              <w:t>.</w:t>
            </w:r>
          </w:p>
          <w:p w14:paraId="11E06C39" w14:textId="6FA1EC89" w:rsidR="001914B9" w:rsidRDefault="005D5FE9" w:rsidP="00BB1EA9">
            <w:pPr>
              <w:pStyle w:val="ListBullet"/>
            </w:pPr>
            <w:r>
              <w:t xml:space="preserve">The multi-criteria analysis </w:t>
            </w:r>
            <w:r w:rsidR="00E66F7C">
              <w:t xml:space="preserve">considered the extent to which each option responds to the objectives for action: care quality assurance; regulatory consistency; </w:t>
            </w:r>
            <w:r w:rsidR="00866C51">
              <w:t xml:space="preserve">escalation systems; </w:t>
            </w:r>
            <w:r w:rsidR="00E66F7C">
              <w:t>market awareness, and ethical practice.</w:t>
            </w:r>
            <w:r w:rsidR="00D42FE8">
              <w:t xml:space="preserve"> </w:t>
            </w:r>
            <w:r w:rsidR="001F243E">
              <w:t>The multi-criteria analysis identified</w:t>
            </w:r>
            <w:r w:rsidR="00116340">
              <w:t xml:space="preserve"> </w:t>
            </w:r>
            <w:r w:rsidR="009D65B6">
              <w:t>National Registration</w:t>
            </w:r>
            <w:r w:rsidR="00116340">
              <w:t xml:space="preserve"> as the preferred approach with the highest </w:t>
            </w:r>
            <w:r w:rsidR="0073210C">
              <w:t>qualitative</w:t>
            </w:r>
            <w:r w:rsidR="00116340">
              <w:t xml:space="preserve"> benefit, as it matche</w:t>
            </w:r>
            <w:r w:rsidR="001F243E">
              <w:t>d</w:t>
            </w:r>
            <w:r w:rsidR="00116340">
              <w:t xml:space="preserve"> or outperform</w:t>
            </w:r>
            <w:r w:rsidR="001F243E">
              <w:t xml:space="preserve">ed </w:t>
            </w:r>
            <w:r w:rsidR="00116340">
              <w:t>all other options across all criteria.</w:t>
            </w:r>
          </w:p>
        </w:tc>
      </w:tr>
    </w:tbl>
    <w:p w14:paraId="7CB5E9DC" w14:textId="77777777" w:rsidR="001914B9" w:rsidRDefault="001914B9" w:rsidP="00D1034B"/>
    <w:p w14:paraId="71A4A810" w14:textId="77777777" w:rsidR="00BB1EA9" w:rsidRDefault="00BB1EA9" w:rsidP="00D1034B">
      <w:pPr>
        <w:rPr>
          <w:kern w:val="21"/>
          <w:lang w:val="en-AU"/>
          <w14:numSpacing w14:val="proportional"/>
        </w:rPr>
      </w:pPr>
    </w:p>
    <w:p w14:paraId="7037AE41" w14:textId="77777777" w:rsidR="00BB1EA9" w:rsidRDefault="00BB1EA9" w:rsidP="00D1034B">
      <w:pPr>
        <w:rPr>
          <w:kern w:val="21"/>
          <w:lang w:val="en-AU"/>
          <w14:numSpacing w14:val="proportional"/>
        </w:rPr>
      </w:pPr>
    </w:p>
    <w:p w14:paraId="2A32CE3C" w14:textId="77777777" w:rsidR="00BB1EA9" w:rsidRDefault="00BB1EA9" w:rsidP="00D1034B"/>
    <w:p w14:paraId="01EF4630" w14:textId="0ACDB119" w:rsidR="00D1034B" w:rsidRDefault="00D1034B" w:rsidP="000959B6">
      <w:pPr>
        <w:pStyle w:val="BodyText"/>
      </w:pPr>
      <w:r>
        <w:t>This chapter presents the impact analysis of each option. For each option, it includes:</w:t>
      </w:r>
    </w:p>
    <w:p w14:paraId="53645CBA" w14:textId="79A7EDBC" w:rsidR="00D1034B" w:rsidRDefault="00D1034B" w:rsidP="000959B6">
      <w:pPr>
        <w:pStyle w:val="ListBullet"/>
      </w:pPr>
      <w:r>
        <w:t>the theory of change</w:t>
      </w:r>
      <w:r w:rsidR="004A1FFC">
        <w:t xml:space="preserve"> (for options other than the </w:t>
      </w:r>
      <w:r w:rsidR="00A80F45">
        <w:t>Status Quo</w:t>
      </w:r>
      <w:r w:rsidR="004A1FFC">
        <w:t>)</w:t>
      </w:r>
    </w:p>
    <w:p w14:paraId="4C463BBD" w14:textId="0E7E3E97" w:rsidR="00D1034B" w:rsidRDefault="00D1034B" w:rsidP="000959B6">
      <w:pPr>
        <w:pStyle w:val="ListBullet"/>
      </w:pPr>
      <w:r>
        <w:t>impact analysis</w:t>
      </w:r>
    </w:p>
    <w:p w14:paraId="3D6EAF48" w14:textId="77777777" w:rsidR="00D1034B" w:rsidRDefault="00D1034B" w:rsidP="000959B6">
      <w:pPr>
        <w:pStyle w:val="ListBullet"/>
      </w:pPr>
      <w:r>
        <w:t>multi-criteria analysis assessment.</w:t>
      </w:r>
    </w:p>
    <w:p w14:paraId="5A472D07" w14:textId="77777777" w:rsidR="00D1034B" w:rsidRDefault="00D1034B" w:rsidP="000959B6">
      <w:pPr>
        <w:pStyle w:val="BodyText"/>
      </w:pPr>
      <w:r>
        <w:t>The analysis for each option is presented in the following order:</w:t>
      </w:r>
    </w:p>
    <w:p w14:paraId="7A1F1014" w14:textId="5FC5AD14" w:rsidR="004A1FFC" w:rsidRDefault="004A1FFC" w:rsidP="000959B6">
      <w:pPr>
        <w:pStyle w:val="ListBullet"/>
      </w:pPr>
      <w:r>
        <w:t xml:space="preserve">Status </w:t>
      </w:r>
      <w:r w:rsidR="00791E1D">
        <w:t>Quo</w:t>
      </w:r>
      <w:r>
        <w:t xml:space="preserve"> </w:t>
      </w:r>
      <w:r w:rsidR="00123B0C">
        <w:t>(</w:t>
      </w:r>
      <w:r w:rsidR="00F40367">
        <w:t>S</w:t>
      </w:r>
      <w:r w:rsidR="00123B0C">
        <w:t xml:space="preserve">ection </w:t>
      </w:r>
      <w:r w:rsidR="00D271B1">
        <w:fldChar w:fldCharType="begin"/>
      </w:r>
      <w:r w:rsidR="00D271B1">
        <w:instrText xml:space="preserve"> REF _Ref172874953 \r \h </w:instrText>
      </w:r>
      <w:r w:rsidR="000959B6">
        <w:instrText xml:space="preserve"> \* MERGEFORMAT </w:instrText>
      </w:r>
      <w:r w:rsidR="00D271B1">
        <w:fldChar w:fldCharType="separate"/>
      </w:r>
      <w:r w:rsidR="00F32107">
        <w:t>8.1</w:t>
      </w:r>
      <w:r w:rsidR="00D271B1">
        <w:fldChar w:fldCharType="end"/>
      </w:r>
      <w:r w:rsidR="00123B0C">
        <w:t>)</w:t>
      </w:r>
    </w:p>
    <w:p w14:paraId="77975781" w14:textId="7F780D2B" w:rsidR="00D1034B" w:rsidRDefault="00D1034B" w:rsidP="000959B6">
      <w:pPr>
        <w:pStyle w:val="ListBullet"/>
      </w:pPr>
      <w:r>
        <w:t xml:space="preserve">National </w:t>
      </w:r>
      <w:r w:rsidR="00F40367">
        <w:t>R</w:t>
      </w:r>
      <w:r>
        <w:t>egistration (</w:t>
      </w:r>
      <w:r w:rsidR="00F40367">
        <w:t>S</w:t>
      </w:r>
      <w:r w:rsidR="00920516">
        <w:t>ection</w:t>
      </w:r>
      <w:r>
        <w:t xml:space="preserve"> </w:t>
      </w:r>
      <w:r w:rsidR="00920516">
        <w:fldChar w:fldCharType="begin"/>
      </w:r>
      <w:r w:rsidR="00920516">
        <w:instrText xml:space="preserve"> REF _Ref172795786 \r \h </w:instrText>
      </w:r>
      <w:r w:rsidR="000959B6">
        <w:instrText xml:space="preserve"> \* MERGEFORMAT </w:instrText>
      </w:r>
      <w:r w:rsidR="00920516">
        <w:fldChar w:fldCharType="separate"/>
      </w:r>
      <w:r w:rsidR="00F32107">
        <w:t>8.2</w:t>
      </w:r>
      <w:r w:rsidR="00920516">
        <w:fldChar w:fldCharType="end"/>
      </w:r>
      <w:r>
        <w:t>)</w:t>
      </w:r>
    </w:p>
    <w:p w14:paraId="0404FAA2" w14:textId="3C3A0548" w:rsidR="00D1034B" w:rsidRDefault="00D1034B" w:rsidP="000959B6">
      <w:pPr>
        <w:pStyle w:val="ListBullet"/>
      </w:pPr>
      <w:r>
        <w:t xml:space="preserve">Jurisdiction </w:t>
      </w:r>
      <w:r w:rsidR="00F40367">
        <w:t>R</w:t>
      </w:r>
      <w:r>
        <w:t>egistration (</w:t>
      </w:r>
      <w:r w:rsidR="00F40367">
        <w:t>S</w:t>
      </w:r>
      <w:r>
        <w:t xml:space="preserve">ection </w:t>
      </w:r>
      <w:r>
        <w:fldChar w:fldCharType="begin"/>
      </w:r>
      <w:r>
        <w:instrText xml:space="preserve"> REF _Ref170993983 \r \h </w:instrText>
      </w:r>
      <w:r w:rsidR="000959B6">
        <w:instrText xml:space="preserve"> \* MERGEFORMAT </w:instrText>
      </w:r>
      <w:r>
        <w:fldChar w:fldCharType="separate"/>
      </w:r>
      <w:r w:rsidR="00F32107">
        <w:t>8.3</w:t>
      </w:r>
      <w:r>
        <w:fldChar w:fldCharType="end"/>
      </w:r>
      <w:r>
        <w:t>)</w:t>
      </w:r>
    </w:p>
    <w:p w14:paraId="4E0FDB9D" w14:textId="4E629602" w:rsidR="00D1034B" w:rsidRDefault="00D1034B" w:rsidP="000959B6">
      <w:pPr>
        <w:pStyle w:val="ListBullet"/>
      </w:pPr>
      <w:r>
        <w:t xml:space="preserve">Strengthened </w:t>
      </w:r>
      <w:r w:rsidR="008D295D">
        <w:t>S</w:t>
      </w:r>
      <w:r>
        <w:t>tatus</w:t>
      </w:r>
      <w:r w:rsidR="00F07321">
        <w:t xml:space="preserve"> </w:t>
      </w:r>
      <w:r w:rsidR="008D295D">
        <w:t>Q</w:t>
      </w:r>
      <w:r>
        <w:t xml:space="preserve">uo (Section </w:t>
      </w:r>
      <w:r>
        <w:fldChar w:fldCharType="begin"/>
      </w:r>
      <w:r>
        <w:instrText xml:space="preserve"> REF _Ref171262911 \r \h </w:instrText>
      </w:r>
      <w:r w:rsidR="000959B6">
        <w:instrText xml:space="preserve"> \* MERGEFORMAT </w:instrText>
      </w:r>
      <w:r>
        <w:fldChar w:fldCharType="separate"/>
      </w:r>
      <w:r w:rsidR="00F32107">
        <w:t>8.4</w:t>
      </w:r>
      <w:r>
        <w:fldChar w:fldCharType="end"/>
      </w:r>
      <w:r>
        <w:t>)</w:t>
      </w:r>
      <w:r w:rsidR="00F40367">
        <w:t>.</w:t>
      </w:r>
    </w:p>
    <w:tbl>
      <w:tblPr>
        <w:tblStyle w:val="TableGrid"/>
        <w:tblW w:w="0" w:type="auto"/>
        <w:tblLook w:val="04A0" w:firstRow="1" w:lastRow="0" w:firstColumn="1" w:lastColumn="0" w:noHBand="0" w:noVBand="1"/>
      </w:tblPr>
      <w:tblGrid>
        <w:gridCol w:w="8834"/>
      </w:tblGrid>
      <w:tr w:rsidR="007710B6" w14:paraId="35220091" w14:textId="77777777">
        <w:tc>
          <w:tcPr>
            <w:tcW w:w="8834" w:type="dxa"/>
          </w:tcPr>
          <w:p w14:paraId="6506ADDA" w14:textId="4FDBFA6E" w:rsidR="007710B6" w:rsidRDefault="007710B6">
            <w:pPr>
              <w:pStyle w:val="BodyText"/>
              <w:rPr>
                <w:b/>
                <w:bCs/>
              </w:rPr>
            </w:pPr>
            <w:r w:rsidRPr="00BD0C1E">
              <w:rPr>
                <w:b/>
                <w:bCs/>
              </w:rPr>
              <w:t xml:space="preserve">Box </w:t>
            </w:r>
            <w:r>
              <w:rPr>
                <w:b/>
                <w:bCs/>
              </w:rPr>
              <w:t>8</w:t>
            </w:r>
            <w:r w:rsidRPr="00BD0C1E">
              <w:rPr>
                <w:b/>
                <w:bCs/>
              </w:rPr>
              <w:t xml:space="preserve">.1. </w:t>
            </w:r>
            <w:r>
              <w:rPr>
                <w:b/>
                <w:bCs/>
              </w:rPr>
              <w:t xml:space="preserve">A note on </w:t>
            </w:r>
            <w:r w:rsidR="002A68E7">
              <w:rPr>
                <w:b/>
                <w:bCs/>
              </w:rPr>
              <w:t xml:space="preserve">the proportionality of </w:t>
            </w:r>
            <w:r>
              <w:rPr>
                <w:b/>
                <w:bCs/>
              </w:rPr>
              <w:t>impacts by population group</w:t>
            </w:r>
          </w:p>
          <w:p w14:paraId="4C486407" w14:textId="437FE3A3" w:rsidR="007710B6" w:rsidRDefault="007710B6">
            <w:pPr>
              <w:pStyle w:val="BodyText"/>
              <w:rPr>
                <w:b/>
                <w:bCs/>
              </w:rPr>
            </w:pPr>
            <w:r>
              <w:rPr>
                <w:b/>
                <w:bCs/>
              </w:rPr>
              <w:t xml:space="preserve">Impacts </w:t>
            </w:r>
            <w:r w:rsidR="008579D6">
              <w:rPr>
                <w:b/>
                <w:bCs/>
              </w:rPr>
              <w:t>on</w:t>
            </w:r>
            <w:r>
              <w:rPr>
                <w:b/>
                <w:bCs/>
              </w:rPr>
              <w:t xml:space="preserve"> </w:t>
            </w:r>
            <w:r w:rsidR="00194DDB">
              <w:rPr>
                <w:b/>
                <w:bCs/>
              </w:rPr>
              <w:t>First Nations</w:t>
            </w:r>
            <w:r w:rsidR="00E54EA0">
              <w:rPr>
                <w:b/>
                <w:bCs/>
              </w:rPr>
              <w:t xml:space="preserve"> communities</w:t>
            </w:r>
          </w:p>
          <w:p w14:paraId="14C04131" w14:textId="20F53D60" w:rsidR="00DE66D6" w:rsidRPr="00ED3CD1" w:rsidRDefault="00C82BDB" w:rsidP="004E515D">
            <w:pPr>
              <w:pStyle w:val="BodyText"/>
            </w:pPr>
            <w:r>
              <w:t>Hearing loss is highly prevalent among Aboriginal and/or Torres Strait Islander people</w:t>
            </w:r>
            <w:r w:rsidR="00EE4BE2">
              <w:t>. Under the current state, stakeholders commented that</w:t>
            </w:r>
            <w:r w:rsidR="00DE66D6">
              <w:t xml:space="preserve"> First Nations people may have reduced access to services if they live in rural or remote areas, and that ACCHOs as employers may operate in thin markets. Hence, First Nations communities could be disproportionately impacted by regulatory costs, if these costs changed service delivery decisions, had major impacts on salary expectations, or increased prices for consumers. However, further consultation with service providers and analysis of service program requirements </w:t>
            </w:r>
            <w:r w:rsidR="00561E18">
              <w:t xml:space="preserve">highlights structural factors which are likely to minimise the risk of these impacts occurring. Please refer to Section </w:t>
            </w:r>
            <w:r w:rsidR="001B3552">
              <w:fldChar w:fldCharType="begin"/>
            </w:r>
            <w:r w:rsidR="001B3552">
              <w:instrText xml:space="preserve"> REF _Ref193036289 \r \h </w:instrText>
            </w:r>
            <w:r w:rsidR="001B3552">
              <w:fldChar w:fldCharType="separate"/>
            </w:r>
            <w:r w:rsidR="00F32107">
              <w:t>6.8</w:t>
            </w:r>
            <w:r w:rsidR="001B3552">
              <w:fldChar w:fldCharType="end"/>
            </w:r>
            <w:r w:rsidR="00561E18">
              <w:t xml:space="preserve"> </w:t>
            </w:r>
            <w:r w:rsidR="001B3552">
              <w:t>for stakeholder feedback in relation to this issue.</w:t>
            </w:r>
            <w:r w:rsidR="00A0349D">
              <w:t xml:space="preserve"> </w:t>
            </w:r>
            <w:r w:rsidR="00024A12" w:rsidRPr="00024A12">
              <w:t xml:space="preserve">Regarding cultural safety of services, multiple stakeholders raised the work that Ahpra has undertaken over the past several years in relation to Aboriginal and Torres Strait Islander cultural safety, and the emphasis that the National Scheme has placed on this issue. This feedback was provided in the context of the potential for </w:t>
            </w:r>
            <w:r w:rsidR="009D65B6">
              <w:t>National Registration</w:t>
            </w:r>
            <w:r w:rsidR="00024A12" w:rsidRPr="00024A12">
              <w:t xml:space="preserve"> of audiologists to have positive impacts on First Nations communities. </w:t>
            </w:r>
          </w:p>
          <w:p w14:paraId="73CB1E31" w14:textId="77777777" w:rsidR="007710B6" w:rsidRDefault="007710B6">
            <w:pPr>
              <w:pStyle w:val="BodyText"/>
              <w:rPr>
                <w:b/>
                <w:bCs/>
              </w:rPr>
            </w:pPr>
            <w:r>
              <w:rPr>
                <w:b/>
                <w:bCs/>
              </w:rPr>
              <w:t>Impacts on audiologists</w:t>
            </w:r>
          </w:p>
          <w:p w14:paraId="7A0966B7" w14:textId="6DC4EF18" w:rsidR="007710B6" w:rsidRDefault="007710B6">
            <w:pPr>
              <w:pStyle w:val="BodyText"/>
            </w:pPr>
            <w:r>
              <w:t xml:space="preserve">As noted in Section </w:t>
            </w:r>
            <w:r>
              <w:fldChar w:fldCharType="begin"/>
            </w:r>
            <w:r>
              <w:instrText xml:space="preserve"> REF _Ref172827092 \r \h </w:instrText>
            </w:r>
            <w:r>
              <w:fldChar w:fldCharType="separate"/>
            </w:r>
            <w:r w:rsidR="00F32107">
              <w:t>2.2.4</w:t>
            </w:r>
            <w:r>
              <w:fldChar w:fldCharType="end"/>
            </w:r>
            <w:r>
              <w:t xml:space="preserve">, the majority of the audiology profession is made up of females. To this end, </w:t>
            </w:r>
            <w:r w:rsidR="0087416A">
              <w:t xml:space="preserve">all impacts on audiologists described under the Status Quo – and all incremental impacts under </w:t>
            </w:r>
            <w:r w:rsidR="009D65B6">
              <w:t>National Registration</w:t>
            </w:r>
            <w:r w:rsidR="006E518A">
              <w:t xml:space="preserve">, </w:t>
            </w:r>
            <w:r w:rsidR="009D65B6">
              <w:t>Jurisdictional Registration</w:t>
            </w:r>
            <w:r w:rsidR="008C0042">
              <w:t>,</w:t>
            </w:r>
            <w:r w:rsidR="0087416A">
              <w:t xml:space="preserve"> and the Strengthened Status Quo – would disproportiona</w:t>
            </w:r>
            <w:r w:rsidR="0089068F">
              <w:t>tely</w:t>
            </w:r>
            <w:r w:rsidR="0087416A">
              <w:t xml:space="preserve"> affect females relative to males.</w:t>
            </w:r>
          </w:p>
          <w:p w14:paraId="0F3993EB" w14:textId="77777777" w:rsidR="00D12668" w:rsidRPr="005849AE" w:rsidRDefault="00D12668">
            <w:pPr>
              <w:pStyle w:val="BodyText"/>
              <w:rPr>
                <w:b/>
                <w:bCs/>
              </w:rPr>
            </w:pPr>
            <w:r w:rsidRPr="005849AE">
              <w:rPr>
                <w:b/>
                <w:bCs/>
              </w:rPr>
              <w:t xml:space="preserve">Other </w:t>
            </w:r>
            <w:r w:rsidR="005744C0" w:rsidRPr="005849AE">
              <w:rPr>
                <w:b/>
                <w:bCs/>
              </w:rPr>
              <w:t>impacts</w:t>
            </w:r>
          </w:p>
          <w:p w14:paraId="525229FF" w14:textId="7D4E18A2" w:rsidR="005744C0" w:rsidRDefault="0089068F">
            <w:pPr>
              <w:pStyle w:val="BodyText"/>
            </w:pPr>
            <w:r>
              <w:t>Some</w:t>
            </w:r>
            <w:r w:rsidR="005744C0">
              <w:t xml:space="preserve"> impacts disproportionately affect certain population groups for reasons other than the </w:t>
            </w:r>
            <w:r w:rsidR="006700BE">
              <w:t xml:space="preserve">audiology </w:t>
            </w:r>
            <w:r w:rsidR="005744C0">
              <w:t>patient demographic makeup or the audiology profession demographic makeup</w:t>
            </w:r>
            <w:r w:rsidR="001A2A08">
              <w:t xml:space="preserve"> (e.g., competition impacts)</w:t>
            </w:r>
            <w:r w:rsidR="003F0C43">
              <w:t xml:space="preserve">. These are discussed </w:t>
            </w:r>
            <w:r w:rsidR="001A2A08">
              <w:t xml:space="preserve">throughout this section </w:t>
            </w:r>
            <w:r w:rsidR="003F0C43">
              <w:t>where relevant.</w:t>
            </w:r>
          </w:p>
        </w:tc>
      </w:tr>
    </w:tbl>
    <w:p w14:paraId="0F5BD836" w14:textId="5F3E43EB" w:rsidR="004A1FFC" w:rsidRDefault="00791E1D" w:rsidP="00011823">
      <w:pPr>
        <w:pStyle w:val="Heading2"/>
        <w:numPr>
          <w:ilvl w:val="1"/>
          <w:numId w:val="33"/>
        </w:numPr>
        <w:spacing w:after="0" w:line="280" w:lineRule="atLeast"/>
        <w:ind w:left="936" w:hanging="794"/>
        <w:textboxTightWrap w:val="none"/>
      </w:pPr>
      <w:bookmarkStart w:id="225" w:name="_Ref172874953"/>
      <w:bookmarkStart w:id="226" w:name="_Toc198138631"/>
      <w:r>
        <w:t>Status Quo</w:t>
      </w:r>
      <w:bookmarkEnd w:id="225"/>
      <w:bookmarkEnd w:id="226"/>
    </w:p>
    <w:p w14:paraId="467F08F3" w14:textId="4E42E46A" w:rsidR="00D61C70" w:rsidRDefault="00D61C70" w:rsidP="00D61C70">
      <w:pPr>
        <w:pStyle w:val="Heading3"/>
      </w:pPr>
      <w:bookmarkStart w:id="227" w:name="_Toc198138632"/>
      <w:r>
        <w:t>Impact assessment framework</w:t>
      </w:r>
      <w:bookmarkEnd w:id="227"/>
    </w:p>
    <w:p w14:paraId="63FD02E6" w14:textId="6A671A64" w:rsidR="0042023B" w:rsidRDefault="0042023B" w:rsidP="0042023B">
      <w:pPr>
        <w:pStyle w:val="BodyText"/>
      </w:pPr>
      <w:r w:rsidRPr="007C59B2">
        <w:t xml:space="preserve">The identified impact streams associated with </w:t>
      </w:r>
      <w:r>
        <w:t xml:space="preserve">the </w:t>
      </w:r>
      <w:r w:rsidR="00EC2F33">
        <w:t>Status Quo</w:t>
      </w:r>
      <w:r w:rsidRPr="007C59B2">
        <w:t xml:space="preserve"> are outlined in</w:t>
      </w:r>
      <w:r>
        <w:t xml:space="preserve"> </w:t>
      </w:r>
      <w:r w:rsidR="008A57B0">
        <w:fldChar w:fldCharType="begin"/>
      </w:r>
      <w:r w:rsidR="008A57B0">
        <w:instrText xml:space="preserve"> REF _Ref172795872 \h </w:instrText>
      </w:r>
      <w:r w:rsidR="008A57B0">
        <w:fldChar w:fldCharType="separate"/>
      </w:r>
      <w:r w:rsidR="00F32107">
        <w:t xml:space="preserve">Figure </w:t>
      </w:r>
      <w:r w:rsidR="00F32107">
        <w:rPr>
          <w:noProof/>
        </w:rPr>
        <w:t>8</w:t>
      </w:r>
      <w:r w:rsidR="00F32107">
        <w:t>.</w:t>
      </w:r>
      <w:r w:rsidR="00F32107">
        <w:rPr>
          <w:noProof/>
        </w:rPr>
        <w:t>1</w:t>
      </w:r>
      <w:r w:rsidR="008A57B0">
        <w:fldChar w:fldCharType="end"/>
      </w:r>
      <w:r>
        <w:t xml:space="preserve"> </w:t>
      </w:r>
      <w:r w:rsidRPr="007C59B2">
        <w:t>by stakeholder group</w:t>
      </w:r>
      <w:r>
        <w:t>.</w:t>
      </w:r>
    </w:p>
    <w:p w14:paraId="55DAC86A" w14:textId="630620A1" w:rsidR="0042023B" w:rsidRDefault="0042023B" w:rsidP="0042023B">
      <w:pPr>
        <w:pStyle w:val="Caption"/>
        <w:keepNext/>
      </w:pPr>
      <w:bookmarkStart w:id="228" w:name="_Ref172795872"/>
      <w:r>
        <w:t xml:space="preserve">Figure </w:t>
      </w:r>
      <w:fldSimple w:instr=" STYLEREF 1 \s ">
        <w:r w:rsidR="00F32107">
          <w:rPr>
            <w:noProof/>
          </w:rPr>
          <w:t>8</w:t>
        </w:r>
      </w:fldSimple>
      <w:r w:rsidR="00222D06">
        <w:t>.</w:t>
      </w:r>
      <w:fldSimple w:instr=" SEQ Figure \* ARABIC \s 1 ">
        <w:r w:rsidR="00F32107">
          <w:rPr>
            <w:noProof/>
          </w:rPr>
          <w:t>1</w:t>
        </w:r>
      </w:fldSimple>
      <w:bookmarkEnd w:id="228"/>
      <w:r>
        <w:t xml:space="preserve"> Impact assessment for </w:t>
      </w:r>
      <w:r w:rsidR="00686473">
        <w:t>Status Quo</w:t>
      </w:r>
    </w:p>
    <w:p w14:paraId="5752E156" w14:textId="1CB388A2" w:rsidR="00C31DE3" w:rsidRDefault="000B1438" w:rsidP="0042023B">
      <w:pPr>
        <w:pStyle w:val="BodyText"/>
      </w:pPr>
      <w:r w:rsidRPr="000B1438">
        <w:rPr>
          <w:noProof/>
          <w:lang w:eastAsia="en-AU"/>
        </w:rPr>
        <w:drawing>
          <wp:inline distT="0" distB="0" distL="0" distR="0" wp14:anchorId="5C7591BF" wp14:editId="73AEC75C">
            <wp:extent cx="5615940" cy="2780030"/>
            <wp:effectExtent l="0" t="0" r="3810" b="1270"/>
            <wp:docPr id="236464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5940" cy="2780030"/>
                    </a:xfrm>
                    <a:prstGeom prst="rect">
                      <a:avLst/>
                    </a:prstGeom>
                    <a:noFill/>
                    <a:ln>
                      <a:noFill/>
                    </a:ln>
                  </pic:spPr>
                </pic:pic>
              </a:graphicData>
            </a:graphic>
          </wp:inline>
        </w:drawing>
      </w:r>
    </w:p>
    <w:p w14:paraId="27E1484D" w14:textId="369B9555" w:rsidR="00D61C70" w:rsidRDefault="00D61C70" w:rsidP="00D61C70">
      <w:pPr>
        <w:pStyle w:val="Heading3"/>
      </w:pPr>
      <w:bookmarkStart w:id="229" w:name="_Toc198138633"/>
      <w:r>
        <w:t>Impact analysis</w:t>
      </w:r>
      <w:bookmarkEnd w:id="229"/>
    </w:p>
    <w:p w14:paraId="75225E52" w14:textId="17694309" w:rsidR="00285128" w:rsidRPr="00285128" w:rsidRDefault="00F872E4" w:rsidP="00285128">
      <w:pPr>
        <w:pStyle w:val="Heading4"/>
      </w:pPr>
      <w:r>
        <w:t xml:space="preserve">Patient </w:t>
      </w:r>
      <w:r w:rsidR="00D60C62">
        <w:t xml:space="preserve">short-term </w:t>
      </w:r>
      <w:r w:rsidR="00331985">
        <w:t xml:space="preserve">quality of life </w:t>
      </w:r>
      <w:r w:rsidR="00D60C62">
        <w:t xml:space="preserve">associated with </w:t>
      </w:r>
      <w:r w:rsidR="00BF3B87">
        <w:t>unaddressed hearing loss</w:t>
      </w:r>
    </w:p>
    <w:p w14:paraId="10E97EC0" w14:textId="7D51A8B4" w:rsidR="00795DED" w:rsidRPr="00795DED" w:rsidRDefault="00795DED" w:rsidP="00795DED">
      <w:pPr>
        <w:pStyle w:val="BodyText"/>
      </w:pPr>
      <w:r>
        <w:t xml:space="preserve">As noted in Section </w:t>
      </w:r>
      <w:r>
        <w:fldChar w:fldCharType="begin"/>
      </w:r>
      <w:r>
        <w:instrText xml:space="preserve"> REF _Ref171318838 \r \h </w:instrText>
      </w:r>
      <w:r>
        <w:fldChar w:fldCharType="separate"/>
      </w:r>
      <w:r w:rsidR="00F32107">
        <w:t>7.6</w:t>
      </w:r>
      <w:r>
        <w:fldChar w:fldCharType="end"/>
      </w:r>
      <w:r>
        <w:t xml:space="preserve">, consultations and the public sector external reviews highlighted a number of patient types (patient personas) that are at greater risk of substandard care and long-term adverse outcomes under the </w:t>
      </w:r>
      <w:r w:rsidR="00A80F45">
        <w:t>Status Quo</w:t>
      </w:r>
      <w:r>
        <w:t>. A summary of these personas, the harms that may be experienced, and the associated social and economic impacts are summarised in</w:t>
      </w:r>
      <w:r w:rsidR="00A65BE0">
        <w:t xml:space="preserve"> </w:t>
      </w:r>
      <w:r w:rsidR="00A65BE0">
        <w:fldChar w:fldCharType="begin"/>
      </w:r>
      <w:r w:rsidR="00A65BE0">
        <w:instrText xml:space="preserve"> REF _Ref172874370 \h </w:instrText>
      </w:r>
      <w:r w:rsidR="00A65BE0">
        <w:fldChar w:fldCharType="separate"/>
      </w:r>
      <w:r w:rsidR="00F32107">
        <w:t xml:space="preserve">Figure </w:t>
      </w:r>
      <w:r w:rsidR="00F32107">
        <w:rPr>
          <w:noProof/>
        </w:rPr>
        <w:t>7</w:t>
      </w:r>
      <w:r w:rsidR="00F32107">
        <w:t>.</w:t>
      </w:r>
      <w:r w:rsidR="00F32107">
        <w:rPr>
          <w:noProof/>
        </w:rPr>
        <w:t>3</w:t>
      </w:r>
      <w:r w:rsidR="00A65BE0">
        <w:fldChar w:fldCharType="end"/>
      </w:r>
      <w:r w:rsidR="00A65BE0">
        <w:t>.</w:t>
      </w:r>
    </w:p>
    <w:p w14:paraId="49E3EA9F" w14:textId="6AF27659" w:rsidR="00D1748F" w:rsidRDefault="00A651AE" w:rsidP="00A651AE">
      <w:pPr>
        <w:pStyle w:val="BodyText"/>
      </w:pPr>
      <w:r>
        <w:t xml:space="preserve">The primary short-term impact for the patient is the immediate quality of life impact of </w:t>
      </w:r>
      <w:r w:rsidR="00EE02E0">
        <w:t>unaddressed</w:t>
      </w:r>
      <w:r>
        <w:t xml:space="preserve"> hearing loss. The analysis presented in Section </w:t>
      </w:r>
      <w:r w:rsidR="00F13E83">
        <w:fldChar w:fldCharType="begin"/>
      </w:r>
      <w:r w:rsidR="00F13E83">
        <w:instrText xml:space="preserve"> REF _Ref172536929 \r \h </w:instrText>
      </w:r>
      <w:r w:rsidR="00F13E83">
        <w:fldChar w:fldCharType="separate"/>
      </w:r>
      <w:r w:rsidR="00F32107">
        <w:t>7.6.1</w:t>
      </w:r>
      <w:r w:rsidR="00F13E83">
        <w:fldChar w:fldCharType="end"/>
      </w:r>
      <w:r w:rsidR="00F13E83">
        <w:t xml:space="preserve"> est</w:t>
      </w:r>
      <w:r w:rsidR="00D1748F">
        <w:t>imates</w:t>
      </w:r>
      <w:r w:rsidR="00F13E83">
        <w:t xml:space="preserve"> </w:t>
      </w:r>
      <w:r>
        <w:t xml:space="preserve">the </w:t>
      </w:r>
      <w:r w:rsidR="00D41638">
        <w:t xml:space="preserve">short-term </w:t>
      </w:r>
      <w:r>
        <w:t xml:space="preserve">value of reduced quality of life associated with </w:t>
      </w:r>
      <w:r w:rsidRPr="009808C9">
        <w:t xml:space="preserve">unaddressed hearing loss </w:t>
      </w:r>
      <w:r w:rsidR="00D1748F">
        <w:t>for two specific persona types:</w:t>
      </w:r>
    </w:p>
    <w:p w14:paraId="5E36F160" w14:textId="3EC00AE3" w:rsidR="00A651AE" w:rsidRDefault="00ED4B6C" w:rsidP="00BC5810">
      <w:pPr>
        <w:pStyle w:val="ListBullet"/>
      </w:pPr>
      <w:r>
        <w:t>Incorrect infant cochlear mapping –</w:t>
      </w:r>
      <w:r w:rsidR="00A651AE">
        <w:t xml:space="preserve"> FY25 NPV </w:t>
      </w:r>
      <w:r w:rsidR="00A651AE" w:rsidRPr="005D3CD8">
        <w:t>$</w:t>
      </w:r>
      <w:r w:rsidR="00B002A6">
        <w:t>74,</w:t>
      </w:r>
      <w:r w:rsidR="00245FD2">
        <w:t>393</w:t>
      </w:r>
      <w:r w:rsidR="00A651AE">
        <w:t xml:space="preserve"> per case of incorrect </w:t>
      </w:r>
      <w:r w:rsidR="00F13E83">
        <w:t>infant</w:t>
      </w:r>
      <w:r w:rsidR="00A651AE">
        <w:t xml:space="preserve"> cochlear mapping</w:t>
      </w:r>
      <w:r>
        <w:t>.</w:t>
      </w:r>
    </w:p>
    <w:p w14:paraId="7A23CB88" w14:textId="17092321" w:rsidR="00ED4B6C" w:rsidRDefault="00DB6232" w:rsidP="00BC5810">
      <w:pPr>
        <w:pStyle w:val="ListBullet"/>
      </w:pPr>
      <w:r>
        <w:t>I</w:t>
      </w:r>
      <w:r w:rsidR="00ED4B6C">
        <w:t xml:space="preserve">mproper neonatal screening – FY25 NPV </w:t>
      </w:r>
      <w:r w:rsidR="00ED4B6C" w:rsidRPr="005D3CD8">
        <w:t>$</w:t>
      </w:r>
      <w:r w:rsidR="002947E9">
        <w:t>47,454</w:t>
      </w:r>
      <w:r w:rsidR="00ED4B6C">
        <w:t xml:space="preserve"> per case of improper neonatal screening.</w:t>
      </w:r>
    </w:p>
    <w:p w14:paraId="76FEF05E" w14:textId="5FAB60D3" w:rsidR="00DD4505" w:rsidRDefault="00153E6E" w:rsidP="00F55624">
      <w:pPr>
        <w:pStyle w:val="NoSpacing"/>
        <w:rPr>
          <w:lang w:val="en-US"/>
        </w:rPr>
      </w:pPr>
      <w:r w:rsidRPr="293E3168">
        <w:rPr>
          <w:lang w:val="en-US"/>
        </w:rPr>
        <w:t xml:space="preserve">Due to the issues described in Section </w:t>
      </w:r>
      <w:r w:rsidRPr="00DD4505">
        <w:fldChar w:fldCharType="begin"/>
      </w:r>
      <w:r w:rsidRPr="00DD4505">
        <w:instrText xml:space="preserve"> REF _Ref170058163 \r \h  \* MERGEFORMAT </w:instrText>
      </w:r>
      <w:r w:rsidRPr="00DD4505">
        <w:fldChar w:fldCharType="separate"/>
      </w:r>
      <w:r w:rsidR="00F32107" w:rsidRPr="00F32107">
        <w:rPr>
          <w:lang w:val="en-US"/>
        </w:rPr>
        <w:t>3.4</w:t>
      </w:r>
      <w:r w:rsidRPr="00DD4505">
        <w:fldChar w:fldCharType="end"/>
      </w:r>
      <w:r w:rsidRPr="293E3168">
        <w:rPr>
          <w:lang w:val="en-US"/>
        </w:rPr>
        <w:t xml:space="preserve">, the actual incidence of substandard care under the </w:t>
      </w:r>
      <w:r w:rsidR="00A80F45">
        <w:rPr>
          <w:lang w:val="en-US"/>
        </w:rPr>
        <w:t>Status Quo</w:t>
      </w:r>
      <w:r w:rsidRPr="293E3168">
        <w:rPr>
          <w:lang w:val="en-US"/>
        </w:rPr>
        <w:t xml:space="preserve"> could not be quantified at a national level.</w:t>
      </w:r>
      <w:r w:rsidR="00DD4505" w:rsidRPr="293E3168">
        <w:rPr>
          <w:lang w:val="en-US"/>
        </w:rPr>
        <w:t xml:space="preserve"> It was thus not possible to </w:t>
      </w:r>
      <w:r w:rsidR="00874999">
        <w:rPr>
          <w:lang w:val="en-US"/>
        </w:rPr>
        <w:t xml:space="preserve">value the total </w:t>
      </w:r>
      <w:r w:rsidR="00DD4505" w:rsidRPr="293E3168">
        <w:rPr>
          <w:lang w:val="en-US"/>
        </w:rPr>
        <w:t xml:space="preserve">patient short-term quality of life </w:t>
      </w:r>
      <w:r w:rsidR="00C11254" w:rsidRPr="293E3168">
        <w:rPr>
          <w:lang w:val="en-US"/>
        </w:rPr>
        <w:t xml:space="preserve">impacts </w:t>
      </w:r>
      <w:r w:rsidR="00DD4505" w:rsidRPr="293E3168">
        <w:rPr>
          <w:lang w:val="en-US"/>
        </w:rPr>
        <w:t>associated with unaddressed hearing loss</w:t>
      </w:r>
      <w:r w:rsidR="00C11254" w:rsidRPr="293E3168">
        <w:rPr>
          <w:lang w:val="en-US"/>
        </w:rPr>
        <w:t xml:space="preserve"> under the </w:t>
      </w:r>
      <w:r w:rsidR="00A80F45">
        <w:rPr>
          <w:lang w:val="en-US"/>
        </w:rPr>
        <w:t>Status Quo</w:t>
      </w:r>
      <w:r w:rsidR="00C11254" w:rsidRPr="293E3168">
        <w:rPr>
          <w:lang w:val="en-US"/>
        </w:rPr>
        <w:t>.</w:t>
      </w:r>
    </w:p>
    <w:p w14:paraId="75F78BEA" w14:textId="77777777" w:rsidR="000150D9" w:rsidRDefault="000150D9" w:rsidP="000150D9">
      <w:pPr>
        <w:pStyle w:val="Heading4"/>
      </w:pPr>
      <w:r>
        <w:t>Long-term social and economic outcomes associated with substandard care – for patients, families/carers and government services</w:t>
      </w:r>
    </w:p>
    <w:p w14:paraId="21F7D316" w14:textId="57BF28DC" w:rsidR="007F0090" w:rsidRDefault="007F0090" w:rsidP="007F0090">
      <w:pPr>
        <w:pStyle w:val="BodyText"/>
      </w:pPr>
      <w:r w:rsidRPr="00024100">
        <w:t xml:space="preserve">As </w:t>
      </w:r>
      <w:r>
        <w:t xml:space="preserve">noted in Section </w:t>
      </w:r>
      <w:r>
        <w:fldChar w:fldCharType="begin"/>
      </w:r>
      <w:r>
        <w:instrText xml:space="preserve"> REF _Ref170033230 \r \h </w:instrText>
      </w:r>
      <w:r>
        <w:fldChar w:fldCharType="separate"/>
      </w:r>
      <w:r w:rsidR="00F32107">
        <w:t>7.6.2</w:t>
      </w:r>
      <w:r>
        <w:fldChar w:fldCharType="end"/>
      </w:r>
      <w:r>
        <w:t xml:space="preserve">, </w:t>
      </w:r>
      <w:r w:rsidRPr="00024100">
        <w:t>where substandard care results in delayed time to diagnosis</w:t>
      </w:r>
      <w:r>
        <w:t xml:space="preserve"> or appropriate treatment</w:t>
      </w:r>
      <w:r w:rsidRPr="00024100">
        <w:t xml:space="preserve">, this can have long-term social and economic impacts for patients, families/carers, and government services, especially where diagnosis occurs after a ‘critical period’. Critical period refers to the specific window of time during development when the brain is receptive to certain types of auditory input. </w:t>
      </w:r>
      <w:r>
        <w:t>Delayed diagnosis</w:t>
      </w:r>
      <w:r w:rsidRPr="00024100">
        <w:t xml:space="preserve"> beyond this period can have a negative effect on speech and language development and result in</w:t>
      </w:r>
      <w:r>
        <w:t xml:space="preserve"> long-term</w:t>
      </w:r>
      <w:r w:rsidRPr="00024100">
        <w:t xml:space="preserve"> sensory, cognitive, emotional </w:t>
      </w:r>
      <w:r>
        <w:t>impairments</w:t>
      </w:r>
      <w:r w:rsidRPr="00024100">
        <w:t>.</w:t>
      </w:r>
      <w:r w:rsidRPr="00024100">
        <w:rPr>
          <w:rStyle w:val="FootnoteReference"/>
          <w:color w:val="000000" w:themeColor="text1"/>
        </w:rPr>
        <w:footnoteReference w:id="256"/>
      </w:r>
    </w:p>
    <w:p w14:paraId="7D1570D7" w14:textId="2487AA1E" w:rsidR="004B5412" w:rsidRDefault="004B5412" w:rsidP="004B5412">
      <w:pPr>
        <w:pStyle w:val="NoSpacing"/>
        <w:rPr>
          <w:lang w:val="en-US"/>
        </w:rPr>
      </w:pPr>
      <w:r>
        <w:rPr>
          <w:lang w:val="en-US"/>
        </w:rPr>
        <w:t>Review of the</w:t>
      </w:r>
      <w:r w:rsidRPr="74BF0985">
        <w:rPr>
          <w:lang w:val="en-US"/>
        </w:rPr>
        <w:t xml:space="preserve"> literature </w:t>
      </w:r>
      <w:r>
        <w:rPr>
          <w:lang w:val="en-US"/>
        </w:rPr>
        <w:t>provides evidence of other</w:t>
      </w:r>
      <w:r w:rsidRPr="74BF0985">
        <w:rPr>
          <w:lang w:val="en-US"/>
        </w:rPr>
        <w:t xml:space="preserve"> economic and social costs to patients, families/carers and government services associated with delayed time to diagnosis or appropriate treatment (for more detail refer to Section </w:t>
      </w:r>
      <w:r>
        <w:fldChar w:fldCharType="begin"/>
      </w:r>
      <w:r>
        <w:instrText xml:space="preserve"> REF _Ref170033230 \r \h </w:instrText>
      </w:r>
      <w:r>
        <w:fldChar w:fldCharType="separate"/>
      </w:r>
      <w:r w:rsidR="00F32107">
        <w:t>7.6.2</w:t>
      </w:r>
      <w:r>
        <w:fldChar w:fldCharType="end"/>
      </w:r>
      <w:r w:rsidRPr="74BF0985">
        <w:rPr>
          <w:lang w:val="en-US"/>
        </w:rPr>
        <w:t>):</w:t>
      </w:r>
    </w:p>
    <w:p w14:paraId="2ED15AFF" w14:textId="77777777" w:rsidR="008F7328" w:rsidRDefault="008F7328" w:rsidP="008F7328">
      <w:pPr>
        <w:pStyle w:val="BodyText"/>
        <w:numPr>
          <w:ilvl w:val="0"/>
          <w:numId w:val="45"/>
        </w:numPr>
      </w:pPr>
      <w:r>
        <w:t>For infants who require cochlear implantation, i</w:t>
      </w:r>
      <w:r w:rsidRPr="4765A4D6">
        <w:t xml:space="preserve">mmediate and appropriate intervention </w:t>
      </w:r>
      <w:r>
        <w:t>has been shown to result in better</w:t>
      </w:r>
      <w:r w:rsidRPr="4765A4D6">
        <w:t xml:space="preserve"> vocabulary development, receptive and expressive language syntax, speech production and social-emotional development</w:t>
      </w:r>
      <w:r>
        <w:t xml:space="preserve"> relative to delayed intervention.</w:t>
      </w:r>
      <w:r>
        <w:rPr>
          <w:rStyle w:val="FootnoteReference"/>
        </w:rPr>
        <w:footnoteReference w:id="257"/>
      </w:r>
    </w:p>
    <w:p w14:paraId="40699DA3" w14:textId="1E7452A2" w:rsidR="008F7328" w:rsidRPr="00024100" w:rsidRDefault="008F7328" w:rsidP="00975F8A">
      <w:pPr>
        <w:pStyle w:val="BodyText"/>
        <w:numPr>
          <w:ilvl w:val="0"/>
          <w:numId w:val="45"/>
        </w:numPr>
      </w:pPr>
      <w:r>
        <w:t xml:space="preserve">The financial </w:t>
      </w:r>
      <w:r w:rsidR="00975F8A">
        <w:t xml:space="preserve">and emotional </w:t>
      </w:r>
      <w:r>
        <w:t>impact of delayed speech and language development can be significant for families/carers</w:t>
      </w:r>
      <w:r w:rsidR="00975F8A">
        <w:t>, including for a diagnostic odyssey</w:t>
      </w:r>
      <w:r>
        <w:t xml:space="preserve">. Stakeholder consultations highlighted that in cases of unaddressed hearing loss, </w:t>
      </w:r>
      <w:r w:rsidRPr="004900D6">
        <w:t xml:space="preserve">it is not uncommon for </w:t>
      </w:r>
      <w:r>
        <w:t>families/carers</w:t>
      </w:r>
      <w:r w:rsidRPr="004900D6">
        <w:t xml:space="preserve"> to seek treatment for autism spectrum disorder (ASD) as the presentation of behavioural symptoms is similar.</w:t>
      </w:r>
      <w:r>
        <w:t xml:space="preserve"> </w:t>
      </w:r>
    </w:p>
    <w:p w14:paraId="7FA64D2F" w14:textId="2F61A3C9" w:rsidR="00BC453B" w:rsidRPr="00DE0470" w:rsidRDefault="006908BB" w:rsidP="00F24996">
      <w:pPr>
        <w:pStyle w:val="BodyText"/>
        <w:numPr>
          <w:ilvl w:val="0"/>
          <w:numId w:val="45"/>
        </w:numPr>
      </w:pPr>
      <w:r w:rsidRPr="00DE0470">
        <w:rPr>
          <w:rFonts w:cstheme="minorHAnsi"/>
        </w:rPr>
        <w:t xml:space="preserve">Analysis in Section </w:t>
      </w:r>
      <w:r w:rsidR="00DE0470" w:rsidRPr="00DE0470">
        <w:rPr>
          <w:rFonts w:cstheme="minorHAnsi"/>
        </w:rPr>
        <w:fldChar w:fldCharType="begin"/>
      </w:r>
      <w:r w:rsidR="00DE0470" w:rsidRPr="00DE0470">
        <w:rPr>
          <w:rFonts w:cstheme="minorHAnsi"/>
        </w:rPr>
        <w:instrText xml:space="preserve"> REF _Ref172538358 \r \h </w:instrText>
      </w:r>
      <w:r w:rsidR="00DE0470" w:rsidRPr="00DE0470">
        <w:rPr>
          <w:rFonts w:cstheme="minorHAnsi"/>
        </w:rPr>
      </w:r>
      <w:r w:rsidR="00DE0470" w:rsidRPr="00DE0470">
        <w:rPr>
          <w:rFonts w:cstheme="minorHAnsi"/>
        </w:rPr>
        <w:fldChar w:fldCharType="separate"/>
      </w:r>
      <w:r w:rsidR="00F32107">
        <w:rPr>
          <w:rFonts w:cstheme="minorHAnsi"/>
        </w:rPr>
        <w:t>7.6.2.1.2</w:t>
      </w:r>
      <w:r w:rsidR="00DE0470" w:rsidRPr="00DE0470">
        <w:rPr>
          <w:rFonts w:cstheme="minorHAnsi"/>
        </w:rPr>
        <w:fldChar w:fldCharType="end"/>
      </w:r>
      <w:r w:rsidR="00DE0470" w:rsidRPr="00DE0470">
        <w:rPr>
          <w:rFonts w:cstheme="minorHAnsi"/>
        </w:rPr>
        <w:t xml:space="preserve"> estimates a long-term</w:t>
      </w:r>
      <w:r w:rsidR="00BC453B">
        <w:t xml:space="preserve"> wellbeing loss of NPV $</w:t>
      </w:r>
      <w:r w:rsidR="007B2BD7">
        <w:t>52</w:t>
      </w:r>
      <w:r w:rsidR="00186A0B">
        <w:t>,404</w:t>
      </w:r>
      <w:r w:rsidR="00BC453B">
        <w:t xml:space="preserve"> per case of incorrect infant cochlear mapping. When combined with the previously estimated NPV </w:t>
      </w:r>
      <w:r w:rsidR="00BC453B" w:rsidRPr="005D3CD8">
        <w:t>$</w:t>
      </w:r>
      <w:r w:rsidR="00186A0B">
        <w:t>74</w:t>
      </w:r>
      <w:r w:rsidR="00EE6D85">
        <w:t>,</w:t>
      </w:r>
      <w:r w:rsidR="00186A0B">
        <w:t>393</w:t>
      </w:r>
      <w:r w:rsidR="00BC453B">
        <w:t xml:space="preserve"> associated with the immediate patient quality of life impact associated with the short-term period of unaddressed hearing loss, it is estimated that the lifetime patient quality of life impact for a case of incorrect infant cochlear mapping that occur</w:t>
      </w:r>
      <w:r w:rsidR="00D15CF7">
        <w:t>s</w:t>
      </w:r>
      <w:r w:rsidR="00BC453B">
        <w:t xml:space="preserve"> in FY2</w:t>
      </w:r>
      <w:r w:rsidR="00AE205C">
        <w:t>9</w:t>
      </w:r>
      <w:r w:rsidR="00BC453B">
        <w:t xml:space="preserve"> is </w:t>
      </w:r>
      <w:r w:rsidR="00AE205C">
        <w:t xml:space="preserve">FY25 </w:t>
      </w:r>
      <w:r w:rsidR="00BC453B">
        <w:t>NPV $</w:t>
      </w:r>
      <w:r w:rsidR="00007CF2">
        <w:t>126,</w:t>
      </w:r>
      <w:r w:rsidR="00DC06EA">
        <w:t>797</w:t>
      </w:r>
      <w:r w:rsidR="00BC453B">
        <w:t>.</w:t>
      </w:r>
      <w:r w:rsidR="006873CC">
        <w:rPr>
          <w:rStyle w:val="FootnoteReference"/>
        </w:rPr>
        <w:footnoteReference w:id="258"/>
      </w:r>
    </w:p>
    <w:p w14:paraId="16388FFC" w14:textId="525DE3A2" w:rsidR="00FF20FE" w:rsidRDefault="00FF20FE" w:rsidP="00F24996">
      <w:pPr>
        <w:pStyle w:val="BodyText"/>
        <w:numPr>
          <w:ilvl w:val="0"/>
          <w:numId w:val="45"/>
        </w:numPr>
      </w:pPr>
      <w:r>
        <w:t>A</w:t>
      </w:r>
      <w:r w:rsidRPr="00354A8B">
        <w:t xml:space="preserve">voidable costs to government health and social services and welfare payment programs. To the extent that </w:t>
      </w:r>
      <w:r w:rsidRPr="00354A8B">
        <w:rPr>
          <w:rFonts w:cstheme="minorHAnsi"/>
        </w:rPr>
        <w:t>delayed time to diagnosis</w:t>
      </w:r>
      <w:r>
        <w:rPr>
          <w:rFonts w:cstheme="minorHAnsi"/>
        </w:rPr>
        <w:t xml:space="preserve"> or appropriate treatment leads to </w:t>
      </w:r>
      <w:r w:rsidRPr="00024100">
        <w:t xml:space="preserve">sensory, cognitive, emotional </w:t>
      </w:r>
      <w:r>
        <w:t>impairments in</w:t>
      </w:r>
      <w:r w:rsidRPr="00024100">
        <w:t xml:space="preserve"> adulthood</w:t>
      </w:r>
      <w:r>
        <w:t xml:space="preserve">, this can increase utilisation of health and social services, such as speech pathology and medical services, Disability Carer Payments to families/carers, </w:t>
      </w:r>
      <w:r w:rsidR="00C04210">
        <w:t xml:space="preserve">NDIS </w:t>
      </w:r>
      <w:r>
        <w:t>payments, and disability student loading payments to schools.</w:t>
      </w:r>
      <w:r w:rsidR="0010638C">
        <w:rPr>
          <w:rStyle w:val="FootnoteReference"/>
        </w:rPr>
        <w:footnoteReference w:id="259"/>
      </w:r>
    </w:p>
    <w:p w14:paraId="26ECEB49" w14:textId="2E8D7270" w:rsidR="00EA5CB1" w:rsidRDefault="00EA5CB1" w:rsidP="00EA5CB1">
      <w:pPr>
        <w:pStyle w:val="Heading4"/>
      </w:pPr>
      <w:r>
        <w:t xml:space="preserve">Consumer understanding of </w:t>
      </w:r>
      <w:r w:rsidR="008E4803">
        <w:t>audiologists and audiometrists</w:t>
      </w:r>
    </w:p>
    <w:p w14:paraId="7ECBE900" w14:textId="5198388B" w:rsidR="008E7E5E" w:rsidRDefault="007D4866" w:rsidP="008E7E5E">
      <w:pPr>
        <w:pStyle w:val="BodyText"/>
      </w:pPr>
      <w:r>
        <w:t>Without protection of title for audiologists, s</w:t>
      </w:r>
      <w:r w:rsidR="008E7E5E">
        <w:t xml:space="preserve">takeholders described issues </w:t>
      </w:r>
      <w:r>
        <w:t xml:space="preserve">under the Status Quo </w:t>
      </w:r>
      <w:r w:rsidR="00D142A3">
        <w:t>related to</w:t>
      </w:r>
      <w:r w:rsidR="008E7E5E">
        <w:t xml:space="preserve"> information asymmetr</w:t>
      </w:r>
      <w:r w:rsidR="00D142A3">
        <w:t>ies</w:t>
      </w:r>
      <w:r w:rsidR="008E7E5E">
        <w:t xml:space="preserve"> </w:t>
      </w:r>
      <w:r w:rsidR="00D142A3">
        <w:t xml:space="preserve">that make it challenging for </w:t>
      </w:r>
      <w:r w:rsidR="008E7E5E">
        <w:t xml:space="preserve">consumers to judge whether the person treating them is an appropriate health care provider. </w:t>
      </w:r>
      <w:r w:rsidR="00D142A3">
        <w:t xml:space="preserve">Stakeholders cited examples of </w:t>
      </w:r>
      <w:r w:rsidR="00931F01">
        <w:t xml:space="preserve">low consumer literacy related to </w:t>
      </w:r>
      <w:r w:rsidR="00FD271E">
        <w:t xml:space="preserve">differences in the skills and scope of </w:t>
      </w:r>
      <w:r w:rsidR="00931F01">
        <w:t>an audiologist</w:t>
      </w:r>
      <w:r w:rsidR="0089256C">
        <w:t xml:space="preserve"> and</w:t>
      </w:r>
      <w:r w:rsidR="00931F01">
        <w:t xml:space="preserve"> an audiometrist</w:t>
      </w:r>
      <w:r w:rsidR="0018164E">
        <w:t xml:space="preserve">, </w:t>
      </w:r>
      <w:r w:rsidR="00FE540C">
        <w:t xml:space="preserve">and </w:t>
      </w:r>
      <w:r w:rsidR="00F97EF8">
        <w:t>challenges discerning</w:t>
      </w:r>
      <w:r w:rsidR="002F0C96">
        <w:t xml:space="preserve"> </w:t>
      </w:r>
      <w:r w:rsidR="00F97EF8">
        <w:t xml:space="preserve">whether </w:t>
      </w:r>
      <w:r w:rsidR="00CD48F2">
        <w:t xml:space="preserve">a practitioner is </w:t>
      </w:r>
      <w:r w:rsidR="002F0C96">
        <w:t>appropriately qualified</w:t>
      </w:r>
      <w:r w:rsidR="00CD48F2">
        <w:t xml:space="preserve"> due to </w:t>
      </w:r>
      <w:r w:rsidR="00F97EF8">
        <w:t xml:space="preserve">a lack of specificity in consumer-facing </w:t>
      </w:r>
      <w:r w:rsidR="009B4F39">
        <w:t>language</w:t>
      </w:r>
      <w:r w:rsidR="00284098">
        <w:t>. This information asymmetry</w:t>
      </w:r>
      <w:r w:rsidR="00DE0A4E">
        <w:t xml:space="preserve"> </w:t>
      </w:r>
      <w:r w:rsidR="009B4F39">
        <w:t xml:space="preserve">may </w:t>
      </w:r>
      <w:r w:rsidR="0018164E">
        <w:t>contribute to the incidence of substandard care.</w:t>
      </w:r>
    </w:p>
    <w:p w14:paraId="09307A2E" w14:textId="33028084" w:rsidR="00284098" w:rsidRDefault="00284098" w:rsidP="00284098">
      <w:pPr>
        <w:pStyle w:val="Heading4"/>
      </w:pPr>
      <w:r>
        <w:t xml:space="preserve">Out-of-pocket costs associated with use of private </w:t>
      </w:r>
      <w:r w:rsidR="000B1438">
        <w:t xml:space="preserve">sector audiologists </w:t>
      </w:r>
      <w:r>
        <w:t xml:space="preserve">without </w:t>
      </w:r>
      <w:r w:rsidR="00D3647B">
        <w:t xml:space="preserve">current clinical </w:t>
      </w:r>
      <w:r w:rsidR="00A80F45">
        <w:t>certification</w:t>
      </w:r>
    </w:p>
    <w:p w14:paraId="46210D12" w14:textId="3BC5D434" w:rsidR="00A80F45" w:rsidRPr="00A80F45" w:rsidRDefault="00A80F45" w:rsidP="00A80F45">
      <w:pPr>
        <w:pStyle w:val="BodyText"/>
      </w:pPr>
      <w:r>
        <w:t xml:space="preserve">As noted in Section </w:t>
      </w:r>
      <w:r w:rsidR="003A5388">
        <w:fldChar w:fldCharType="begin"/>
      </w:r>
      <w:r w:rsidR="003A5388">
        <w:instrText xml:space="preserve"> REF _Ref191663160 \r \h </w:instrText>
      </w:r>
      <w:r w:rsidR="003A5388">
        <w:fldChar w:fldCharType="separate"/>
      </w:r>
      <w:r w:rsidR="00F32107">
        <w:t>2.5</w:t>
      </w:r>
      <w:r w:rsidR="003A5388">
        <w:fldChar w:fldCharType="end"/>
      </w:r>
      <w:r>
        <w:t xml:space="preserve">, to claim funding for </w:t>
      </w:r>
      <w:r w:rsidR="00C03D08">
        <w:t>a range of service delivery programs</w:t>
      </w:r>
      <w:r>
        <w:t xml:space="preserve"> </w:t>
      </w:r>
      <w:r w:rsidR="00C03D08">
        <w:t xml:space="preserve">audiologists </w:t>
      </w:r>
      <w:r>
        <w:t xml:space="preserve">are required to hold membership </w:t>
      </w:r>
      <w:r w:rsidR="00AF6102">
        <w:t>and/or</w:t>
      </w:r>
      <w:r>
        <w:t xml:space="preserve"> current clinical certification. It is estimated tha</w:t>
      </w:r>
      <w:r w:rsidR="00D447C6">
        <w:t>t</w:t>
      </w:r>
      <w:r>
        <w:t xml:space="preserve"> </w:t>
      </w:r>
      <w:r w:rsidR="00B40D5B">
        <w:t xml:space="preserve">only a </w:t>
      </w:r>
      <w:r w:rsidR="00630A57">
        <w:t>very small</w:t>
      </w:r>
      <w:r w:rsidR="00B40D5B">
        <w:t xml:space="preserve"> percentage of </w:t>
      </w:r>
      <w:r w:rsidR="00C263A2">
        <w:t>audiologists are working in the private sector without these arrangements in place</w:t>
      </w:r>
      <w:r>
        <w:t>.</w:t>
      </w:r>
      <w:r w:rsidR="00E14667">
        <w:t xml:space="preserve"> </w:t>
      </w:r>
      <w:r>
        <w:t xml:space="preserve">Patients seeking treatment from these practitioners are subject to relatively high out-of-pocket costs as they are not eligible for reimbursement from government programs or from private health insurers. </w:t>
      </w:r>
      <w:r w:rsidR="005A62B3">
        <w:t>T</w:t>
      </w:r>
      <w:r w:rsidR="00F2226B">
        <w:t>he</w:t>
      </w:r>
      <w:r>
        <w:t xml:space="preserve"> value of these out-of-pocket costs </w:t>
      </w:r>
      <w:r w:rsidR="00F2226B">
        <w:t xml:space="preserve">is likely to be marginal relative to other cost impacts </w:t>
      </w:r>
      <w:r w:rsidR="00D57CC3">
        <w:t>and was thus not estimated.</w:t>
      </w:r>
    </w:p>
    <w:p w14:paraId="78357A8A" w14:textId="0A42087F" w:rsidR="00056CC0" w:rsidRPr="00056CC0" w:rsidRDefault="00127CF3" w:rsidP="00056CC0">
      <w:pPr>
        <w:pStyle w:val="Heading4"/>
      </w:pPr>
      <w:r>
        <w:t>Audiol</w:t>
      </w:r>
      <w:r w:rsidR="00ED300F">
        <w:t>o</w:t>
      </w:r>
      <w:r>
        <w:t>gist</w:t>
      </w:r>
      <w:r w:rsidR="00056CC0">
        <w:t xml:space="preserve"> time costs associated with CPD</w:t>
      </w:r>
    </w:p>
    <w:p w14:paraId="2E66E4E6" w14:textId="177741E3" w:rsidR="005B612F" w:rsidRDefault="00851B2D" w:rsidP="005B612F">
      <w:pPr>
        <w:pStyle w:val="BodyText"/>
      </w:pPr>
      <w:r>
        <w:t xml:space="preserve">To renew clinical certification as an </w:t>
      </w:r>
      <w:r w:rsidR="009D0CB1">
        <w:t>AudA</w:t>
      </w:r>
      <w:r>
        <w:t xml:space="preserve"> Accredited Audiologist, individuals are required to complete a minimum of 20 CPD points (or pro-rata equivalent) in accordance with the requirements of </w:t>
      </w:r>
      <w:r w:rsidR="009D0CB1">
        <w:t>AudA’s</w:t>
      </w:r>
      <w:r>
        <w:t xml:space="preserve"> </w:t>
      </w:r>
      <w:r w:rsidRPr="00100C7B">
        <w:rPr>
          <w:i/>
          <w:iCs/>
        </w:rPr>
        <w:t>C</w:t>
      </w:r>
      <w:r w:rsidR="006A7A42">
        <w:rPr>
          <w:i/>
          <w:iCs/>
        </w:rPr>
        <w:t xml:space="preserve">ontinuing </w:t>
      </w:r>
      <w:r w:rsidRPr="00100C7B">
        <w:rPr>
          <w:i/>
          <w:iCs/>
        </w:rPr>
        <w:t>P</w:t>
      </w:r>
      <w:r w:rsidR="006A7A42">
        <w:rPr>
          <w:i/>
          <w:iCs/>
        </w:rPr>
        <w:t xml:space="preserve">rofessional </w:t>
      </w:r>
      <w:r w:rsidRPr="00100C7B">
        <w:rPr>
          <w:i/>
          <w:iCs/>
        </w:rPr>
        <w:t>D</w:t>
      </w:r>
      <w:r w:rsidR="006A7A42">
        <w:rPr>
          <w:i/>
          <w:iCs/>
        </w:rPr>
        <w:t>evelopment (CPD)</w:t>
      </w:r>
      <w:r w:rsidRPr="00100C7B">
        <w:rPr>
          <w:i/>
          <w:iCs/>
        </w:rPr>
        <w:t xml:space="preserve"> Policy and Procedure for Participants</w:t>
      </w:r>
      <w:r>
        <w:t>. It is assumed that the time cost associated with completion of 20 points of CPD is approximately 20 hours per year.</w:t>
      </w:r>
      <w:r w:rsidR="005B612F">
        <w:t xml:space="preserve"> </w:t>
      </w:r>
      <w:r w:rsidR="00B01E89">
        <w:t xml:space="preserve">CPD of 20 hours per year is </w:t>
      </w:r>
      <w:r w:rsidR="0059749F">
        <w:t xml:space="preserve">only </w:t>
      </w:r>
      <w:r w:rsidR="00B01E89">
        <w:t xml:space="preserve">applicable to audiologists with </w:t>
      </w:r>
      <w:r w:rsidR="00295FDB">
        <w:t xml:space="preserve">PPB clinical certification (see </w:t>
      </w:r>
      <w:r w:rsidR="0059749F">
        <w:t xml:space="preserve">workforce </w:t>
      </w:r>
      <w:r w:rsidR="00370A4B">
        <w:t xml:space="preserve">estimates in </w:t>
      </w:r>
      <w:r w:rsidR="00295FDB">
        <w:t>Appendix</w:t>
      </w:r>
      <w:r w:rsidR="00B7255A">
        <w:t xml:space="preserve"> </w:t>
      </w:r>
      <w:r w:rsidR="004E3431">
        <w:t>D</w:t>
      </w:r>
      <w:r w:rsidR="0059749F">
        <w:t xml:space="preserve"> for </w:t>
      </w:r>
      <w:r w:rsidR="0025187F">
        <w:t>estimates of audiologists with PPB certification</w:t>
      </w:r>
      <w:r w:rsidR="00B7255A">
        <w:t>).</w:t>
      </w:r>
      <w:r w:rsidR="00295FDB">
        <w:t xml:space="preserve"> </w:t>
      </w:r>
      <w:r w:rsidR="005B612F">
        <w:t>Using the median wage of an audiologist multiped by 1.75 to account for overheads and oncosts, this equates to an annualised ten-year FY25 NPV cost of $</w:t>
      </w:r>
      <w:r w:rsidR="00C96F08">
        <w:t>5,</w:t>
      </w:r>
      <w:r w:rsidR="00F17161">
        <w:t>187,598</w:t>
      </w:r>
      <w:r w:rsidR="005B612F">
        <w:t xml:space="preserve"> across the profession.</w:t>
      </w:r>
      <w:r w:rsidR="00360506">
        <w:t xml:space="preserve"> This c</w:t>
      </w:r>
      <w:r w:rsidR="004A6570">
        <w:t xml:space="preserve">ost is borne by employers assuming CPD is completed during work hours. </w:t>
      </w:r>
    </w:p>
    <w:p w14:paraId="40F029C7" w14:textId="45DD8985" w:rsidR="0025187F" w:rsidRDefault="0025187F" w:rsidP="0025187F">
      <w:pPr>
        <w:pStyle w:val="Caption"/>
        <w:keepNext/>
      </w:pPr>
      <w:r>
        <w:t xml:space="preserve">Table </w:t>
      </w:r>
      <w:fldSimple w:instr=" STYLEREF 1 \s ">
        <w:r w:rsidR="00F32107">
          <w:rPr>
            <w:noProof/>
          </w:rPr>
          <w:t>8</w:t>
        </w:r>
      </w:fldSimple>
      <w:r w:rsidR="008944FB">
        <w:t>.</w:t>
      </w:r>
      <w:fldSimple w:instr=" SEQ Table \* ARABIC \s 1 ">
        <w:r w:rsidR="00F32107">
          <w:rPr>
            <w:noProof/>
          </w:rPr>
          <w:t>1</w:t>
        </w:r>
      </w:fldSimple>
      <w:r>
        <w:t xml:space="preserve"> Ten-year NPV of </w:t>
      </w:r>
      <w:r w:rsidR="003540CC">
        <w:t>audiol</w:t>
      </w:r>
      <w:r w:rsidR="00031A37">
        <w:t>ogist CPD time costs</w:t>
      </w:r>
      <w:r>
        <w:t xml:space="preserve"> under </w:t>
      </w:r>
      <w:r w:rsidR="00031A37">
        <w:t xml:space="preserve">the </w:t>
      </w:r>
      <w:r w:rsidR="00A80F45">
        <w:t>Status Quo</w:t>
      </w:r>
    </w:p>
    <w:tbl>
      <w:tblPr>
        <w:tblStyle w:val="BodyTable"/>
        <w:tblW w:w="0" w:type="auto"/>
        <w:tblLook w:val="04A0" w:firstRow="1" w:lastRow="0" w:firstColumn="1" w:lastColumn="0" w:noHBand="0" w:noVBand="1"/>
      </w:tblPr>
      <w:tblGrid>
        <w:gridCol w:w="1701"/>
        <w:gridCol w:w="1838"/>
        <w:gridCol w:w="1605"/>
      </w:tblGrid>
      <w:tr w:rsidR="00A95CBF" w14:paraId="40E74AC1" w14:textId="77777777" w:rsidTr="00C24D11">
        <w:trPr>
          <w:cnfStyle w:val="100000000000" w:firstRow="1" w:lastRow="0" w:firstColumn="0" w:lastColumn="0" w:oddVBand="0" w:evenVBand="0" w:oddHBand="0" w:evenHBand="0" w:firstRowFirstColumn="0" w:firstRowLastColumn="0" w:lastRowFirstColumn="0" w:lastRowLastColumn="0"/>
          <w:trHeight w:val="699"/>
        </w:trPr>
        <w:tc>
          <w:tcPr>
            <w:tcW w:w="1701" w:type="dxa"/>
          </w:tcPr>
          <w:p w14:paraId="587F7EEC" w14:textId="77777777" w:rsidR="00A95CBF" w:rsidRDefault="00A95CBF" w:rsidP="00282F47">
            <w:pPr>
              <w:keepNext/>
              <w:spacing w:line="240" w:lineRule="auto"/>
            </w:pPr>
          </w:p>
        </w:tc>
        <w:tc>
          <w:tcPr>
            <w:tcW w:w="1838" w:type="dxa"/>
            <w:tcBorders>
              <w:bottom w:val="single" w:sz="4" w:space="0" w:color="000000" w:themeColor="text1"/>
            </w:tcBorders>
          </w:tcPr>
          <w:p w14:paraId="0814C738" w14:textId="77777777" w:rsidR="00A95CBF" w:rsidRDefault="00A95CBF" w:rsidP="00282F47">
            <w:pPr>
              <w:keepNext/>
              <w:spacing w:line="240" w:lineRule="auto"/>
              <w:ind w:left="113" w:right="113"/>
              <w:jc w:val="right"/>
              <w:rPr>
                <w:b/>
                <w:bCs/>
              </w:rPr>
            </w:pPr>
            <w:r>
              <w:rPr>
                <w:b/>
                <w:bCs/>
              </w:rPr>
              <w:t>Total NPV cost over ten-year period</w:t>
            </w:r>
          </w:p>
          <w:p w14:paraId="202B6F09" w14:textId="77777777" w:rsidR="00A95CBF" w:rsidRPr="006A1D83" w:rsidRDefault="00A95CBF" w:rsidP="00282F47">
            <w:pPr>
              <w:keepNext/>
              <w:spacing w:line="240" w:lineRule="auto"/>
              <w:ind w:left="113" w:right="113"/>
              <w:jc w:val="right"/>
              <w:rPr>
                <w:b/>
                <w:bCs/>
              </w:rPr>
            </w:pPr>
            <w:r w:rsidRPr="006A1D83">
              <w:rPr>
                <w:b/>
                <w:bCs/>
              </w:rPr>
              <w:t>(</w:t>
            </w:r>
            <w:r>
              <w:rPr>
                <w:b/>
                <w:bCs/>
              </w:rPr>
              <w:t>FY25-34</w:t>
            </w:r>
            <w:r w:rsidRPr="006A1D83">
              <w:rPr>
                <w:b/>
                <w:bCs/>
              </w:rPr>
              <w:t>)</w:t>
            </w:r>
          </w:p>
        </w:tc>
        <w:tc>
          <w:tcPr>
            <w:tcW w:w="1605" w:type="dxa"/>
            <w:tcBorders>
              <w:bottom w:val="single" w:sz="4" w:space="0" w:color="000000" w:themeColor="text1"/>
            </w:tcBorders>
          </w:tcPr>
          <w:p w14:paraId="3D4F6EE2" w14:textId="77777777" w:rsidR="00A95CBF" w:rsidRPr="006A1D83" w:rsidRDefault="00A95CBF" w:rsidP="00282F47">
            <w:pPr>
              <w:keepNext/>
              <w:spacing w:line="240" w:lineRule="auto"/>
              <w:ind w:left="113" w:right="113"/>
              <w:jc w:val="right"/>
              <w:rPr>
                <w:b/>
                <w:bCs/>
              </w:rPr>
            </w:pPr>
            <w:r w:rsidRPr="006A1D83">
              <w:rPr>
                <w:b/>
                <w:bCs/>
              </w:rPr>
              <w:t>Annualised NPV cost over ten-year period</w:t>
            </w:r>
          </w:p>
          <w:p w14:paraId="2B5D99F0" w14:textId="77777777" w:rsidR="00A95CBF" w:rsidRPr="006A1D83" w:rsidRDefault="00A95CBF" w:rsidP="00282F47">
            <w:pPr>
              <w:keepNext/>
              <w:spacing w:line="240" w:lineRule="auto"/>
              <w:ind w:left="113" w:right="113"/>
              <w:jc w:val="right"/>
              <w:rPr>
                <w:b/>
                <w:bCs/>
              </w:rPr>
            </w:pPr>
            <w:r w:rsidRPr="006A1D83">
              <w:rPr>
                <w:b/>
                <w:bCs/>
              </w:rPr>
              <w:t>(</w:t>
            </w:r>
            <w:r>
              <w:rPr>
                <w:b/>
                <w:bCs/>
              </w:rPr>
              <w:t>FY25-34</w:t>
            </w:r>
            <w:r w:rsidRPr="006A1D83">
              <w:rPr>
                <w:b/>
                <w:bCs/>
              </w:rPr>
              <w:t>)</w:t>
            </w:r>
          </w:p>
        </w:tc>
      </w:tr>
      <w:tr w:rsidR="00C24D11" w14:paraId="197376B6" w14:textId="77777777" w:rsidTr="00C24D11">
        <w:trPr>
          <w:trHeight w:val="232"/>
        </w:trPr>
        <w:tc>
          <w:tcPr>
            <w:tcW w:w="1701" w:type="dxa"/>
          </w:tcPr>
          <w:p w14:paraId="042B9B4B" w14:textId="77777777" w:rsidR="00C24D11" w:rsidRDefault="00C24D11" w:rsidP="00282F47">
            <w:pPr>
              <w:keepNext/>
              <w:spacing w:line="240" w:lineRule="auto"/>
            </w:pPr>
            <w:r>
              <w:t>FY25 NPV cost</w:t>
            </w:r>
          </w:p>
        </w:tc>
        <w:tc>
          <w:tcPr>
            <w:tcW w:w="1838" w:type="dxa"/>
            <w:tcBorders>
              <w:top w:val="single" w:sz="4" w:space="0" w:color="000000" w:themeColor="text1"/>
              <w:left w:val="nil"/>
              <w:bottom w:val="single" w:sz="4" w:space="0" w:color="auto"/>
              <w:right w:val="nil"/>
            </w:tcBorders>
            <w:shd w:val="clear" w:color="000000" w:fill="FFFFFF"/>
            <w:vAlign w:val="bottom"/>
          </w:tcPr>
          <w:p w14:paraId="36F93119" w14:textId="3873F0AB" w:rsidR="00C24D11" w:rsidRPr="009E67F2" w:rsidRDefault="00C24D11" w:rsidP="00282F47">
            <w:pPr>
              <w:keepNext/>
              <w:spacing w:line="240" w:lineRule="auto"/>
              <w:jc w:val="right"/>
            </w:pPr>
            <w:r w:rsidRPr="00C24D11">
              <w:t xml:space="preserve"> $ 51,875,983 </w:t>
            </w:r>
          </w:p>
        </w:tc>
        <w:tc>
          <w:tcPr>
            <w:tcW w:w="1605" w:type="dxa"/>
            <w:tcBorders>
              <w:top w:val="single" w:sz="4" w:space="0" w:color="000000" w:themeColor="text1"/>
              <w:left w:val="nil"/>
              <w:bottom w:val="single" w:sz="4" w:space="0" w:color="auto"/>
              <w:right w:val="nil"/>
            </w:tcBorders>
            <w:shd w:val="clear" w:color="000000" w:fill="FFFFFF"/>
            <w:vAlign w:val="bottom"/>
          </w:tcPr>
          <w:p w14:paraId="10DD6B8B" w14:textId="730F3AE5" w:rsidR="00C24D11" w:rsidRPr="009E67F2" w:rsidRDefault="00C24D11" w:rsidP="00282F47">
            <w:pPr>
              <w:keepNext/>
              <w:spacing w:line="240" w:lineRule="auto"/>
              <w:jc w:val="right"/>
            </w:pPr>
            <w:r w:rsidRPr="00C24D11">
              <w:t xml:space="preserve"> $ 5,187,598 </w:t>
            </w:r>
          </w:p>
        </w:tc>
      </w:tr>
    </w:tbl>
    <w:p w14:paraId="0453510A" w14:textId="075C435A" w:rsidR="00E851A9" w:rsidRDefault="00E851A9" w:rsidP="00E851A9">
      <w:pPr>
        <w:pStyle w:val="Heading4"/>
      </w:pPr>
      <w:bookmarkStart w:id="230" w:name="_Ref193204697"/>
      <w:r>
        <w:t xml:space="preserve">Psychological harm from </w:t>
      </w:r>
      <w:r w:rsidR="00B20D69">
        <w:t>delivery</w:t>
      </w:r>
      <w:r>
        <w:t xml:space="preserve"> of substandard care</w:t>
      </w:r>
      <w:bookmarkEnd w:id="230"/>
    </w:p>
    <w:p w14:paraId="091F042C" w14:textId="63201A22" w:rsidR="00E17F83" w:rsidRDefault="00E17F83" w:rsidP="00E17F83">
      <w:pPr>
        <w:pStyle w:val="BodyText"/>
      </w:pPr>
      <w:r>
        <w:t xml:space="preserve">Harms occurring as a result of substandard care can affect the audiologist as well as the patient, specifically in cases where the harm is recognised, and in some instances, reported. Stakeholders highlighted that where a clinical audit or other feedback mechanism identifies multiple cases of substandard care over a number of years, this can profoundly negatively impact </w:t>
      </w:r>
      <w:r w:rsidR="00E74671">
        <w:t xml:space="preserve">a </w:t>
      </w:r>
      <w:r>
        <w:t xml:space="preserve">health practitioner’s psychological wellbeing as the vast majority of practitioners do not set out to cause harm. Stakeholders reflected that it is a better experience for the practitioner to have mechanisms that enable prompt identification of any issues of concern (and therefore swift remediation), which may include training or sanctions. </w:t>
      </w:r>
    </w:p>
    <w:p w14:paraId="0E25327F" w14:textId="71E3DEAB" w:rsidR="00C24D11" w:rsidRPr="00C24D11" w:rsidRDefault="003640C1" w:rsidP="00C24D11">
      <w:pPr>
        <w:pStyle w:val="BodyText"/>
      </w:pPr>
      <w:r>
        <w:t xml:space="preserve">Stakeholders </w:t>
      </w:r>
      <w:r w:rsidR="00E82F2B">
        <w:t>noted</w:t>
      </w:r>
      <w:r>
        <w:t xml:space="preserve"> that g</w:t>
      </w:r>
      <w:r w:rsidR="00C33D79">
        <w:t xml:space="preserve">iven the issues with complaints mechanisms </w:t>
      </w:r>
      <w:r w:rsidR="00E82F2B">
        <w:t xml:space="preserve">under the </w:t>
      </w:r>
      <w:r w:rsidR="00A80F45">
        <w:t>Status Quo</w:t>
      </w:r>
      <w:r w:rsidR="00E82F2B">
        <w:t xml:space="preserve"> </w:t>
      </w:r>
      <w:r>
        <w:t xml:space="preserve">(detailed </w:t>
      </w:r>
      <w:r w:rsidR="00C33D79">
        <w:t xml:space="preserve">in Problem </w:t>
      </w:r>
      <w:r w:rsidR="001A4B30">
        <w:t>4</w:t>
      </w:r>
      <w:r>
        <w:t xml:space="preserve">, </w:t>
      </w:r>
      <w:r w:rsidR="001A4B30">
        <w:t xml:space="preserve">Section </w:t>
      </w:r>
      <w:r w:rsidR="00821A1C">
        <w:fldChar w:fldCharType="begin"/>
      </w:r>
      <w:r w:rsidR="00821A1C">
        <w:instrText xml:space="preserve"> REF _Ref170058163 \r \h </w:instrText>
      </w:r>
      <w:r w:rsidR="00821A1C">
        <w:fldChar w:fldCharType="separate"/>
      </w:r>
      <w:r w:rsidR="00F32107">
        <w:t>3.4</w:t>
      </w:r>
      <w:r w:rsidR="00821A1C">
        <w:fldChar w:fldCharType="end"/>
      </w:r>
      <w:r w:rsidR="00821A1C">
        <w:t>)</w:t>
      </w:r>
      <w:r w:rsidR="008318C3">
        <w:t xml:space="preserve">, </w:t>
      </w:r>
      <w:r w:rsidR="00D71701">
        <w:t xml:space="preserve">it is likely that there </w:t>
      </w:r>
      <w:r w:rsidR="00545177">
        <w:t>are some</w:t>
      </w:r>
      <w:r w:rsidR="00D71701">
        <w:t xml:space="preserve"> audiolog</w:t>
      </w:r>
      <w:r w:rsidR="00C5078F">
        <w:t>ist</w:t>
      </w:r>
      <w:r w:rsidR="00545177">
        <w:t>s experiencing</w:t>
      </w:r>
      <w:r w:rsidR="00D71701">
        <w:t xml:space="preserve"> psychological harm </w:t>
      </w:r>
      <w:r w:rsidR="00A100FA">
        <w:t xml:space="preserve">from the </w:t>
      </w:r>
      <w:r w:rsidR="00126BB8">
        <w:t xml:space="preserve">eventual </w:t>
      </w:r>
      <w:r w:rsidR="004D45BE">
        <w:t>identification</w:t>
      </w:r>
      <w:r w:rsidR="00A100FA">
        <w:t xml:space="preserve"> of </w:t>
      </w:r>
      <w:r w:rsidR="004D45BE">
        <w:t>prolonged periods of substandard care.</w:t>
      </w:r>
    </w:p>
    <w:p w14:paraId="3E63F4D5" w14:textId="619769E2" w:rsidR="00BB648D" w:rsidRDefault="00BB648D" w:rsidP="00BB648D">
      <w:pPr>
        <w:pStyle w:val="Heading4"/>
      </w:pPr>
      <w:r>
        <w:t>Audiologist concern associated with raising substandard care issues</w:t>
      </w:r>
    </w:p>
    <w:p w14:paraId="3616AF2D" w14:textId="4ACBD494" w:rsidR="00B24B5F" w:rsidRDefault="00B24B5F" w:rsidP="00B24B5F">
      <w:pPr>
        <w:pStyle w:val="BodyText"/>
      </w:pPr>
      <w:r>
        <w:t xml:space="preserve">Stakeholders raised concerns that under the </w:t>
      </w:r>
      <w:r w:rsidR="00A80F45">
        <w:t>Status Quo</w:t>
      </w:r>
      <w:r>
        <w:t xml:space="preserve"> there is:</w:t>
      </w:r>
    </w:p>
    <w:p w14:paraId="0442DFEE" w14:textId="4709CDC3" w:rsidR="00D50F62" w:rsidRDefault="00D50F62" w:rsidP="00BC550D">
      <w:pPr>
        <w:pStyle w:val="ListBullet"/>
      </w:pPr>
      <w:r>
        <w:t xml:space="preserve">witnessing of harms associated with financial conflicts of interest and/or more general cases of substandard </w:t>
      </w:r>
      <w:r w:rsidR="00CE3A58">
        <w:t>care</w:t>
      </w:r>
    </w:p>
    <w:p w14:paraId="14955194" w14:textId="3DC840C1" w:rsidR="00D50F62" w:rsidRDefault="00D50F62" w:rsidP="00BC550D">
      <w:pPr>
        <w:pStyle w:val="ListBullet"/>
      </w:pPr>
      <w:r>
        <w:t>fear</w:t>
      </w:r>
      <w:r w:rsidR="004F6E0C">
        <w:t>s</w:t>
      </w:r>
      <w:r>
        <w:t xml:space="preserve"> associated with raising complaints of unsafe or unethical practice</w:t>
      </w:r>
    </w:p>
    <w:p w14:paraId="0FAB02AC" w14:textId="08C5F3A6" w:rsidR="00B24B5F" w:rsidRDefault="00B24B5F" w:rsidP="00BC550D">
      <w:pPr>
        <w:pStyle w:val="ListBullet"/>
      </w:pPr>
      <w:r>
        <w:t>perceived lack of ability for current regulatory mechanisms to address issues of business practice</w:t>
      </w:r>
      <w:r w:rsidR="00D50F62">
        <w:t>.</w:t>
      </w:r>
    </w:p>
    <w:p w14:paraId="120F7098" w14:textId="475F845A" w:rsidR="000047C4" w:rsidRPr="000047C4" w:rsidRDefault="00792A58" w:rsidP="000047C4">
      <w:pPr>
        <w:pStyle w:val="BodyText"/>
      </w:pPr>
      <w:r>
        <w:t xml:space="preserve">As a result, </w:t>
      </w:r>
      <w:r w:rsidR="002257E8">
        <w:t>a number of cases of substandard go unreported</w:t>
      </w:r>
      <w:r w:rsidR="00300A1E">
        <w:t xml:space="preserve"> or unaddressed</w:t>
      </w:r>
      <w:r w:rsidR="002257E8">
        <w:t xml:space="preserve">, </w:t>
      </w:r>
      <w:r w:rsidR="00C614A9">
        <w:t xml:space="preserve">with the downstream consequence of </w:t>
      </w:r>
      <w:r w:rsidR="002257E8">
        <w:t xml:space="preserve">affecting the quality of care provided to patients. </w:t>
      </w:r>
    </w:p>
    <w:p w14:paraId="5C15E2EB" w14:textId="023E6546" w:rsidR="00BB648D" w:rsidRDefault="00BB648D" w:rsidP="00BB648D">
      <w:pPr>
        <w:pStyle w:val="Heading4"/>
      </w:pPr>
      <w:bookmarkStart w:id="231" w:name="_Ref172549724"/>
      <w:r>
        <w:t>Eligibility assessment time costs for public-sector employees</w:t>
      </w:r>
      <w:bookmarkEnd w:id="231"/>
    </w:p>
    <w:p w14:paraId="4807A0C3" w14:textId="58A1ACC5" w:rsidR="00077010" w:rsidRDefault="00077010" w:rsidP="00077010">
      <w:pPr>
        <w:pStyle w:val="BodyText"/>
      </w:pPr>
      <w:r>
        <w:t xml:space="preserve">Under the </w:t>
      </w:r>
      <w:r w:rsidR="00A80F45">
        <w:t>Status Quo</w:t>
      </w:r>
      <w:r>
        <w:t xml:space="preserve">, public sector audiology hiring managers face time costs associated </w:t>
      </w:r>
      <w:r w:rsidR="00113B4E">
        <w:t>with</w:t>
      </w:r>
      <w:r w:rsidR="00083161">
        <w:t xml:space="preserve"> assessing eligibility for the role</w:t>
      </w:r>
      <w:r w:rsidR="00FF7F71">
        <w:t xml:space="preserve"> (e.g., eligibility for PPB membership</w:t>
      </w:r>
      <w:r w:rsidR="00F045F4">
        <w:t>,</w:t>
      </w:r>
      <w:r>
        <w:t xml:space="preserve"> suitability to practice</w:t>
      </w:r>
      <w:r w:rsidR="00FF7F71">
        <w:t>)</w:t>
      </w:r>
      <w:r>
        <w:t xml:space="preserve"> due to the lack of mandatory current clinical certification requirement. As advised by stakeholders, these issues do not commonly occur in private sector settings as the </w:t>
      </w:r>
      <w:r w:rsidR="00167B87">
        <w:t xml:space="preserve">requirements to claim </w:t>
      </w:r>
      <w:r w:rsidR="00383F86">
        <w:t xml:space="preserve">several sources of </w:t>
      </w:r>
      <w:r>
        <w:t>governme</w:t>
      </w:r>
      <w:r w:rsidR="00C86A85">
        <w:t xml:space="preserve">nt funding specify </w:t>
      </w:r>
      <w:r>
        <w:t xml:space="preserve">current clinical certification. </w:t>
      </w:r>
    </w:p>
    <w:p w14:paraId="469FB5BD" w14:textId="7A3B1F61" w:rsidR="00077010" w:rsidRDefault="00077010" w:rsidP="00077010">
      <w:pPr>
        <w:pStyle w:val="BodyText"/>
      </w:pPr>
      <w:r>
        <w:t xml:space="preserve">The following assumptions were used to derive an estimate of the annual public sector employer eligibility assessment time costs </w:t>
      </w:r>
      <w:r w:rsidR="00CB3BA3">
        <w:t xml:space="preserve">occurring under the </w:t>
      </w:r>
      <w:r w:rsidR="00A80F45">
        <w:t>Status Quo</w:t>
      </w:r>
      <w:r>
        <w:t>:</w:t>
      </w:r>
    </w:p>
    <w:p w14:paraId="780BE148" w14:textId="77777777" w:rsidR="00077010" w:rsidRDefault="00077010" w:rsidP="00077010">
      <w:pPr>
        <w:pStyle w:val="ListBullet"/>
      </w:pPr>
      <w:r>
        <w:t>11% of the audiology workforce is employed in the public sector</w:t>
      </w:r>
    </w:p>
    <w:p w14:paraId="61341A45" w14:textId="4230F994" w:rsidR="00077010" w:rsidRDefault="00077010" w:rsidP="00077010">
      <w:pPr>
        <w:pStyle w:val="ListBullet"/>
      </w:pPr>
      <w:r>
        <w:t>it is assumed that public sector hiring managers would only need to check for practitioners without current clinical certification</w:t>
      </w:r>
      <w:r w:rsidR="00D655F7">
        <w:t xml:space="preserve"> or membership</w:t>
      </w:r>
      <w:r w:rsidR="005F1DFC">
        <w:t xml:space="preserve"> (6% of public sector</w:t>
      </w:r>
      <w:r w:rsidR="00442529">
        <w:t xml:space="preserve"> workforce</w:t>
      </w:r>
      <w:r w:rsidR="005F1DFC">
        <w:t>)</w:t>
      </w:r>
      <w:r w:rsidR="00F94BEE" w:rsidRPr="00F94BEE">
        <w:t xml:space="preserve"> </w:t>
      </w:r>
      <w:r w:rsidR="00F94BEE">
        <w:t>for new workforce</w:t>
      </w:r>
      <w:r w:rsidR="00905126">
        <w:t xml:space="preserve">, and </w:t>
      </w:r>
      <w:r w:rsidR="00C14FEC">
        <w:t xml:space="preserve">practitioners without </w:t>
      </w:r>
      <w:r w:rsidR="007F6B9D">
        <w:t xml:space="preserve">current clinical certification </w:t>
      </w:r>
      <w:r w:rsidR="00707D2B">
        <w:t>(</w:t>
      </w:r>
      <w:r w:rsidR="007D7F17">
        <w:t>30</w:t>
      </w:r>
      <w:r w:rsidR="008D1FF8">
        <w:t>% of public sector workforce)</w:t>
      </w:r>
      <w:r w:rsidR="00F94BEE" w:rsidRPr="00F94BEE">
        <w:t xml:space="preserve"> for existing workforce</w:t>
      </w:r>
      <w:r w:rsidR="00F94BEE">
        <w:t xml:space="preserve"> </w:t>
      </w:r>
    </w:p>
    <w:p w14:paraId="26E0ADFF" w14:textId="4B47E86F" w:rsidR="00077010" w:rsidRDefault="00077010" w:rsidP="00077010">
      <w:pPr>
        <w:pStyle w:val="ListBullet"/>
      </w:pPr>
      <w:r>
        <w:t xml:space="preserve">consultations indicated that the average annual time to confirm </w:t>
      </w:r>
      <w:r w:rsidR="009979F6">
        <w:t>suitability</w:t>
      </w:r>
      <w:r>
        <w:t xml:space="preserve"> for practitioners without current clinical certification </w:t>
      </w:r>
      <w:r w:rsidR="002D1894">
        <w:t>or membership</w:t>
      </w:r>
      <w:r>
        <w:t xml:space="preserve"> is approximately 15 hours per new employee, and 2 hours per existing employee</w:t>
      </w:r>
    </w:p>
    <w:p w14:paraId="147FDCD1" w14:textId="77777777" w:rsidR="00077010" w:rsidRDefault="00077010" w:rsidP="00077010">
      <w:pPr>
        <w:pStyle w:val="ListBullet"/>
      </w:pPr>
      <w:r>
        <w:t>a hiring manager is a Level 4 Health Practitioner</w:t>
      </w:r>
    </w:p>
    <w:p w14:paraId="0846F4DA" w14:textId="77777777" w:rsidR="00077010" w:rsidRDefault="00077010" w:rsidP="00077010">
      <w:pPr>
        <w:pStyle w:val="ListBullet"/>
      </w:pPr>
      <w:r>
        <w:t>workforce attrition in the public sector is 10%</w:t>
      </w:r>
    </w:p>
    <w:p w14:paraId="252C0825" w14:textId="77777777" w:rsidR="00077010" w:rsidRDefault="00077010" w:rsidP="00077010">
      <w:pPr>
        <w:pStyle w:val="ListBullet"/>
      </w:pPr>
      <w:r>
        <w:t>to inform an estimate of time costs, the median wage of a Level 4 Health Practitioner is multiplied by 1.75 to account for oncosts and overhead costs.</w:t>
      </w:r>
    </w:p>
    <w:p w14:paraId="254128B8" w14:textId="19BFCDC5" w:rsidR="00077010" w:rsidRDefault="00077010" w:rsidP="00077010">
      <w:pPr>
        <w:pStyle w:val="BodyText"/>
      </w:pPr>
      <w:r>
        <w:t xml:space="preserve">Using these assumptions, it is estimated that the annualised ten-year FY25 NPV of employee eligibility assessment employer time costs </w:t>
      </w:r>
      <w:r w:rsidR="00CB3BA3">
        <w:t>occurring</w:t>
      </w:r>
      <w:r>
        <w:t xml:space="preserve"> </w:t>
      </w:r>
      <w:r w:rsidR="00CB3BA3">
        <w:t xml:space="preserve">under the </w:t>
      </w:r>
      <w:r w:rsidR="00A80F45">
        <w:t>Status Quo</w:t>
      </w:r>
      <w:r>
        <w:t xml:space="preserve"> is approximately $</w:t>
      </w:r>
      <w:r w:rsidR="00CA76A6" w:rsidRPr="00CA76A6">
        <w:t>25,224</w:t>
      </w:r>
      <w:r>
        <w:t xml:space="preserve">. </w:t>
      </w:r>
    </w:p>
    <w:p w14:paraId="18D547DD" w14:textId="6153B13D" w:rsidR="009E6DD0" w:rsidRDefault="009E6DD0" w:rsidP="009E6DD0">
      <w:pPr>
        <w:pStyle w:val="Caption"/>
        <w:keepNext/>
      </w:pPr>
      <w:bookmarkStart w:id="232" w:name="_Ref172627339"/>
      <w:r>
        <w:t xml:space="preserve">Table </w:t>
      </w:r>
      <w:fldSimple w:instr=" STYLEREF 1 \s ">
        <w:r w:rsidR="00F32107">
          <w:rPr>
            <w:noProof/>
          </w:rPr>
          <w:t>8</w:t>
        </w:r>
      </w:fldSimple>
      <w:r w:rsidR="008944FB">
        <w:t>.</w:t>
      </w:r>
      <w:fldSimple w:instr=" SEQ Table \* ARABIC \s 1 ">
        <w:r w:rsidR="00F32107">
          <w:rPr>
            <w:noProof/>
          </w:rPr>
          <w:t>2</w:t>
        </w:r>
      </w:fldSimple>
      <w:bookmarkEnd w:id="232"/>
      <w:r w:rsidR="00A60860">
        <w:t xml:space="preserve"> </w:t>
      </w:r>
      <w:r>
        <w:t xml:space="preserve">Ten-year NPV of public sector employer eligibility checking time costs under </w:t>
      </w:r>
      <w:r w:rsidR="003540CC">
        <w:t xml:space="preserve">the </w:t>
      </w:r>
      <w:r w:rsidR="00A80F45">
        <w:t>Status Quo</w:t>
      </w:r>
    </w:p>
    <w:tbl>
      <w:tblPr>
        <w:tblStyle w:val="BodyTable"/>
        <w:tblW w:w="0" w:type="auto"/>
        <w:tblLook w:val="04A0" w:firstRow="1" w:lastRow="0" w:firstColumn="1" w:lastColumn="0" w:noHBand="0" w:noVBand="1"/>
      </w:tblPr>
      <w:tblGrid>
        <w:gridCol w:w="1701"/>
        <w:gridCol w:w="1838"/>
        <w:gridCol w:w="1605"/>
      </w:tblGrid>
      <w:tr w:rsidR="009E6DD0" w14:paraId="24BAACB4" w14:textId="77777777">
        <w:trPr>
          <w:cnfStyle w:val="100000000000" w:firstRow="1" w:lastRow="0" w:firstColumn="0" w:lastColumn="0" w:oddVBand="0" w:evenVBand="0" w:oddHBand="0" w:evenHBand="0" w:firstRowFirstColumn="0" w:firstRowLastColumn="0" w:lastRowFirstColumn="0" w:lastRowLastColumn="0"/>
          <w:trHeight w:val="699"/>
        </w:trPr>
        <w:tc>
          <w:tcPr>
            <w:tcW w:w="1701" w:type="dxa"/>
          </w:tcPr>
          <w:p w14:paraId="4932956B" w14:textId="77777777" w:rsidR="009E6DD0" w:rsidRDefault="009E6DD0">
            <w:pPr>
              <w:spacing w:line="240" w:lineRule="auto"/>
            </w:pPr>
          </w:p>
        </w:tc>
        <w:tc>
          <w:tcPr>
            <w:tcW w:w="1838" w:type="dxa"/>
            <w:tcBorders>
              <w:bottom w:val="single" w:sz="4" w:space="0" w:color="000000" w:themeColor="text1"/>
            </w:tcBorders>
          </w:tcPr>
          <w:p w14:paraId="349B0330" w14:textId="77777777" w:rsidR="009E6DD0" w:rsidRDefault="009E6DD0">
            <w:pPr>
              <w:spacing w:line="240" w:lineRule="auto"/>
              <w:ind w:left="113" w:right="113"/>
              <w:jc w:val="right"/>
              <w:rPr>
                <w:b/>
                <w:bCs/>
              </w:rPr>
            </w:pPr>
            <w:r>
              <w:rPr>
                <w:b/>
                <w:bCs/>
              </w:rPr>
              <w:t>Total NPV cost over ten-year period</w:t>
            </w:r>
          </w:p>
          <w:p w14:paraId="39D60FB2" w14:textId="77777777" w:rsidR="009E6DD0" w:rsidRPr="006A1D83" w:rsidRDefault="009E6DD0">
            <w:pPr>
              <w:spacing w:line="240" w:lineRule="auto"/>
              <w:ind w:left="113" w:right="113"/>
              <w:jc w:val="right"/>
              <w:rPr>
                <w:b/>
                <w:bCs/>
              </w:rPr>
            </w:pPr>
            <w:r w:rsidRPr="006A1D83">
              <w:rPr>
                <w:b/>
                <w:bCs/>
              </w:rPr>
              <w:t>(</w:t>
            </w:r>
            <w:r>
              <w:rPr>
                <w:b/>
                <w:bCs/>
              </w:rPr>
              <w:t>FY25-34</w:t>
            </w:r>
            <w:r w:rsidRPr="006A1D83">
              <w:rPr>
                <w:b/>
                <w:bCs/>
              </w:rPr>
              <w:t>)</w:t>
            </w:r>
          </w:p>
        </w:tc>
        <w:tc>
          <w:tcPr>
            <w:tcW w:w="1605" w:type="dxa"/>
            <w:tcBorders>
              <w:bottom w:val="single" w:sz="4" w:space="0" w:color="000000" w:themeColor="text1"/>
            </w:tcBorders>
          </w:tcPr>
          <w:p w14:paraId="6424EF89" w14:textId="77777777" w:rsidR="009E6DD0" w:rsidRPr="006A1D83" w:rsidRDefault="009E6DD0">
            <w:pPr>
              <w:spacing w:line="240" w:lineRule="auto"/>
              <w:ind w:left="113" w:right="113"/>
              <w:jc w:val="right"/>
              <w:rPr>
                <w:b/>
                <w:bCs/>
              </w:rPr>
            </w:pPr>
            <w:r w:rsidRPr="006A1D83">
              <w:rPr>
                <w:b/>
                <w:bCs/>
              </w:rPr>
              <w:t>Annualised NPV cost over ten-year period</w:t>
            </w:r>
          </w:p>
          <w:p w14:paraId="78064CBB" w14:textId="77777777" w:rsidR="009E6DD0" w:rsidRPr="006A1D83" w:rsidRDefault="009E6DD0">
            <w:pPr>
              <w:spacing w:line="240" w:lineRule="auto"/>
              <w:ind w:left="113" w:right="113"/>
              <w:jc w:val="right"/>
              <w:rPr>
                <w:b/>
                <w:bCs/>
              </w:rPr>
            </w:pPr>
            <w:r w:rsidRPr="006A1D83">
              <w:rPr>
                <w:b/>
                <w:bCs/>
              </w:rPr>
              <w:t>(</w:t>
            </w:r>
            <w:r>
              <w:rPr>
                <w:b/>
                <w:bCs/>
              </w:rPr>
              <w:t>FY25-34</w:t>
            </w:r>
            <w:r w:rsidRPr="006A1D83">
              <w:rPr>
                <w:b/>
                <w:bCs/>
              </w:rPr>
              <w:t>)</w:t>
            </w:r>
          </w:p>
        </w:tc>
      </w:tr>
      <w:tr w:rsidR="00356402" w14:paraId="7865614C" w14:textId="77777777" w:rsidTr="00353356">
        <w:trPr>
          <w:trHeight w:val="232"/>
        </w:trPr>
        <w:tc>
          <w:tcPr>
            <w:tcW w:w="1701" w:type="dxa"/>
          </w:tcPr>
          <w:p w14:paraId="28803827" w14:textId="77777777" w:rsidR="00356402" w:rsidRDefault="00356402" w:rsidP="00356402">
            <w:pPr>
              <w:spacing w:line="240" w:lineRule="auto"/>
            </w:pPr>
            <w:r>
              <w:t>FY25 NPV cost</w:t>
            </w:r>
          </w:p>
        </w:tc>
        <w:tc>
          <w:tcPr>
            <w:tcW w:w="1838" w:type="dxa"/>
            <w:tcBorders>
              <w:top w:val="single" w:sz="4" w:space="0" w:color="000000" w:themeColor="text1"/>
              <w:left w:val="nil"/>
              <w:bottom w:val="single" w:sz="4" w:space="0" w:color="auto"/>
              <w:right w:val="nil"/>
            </w:tcBorders>
            <w:shd w:val="clear" w:color="000000" w:fill="FFFFFF"/>
          </w:tcPr>
          <w:p w14:paraId="59F703F0" w14:textId="6E45B676" w:rsidR="00356402" w:rsidRPr="009E67F2" w:rsidRDefault="00353356" w:rsidP="00356402">
            <w:pPr>
              <w:spacing w:line="240" w:lineRule="auto"/>
              <w:jc w:val="right"/>
            </w:pPr>
            <w:r w:rsidRPr="00B56F24">
              <w:t xml:space="preserve"> $252,241 </w:t>
            </w:r>
          </w:p>
        </w:tc>
        <w:tc>
          <w:tcPr>
            <w:tcW w:w="1605" w:type="dxa"/>
            <w:tcBorders>
              <w:top w:val="single" w:sz="4" w:space="0" w:color="000000" w:themeColor="text1"/>
              <w:left w:val="nil"/>
              <w:bottom w:val="single" w:sz="4" w:space="0" w:color="auto"/>
              <w:right w:val="nil"/>
            </w:tcBorders>
            <w:shd w:val="clear" w:color="000000" w:fill="FFFFFF"/>
          </w:tcPr>
          <w:p w14:paraId="745EEADF" w14:textId="0375BA0B" w:rsidR="00356402" w:rsidRPr="009E67F2" w:rsidRDefault="00353356" w:rsidP="00356402">
            <w:pPr>
              <w:spacing w:line="240" w:lineRule="auto"/>
              <w:jc w:val="right"/>
            </w:pPr>
            <w:r w:rsidRPr="00B56F24">
              <w:t xml:space="preserve"> $25,224 </w:t>
            </w:r>
          </w:p>
        </w:tc>
      </w:tr>
    </w:tbl>
    <w:p w14:paraId="1EEC740D" w14:textId="11620716" w:rsidR="00BB648D" w:rsidRPr="00BB648D" w:rsidRDefault="00BB648D" w:rsidP="00BB648D">
      <w:pPr>
        <w:pStyle w:val="Heading4"/>
      </w:pPr>
      <w:r>
        <w:t>Availability of workforce data about the profession</w:t>
      </w:r>
    </w:p>
    <w:p w14:paraId="1512EC2F" w14:textId="6230A398" w:rsidR="00D8753C" w:rsidRPr="00D8753C" w:rsidRDefault="00D8753C" w:rsidP="00D8753C">
      <w:pPr>
        <w:pStyle w:val="BodyText"/>
      </w:pPr>
      <w:r>
        <w:t xml:space="preserve">As noted in Chapter </w:t>
      </w:r>
      <w:r w:rsidR="00DF67F1">
        <w:t>2</w:t>
      </w:r>
      <w:r>
        <w:t xml:space="preserve">, there is currently limited national data about the audiology profession, including statistics on workforce and safety. Stakeholders reflected that this makes it challenging </w:t>
      </w:r>
      <w:r w:rsidR="003C4B07">
        <w:t xml:space="preserve">for employers and policymakers </w:t>
      </w:r>
      <w:r>
        <w:t xml:space="preserve">to identify and respond to emerging issues such as workforce supply </w:t>
      </w:r>
      <w:r w:rsidR="00B8402C">
        <w:t xml:space="preserve">gaps </w:t>
      </w:r>
      <w:r>
        <w:t>or trends in patient harms.</w:t>
      </w:r>
    </w:p>
    <w:p w14:paraId="4C30F362" w14:textId="72F5FD4A" w:rsidR="00D60C62" w:rsidRDefault="008720EA" w:rsidP="00D60C62">
      <w:pPr>
        <w:pStyle w:val="Heading4"/>
      </w:pPr>
      <w:r>
        <w:t xml:space="preserve"> </w:t>
      </w:r>
      <w:r w:rsidR="00D2578E">
        <w:t>F</w:t>
      </w:r>
      <w:r w:rsidR="00D60C62">
        <w:t xml:space="preserve">ees (i.e., </w:t>
      </w:r>
      <w:r w:rsidR="004954D4">
        <w:t>current clinical certification</w:t>
      </w:r>
      <w:r w:rsidR="00F94C4A">
        <w:t xml:space="preserve"> and/or membership</w:t>
      </w:r>
      <w:r w:rsidR="00D60C62">
        <w:t>)</w:t>
      </w:r>
    </w:p>
    <w:p w14:paraId="38A7C851" w14:textId="7BF867CD" w:rsidR="00A64007" w:rsidRPr="00A64007" w:rsidRDefault="001951C4" w:rsidP="00A64007">
      <w:pPr>
        <w:pStyle w:val="BodyText"/>
      </w:pPr>
      <w:r>
        <w:t>The cost of accreditation without</w:t>
      </w:r>
      <w:r w:rsidR="00A64007">
        <w:t xml:space="preserve"> </w:t>
      </w:r>
      <w:r w:rsidR="00A64007" w:rsidRPr="008B3EA2">
        <w:t xml:space="preserve">membership </w:t>
      </w:r>
      <w:r>
        <w:t xml:space="preserve">is assumed to be the same as the cost of </w:t>
      </w:r>
      <w:r w:rsidR="003F6766">
        <w:t>full membership.</w:t>
      </w:r>
      <w:r w:rsidR="0074054D">
        <w:rPr>
          <w:rStyle w:val="FootnoteReference"/>
        </w:rPr>
        <w:footnoteReference w:id="260"/>
      </w:r>
      <w:r w:rsidR="003F6766">
        <w:t xml:space="preserve"> Membership fees were assumed to be</w:t>
      </w:r>
      <w:r w:rsidR="00A64007" w:rsidRPr="008B3EA2">
        <w:t xml:space="preserve"> </w:t>
      </w:r>
      <w:r w:rsidR="009C7FCA">
        <w:t xml:space="preserve">constant in real terms at </w:t>
      </w:r>
      <w:r w:rsidR="00A64007" w:rsidRPr="008B3EA2">
        <w:t xml:space="preserve">$650 </w:t>
      </w:r>
      <w:r w:rsidR="00A64007">
        <w:t>for</w:t>
      </w:r>
      <w:r w:rsidR="00A64007" w:rsidRPr="008B3EA2">
        <w:t xml:space="preserve"> </w:t>
      </w:r>
      <w:r w:rsidR="009D0CB1">
        <w:t>AudA</w:t>
      </w:r>
      <w:r w:rsidR="00A64007" w:rsidRPr="008B3EA2">
        <w:t xml:space="preserve"> and $584 </w:t>
      </w:r>
      <w:r w:rsidR="00A64007">
        <w:t xml:space="preserve">for </w:t>
      </w:r>
      <w:r w:rsidR="009C7FCA">
        <w:t>AcAud inc. HAASA</w:t>
      </w:r>
      <w:r w:rsidR="00A64007">
        <w:t xml:space="preserve">. As at May 2024, the number of audiologists who were members of </w:t>
      </w:r>
      <w:r w:rsidR="009D0CB1">
        <w:t>AudA</w:t>
      </w:r>
      <w:r w:rsidR="00A64007">
        <w:t xml:space="preserve"> was </w:t>
      </w:r>
      <w:r w:rsidR="00161B5F">
        <w:t xml:space="preserve">estimated at </w:t>
      </w:r>
      <w:r w:rsidR="00A64007">
        <w:t xml:space="preserve">3,600, and the number of audiologists who were members of the </w:t>
      </w:r>
      <w:r w:rsidR="000D2DB2">
        <w:t>AcAud inc. HAASA</w:t>
      </w:r>
      <w:r w:rsidR="00A64007">
        <w:t xml:space="preserve"> was </w:t>
      </w:r>
      <w:r w:rsidR="00161B5F">
        <w:t xml:space="preserve">estimated at </w:t>
      </w:r>
      <w:r w:rsidR="0046760C">
        <w:t>200</w:t>
      </w:r>
      <w:r w:rsidR="00A64007">
        <w:t>, which is assumed to account for 99% of the profession.</w:t>
      </w:r>
      <w:r w:rsidR="00901CF5">
        <w:t xml:space="preserve"> Assuming the share of PPB membership remains constant over the evaluation period, it is estimated </w:t>
      </w:r>
      <w:r w:rsidR="00765DDA">
        <w:t xml:space="preserve">that the annualised ten-year FY25 NPV of fees under the </w:t>
      </w:r>
      <w:r w:rsidR="00A80F45">
        <w:t>Status Quo</w:t>
      </w:r>
      <w:r w:rsidR="00765DDA">
        <w:t xml:space="preserve"> is approximately $</w:t>
      </w:r>
      <w:r w:rsidR="00C076B4">
        <w:t>2,096,875</w:t>
      </w:r>
      <w:r w:rsidR="00D03B38">
        <w:t xml:space="preserve"> across the profession</w:t>
      </w:r>
      <w:r w:rsidR="00765DDA">
        <w:t xml:space="preserve">. </w:t>
      </w:r>
      <w:r w:rsidR="007B66AC">
        <w:t xml:space="preserve">This </w:t>
      </w:r>
      <w:r w:rsidR="0046760C">
        <w:t xml:space="preserve">financial </w:t>
      </w:r>
      <w:r w:rsidR="007B66AC">
        <w:t>cost is borne by audiologists.</w:t>
      </w:r>
    </w:p>
    <w:p w14:paraId="492EFDA7" w14:textId="65A6CB39" w:rsidR="00901CF5" w:rsidRDefault="00901CF5" w:rsidP="00901CF5">
      <w:pPr>
        <w:pStyle w:val="Caption"/>
        <w:keepNext/>
      </w:pPr>
      <w:r>
        <w:t xml:space="preserve">Table </w:t>
      </w:r>
      <w:fldSimple w:instr=" STYLEREF 1 \s ">
        <w:r w:rsidR="00F32107">
          <w:rPr>
            <w:noProof/>
          </w:rPr>
          <w:t>8</w:t>
        </w:r>
      </w:fldSimple>
      <w:r w:rsidR="008944FB">
        <w:t>.</w:t>
      </w:r>
      <w:fldSimple w:instr=" SEQ Table \* ARABIC \s 1 ">
        <w:r w:rsidR="00F32107">
          <w:rPr>
            <w:noProof/>
          </w:rPr>
          <w:t>3</w:t>
        </w:r>
      </w:fldSimple>
      <w:r>
        <w:t xml:space="preserve"> Ten-year NPV of fees under the </w:t>
      </w:r>
      <w:r w:rsidR="00A80F45">
        <w:t>Status Quo</w:t>
      </w:r>
    </w:p>
    <w:tbl>
      <w:tblPr>
        <w:tblStyle w:val="BodyTable"/>
        <w:tblW w:w="0" w:type="auto"/>
        <w:tblLook w:val="04A0" w:firstRow="1" w:lastRow="0" w:firstColumn="1" w:lastColumn="0" w:noHBand="0" w:noVBand="1"/>
      </w:tblPr>
      <w:tblGrid>
        <w:gridCol w:w="1701"/>
        <w:gridCol w:w="1838"/>
        <w:gridCol w:w="1605"/>
      </w:tblGrid>
      <w:tr w:rsidR="00901CF5" w14:paraId="0023A38B" w14:textId="77777777" w:rsidTr="009D2979">
        <w:trPr>
          <w:cnfStyle w:val="100000000000" w:firstRow="1" w:lastRow="0" w:firstColumn="0" w:lastColumn="0" w:oddVBand="0" w:evenVBand="0" w:oddHBand="0" w:evenHBand="0" w:firstRowFirstColumn="0" w:firstRowLastColumn="0" w:lastRowFirstColumn="0" w:lastRowLastColumn="0"/>
          <w:trHeight w:val="699"/>
        </w:trPr>
        <w:tc>
          <w:tcPr>
            <w:tcW w:w="1701" w:type="dxa"/>
            <w:tcBorders>
              <w:bottom w:val="single" w:sz="4" w:space="0" w:color="000000" w:themeColor="text1"/>
            </w:tcBorders>
          </w:tcPr>
          <w:p w14:paraId="2AC5D99E" w14:textId="77777777" w:rsidR="00901CF5" w:rsidRDefault="00901CF5">
            <w:pPr>
              <w:spacing w:line="240" w:lineRule="auto"/>
            </w:pPr>
          </w:p>
        </w:tc>
        <w:tc>
          <w:tcPr>
            <w:tcW w:w="1838" w:type="dxa"/>
            <w:tcBorders>
              <w:bottom w:val="single" w:sz="4" w:space="0" w:color="000000" w:themeColor="text1"/>
            </w:tcBorders>
          </w:tcPr>
          <w:p w14:paraId="033A5619" w14:textId="77777777" w:rsidR="00901CF5" w:rsidRDefault="00901CF5">
            <w:pPr>
              <w:spacing w:line="240" w:lineRule="auto"/>
              <w:ind w:left="113" w:right="113"/>
              <w:jc w:val="right"/>
              <w:rPr>
                <w:b/>
                <w:bCs/>
              </w:rPr>
            </w:pPr>
            <w:r>
              <w:rPr>
                <w:b/>
                <w:bCs/>
              </w:rPr>
              <w:t>Total NPV cost over ten-year period</w:t>
            </w:r>
          </w:p>
          <w:p w14:paraId="7005AC6F" w14:textId="77777777" w:rsidR="00901CF5" w:rsidRPr="006A1D83" w:rsidRDefault="00901CF5">
            <w:pPr>
              <w:spacing w:line="240" w:lineRule="auto"/>
              <w:ind w:left="113" w:right="113"/>
              <w:jc w:val="right"/>
              <w:rPr>
                <w:b/>
                <w:bCs/>
              </w:rPr>
            </w:pPr>
            <w:r w:rsidRPr="006A1D83">
              <w:rPr>
                <w:b/>
                <w:bCs/>
              </w:rPr>
              <w:t>(</w:t>
            </w:r>
            <w:r>
              <w:rPr>
                <w:b/>
                <w:bCs/>
              </w:rPr>
              <w:t>FY25-34</w:t>
            </w:r>
            <w:r w:rsidRPr="006A1D83">
              <w:rPr>
                <w:b/>
                <w:bCs/>
              </w:rPr>
              <w:t>)</w:t>
            </w:r>
          </w:p>
        </w:tc>
        <w:tc>
          <w:tcPr>
            <w:tcW w:w="1605" w:type="dxa"/>
            <w:tcBorders>
              <w:bottom w:val="single" w:sz="4" w:space="0" w:color="000000" w:themeColor="text1"/>
            </w:tcBorders>
          </w:tcPr>
          <w:p w14:paraId="24B516BD" w14:textId="77777777" w:rsidR="00901CF5" w:rsidRPr="006A1D83" w:rsidRDefault="00901CF5">
            <w:pPr>
              <w:spacing w:line="240" w:lineRule="auto"/>
              <w:ind w:left="113" w:right="113"/>
              <w:jc w:val="right"/>
              <w:rPr>
                <w:b/>
                <w:bCs/>
              </w:rPr>
            </w:pPr>
            <w:r w:rsidRPr="006A1D83">
              <w:rPr>
                <w:b/>
                <w:bCs/>
              </w:rPr>
              <w:t>Annualised NPV cost over ten-year period</w:t>
            </w:r>
          </w:p>
          <w:p w14:paraId="5236172B" w14:textId="77777777" w:rsidR="00901CF5" w:rsidRPr="006A1D83" w:rsidRDefault="00901CF5">
            <w:pPr>
              <w:spacing w:line="240" w:lineRule="auto"/>
              <w:ind w:left="113" w:right="113"/>
              <w:jc w:val="right"/>
              <w:rPr>
                <w:b/>
                <w:bCs/>
              </w:rPr>
            </w:pPr>
            <w:r w:rsidRPr="006A1D83">
              <w:rPr>
                <w:b/>
                <w:bCs/>
              </w:rPr>
              <w:t>(</w:t>
            </w:r>
            <w:r>
              <w:rPr>
                <w:b/>
                <w:bCs/>
              </w:rPr>
              <w:t>FY25-34</w:t>
            </w:r>
            <w:r w:rsidRPr="006A1D83">
              <w:rPr>
                <w:b/>
                <w:bCs/>
              </w:rPr>
              <w:t>)</w:t>
            </w:r>
          </w:p>
        </w:tc>
      </w:tr>
      <w:tr w:rsidR="00901CF5" w14:paraId="2ECFC6E3" w14:textId="77777777" w:rsidTr="00F6274A">
        <w:trPr>
          <w:trHeight w:val="232"/>
        </w:trPr>
        <w:tc>
          <w:tcPr>
            <w:tcW w:w="1701" w:type="dxa"/>
            <w:tcBorders>
              <w:top w:val="single" w:sz="4" w:space="0" w:color="000000" w:themeColor="text1"/>
              <w:bottom w:val="single" w:sz="4" w:space="0" w:color="auto"/>
            </w:tcBorders>
          </w:tcPr>
          <w:p w14:paraId="7245B394" w14:textId="77777777" w:rsidR="00901CF5" w:rsidRDefault="00901CF5">
            <w:pPr>
              <w:spacing w:line="240" w:lineRule="auto"/>
            </w:pPr>
            <w:r>
              <w:t>FY25 NPV cost</w:t>
            </w:r>
          </w:p>
        </w:tc>
        <w:tc>
          <w:tcPr>
            <w:tcW w:w="1838" w:type="dxa"/>
            <w:tcBorders>
              <w:top w:val="single" w:sz="4" w:space="0" w:color="000000" w:themeColor="text1"/>
              <w:left w:val="nil"/>
              <w:bottom w:val="single" w:sz="4" w:space="0" w:color="auto"/>
              <w:right w:val="nil"/>
            </w:tcBorders>
            <w:shd w:val="clear" w:color="000000" w:fill="FFFFFF"/>
            <w:vAlign w:val="center"/>
          </w:tcPr>
          <w:p w14:paraId="77073BC9" w14:textId="66CE99F0" w:rsidR="00901CF5" w:rsidRPr="009E67F2" w:rsidRDefault="009D2979" w:rsidP="00F6274A">
            <w:pPr>
              <w:spacing w:line="240" w:lineRule="auto"/>
              <w:jc w:val="right"/>
            </w:pPr>
            <w:r w:rsidRPr="009D2979">
              <w:t xml:space="preserve"> $ 20,968,746 </w:t>
            </w:r>
          </w:p>
        </w:tc>
        <w:tc>
          <w:tcPr>
            <w:tcW w:w="1605" w:type="dxa"/>
            <w:tcBorders>
              <w:top w:val="single" w:sz="4" w:space="0" w:color="000000" w:themeColor="text1"/>
              <w:left w:val="nil"/>
              <w:bottom w:val="single" w:sz="4" w:space="0" w:color="auto"/>
              <w:right w:val="nil"/>
            </w:tcBorders>
            <w:shd w:val="clear" w:color="000000" w:fill="FFFFFF"/>
            <w:vAlign w:val="center"/>
          </w:tcPr>
          <w:p w14:paraId="6B8D8261" w14:textId="3A6D4FBD" w:rsidR="00901CF5" w:rsidRPr="009E67F2" w:rsidRDefault="009D2979" w:rsidP="00F6274A">
            <w:pPr>
              <w:spacing w:line="240" w:lineRule="auto"/>
              <w:jc w:val="right"/>
            </w:pPr>
            <w:r w:rsidRPr="009D2979">
              <w:t xml:space="preserve"> $ 2,096,875 </w:t>
            </w:r>
          </w:p>
        </w:tc>
      </w:tr>
    </w:tbl>
    <w:p w14:paraId="04321F19" w14:textId="63F996DA" w:rsidR="000464EB" w:rsidRPr="000464EB" w:rsidRDefault="007E0AE8" w:rsidP="000464EB">
      <w:pPr>
        <w:pStyle w:val="Heading4"/>
      </w:pPr>
      <w:bookmarkStart w:id="233" w:name="_Ref172553262"/>
      <w:r>
        <w:t>Fees for accreditation</w:t>
      </w:r>
      <w:r w:rsidR="008F3FF9">
        <w:t xml:space="preserve"> of universities</w:t>
      </w:r>
      <w:bookmarkEnd w:id="233"/>
    </w:p>
    <w:p w14:paraId="4D3BA50F" w14:textId="03B317EA" w:rsidR="005D1A0C" w:rsidRDefault="005D1A0C" w:rsidP="005D1A0C">
      <w:pPr>
        <w:pStyle w:val="BodyText"/>
      </w:pPr>
      <w:r>
        <w:t xml:space="preserve">As noted in </w:t>
      </w:r>
      <w:r w:rsidR="00227EAB">
        <w:t>S</w:t>
      </w:r>
      <w:r>
        <w:t>ection 2.3, the</w:t>
      </w:r>
      <w:r w:rsidRPr="00E253E4">
        <w:t xml:space="preserve"> AAUACC</w:t>
      </w:r>
      <w:r w:rsidRPr="00AC315C">
        <w:t xml:space="preserve"> makes a</w:t>
      </w:r>
      <w:r>
        <w:t>n accreditation</w:t>
      </w:r>
      <w:r w:rsidRPr="00AC315C">
        <w:t xml:space="preserve"> recommendation to the </w:t>
      </w:r>
      <w:r w:rsidR="009D0CB1">
        <w:t>AudA</w:t>
      </w:r>
      <w:r w:rsidRPr="00AC315C">
        <w:t xml:space="preserve"> Board</w:t>
      </w:r>
      <w:r>
        <w:t xml:space="preserve"> for seven university programs. </w:t>
      </w:r>
      <w:r w:rsidR="009D0CB1">
        <w:t>AudA’s</w:t>
      </w:r>
      <w:r>
        <w:t xml:space="preserve"> schedule of fees </w:t>
      </w:r>
      <w:r w:rsidRPr="00232314">
        <w:t xml:space="preserve">for accreditation of </w:t>
      </w:r>
      <w:r>
        <w:t xml:space="preserve">university </w:t>
      </w:r>
      <w:r w:rsidRPr="00232314">
        <w:t xml:space="preserve">audiology programs </w:t>
      </w:r>
      <w:r>
        <w:t>(</w:t>
      </w:r>
      <w:r w:rsidRPr="00232314">
        <w:t>from 1 December 2023</w:t>
      </w:r>
      <w:r>
        <w:t>) is provided below</w:t>
      </w:r>
      <w:r w:rsidR="00FC58C2">
        <w:t>.</w:t>
      </w:r>
    </w:p>
    <w:p w14:paraId="04380905" w14:textId="77777777" w:rsidR="005D1A0C" w:rsidRDefault="005D1A0C" w:rsidP="00F24996">
      <w:pPr>
        <w:pStyle w:val="ListParagraph"/>
        <w:numPr>
          <w:ilvl w:val="0"/>
          <w:numId w:val="34"/>
        </w:numPr>
        <w:spacing w:before="0" w:after="170" w:line="240" w:lineRule="atLeast"/>
        <w:textboxTightWrap w:val="none"/>
      </w:pPr>
      <w:r>
        <w:t xml:space="preserve">Accreditation assessment - </w:t>
      </w:r>
      <w:r w:rsidRPr="00DC1EF0">
        <w:t>$</w:t>
      </w:r>
      <w:r>
        <w:t>15,873</w:t>
      </w:r>
    </w:p>
    <w:p w14:paraId="74BEACC0" w14:textId="77777777" w:rsidR="005D1A0C" w:rsidRDefault="005D1A0C" w:rsidP="00F24996">
      <w:pPr>
        <w:pStyle w:val="ListParagraph"/>
        <w:numPr>
          <w:ilvl w:val="1"/>
          <w:numId w:val="34"/>
        </w:numPr>
        <w:spacing w:before="0" w:after="170" w:line="240" w:lineRule="atLeast"/>
        <w:textboxTightWrap w:val="none"/>
      </w:pPr>
      <w:r>
        <w:t>Charged in the last year of the 5-year cycle for existing accredited programs for their accreditation assessment, or for an initial accreditation assessment of a new program in an out-of-cycle assessment.</w:t>
      </w:r>
    </w:p>
    <w:p w14:paraId="6E3BEB99" w14:textId="77777777" w:rsidR="005D1A0C" w:rsidRDefault="005D1A0C" w:rsidP="00F24996">
      <w:pPr>
        <w:pStyle w:val="ListParagraph"/>
        <w:numPr>
          <w:ilvl w:val="0"/>
          <w:numId w:val="34"/>
        </w:numPr>
        <w:spacing w:before="0" w:after="170" w:line="240" w:lineRule="atLeast"/>
        <w:textboxTightWrap w:val="none"/>
      </w:pPr>
      <w:r>
        <w:t>Annual fee - a</w:t>
      </w:r>
      <w:r w:rsidRPr="00D61A55">
        <w:t>nnual fee of $</w:t>
      </w:r>
      <w:r>
        <w:t>5,297</w:t>
      </w:r>
    </w:p>
    <w:p w14:paraId="0A2B365B" w14:textId="3E7B6A2C" w:rsidR="00AA6EE2" w:rsidRDefault="005D1A0C" w:rsidP="00972F5E">
      <w:pPr>
        <w:pStyle w:val="ListParagraph"/>
        <w:numPr>
          <w:ilvl w:val="1"/>
          <w:numId w:val="34"/>
        </w:numPr>
        <w:spacing w:before="0" w:after="170" w:line="240" w:lineRule="atLeast"/>
        <w:textboxTightWrap w:val="none"/>
      </w:pPr>
      <w:r>
        <w:t>Charged every year for accredited programs, excluding the year in which the accreditation assessment visit occurs.</w:t>
      </w:r>
    </w:p>
    <w:p w14:paraId="09AFAB47" w14:textId="4D4F6261" w:rsidR="005D1A0C" w:rsidRDefault="005D1A0C" w:rsidP="005D1A0C">
      <w:pPr>
        <w:pStyle w:val="BodyText"/>
      </w:pPr>
      <w:r w:rsidRPr="00C605E8">
        <w:t xml:space="preserve">To estimate university accreditation fees under </w:t>
      </w:r>
      <w:r w:rsidR="00AC6F0D">
        <w:t xml:space="preserve">the </w:t>
      </w:r>
      <w:r w:rsidR="00A80F45">
        <w:t>Status Quo</w:t>
      </w:r>
      <w:r w:rsidRPr="00C605E8">
        <w:t xml:space="preserve"> the following </w:t>
      </w:r>
      <w:r>
        <w:t>assumptions were used</w:t>
      </w:r>
      <w:r w:rsidR="00FC58C2">
        <w:t>.</w:t>
      </w:r>
    </w:p>
    <w:p w14:paraId="0E5CE44B" w14:textId="407BE577" w:rsidR="005D1A0C" w:rsidRDefault="005D1A0C" w:rsidP="005D1A0C">
      <w:pPr>
        <w:pStyle w:val="ListBullet"/>
      </w:pPr>
      <w:r>
        <w:t xml:space="preserve">The seven current university audiology programs of study will incur the </w:t>
      </w:r>
      <w:r w:rsidRPr="00E253E4">
        <w:t>AAUACC</w:t>
      </w:r>
      <w:r>
        <w:t xml:space="preserve"> accreditation assessment fee ($15,873) twice. </w:t>
      </w:r>
      <w:r w:rsidR="00D1210E">
        <w:t>I</w:t>
      </w:r>
      <w:r>
        <w:t xml:space="preserve">t is assumed these fees are incurred in year one and year six. </w:t>
      </w:r>
    </w:p>
    <w:p w14:paraId="1CAEBD15" w14:textId="77777777" w:rsidR="005D1A0C" w:rsidRPr="00C605E8" w:rsidRDefault="005D1A0C" w:rsidP="005D1A0C">
      <w:pPr>
        <w:pStyle w:val="ListBullet"/>
      </w:pPr>
      <w:r>
        <w:t>In the other eight years over the ten-year period, the seven accredited universities programs will each incur annual accreditation fees of $5,297.</w:t>
      </w:r>
    </w:p>
    <w:p w14:paraId="76988C11" w14:textId="0A2D1A97" w:rsidR="005D1A0C" w:rsidRDefault="005D1A0C" w:rsidP="005D1A0C">
      <w:pPr>
        <w:pStyle w:val="BodyText"/>
      </w:pPr>
      <w:r>
        <w:t xml:space="preserve">Using these assumptions, it is estimated that under </w:t>
      </w:r>
      <w:r w:rsidR="00EC211B">
        <w:t xml:space="preserve">the </w:t>
      </w:r>
      <w:r w:rsidR="00A80F45">
        <w:t>Status Quo</w:t>
      </w:r>
      <w:r>
        <w:t xml:space="preserve"> the seven university programs will incur an annualised ten-year FY25 NPV cost of </w:t>
      </w:r>
      <w:r w:rsidRPr="0024711A">
        <w:t>$</w:t>
      </w:r>
      <w:r w:rsidR="00FE715E">
        <w:t>39,200</w:t>
      </w:r>
      <w:r>
        <w:t xml:space="preserve"> across all university programs.</w:t>
      </w:r>
    </w:p>
    <w:p w14:paraId="266F6677" w14:textId="4507C9D6" w:rsidR="00593C8F" w:rsidRDefault="00593C8F" w:rsidP="00593C8F">
      <w:pPr>
        <w:pStyle w:val="Caption"/>
        <w:keepNext/>
      </w:pPr>
      <w:r>
        <w:t xml:space="preserve">Table </w:t>
      </w:r>
      <w:fldSimple w:instr=" STYLEREF 1 \s ">
        <w:r w:rsidR="00F32107">
          <w:rPr>
            <w:noProof/>
          </w:rPr>
          <w:t>8</w:t>
        </w:r>
      </w:fldSimple>
      <w:r w:rsidR="008944FB">
        <w:t>.</w:t>
      </w:r>
      <w:fldSimple w:instr=" SEQ Table \* ARABIC \s 1 ">
        <w:r w:rsidR="00F32107">
          <w:rPr>
            <w:noProof/>
          </w:rPr>
          <w:t>4</w:t>
        </w:r>
      </w:fldSimple>
      <w:r>
        <w:t xml:space="preserve"> Ten-year NPV of </w:t>
      </w:r>
      <w:r w:rsidR="00A625E1">
        <w:t>accreditation</w:t>
      </w:r>
      <w:r>
        <w:t xml:space="preserve"> fees </w:t>
      </w:r>
      <w:r w:rsidR="00A625E1">
        <w:t xml:space="preserve">for universities </w:t>
      </w:r>
      <w:r>
        <w:t xml:space="preserve">under the </w:t>
      </w:r>
      <w:r w:rsidR="00A80F45">
        <w:t>Status Quo</w:t>
      </w:r>
    </w:p>
    <w:tbl>
      <w:tblPr>
        <w:tblStyle w:val="BodyTable"/>
        <w:tblW w:w="0" w:type="auto"/>
        <w:tblLook w:val="04A0" w:firstRow="1" w:lastRow="0" w:firstColumn="1" w:lastColumn="0" w:noHBand="0" w:noVBand="1"/>
      </w:tblPr>
      <w:tblGrid>
        <w:gridCol w:w="1701"/>
        <w:gridCol w:w="1838"/>
        <w:gridCol w:w="1605"/>
      </w:tblGrid>
      <w:tr w:rsidR="00593C8F" w14:paraId="66F2E270" w14:textId="77777777">
        <w:trPr>
          <w:cnfStyle w:val="100000000000" w:firstRow="1" w:lastRow="0" w:firstColumn="0" w:lastColumn="0" w:oddVBand="0" w:evenVBand="0" w:oddHBand="0" w:evenHBand="0" w:firstRowFirstColumn="0" w:firstRowLastColumn="0" w:lastRowFirstColumn="0" w:lastRowLastColumn="0"/>
          <w:trHeight w:val="699"/>
        </w:trPr>
        <w:tc>
          <w:tcPr>
            <w:tcW w:w="1701" w:type="dxa"/>
            <w:tcBorders>
              <w:bottom w:val="single" w:sz="4" w:space="0" w:color="000000" w:themeColor="text1"/>
            </w:tcBorders>
          </w:tcPr>
          <w:p w14:paraId="1ABAB940" w14:textId="77777777" w:rsidR="00593C8F" w:rsidRDefault="00593C8F">
            <w:pPr>
              <w:spacing w:line="240" w:lineRule="auto"/>
            </w:pPr>
          </w:p>
        </w:tc>
        <w:tc>
          <w:tcPr>
            <w:tcW w:w="1838" w:type="dxa"/>
            <w:tcBorders>
              <w:bottom w:val="single" w:sz="4" w:space="0" w:color="000000" w:themeColor="text1"/>
            </w:tcBorders>
          </w:tcPr>
          <w:p w14:paraId="086193CF" w14:textId="77777777" w:rsidR="00593C8F" w:rsidRDefault="00593C8F">
            <w:pPr>
              <w:spacing w:line="240" w:lineRule="auto"/>
              <w:ind w:left="113" w:right="113"/>
              <w:jc w:val="right"/>
              <w:rPr>
                <w:b/>
                <w:bCs/>
              </w:rPr>
            </w:pPr>
            <w:r>
              <w:rPr>
                <w:b/>
                <w:bCs/>
              </w:rPr>
              <w:t>Total NPV cost over ten-year period</w:t>
            </w:r>
          </w:p>
          <w:p w14:paraId="22703196" w14:textId="77777777" w:rsidR="00593C8F" w:rsidRPr="006A1D83" w:rsidRDefault="00593C8F">
            <w:pPr>
              <w:spacing w:line="240" w:lineRule="auto"/>
              <w:ind w:left="113" w:right="113"/>
              <w:jc w:val="right"/>
              <w:rPr>
                <w:b/>
                <w:bCs/>
              </w:rPr>
            </w:pPr>
            <w:r w:rsidRPr="006A1D83">
              <w:rPr>
                <w:b/>
                <w:bCs/>
              </w:rPr>
              <w:t>(</w:t>
            </w:r>
            <w:r>
              <w:rPr>
                <w:b/>
                <w:bCs/>
              </w:rPr>
              <w:t>FY25-34</w:t>
            </w:r>
            <w:r w:rsidRPr="006A1D83">
              <w:rPr>
                <w:b/>
                <w:bCs/>
              </w:rPr>
              <w:t>)</w:t>
            </w:r>
          </w:p>
        </w:tc>
        <w:tc>
          <w:tcPr>
            <w:tcW w:w="1605" w:type="dxa"/>
            <w:tcBorders>
              <w:bottom w:val="single" w:sz="4" w:space="0" w:color="000000" w:themeColor="text1"/>
            </w:tcBorders>
          </w:tcPr>
          <w:p w14:paraId="452B029C" w14:textId="77777777" w:rsidR="00593C8F" w:rsidRPr="006A1D83" w:rsidRDefault="00593C8F">
            <w:pPr>
              <w:spacing w:line="240" w:lineRule="auto"/>
              <w:ind w:left="113" w:right="113"/>
              <w:jc w:val="right"/>
              <w:rPr>
                <w:b/>
                <w:bCs/>
              </w:rPr>
            </w:pPr>
            <w:r w:rsidRPr="006A1D83">
              <w:rPr>
                <w:b/>
                <w:bCs/>
              </w:rPr>
              <w:t>Annualised NPV cost over ten-year period</w:t>
            </w:r>
          </w:p>
          <w:p w14:paraId="1E100094" w14:textId="77777777" w:rsidR="00593C8F" w:rsidRPr="006A1D83" w:rsidRDefault="00593C8F">
            <w:pPr>
              <w:spacing w:line="240" w:lineRule="auto"/>
              <w:ind w:left="113" w:right="113"/>
              <w:jc w:val="right"/>
              <w:rPr>
                <w:b/>
                <w:bCs/>
              </w:rPr>
            </w:pPr>
            <w:r w:rsidRPr="006A1D83">
              <w:rPr>
                <w:b/>
                <w:bCs/>
              </w:rPr>
              <w:t>(</w:t>
            </w:r>
            <w:r>
              <w:rPr>
                <w:b/>
                <w:bCs/>
              </w:rPr>
              <w:t>FY25-34</w:t>
            </w:r>
            <w:r w:rsidRPr="006A1D83">
              <w:rPr>
                <w:b/>
                <w:bCs/>
              </w:rPr>
              <w:t>)</w:t>
            </w:r>
          </w:p>
        </w:tc>
      </w:tr>
      <w:tr w:rsidR="00593C8F" w14:paraId="660B9A38" w14:textId="77777777" w:rsidTr="00A625E1">
        <w:trPr>
          <w:trHeight w:val="232"/>
        </w:trPr>
        <w:tc>
          <w:tcPr>
            <w:tcW w:w="1701" w:type="dxa"/>
            <w:tcBorders>
              <w:top w:val="single" w:sz="4" w:space="0" w:color="000000" w:themeColor="text1"/>
              <w:bottom w:val="single" w:sz="4" w:space="0" w:color="auto"/>
            </w:tcBorders>
          </w:tcPr>
          <w:p w14:paraId="0EE5D721" w14:textId="77777777" w:rsidR="00593C8F" w:rsidRDefault="00593C8F">
            <w:pPr>
              <w:spacing w:line="240" w:lineRule="auto"/>
            </w:pPr>
            <w:r>
              <w:t>FY25 NPV cost</w:t>
            </w:r>
          </w:p>
        </w:tc>
        <w:tc>
          <w:tcPr>
            <w:tcW w:w="1838" w:type="dxa"/>
            <w:tcBorders>
              <w:top w:val="single" w:sz="4" w:space="0" w:color="000000" w:themeColor="text1"/>
              <w:left w:val="nil"/>
              <w:bottom w:val="single" w:sz="4" w:space="0" w:color="auto"/>
              <w:right w:val="nil"/>
            </w:tcBorders>
            <w:shd w:val="clear" w:color="000000" w:fill="FFFFFF"/>
            <w:vAlign w:val="bottom"/>
          </w:tcPr>
          <w:p w14:paraId="227ACACE" w14:textId="6DE2D99F" w:rsidR="00593C8F" w:rsidRPr="009E67F2" w:rsidRDefault="00A625E1">
            <w:pPr>
              <w:spacing w:line="240" w:lineRule="auto"/>
              <w:jc w:val="right"/>
            </w:pPr>
            <w:r w:rsidRPr="00A625E1">
              <w:t xml:space="preserve"> $ 392,003 </w:t>
            </w:r>
          </w:p>
        </w:tc>
        <w:tc>
          <w:tcPr>
            <w:tcW w:w="1605" w:type="dxa"/>
            <w:tcBorders>
              <w:top w:val="single" w:sz="4" w:space="0" w:color="000000" w:themeColor="text1"/>
              <w:left w:val="nil"/>
              <w:bottom w:val="single" w:sz="4" w:space="0" w:color="auto"/>
              <w:right w:val="nil"/>
            </w:tcBorders>
            <w:shd w:val="clear" w:color="000000" w:fill="FFFFFF"/>
            <w:vAlign w:val="bottom"/>
          </w:tcPr>
          <w:p w14:paraId="5BC3150E" w14:textId="5332A059" w:rsidR="00593C8F" w:rsidRPr="009E67F2" w:rsidRDefault="00A625E1">
            <w:pPr>
              <w:spacing w:line="240" w:lineRule="auto"/>
              <w:jc w:val="right"/>
            </w:pPr>
            <w:r w:rsidRPr="00A625E1">
              <w:t xml:space="preserve"> $ 39,200 </w:t>
            </w:r>
          </w:p>
        </w:tc>
      </w:tr>
    </w:tbl>
    <w:p w14:paraId="52D295F1" w14:textId="71B9E89D" w:rsidR="007E0AE8" w:rsidRDefault="00D8753C" w:rsidP="007E0AE8">
      <w:pPr>
        <w:pStyle w:val="Heading4"/>
      </w:pPr>
      <w:r>
        <w:t>C</w:t>
      </w:r>
      <w:r w:rsidR="007E0AE8">
        <w:t>ompensation claims and reputation</w:t>
      </w:r>
      <w:r w:rsidR="00832AFF">
        <w:t>al</w:t>
      </w:r>
      <w:r w:rsidR="007E0AE8">
        <w:t xml:space="preserve"> harm</w:t>
      </w:r>
    </w:p>
    <w:p w14:paraId="3783E2A7" w14:textId="43AB0302" w:rsidR="00D77FA0" w:rsidRDefault="00D77FA0" w:rsidP="00D77FA0">
      <w:pPr>
        <w:pStyle w:val="BodyText"/>
      </w:pPr>
      <w:r>
        <w:t>S</w:t>
      </w:r>
      <w:r w:rsidRPr="00CD088A">
        <w:t xml:space="preserve">ubstandard care </w:t>
      </w:r>
      <w:r>
        <w:t xml:space="preserve">can result in compensation claims and reputation harm to the employer. At this time, compensation claims associated with the </w:t>
      </w:r>
      <w:r w:rsidR="00DC2DDB">
        <w:t>events occurring in the external reviews</w:t>
      </w:r>
      <w:r>
        <w:t xml:space="preserve"> are not known</w:t>
      </w:r>
      <w:r w:rsidR="001C2B9F">
        <w:t>. I</w:t>
      </w:r>
      <w:r>
        <w:t xml:space="preserve">n South Australia </w:t>
      </w:r>
      <w:r w:rsidRPr="00031C81">
        <w:rPr>
          <w:i/>
          <w:iCs/>
        </w:rPr>
        <w:t>ex gratia</w:t>
      </w:r>
      <w:r>
        <w:t xml:space="preserve"> payments </w:t>
      </w:r>
      <w:r w:rsidR="00E85568">
        <w:t xml:space="preserve">associated with the </w:t>
      </w:r>
      <w:r w:rsidR="00E92DB9">
        <w:t xml:space="preserve">investigation at the Adelaide Women’s and Children’s Hospital </w:t>
      </w:r>
      <w:r>
        <w:t>were made, as follows:</w:t>
      </w:r>
    </w:p>
    <w:p w14:paraId="599B03B9" w14:textId="77777777" w:rsidR="00D77FA0" w:rsidRPr="005E2A02" w:rsidRDefault="00D77FA0" w:rsidP="00D77FA0">
      <w:pPr>
        <w:pStyle w:val="ListBullet"/>
      </w:pPr>
      <w:r w:rsidRPr="005E2A02">
        <w:t xml:space="preserve">Children who </w:t>
      </w:r>
      <w:r>
        <w:t>were identified as</w:t>
      </w:r>
      <w:r w:rsidRPr="005E2A02">
        <w:t xml:space="preserve"> under-mapped receive</w:t>
      </w:r>
      <w:r>
        <w:t>d</w:t>
      </w:r>
      <w:r w:rsidRPr="005E2A02">
        <w:t xml:space="preserve"> $50,000, which does not replace a family’s right to pursue further compensation.</w:t>
      </w:r>
    </w:p>
    <w:p w14:paraId="20AC4CF0" w14:textId="77777777" w:rsidR="00D77FA0" w:rsidRDefault="00D77FA0" w:rsidP="00D32AD7">
      <w:pPr>
        <w:pStyle w:val="ListBullet"/>
        <w:spacing w:after="120"/>
        <w:ind w:left="357" w:hanging="357"/>
      </w:pPr>
      <w:r w:rsidRPr="005E2A02">
        <w:t xml:space="preserve">Families whose children </w:t>
      </w:r>
      <w:r>
        <w:t>were</w:t>
      </w:r>
      <w:r w:rsidRPr="005E2A02">
        <w:t xml:space="preserve"> not under-mapped </w:t>
      </w:r>
      <w:r>
        <w:t>received</w:t>
      </w:r>
      <w:r w:rsidRPr="005E2A02">
        <w:t xml:space="preserve"> $5,000</w:t>
      </w:r>
      <w:r>
        <w:t xml:space="preserve">, in recognition the </w:t>
      </w:r>
      <w:r w:rsidRPr="008C73DC">
        <w:t>families may have experienced undue expenses, as well as significant stress</w:t>
      </w:r>
      <w:r>
        <w:t xml:space="preserve"> and </w:t>
      </w:r>
      <w:r w:rsidRPr="008C73DC">
        <w:t>inconvenience due to the possibility they could have been under mapped</w:t>
      </w:r>
      <w:r>
        <w:t>.</w:t>
      </w:r>
      <w:r>
        <w:rPr>
          <w:rStyle w:val="FootnoteReference"/>
        </w:rPr>
        <w:footnoteReference w:id="261"/>
      </w:r>
    </w:p>
    <w:p w14:paraId="4F850813" w14:textId="36187FD8" w:rsidR="000A6A9C" w:rsidRDefault="000A6A9C" w:rsidP="00D32AD7">
      <w:pPr>
        <w:pStyle w:val="ListBullet"/>
        <w:spacing w:after="120"/>
        <w:ind w:left="357" w:hanging="357"/>
      </w:pPr>
      <w:r>
        <w:t xml:space="preserve">Similar </w:t>
      </w:r>
      <w:r w:rsidRPr="00031C81">
        <w:rPr>
          <w:i/>
          <w:iCs/>
        </w:rPr>
        <w:t>ex gratia</w:t>
      </w:r>
      <w:r>
        <w:t xml:space="preserve"> payments were made by the Townsville Hospital and </w:t>
      </w:r>
      <w:r w:rsidR="00C9407A">
        <w:t xml:space="preserve">Health Service to individuals and families who required additional testing and follow-up care associated with the Townsville University Hospital audiology service review. </w:t>
      </w:r>
    </w:p>
    <w:p w14:paraId="3C0BD7DE" w14:textId="57D370AF" w:rsidR="00D93974" w:rsidRDefault="00D93974" w:rsidP="00972F5E">
      <w:pPr>
        <w:pStyle w:val="ListBullet"/>
        <w:numPr>
          <w:ilvl w:val="0"/>
          <w:numId w:val="0"/>
        </w:numPr>
        <w:spacing w:after="120"/>
      </w:pPr>
      <w:r>
        <w:t xml:space="preserve">These costs have not been included in </w:t>
      </w:r>
      <w:r w:rsidR="00701CC5">
        <w:t xml:space="preserve">the impact analysis. </w:t>
      </w:r>
    </w:p>
    <w:p w14:paraId="3C148EE0" w14:textId="60C07882" w:rsidR="00D61C70" w:rsidRDefault="00D61C70" w:rsidP="00D61C70">
      <w:pPr>
        <w:pStyle w:val="Heading3"/>
      </w:pPr>
      <w:bookmarkStart w:id="234" w:name="_Toc198138634"/>
      <w:r>
        <w:t>Summary of impact analysis</w:t>
      </w:r>
      <w:bookmarkEnd w:id="234"/>
    </w:p>
    <w:p w14:paraId="65BA86B8" w14:textId="58C639BB" w:rsidR="00221E58" w:rsidRDefault="00C81E01" w:rsidP="00221E58">
      <w:pPr>
        <w:pStyle w:val="BodyText"/>
      </w:pPr>
      <w:r>
        <w:t>The table below</w:t>
      </w:r>
      <w:r w:rsidR="00221E58">
        <w:t xml:space="preserve"> summarises the total estimated costs associated with</w:t>
      </w:r>
      <w:r w:rsidR="007973BC">
        <w:t xml:space="preserve"> regulatory burden under</w:t>
      </w:r>
      <w:r w:rsidR="00221E58">
        <w:t xml:space="preserve"> the </w:t>
      </w:r>
      <w:r w:rsidR="00A80F45">
        <w:t>Status Quo</w:t>
      </w:r>
      <w:r w:rsidR="00221E58">
        <w:t>.</w:t>
      </w:r>
    </w:p>
    <w:p w14:paraId="3FCF3D13" w14:textId="60074C10" w:rsidR="00221E58" w:rsidRDefault="00221E58" w:rsidP="00221E58">
      <w:pPr>
        <w:pStyle w:val="Caption"/>
        <w:keepNext/>
      </w:pPr>
      <w:r>
        <w:t xml:space="preserve">Table </w:t>
      </w:r>
      <w:fldSimple w:instr=" STYLEREF 1 \s ">
        <w:r w:rsidR="00F32107">
          <w:rPr>
            <w:noProof/>
          </w:rPr>
          <w:t>8</w:t>
        </w:r>
      </w:fldSimple>
      <w:r w:rsidR="008944FB">
        <w:t>.</w:t>
      </w:r>
      <w:fldSimple w:instr=" SEQ Table \* ARABIC \s 1 ">
        <w:r w:rsidR="00F32107">
          <w:rPr>
            <w:noProof/>
          </w:rPr>
          <w:t>5</w:t>
        </w:r>
      </w:fldSimple>
      <w:r>
        <w:t xml:space="preserve">  Estimated ten-year costs associated with the </w:t>
      </w:r>
      <w:r w:rsidR="00A80F45">
        <w:t>Status Quo</w:t>
      </w:r>
    </w:p>
    <w:tbl>
      <w:tblPr>
        <w:tblStyle w:val="BodyTable"/>
        <w:tblW w:w="7726" w:type="dxa"/>
        <w:tblLayout w:type="fixed"/>
        <w:tblLook w:val="04A0" w:firstRow="1" w:lastRow="0" w:firstColumn="1" w:lastColumn="0" w:noHBand="0" w:noVBand="1"/>
      </w:tblPr>
      <w:tblGrid>
        <w:gridCol w:w="6"/>
        <w:gridCol w:w="1114"/>
        <w:gridCol w:w="3560"/>
        <w:gridCol w:w="1523"/>
        <w:gridCol w:w="1523"/>
      </w:tblGrid>
      <w:tr w:rsidR="00221E58" w:rsidRPr="00466057" w14:paraId="69AE7552" w14:textId="77777777" w:rsidTr="002845FF">
        <w:trPr>
          <w:gridBefore w:val="1"/>
          <w:cnfStyle w:val="100000000000" w:firstRow="1" w:lastRow="0" w:firstColumn="0" w:lastColumn="0" w:oddVBand="0" w:evenVBand="0" w:oddHBand="0" w:evenHBand="0" w:firstRowFirstColumn="0" w:firstRowLastColumn="0" w:lastRowFirstColumn="0" w:lastRowLastColumn="0"/>
          <w:wBefore w:w="6" w:type="dxa"/>
          <w:trHeight w:val="284"/>
        </w:trPr>
        <w:tc>
          <w:tcPr>
            <w:tcW w:w="1114" w:type="dxa"/>
          </w:tcPr>
          <w:p w14:paraId="5E388134" w14:textId="2F074C04" w:rsidR="00A047B3" w:rsidRPr="00683AFF" w:rsidRDefault="00A047B3">
            <w:pPr>
              <w:keepNext/>
              <w:spacing w:line="240" w:lineRule="auto"/>
              <w:rPr>
                <w:b/>
              </w:rPr>
            </w:pPr>
            <w:r w:rsidRPr="00683AFF">
              <w:rPr>
                <w:b/>
              </w:rPr>
              <w:t>Stakeholder affected</w:t>
            </w:r>
          </w:p>
        </w:tc>
        <w:tc>
          <w:tcPr>
            <w:tcW w:w="3560" w:type="dxa"/>
            <w:noWrap/>
          </w:tcPr>
          <w:p w14:paraId="0C66E1E4" w14:textId="4DA2FC0F" w:rsidR="00221E58" w:rsidRPr="00683AFF" w:rsidRDefault="00A047B3">
            <w:pPr>
              <w:keepNext/>
              <w:spacing w:line="240" w:lineRule="auto"/>
              <w:rPr>
                <w:b/>
              </w:rPr>
            </w:pPr>
            <w:r w:rsidRPr="00683AFF">
              <w:rPr>
                <w:b/>
              </w:rPr>
              <w:t>Cost type</w:t>
            </w:r>
          </w:p>
        </w:tc>
        <w:tc>
          <w:tcPr>
            <w:tcW w:w="1523" w:type="dxa"/>
            <w:noWrap/>
          </w:tcPr>
          <w:p w14:paraId="2BE019F9" w14:textId="77777777" w:rsidR="00221E58" w:rsidRDefault="00221E58">
            <w:pPr>
              <w:keepNext/>
              <w:spacing w:line="240" w:lineRule="auto"/>
              <w:ind w:left="113" w:right="113"/>
              <w:jc w:val="right"/>
              <w:rPr>
                <w:b/>
                <w:bCs/>
              </w:rPr>
            </w:pPr>
            <w:r>
              <w:rPr>
                <w:b/>
                <w:bCs/>
              </w:rPr>
              <w:t>Total</w:t>
            </w:r>
            <w:r>
              <w:rPr>
                <w:b/>
              </w:rPr>
              <w:t xml:space="preserve"> NPV cost over ten-year period</w:t>
            </w:r>
          </w:p>
          <w:p w14:paraId="4F513E3F" w14:textId="77777777" w:rsidR="00221E58" w:rsidRPr="00466057" w:rsidRDefault="00221E58">
            <w:pPr>
              <w:keepNext/>
              <w:spacing w:line="240" w:lineRule="auto"/>
              <w:jc w:val="right"/>
              <w:rPr>
                <w:rFonts w:eastAsia="Times New Roman" w:cs="Calibri Light"/>
                <w:color w:val="000000"/>
                <w:szCs w:val="20"/>
                <w:lang w:eastAsia="en-AU"/>
              </w:rPr>
            </w:pPr>
            <w:r w:rsidRPr="006A1D83">
              <w:rPr>
                <w:b/>
                <w:bCs/>
              </w:rPr>
              <w:t>(</w:t>
            </w:r>
            <w:r>
              <w:rPr>
                <w:b/>
                <w:bCs/>
              </w:rPr>
              <w:t>FY25</w:t>
            </w:r>
            <w:r>
              <w:rPr>
                <w:b/>
              </w:rPr>
              <w:t>-34</w:t>
            </w:r>
            <w:r w:rsidRPr="006A1D83">
              <w:rPr>
                <w:b/>
              </w:rPr>
              <w:t>)</w:t>
            </w:r>
          </w:p>
        </w:tc>
        <w:tc>
          <w:tcPr>
            <w:tcW w:w="1523" w:type="dxa"/>
          </w:tcPr>
          <w:p w14:paraId="7ACDDA17" w14:textId="77777777" w:rsidR="00221E58" w:rsidRPr="006A1D83" w:rsidRDefault="00221E58">
            <w:pPr>
              <w:keepNext/>
              <w:spacing w:line="240" w:lineRule="auto"/>
              <w:ind w:left="113" w:right="113"/>
              <w:jc w:val="right"/>
              <w:rPr>
                <w:b/>
                <w:bCs/>
              </w:rPr>
            </w:pPr>
            <w:r w:rsidRPr="006A1D83">
              <w:rPr>
                <w:b/>
                <w:bCs/>
              </w:rPr>
              <w:t>Annualised NPV cost over ten-year period</w:t>
            </w:r>
          </w:p>
          <w:p w14:paraId="46349114" w14:textId="77777777" w:rsidR="00221E58" w:rsidRPr="006A1D83" w:rsidRDefault="00221E58">
            <w:pPr>
              <w:keepNext/>
              <w:spacing w:line="240" w:lineRule="auto"/>
              <w:ind w:left="113" w:right="113"/>
              <w:jc w:val="right"/>
              <w:rPr>
                <w:b/>
              </w:rPr>
            </w:pPr>
            <w:r w:rsidRPr="006A1D83">
              <w:rPr>
                <w:b/>
                <w:bCs/>
              </w:rPr>
              <w:t>(</w:t>
            </w:r>
            <w:r>
              <w:rPr>
                <w:b/>
                <w:bCs/>
              </w:rPr>
              <w:t>FY25-34</w:t>
            </w:r>
            <w:r w:rsidRPr="006A1D83">
              <w:rPr>
                <w:b/>
                <w:bCs/>
              </w:rPr>
              <w:t>)</w:t>
            </w:r>
          </w:p>
        </w:tc>
      </w:tr>
      <w:tr w:rsidR="002845FF" w:rsidRPr="00466057" w14:paraId="699BB8DD" w14:textId="77777777" w:rsidTr="00972F5E">
        <w:trPr>
          <w:gridBefore w:val="1"/>
          <w:wBefore w:w="6" w:type="dxa"/>
          <w:trHeight w:val="284"/>
        </w:trPr>
        <w:tc>
          <w:tcPr>
            <w:tcW w:w="1114" w:type="dxa"/>
            <w:tcBorders>
              <w:top w:val="nil"/>
              <w:left w:val="nil"/>
              <w:bottom w:val="nil"/>
              <w:right w:val="nil"/>
            </w:tcBorders>
            <w:shd w:val="clear" w:color="000000" w:fill="FFFFFF"/>
            <w:vAlign w:val="bottom"/>
          </w:tcPr>
          <w:p w14:paraId="2810A940" w14:textId="5A768D01" w:rsidR="002845FF" w:rsidRDefault="002845FF" w:rsidP="002845FF">
            <w:pPr>
              <w:spacing w:line="240" w:lineRule="auto"/>
            </w:pPr>
            <w:r>
              <w:t>Employer</w:t>
            </w:r>
          </w:p>
        </w:tc>
        <w:tc>
          <w:tcPr>
            <w:tcW w:w="3560" w:type="dxa"/>
            <w:tcBorders>
              <w:top w:val="nil"/>
              <w:left w:val="nil"/>
              <w:bottom w:val="nil"/>
              <w:right w:val="nil"/>
            </w:tcBorders>
            <w:shd w:val="clear" w:color="000000" w:fill="FFFFFF"/>
            <w:noWrap/>
            <w:vAlign w:val="bottom"/>
          </w:tcPr>
          <w:p w14:paraId="7AF2B76F" w14:textId="4D649E10" w:rsidR="002845FF" w:rsidRPr="00EC211B" w:rsidRDefault="002845FF" w:rsidP="002845FF">
            <w:pPr>
              <w:spacing w:line="240" w:lineRule="auto"/>
            </w:pPr>
            <w:r w:rsidRPr="00EC211B">
              <w:t xml:space="preserve">CPD time costs </w:t>
            </w:r>
          </w:p>
        </w:tc>
        <w:tc>
          <w:tcPr>
            <w:tcW w:w="1523" w:type="dxa"/>
            <w:tcBorders>
              <w:top w:val="nil"/>
              <w:left w:val="nil"/>
              <w:bottom w:val="nil"/>
              <w:right w:val="nil"/>
            </w:tcBorders>
            <w:shd w:val="clear" w:color="000000" w:fill="FFFFFF"/>
            <w:noWrap/>
            <w:vAlign w:val="center"/>
          </w:tcPr>
          <w:p w14:paraId="10C4DE14" w14:textId="47A19034" w:rsidR="002845FF" w:rsidRPr="00EC211B" w:rsidRDefault="002845FF" w:rsidP="002845FF">
            <w:pPr>
              <w:spacing w:line="240" w:lineRule="auto"/>
              <w:jc w:val="right"/>
            </w:pPr>
            <w:r w:rsidRPr="00207350">
              <w:t xml:space="preserve"> $51,875,983 </w:t>
            </w:r>
          </w:p>
        </w:tc>
        <w:tc>
          <w:tcPr>
            <w:tcW w:w="1523" w:type="dxa"/>
            <w:tcBorders>
              <w:top w:val="nil"/>
              <w:left w:val="nil"/>
              <w:bottom w:val="nil"/>
              <w:right w:val="nil"/>
            </w:tcBorders>
            <w:shd w:val="clear" w:color="000000" w:fill="FFFFFF"/>
            <w:vAlign w:val="center"/>
          </w:tcPr>
          <w:p w14:paraId="6B885E6F" w14:textId="1C25E97E" w:rsidR="002845FF" w:rsidRPr="00EC211B" w:rsidRDefault="002845FF" w:rsidP="002845FF">
            <w:pPr>
              <w:spacing w:line="240" w:lineRule="auto"/>
              <w:jc w:val="right"/>
            </w:pPr>
            <w:r w:rsidRPr="00207350">
              <w:t xml:space="preserve"> $5,187,598 </w:t>
            </w:r>
          </w:p>
        </w:tc>
      </w:tr>
      <w:tr w:rsidR="002845FF" w:rsidRPr="00466057" w14:paraId="543C5CDA" w14:textId="77777777" w:rsidTr="00EE3AA4">
        <w:trPr>
          <w:gridBefore w:val="1"/>
          <w:wBefore w:w="6" w:type="dxa"/>
          <w:trHeight w:val="284"/>
        </w:trPr>
        <w:tc>
          <w:tcPr>
            <w:tcW w:w="0" w:type="dxa"/>
            <w:tcBorders>
              <w:top w:val="nil"/>
              <w:left w:val="nil"/>
              <w:bottom w:val="nil"/>
              <w:right w:val="nil"/>
            </w:tcBorders>
            <w:shd w:val="clear" w:color="000000" w:fill="FFFFFF"/>
            <w:vAlign w:val="bottom"/>
          </w:tcPr>
          <w:p w14:paraId="771A1EBF" w14:textId="3E4ADC67" w:rsidR="002845FF" w:rsidRPr="00EC211B" w:rsidRDefault="002845FF" w:rsidP="002845FF">
            <w:pPr>
              <w:spacing w:line="240" w:lineRule="auto"/>
            </w:pPr>
            <w:r>
              <w:t>Employer</w:t>
            </w:r>
          </w:p>
        </w:tc>
        <w:tc>
          <w:tcPr>
            <w:tcW w:w="0" w:type="dxa"/>
            <w:tcBorders>
              <w:top w:val="nil"/>
              <w:left w:val="nil"/>
              <w:bottom w:val="nil"/>
              <w:right w:val="nil"/>
            </w:tcBorders>
            <w:shd w:val="clear" w:color="000000" w:fill="FFFFFF"/>
            <w:noWrap/>
            <w:vAlign w:val="bottom"/>
          </w:tcPr>
          <w:p w14:paraId="160FEFE6" w14:textId="757B4F00" w:rsidR="002845FF" w:rsidRPr="00EC211B" w:rsidRDefault="002845FF" w:rsidP="002845FF">
            <w:pPr>
              <w:spacing w:line="240" w:lineRule="auto"/>
            </w:pPr>
            <w:r w:rsidRPr="00EC211B">
              <w:t>Eligibility checking time costs</w:t>
            </w:r>
          </w:p>
        </w:tc>
        <w:tc>
          <w:tcPr>
            <w:tcW w:w="0" w:type="dxa"/>
            <w:tcBorders>
              <w:top w:val="nil"/>
              <w:left w:val="nil"/>
              <w:bottom w:val="nil"/>
              <w:right w:val="nil"/>
            </w:tcBorders>
            <w:shd w:val="clear" w:color="000000" w:fill="FFFFFF"/>
            <w:noWrap/>
          </w:tcPr>
          <w:p w14:paraId="1FDA2246" w14:textId="566EDE22" w:rsidR="002845FF" w:rsidRPr="00EC211B" w:rsidRDefault="002F2D9F" w:rsidP="002845FF">
            <w:pPr>
              <w:spacing w:line="240" w:lineRule="auto"/>
              <w:jc w:val="right"/>
            </w:pPr>
            <w:r w:rsidRPr="00757760">
              <w:t xml:space="preserve"> $252,241 </w:t>
            </w:r>
          </w:p>
        </w:tc>
        <w:tc>
          <w:tcPr>
            <w:tcW w:w="0" w:type="dxa"/>
            <w:tcBorders>
              <w:top w:val="nil"/>
              <w:left w:val="nil"/>
              <w:bottom w:val="nil"/>
              <w:right w:val="nil"/>
            </w:tcBorders>
            <w:shd w:val="clear" w:color="000000" w:fill="FFFFFF"/>
          </w:tcPr>
          <w:p w14:paraId="0E61AD27" w14:textId="764CA9A5" w:rsidR="002845FF" w:rsidRPr="00EC211B" w:rsidRDefault="002F2D9F" w:rsidP="002845FF">
            <w:pPr>
              <w:spacing w:line="240" w:lineRule="auto"/>
              <w:jc w:val="right"/>
            </w:pPr>
            <w:r w:rsidRPr="00757760">
              <w:t xml:space="preserve"> $25,224 </w:t>
            </w:r>
          </w:p>
        </w:tc>
      </w:tr>
      <w:tr w:rsidR="002845FF" w:rsidRPr="00466057" w14:paraId="3CC9F34C" w14:textId="77777777" w:rsidTr="00972F5E">
        <w:trPr>
          <w:gridBefore w:val="1"/>
          <w:wBefore w:w="6" w:type="dxa"/>
          <w:trHeight w:val="284"/>
        </w:trPr>
        <w:tc>
          <w:tcPr>
            <w:tcW w:w="1114" w:type="dxa"/>
            <w:tcBorders>
              <w:top w:val="nil"/>
              <w:left w:val="nil"/>
              <w:bottom w:val="nil"/>
              <w:right w:val="nil"/>
            </w:tcBorders>
            <w:shd w:val="clear" w:color="000000" w:fill="FFFFFF"/>
            <w:vAlign w:val="bottom"/>
          </w:tcPr>
          <w:p w14:paraId="6A4EC487" w14:textId="54D2BD37" w:rsidR="002845FF" w:rsidRPr="00EC211B" w:rsidRDefault="002845FF" w:rsidP="002845FF">
            <w:pPr>
              <w:spacing w:line="240" w:lineRule="auto"/>
            </w:pPr>
            <w:r>
              <w:t>Universities</w:t>
            </w:r>
          </w:p>
        </w:tc>
        <w:tc>
          <w:tcPr>
            <w:tcW w:w="3560" w:type="dxa"/>
            <w:tcBorders>
              <w:top w:val="nil"/>
              <w:left w:val="nil"/>
              <w:bottom w:val="nil"/>
              <w:right w:val="nil"/>
            </w:tcBorders>
            <w:shd w:val="clear" w:color="000000" w:fill="FFFFFF"/>
            <w:noWrap/>
            <w:vAlign w:val="bottom"/>
          </w:tcPr>
          <w:p w14:paraId="2AC2ED11" w14:textId="6BE27927" w:rsidR="002845FF" w:rsidRPr="00EC211B" w:rsidRDefault="002845FF" w:rsidP="002845FF">
            <w:pPr>
              <w:spacing w:line="240" w:lineRule="auto"/>
            </w:pPr>
            <w:r w:rsidRPr="00EC211B">
              <w:t>Accreditation fees</w:t>
            </w:r>
          </w:p>
        </w:tc>
        <w:tc>
          <w:tcPr>
            <w:tcW w:w="1523" w:type="dxa"/>
            <w:tcBorders>
              <w:top w:val="nil"/>
              <w:left w:val="nil"/>
              <w:bottom w:val="nil"/>
              <w:right w:val="nil"/>
            </w:tcBorders>
            <w:shd w:val="clear" w:color="000000" w:fill="FFFFFF"/>
            <w:noWrap/>
            <w:vAlign w:val="center"/>
          </w:tcPr>
          <w:p w14:paraId="5FE95E07" w14:textId="7B6D06E2" w:rsidR="002845FF" w:rsidRPr="00EC211B" w:rsidRDefault="002845FF" w:rsidP="002845FF">
            <w:pPr>
              <w:spacing w:line="240" w:lineRule="auto"/>
              <w:jc w:val="right"/>
            </w:pPr>
            <w:r w:rsidRPr="00207350">
              <w:t xml:space="preserve"> $392,003 </w:t>
            </w:r>
          </w:p>
        </w:tc>
        <w:tc>
          <w:tcPr>
            <w:tcW w:w="1523" w:type="dxa"/>
            <w:tcBorders>
              <w:top w:val="nil"/>
              <w:left w:val="nil"/>
              <w:bottom w:val="nil"/>
              <w:right w:val="nil"/>
            </w:tcBorders>
            <w:shd w:val="clear" w:color="000000" w:fill="FFFFFF"/>
            <w:vAlign w:val="center"/>
          </w:tcPr>
          <w:p w14:paraId="16C91F7E" w14:textId="20AE100D" w:rsidR="002845FF" w:rsidRPr="00EC211B" w:rsidRDefault="002845FF" w:rsidP="002845FF">
            <w:pPr>
              <w:spacing w:line="240" w:lineRule="auto"/>
              <w:jc w:val="right"/>
            </w:pPr>
            <w:r w:rsidRPr="00207350">
              <w:t xml:space="preserve"> $39,200 </w:t>
            </w:r>
          </w:p>
        </w:tc>
      </w:tr>
      <w:tr w:rsidR="002845FF" w:rsidRPr="00466057" w14:paraId="66BE490A" w14:textId="77777777" w:rsidTr="00972F5E">
        <w:trPr>
          <w:gridBefore w:val="1"/>
          <w:wBefore w:w="6" w:type="dxa"/>
          <w:trHeight w:val="284"/>
        </w:trPr>
        <w:tc>
          <w:tcPr>
            <w:tcW w:w="1114" w:type="dxa"/>
            <w:tcBorders>
              <w:top w:val="nil"/>
              <w:left w:val="nil"/>
              <w:bottom w:val="nil"/>
              <w:right w:val="nil"/>
            </w:tcBorders>
            <w:shd w:val="clear" w:color="000000" w:fill="FFFFFF"/>
            <w:vAlign w:val="bottom"/>
          </w:tcPr>
          <w:p w14:paraId="57D43CEB" w14:textId="2BDBE91C" w:rsidR="002845FF" w:rsidRPr="00EC211B" w:rsidRDefault="002845FF" w:rsidP="002845FF">
            <w:pPr>
              <w:spacing w:line="240" w:lineRule="auto"/>
            </w:pPr>
            <w:r>
              <w:t>Audiologists</w:t>
            </w:r>
          </w:p>
        </w:tc>
        <w:tc>
          <w:tcPr>
            <w:tcW w:w="3560" w:type="dxa"/>
            <w:tcBorders>
              <w:top w:val="nil"/>
              <w:left w:val="nil"/>
              <w:bottom w:val="nil"/>
              <w:right w:val="nil"/>
            </w:tcBorders>
            <w:shd w:val="clear" w:color="000000" w:fill="FFFFFF"/>
            <w:noWrap/>
            <w:vAlign w:val="bottom"/>
          </w:tcPr>
          <w:p w14:paraId="35EF9207" w14:textId="5A863821" w:rsidR="002845FF" w:rsidRPr="00EC211B" w:rsidRDefault="002845FF" w:rsidP="002845FF">
            <w:pPr>
              <w:spacing w:line="240" w:lineRule="auto"/>
            </w:pPr>
            <w:r>
              <w:t xml:space="preserve">Fees </w:t>
            </w:r>
          </w:p>
        </w:tc>
        <w:tc>
          <w:tcPr>
            <w:tcW w:w="1523" w:type="dxa"/>
            <w:tcBorders>
              <w:top w:val="nil"/>
              <w:left w:val="nil"/>
              <w:bottom w:val="nil"/>
              <w:right w:val="nil"/>
            </w:tcBorders>
            <w:shd w:val="clear" w:color="000000" w:fill="FFFFFF"/>
            <w:noWrap/>
            <w:vAlign w:val="center"/>
          </w:tcPr>
          <w:p w14:paraId="42C1F507" w14:textId="50AA979E" w:rsidR="002845FF" w:rsidRPr="00EC211B" w:rsidRDefault="002845FF" w:rsidP="002845FF">
            <w:pPr>
              <w:spacing w:line="240" w:lineRule="auto"/>
              <w:jc w:val="right"/>
            </w:pPr>
            <w:r w:rsidRPr="00207350">
              <w:t xml:space="preserve"> $20,968,746 </w:t>
            </w:r>
          </w:p>
        </w:tc>
        <w:tc>
          <w:tcPr>
            <w:tcW w:w="1523" w:type="dxa"/>
            <w:tcBorders>
              <w:top w:val="nil"/>
              <w:left w:val="nil"/>
              <w:bottom w:val="nil"/>
              <w:right w:val="nil"/>
            </w:tcBorders>
            <w:shd w:val="clear" w:color="000000" w:fill="FFFFFF"/>
            <w:vAlign w:val="center"/>
          </w:tcPr>
          <w:p w14:paraId="25E1E942" w14:textId="3B875A85" w:rsidR="002845FF" w:rsidRPr="00EC211B" w:rsidRDefault="002845FF" w:rsidP="002845FF">
            <w:pPr>
              <w:spacing w:line="240" w:lineRule="auto"/>
              <w:jc w:val="right"/>
            </w:pPr>
            <w:r w:rsidRPr="00207350">
              <w:t xml:space="preserve"> $2,096,875 </w:t>
            </w:r>
          </w:p>
        </w:tc>
      </w:tr>
      <w:tr w:rsidR="002845FF" w:rsidRPr="00466057" w14:paraId="37EDE336" w14:textId="77777777" w:rsidTr="00EE3AA4">
        <w:trPr>
          <w:trHeight w:val="284"/>
        </w:trPr>
        <w:tc>
          <w:tcPr>
            <w:tcW w:w="0" w:type="dxa"/>
            <w:gridSpan w:val="2"/>
            <w:tcBorders>
              <w:top w:val="single" w:sz="4" w:space="0" w:color="auto"/>
              <w:left w:val="nil"/>
              <w:bottom w:val="single" w:sz="4" w:space="0" w:color="auto"/>
              <w:right w:val="nil"/>
            </w:tcBorders>
            <w:vAlign w:val="bottom"/>
          </w:tcPr>
          <w:p w14:paraId="3E26D5F3" w14:textId="77777777" w:rsidR="002845FF" w:rsidRPr="00EC211B" w:rsidRDefault="002845FF" w:rsidP="002845FF">
            <w:pPr>
              <w:spacing w:line="240" w:lineRule="auto"/>
            </w:pPr>
          </w:p>
        </w:tc>
        <w:tc>
          <w:tcPr>
            <w:tcW w:w="0" w:type="dxa"/>
            <w:tcBorders>
              <w:top w:val="single" w:sz="4" w:space="0" w:color="auto"/>
              <w:left w:val="nil"/>
              <w:bottom w:val="single" w:sz="4" w:space="0" w:color="auto"/>
              <w:right w:val="nil"/>
            </w:tcBorders>
            <w:shd w:val="clear" w:color="auto" w:fill="auto"/>
            <w:noWrap/>
            <w:vAlign w:val="bottom"/>
          </w:tcPr>
          <w:p w14:paraId="1407D63A" w14:textId="2C22626E" w:rsidR="002845FF" w:rsidRPr="00360506" w:rsidRDefault="002845FF" w:rsidP="002845FF">
            <w:pPr>
              <w:spacing w:line="240" w:lineRule="auto"/>
              <w:rPr>
                <w:b/>
                <w:bCs/>
              </w:rPr>
            </w:pPr>
            <w:r w:rsidRPr="00360506">
              <w:rPr>
                <w:b/>
                <w:bCs/>
              </w:rPr>
              <w:t>Total</w:t>
            </w:r>
          </w:p>
        </w:tc>
        <w:tc>
          <w:tcPr>
            <w:tcW w:w="0" w:type="dxa"/>
            <w:tcBorders>
              <w:top w:val="single" w:sz="4" w:space="0" w:color="auto"/>
              <w:left w:val="nil"/>
              <w:bottom w:val="single" w:sz="4" w:space="0" w:color="auto"/>
              <w:right w:val="nil"/>
            </w:tcBorders>
            <w:shd w:val="clear" w:color="auto" w:fill="auto"/>
            <w:noWrap/>
            <w:vAlign w:val="center"/>
          </w:tcPr>
          <w:p w14:paraId="204D8424" w14:textId="76152356" w:rsidR="002845FF" w:rsidRPr="003E76B7" w:rsidRDefault="00476D9D" w:rsidP="002845FF">
            <w:pPr>
              <w:spacing w:line="240" w:lineRule="auto"/>
              <w:jc w:val="right"/>
              <w:rPr>
                <w:b/>
                <w:bCs/>
              </w:rPr>
            </w:pPr>
            <w:r w:rsidRPr="00EE3AA4">
              <w:rPr>
                <w:b/>
                <w:bCs/>
              </w:rPr>
              <w:t xml:space="preserve"> $73,488,974 </w:t>
            </w:r>
          </w:p>
        </w:tc>
        <w:tc>
          <w:tcPr>
            <w:tcW w:w="0" w:type="dxa"/>
            <w:tcBorders>
              <w:top w:val="single" w:sz="4" w:space="0" w:color="auto"/>
              <w:left w:val="nil"/>
              <w:bottom w:val="single" w:sz="4" w:space="0" w:color="auto"/>
              <w:right w:val="nil"/>
            </w:tcBorders>
            <w:shd w:val="clear" w:color="auto" w:fill="auto"/>
            <w:vAlign w:val="center"/>
          </w:tcPr>
          <w:p w14:paraId="58D3298D" w14:textId="23F998F3" w:rsidR="002845FF" w:rsidRPr="003E76B7" w:rsidRDefault="00476D9D" w:rsidP="002845FF">
            <w:pPr>
              <w:spacing w:line="240" w:lineRule="auto"/>
              <w:jc w:val="right"/>
              <w:rPr>
                <w:b/>
                <w:bCs/>
              </w:rPr>
            </w:pPr>
            <w:r w:rsidRPr="00EE3AA4">
              <w:rPr>
                <w:b/>
                <w:bCs/>
              </w:rPr>
              <w:t xml:space="preserve"> $7,348,897 </w:t>
            </w:r>
          </w:p>
        </w:tc>
      </w:tr>
    </w:tbl>
    <w:p w14:paraId="5C97FA86" w14:textId="4356AD47" w:rsidR="00D61C70" w:rsidRPr="00D61C70" w:rsidRDefault="00D61C70" w:rsidP="00D61C70">
      <w:pPr>
        <w:pStyle w:val="Heading3"/>
      </w:pPr>
      <w:bookmarkStart w:id="235" w:name="_Toc198138635"/>
      <w:r>
        <w:t>Multi-criteria assessment</w:t>
      </w:r>
      <w:bookmarkEnd w:id="235"/>
    </w:p>
    <w:p w14:paraId="203CF35D" w14:textId="060A8F66" w:rsidR="00C90830" w:rsidRDefault="00C90830" w:rsidP="00C90830">
      <w:pPr>
        <w:pStyle w:val="BodyText"/>
      </w:pPr>
      <w:r>
        <w:t>As noted in the introduction to this chapter, multi-criteria analysis (MCA) is a process of calculating scores against a framework of assessment criteria to identify a preferred option, supported by a qualitative discussion of the rationale for scoring. MCA is used when it is not possible to quantify and value the main benefits of options. This includes situations where some data is available, but it is not possible to isolate the specific effects of the proposed options. An MCA approach was considered an appropriate complement to the incremental impact analysis provided above, as it was not possible to quantify the primary benefit of harm minimisation.</w:t>
      </w:r>
    </w:p>
    <w:p w14:paraId="5D510BC1" w14:textId="02787F6B" w:rsidR="00C90830" w:rsidRDefault="00C90830" w:rsidP="00C90830">
      <w:pPr>
        <w:pStyle w:val="BodyText"/>
      </w:pPr>
      <w:r>
        <w:t xml:space="preserve">The MCA provided in </w:t>
      </w:r>
      <w:r w:rsidR="00AA68A0">
        <w:fldChar w:fldCharType="begin"/>
      </w:r>
      <w:r w:rsidR="00AA68A0">
        <w:instrText xml:space="preserve"> REF _Ref172535103 \h </w:instrText>
      </w:r>
      <w:r w:rsidR="00AA68A0">
        <w:fldChar w:fldCharType="separate"/>
      </w:r>
      <w:r w:rsidR="00F32107">
        <w:t xml:space="preserve">Table </w:t>
      </w:r>
      <w:r w:rsidR="00F32107">
        <w:rPr>
          <w:noProof/>
        </w:rPr>
        <w:t>8</w:t>
      </w:r>
      <w:r w:rsidR="00F32107">
        <w:t>.</w:t>
      </w:r>
      <w:r w:rsidR="00F32107">
        <w:rPr>
          <w:noProof/>
        </w:rPr>
        <w:t>6</w:t>
      </w:r>
      <w:r w:rsidR="00AA68A0">
        <w:fldChar w:fldCharType="end"/>
      </w:r>
      <w:r>
        <w:t xml:space="preserve"> considers the extent to which the </w:t>
      </w:r>
      <w:r w:rsidR="00A80F45">
        <w:t>Status Quo</w:t>
      </w:r>
      <w:r>
        <w:t xml:space="preserve"> option responds to the previously outlined objectives for action. To allow for comparison, the following scoring system was applied across each objective and option:</w:t>
      </w:r>
    </w:p>
    <w:p w14:paraId="093CC435" w14:textId="77777777" w:rsidR="00C90830" w:rsidRDefault="00C90830" w:rsidP="00C90830">
      <w:pPr>
        <w:pStyle w:val="ListBullet"/>
      </w:pPr>
      <w:r>
        <w:t>Not at all (1)</w:t>
      </w:r>
    </w:p>
    <w:p w14:paraId="7B3FD79A" w14:textId="77777777" w:rsidR="00C90830" w:rsidRDefault="00C90830" w:rsidP="00C90830">
      <w:pPr>
        <w:pStyle w:val="ListBullet"/>
      </w:pPr>
      <w:r>
        <w:t>Somewhat (2)</w:t>
      </w:r>
    </w:p>
    <w:p w14:paraId="5B3F318B" w14:textId="77777777" w:rsidR="00C90830" w:rsidRDefault="00C90830" w:rsidP="00C90830">
      <w:pPr>
        <w:pStyle w:val="ListBullet"/>
      </w:pPr>
      <w:r>
        <w:t>Mostly (3)</w:t>
      </w:r>
    </w:p>
    <w:p w14:paraId="225C926A" w14:textId="77777777" w:rsidR="00C90830" w:rsidRDefault="00C90830" w:rsidP="00C90830">
      <w:pPr>
        <w:pStyle w:val="ListBullet"/>
      </w:pPr>
      <w:r>
        <w:t>Fully (4)</w:t>
      </w:r>
    </w:p>
    <w:p w14:paraId="10AF74A5" w14:textId="48E26F2E" w:rsidR="00C90830" w:rsidRDefault="00C90830" w:rsidP="00D83CCA">
      <w:pPr>
        <w:pStyle w:val="Caption"/>
        <w:keepNext/>
      </w:pPr>
      <w:bookmarkStart w:id="236" w:name="_Ref172535103"/>
      <w:r>
        <w:t xml:space="preserve">Table </w:t>
      </w:r>
      <w:fldSimple w:instr=" STYLEREF 1 \s ">
        <w:r w:rsidR="00F32107">
          <w:rPr>
            <w:noProof/>
          </w:rPr>
          <w:t>8</w:t>
        </w:r>
      </w:fldSimple>
      <w:r w:rsidR="008944FB">
        <w:t>.</w:t>
      </w:r>
      <w:fldSimple w:instr=" SEQ Table \* ARABIC \s 1 ">
        <w:r w:rsidR="00F32107">
          <w:rPr>
            <w:noProof/>
          </w:rPr>
          <w:t>6</w:t>
        </w:r>
      </w:fldSimple>
      <w:bookmarkEnd w:id="236"/>
      <w:r>
        <w:t xml:space="preserve"> Multi-criteria assessment of </w:t>
      </w:r>
      <w:r w:rsidR="00163085">
        <w:t>Status Quo</w:t>
      </w:r>
    </w:p>
    <w:tbl>
      <w:tblPr>
        <w:tblStyle w:val="BodyTable"/>
        <w:tblW w:w="8647" w:type="dxa"/>
        <w:tblLook w:val="04A0" w:firstRow="1" w:lastRow="0" w:firstColumn="1" w:lastColumn="0" w:noHBand="0" w:noVBand="1"/>
      </w:tblPr>
      <w:tblGrid>
        <w:gridCol w:w="3261"/>
        <w:gridCol w:w="5386"/>
      </w:tblGrid>
      <w:tr w:rsidR="00C90830" w:rsidRPr="001215F9" w14:paraId="1D9C5482" w14:textId="77777777" w:rsidTr="00163085">
        <w:trPr>
          <w:cnfStyle w:val="100000000000" w:firstRow="1" w:lastRow="0" w:firstColumn="0" w:lastColumn="0" w:oddVBand="0" w:evenVBand="0" w:oddHBand="0" w:evenHBand="0" w:firstRowFirstColumn="0" w:firstRowLastColumn="0" w:lastRowFirstColumn="0" w:lastRowLastColumn="0"/>
          <w:tblHeader/>
        </w:trPr>
        <w:tc>
          <w:tcPr>
            <w:tcW w:w="3261" w:type="dxa"/>
          </w:tcPr>
          <w:p w14:paraId="361A965E" w14:textId="77777777" w:rsidR="00C90830" w:rsidRPr="001215F9" w:rsidRDefault="00C90830">
            <w:pPr>
              <w:rPr>
                <w:b/>
                <w:sz w:val="18"/>
              </w:rPr>
            </w:pPr>
            <w:r w:rsidRPr="001215F9">
              <w:rPr>
                <w:b/>
                <w:sz w:val="18"/>
              </w:rPr>
              <w:t>Objective</w:t>
            </w:r>
          </w:p>
        </w:tc>
        <w:tc>
          <w:tcPr>
            <w:tcW w:w="5386" w:type="dxa"/>
          </w:tcPr>
          <w:p w14:paraId="35075603" w14:textId="77777777" w:rsidR="00C90830" w:rsidRPr="001215F9" w:rsidRDefault="00C90830">
            <w:pPr>
              <w:rPr>
                <w:b/>
                <w:sz w:val="18"/>
              </w:rPr>
            </w:pPr>
            <w:r w:rsidRPr="001215F9">
              <w:rPr>
                <w:b/>
                <w:sz w:val="18"/>
              </w:rPr>
              <w:t>Option: Status Quo</w:t>
            </w:r>
          </w:p>
        </w:tc>
      </w:tr>
      <w:tr w:rsidR="00C90830" w:rsidRPr="001215F9" w14:paraId="3101693C" w14:textId="77777777" w:rsidTr="00163085">
        <w:tc>
          <w:tcPr>
            <w:tcW w:w="3261" w:type="dxa"/>
          </w:tcPr>
          <w:p w14:paraId="15BB8F0B" w14:textId="2F8C1E55" w:rsidR="00C90830" w:rsidRPr="001215F9" w:rsidRDefault="00C90830">
            <w:pPr>
              <w:rPr>
                <w:i/>
                <w:sz w:val="18"/>
              </w:rPr>
            </w:pPr>
            <w:r w:rsidRPr="001215F9">
              <w:rPr>
                <w:b/>
                <w:sz w:val="18"/>
              </w:rPr>
              <w:t>Care quality assurance</w:t>
            </w:r>
            <w:r w:rsidR="00941AEC" w:rsidRPr="00406DB5">
              <w:rPr>
                <w:b/>
                <w:bCs/>
                <w:sz w:val="18"/>
              </w:rPr>
              <w:t>.</w:t>
            </w:r>
            <w:r w:rsidR="00941AEC" w:rsidRPr="00406DB5">
              <w:rPr>
                <w:sz w:val="18"/>
              </w:rPr>
              <w:t xml:space="preserve"> </w:t>
            </w:r>
            <w:r w:rsidRPr="001215F9">
              <w:rPr>
                <w:i/>
                <w:sz w:val="18"/>
              </w:rPr>
              <w:t xml:space="preserve">Ensure audiology services </w:t>
            </w:r>
            <w:r w:rsidR="00941AEC" w:rsidRPr="00406DB5">
              <w:rPr>
                <w:i/>
                <w:iCs/>
                <w:sz w:val="18"/>
              </w:rPr>
              <w:t>are</w:t>
            </w:r>
            <w:r w:rsidRPr="001215F9">
              <w:rPr>
                <w:i/>
                <w:sz w:val="18"/>
              </w:rPr>
              <w:t xml:space="preserve"> delivered by practitioners who are </w:t>
            </w:r>
            <w:r w:rsidR="00941AEC" w:rsidRPr="00406DB5">
              <w:rPr>
                <w:i/>
                <w:iCs/>
                <w:sz w:val="18"/>
              </w:rPr>
              <w:t>supported by a clear scope of practice</w:t>
            </w:r>
            <w:r w:rsidRPr="001215F9">
              <w:rPr>
                <w:i/>
                <w:sz w:val="18"/>
              </w:rPr>
              <w:t xml:space="preserve"> and </w:t>
            </w:r>
            <w:r w:rsidR="00941AEC" w:rsidRPr="00406DB5">
              <w:rPr>
                <w:i/>
                <w:iCs/>
                <w:sz w:val="18"/>
              </w:rPr>
              <w:t>profession-level goods.</w:t>
            </w:r>
            <w:r w:rsidR="00941AEC" w:rsidRPr="00406DB5">
              <w:rPr>
                <w:sz w:val="18"/>
              </w:rPr>
              <w:t xml:space="preserve"> </w:t>
            </w:r>
          </w:p>
        </w:tc>
        <w:tc>
          <w:tcPr>
            <w:tcW w:w="5386" w:type="dxa"/>
          </w:tcPr>
          <w:p w14:paraId="576B5C0E" w14:textId="77777777" w:rsidR="00C90830" w:rsidRPr="001215F9" w:rsidRDefault="00C90830">
            <w:pPr>
              <w:rPr>
                <w:sz w:val="18"/>
              </w:rPr>
            </w:pPr>
            <w:r w:rsidRPr="001215F9">
              <w:rPr>
                <w:sz w:val="18"/>
              </w:rPr>
              <w:t>Somewhat (2)</w:t>
            </w:r>
          </w:p>
          <w:p w14:paraId="4CB774BB" w14:textId="6846FE25" w:rsidR="00C90830" w:rsidRPr="001215F9" w:rsidRDefault="00C90830">
            <w:pPr>
              <w:rPr>
                <w:sz w:val="18"/>
              </w:rPr>
            </w:pPr>
            <w:r w:rsidRPr="001215F9">
              <w:rPr>
                <w:sz w:val="18"/>
              </w:rPr>
              <w:t xml:space="preserve">Clinical certification provided by the PPBs, university accreditation provided through the AAUACC, and </w:t>
            </w:r>
            <w:r w:rsidR="00F75576">
              <w:rPr>
                <w:sz w:val="18"/>
              </w:rPr>
              <w:t>HPCCB</w:t>
            </w:r>
            <w:r w:rsidRPr="001215F9">
              <w:rPr>
                <w:sz w:val="18"/>
              </w:rPr>
              <w:t xml:space="preserve"> processes and outcomes provides some assurance of the quality and competence of the majority of current practicing audiologists.</w:t>
            </w:r>
          </w:p>
        </w:tc>
      </w:tr>
      <w:tr w:rsidR="00C90830" w:rsidRPr="001215F9" w14:paraId="3A101D93" w14:textId="77777777" w:rsidTr="00163085">
        <w:tc>
          <w:tcPr>
            <w:tcW w:w="3261" w:type="dxa"/>
          </w:tcPr>
          <w:p w14:paraId="0B28F031" w14:textId="695A2B15" w:rsidR="00C90830" w:rsidRPr="001215F9" w:rsidRDefault="00C90830">
            <w:pPr>
              <w:rPr>
                <w:i/>
                <w:sz w:val="18"/>
              </w:rPr>
            </w:pPr>
            <w:r w:rsidRPr="001215F9">
              <w:rPr>
                <w:b/>
                <w:sz w:val="18"/>
              </w:rPr>
              <w:t>Regulatory consistency</w:t>
            </w:r>
            <w:r w:rsidR="00941AEC" w:rsidRPr="00406DB5">
              <w:rPr>
                <w:b/>
                <w:bCs/>
                <w:sz w:val="18"/>
              </w:rPr>
              <w:t>.</w:t>
            </w:r>
            <w:r w:rsidR="00941AEC" w:rsidRPr="00406DB5">
              <w:rPr>
                <w:sz w:val="18"/>
              </w:rPr>
              <w:t xml:space="preserve"> </w:t>
            </w:r>
            <w:r w:rsidRPr="001215F9">
              <w:rPr>
                <w:i/>
                <w:sz w:val="18"/>
              </w:rPr>
              <w:t>A regulatory context that provides consistent oversight of the whole profession, regardless of jurisdiction</w:t>
            </w:r>
            <w:r w:rsidR="00941AEC" w:rsidRPr="00406DB5">
              <w:rPr>
                <w:i/>
                <w:iCs/>
                <w:sz w:val="18"/>
              </w:rPr>
              <w:t>,</w:t>
            </w:r>
            <w:r w:rsidRPr="001215F9">
              <w:rPr>
                <w:i/>
                <w:sz w:val="18"/>
              </w:rPr>
              <w:t xml:space="preserve"> elective membership</w:t>
            </w:r>
            <w:r w:rsidR="00941AEC" w:rsidRPr="00406DB5">
              <w:rPr>
                <w:i/>
                <w:iCs/>
                <w:sz w:val="18"/>
              </w:rPr>
              <w:t xml:space="preserve"> or employment type</w:t>
            </w:r>
            <w:r w:rsidRPr="001215F9">
              <w:rPr>
                <w:i/>
                <w:sz w:val="18"/>
              </w:rPr>
              <w:t>.</w:t>
            </w:r>
          </w:p>
        </w:tc>
        <w:tc>
          <w:tcPr>
            <w:tcW w:w="5386" w:type="dxa"/>
          </w:tcPr>
          <w:p w14:paraId="3C934A56" w14:textId="77777777" w:rsidR="00C90830" w:rsidRPr="001215F9" w:rsidRDefault="00C90830">
            <w:pPr>
              <w:rPr>
                <w:sz w:val="18"/>
              </w:rPr>
            </w:pPr>
            <w:r w:rsidRPr="001215F9">
              <w:rPr>
                <w:sz w:val="18"/>
              </w:rPr>
              <w:t>Somewhat (2)</w:t>
            </w:r>
          </w:p>
          <w:p w14:paraId="7997AA78" w14:textId="00EC5F1A" w:rsidR="00C90830" w:rsidRPr="001215F9" w:rsidRDefault="00C90830">
            <w:pPr>
              <w:rPr>
                <w:sz w:val="18"/>
              </w:rPr>
            </w:pPr>
            <w:r w:rsidRPr="001215F9">
              <w:rPr>
                <w:sz w:val="18"/>
              </w:rPr>
              <w:t xml:space="preserve">Regulatory oversight provided by the PPBs covers most but not all audiologists. In addition, the National Code </w:t>
            </w:r>
            <w:r w:rsidR="00385011">
              <w:rPr>
                <w:sz w:val="18"/>
              </w:rPr>
              <w:t xml:space="preserve">of Conduct </w:t>
            </w:r>
            <w:r w:rsidRPr="001215F9">
              <w:rPr>
                <w:sz w:val="18"/>
              </w:rPr>
              <w:t>provides mutual recognition of sanctions where it is in effect.</w:t>
            </w:r>
          </w:p>
        </w:tc>
      </w:tr>
      <w:tr w:rsidR="00C90830" w:rsidRPr="001215F9" w14:paraId="16831DFB" w14:textId="77777777" w:rsidTr="00163085">
        <w:tc>
          <w:tcPr>
            <w:tcW w:w="3261" w:type="dxa"/>
          </w:tcPr>
          <w:p w14:paraId="402401A2" w14:textId="311093B6" w:rsidR="00C90830" w:rsidRPr="001215F9" w:rsidRDefault="00C90830">
            <w:pPr>
              <w:rPr>
                <w:i/>
                <w:sz w:val="18"/>
              </w:rPr>
            </w:pPr>
            <w:r w:rsidRPr="001215F9">
              <w:rPr>
                <w:b/>
                <w:sz w:val="18"/>
              </w:rPr>
              <w:t>Escalation systems</w:t>
            </w:r>
            <w:r w:rsidR="00941AEC" w:rsidRPr="00406DB5">
              <w:rPr>
                <w:sz w:val="18"/>
              </w:rPr>
              <w:t xml:space="preserve">. </w:t>
            </w:r>
            <w:r w:rsidRPr="001215F9">
              <w:rPr>
                <w:i/>
                <w:sz w:val="18"/>
              </w:rPr>
              <w:t>Robust regulatory systems that maximise the identification of cases of substandard care</w:t>
            </w:r>
            <w:r w:rsidR="00941AEC" w:rsidRPr="00406DB5">
              <w:rPr>
                <w:i/>
                <w:iCs/>
                <w:sz w:val="18"/>
              </w:rPr>
              <w:t xml:space="preserve"> and ensure they are appropriately treated.</w:t>
            </w:r>
            <w:r w:rsidR="00941AEC" w:rsidRPr="00406DB5">
              <w:rPr>
                <w:sz w:val="18"/>
              </w:rPr>
              <w:t xml:space="preserve"> </w:t>
            </w:r>
          </w:p>
        </w:tc>
        <w:tc>
          <w:tcPr>
            <w:tcW w:w="5386" w:type="dxa"/>
          </w:tcPr>
          <w:p w14:paraId="405F6783" w14:textId="77777777" w:rsidR="00C90830" w:rsidRPr="001215F9" w:rsidRDefault="00C90830">
            <w:pPr>
              <w:rPr>
                <w:sz w:val="18"/>
              </w:rPr>
            </w:pPr>
            <w:r w:rsidRPr="001215F9">
              <w:rPr>
                <w:sz w:val="18"/>
              </w:rPr>
              <w:t>Somewhat (2)</w:t>
            </w:r>
          </w:p>
          <w:p w14:paraId="2712E741" w14:textId="0690B21A" w:rsidR="00C90830" w:rsidRPr="001215F9" w:rsidRDefault="00C90830">
            <w:pPr>
              <w:rPr>
                <w:sz w:val="18"/>
              </w:rPr>
            </w:pPr>
            <w:r w:rsidRPr="00656845">
              <w:rPr>
                <w:sz w:val="18"/>
              </w:rPr>
              <w:t>There was a disconnect seen in the consultation responses received from</w:t>
            </w:r>
            <w:r w:rsidRPr="001215F9">
              <w:rPr>
                <w:sz w:val="18"/>
              </w:rPr>
              <w:t xml:space="preserve"> audiologists</w:t>
            </w:r>
            <w:r w:rsidRPr="00656845">
              <w:rPr>
                <w:sz w:val="18"/>
              </w:rPr>
              <w:t xml:space="preserve"> between the observation</w:t>
            </w:r>
            <w:r w:rsidRPr="001215F9">
              <w:rPr>
                <w:sz w:val="18"/>
              </w:rPr>
              <w:t xml:space="preserve"> of harms</w:t>
            </w:r>
            <w:r w:rsidRPr="00656845">
              <w:rPr>
                <w:sz w:val="18"/>
              </w:rPr>
              <w:t xml:space="preserve"> occurring in practice and reporting of these issues to existing entities.</w:t>
            </w:r>
            <w:r w:rsidRPr="001215F9">
              <w:rPr>
                <w:sz w:val="18"/>
              </w:rPr>
              <w:t xml:space="preserve"> Further, practitioners are able to work with private full-fee paying clients</w:t>
            </w:r>
            <w:r w:rsidR="000E1F72">
              <w:rPr>
                <w:sz w:val="18"/>
              </w:rPr>
              <w:t xml:space="preserve"> </w:t>
            </w:r>
            <w:r w:rsidR="005F606E">
              <w:rPr>
                <w:sz w:val="18"/>
              </w:rPr>
              <w:t>if they elect not to engage with the sectoral PPBs, removing them from the HPCCB remit</w:t>
            </w:r>
            <w:r w:rsidRPr="001215F9">
              <w:rPr>
                <w:sz w:val="18"/>
              </w:rPr>
              <w:t xml:space="preserve">. </w:t>
            </w:r>
          </w:p>
        </w:tc>
      </w:tr>
      <w:tr w:rsidR="00C90830" w:rsidRPr="001215F9" w14:paraId="785DB72D" w14:textId="77777777" w:rsidTr="00163085">
        <w:tc>
          <w:tcPr>
            <w:tcW w:w="3261" w:type="dxa"/>
          </w:tcPr>
          <w:p w14:paraId="143CF0D0" w14:textId="5BA1856B" w:rsidR="00C90830" w:rsidRPr="001215F9" w:rsidRDefault="00C90830">
            <w:pPr>
              <w:rPr>
                <w:i/>
                <w:sz w:val="18"/>
              </w:rPr>
            </w:pPr>
            <w:r w:rsidRPr="001215F9">
              <w:rPr>
                <w:b/>
                <w:sz w:val="18"/>
              </w:rPr>
              <w:t>Market awareness</w:t>
            </w:r>
            <w:r w:rsidR="00941AEC" w:rsidRPr="00406DB5">
              <w:rPr>
                <w:b/>
                <w:bCs/>
                <w:sz w:val="18"/>
              </w:rPr>
              <w:t xml:space="preserve">. </w:t>
            </w:r>
            <w:r w:rsidRPr="001215F9">
              <w:rPr>
                <w:i/>
                <w:sz w:val="18"/>
              </w:rPr>
              <w:t xml:space="preserve">Mechanisms that </w:t>
            </w:r>
            <w:r w:rsidR="00941AEC" w:rsidRPr="00406DB5">
              <w:rPr>
                <w:i/>
                <w:iCs/>
                <w:sz w:val="18"/>
              </w:rPr>
              <w:t>increase market signalling, with a view to raising</w:t>
            </w:r>
            <w:r w:rsidRPr="001215F9">
              <w:rPr>
                <w:i/>
                <w:sz w:val="18"/>
              </w:rPr>
              <w:t xml:space="preserve"> consumer </w:t>
            </w:r>
            <w:r w:rsidR="00941AEC" w:rsidRPr="00406DB5">
              <w:rPr>
                <w:i/>
                <w:iCs/>
                <w:sz w:val="18"/>
              </w:rPr>
              <w:t>and employer understanding of</w:t>
            </w:r>
            <w:r w:rsidRPr="001215F9">
              <w:rPr>
                <w:i/>
                <w:sz w:val="18"/>
              </w:rPr>
              <w:t xml:space="preserve"> who is fit and proper to deliver different types of </w:t>
            </w:r>
            <w:r w:rsidR="00941AEC" w:rsidRPr="00406DB5">
              <w:rPr>
                <w:i/>
                <w:iCs/>
                <w:sz w:val="18"/>
              </w:rPr>
              <w:t>hearing health</w:t>
            </w:r>
            <w:r w:rsidRPr="001215F9">
              <w:rPr>
                <w:i/>
                <w:sz w:val="18"/>
              </w:rPr>
              <w:t xml:space="preserve"> services.</w:t>
            </w:r>
          </w:p>
        </w:tc>
        <w:tc>
          <w:tcPr>
            <w:tcW w:w="5386" w:type="dxa"/>
          </w:tcPr>
          <w:p w14:paraId="00EF2AB1" w14:textId="77777777" w:rsidR="00C90830" w:rsidRPr="001215F9" w:rsidRDefault="00C90830">
            <w:pPr>
              <w:rPr>
                <w:sz w:val="18"/>
              </w:rPr>
            </w:pPr>
            <w:r w:rsidRPr="001215F9">
              <w:rPr>
                <w:sz w:val="18"/>
              </w:rPr>
              <w:t>Not at all (1)</w:t>
            </w:r>
          </w:p>
          <w:p w14:paraId="72457495" w14:textId="746867C8" w:rsidR="00C90830" w:rsidRPr="001215F9" w:rsidRDefault="00C90830">
            <w:pPr>
              <w:rPr>
                <w:sz w:val="18"/>
              </w:rPr>
            </w:pPr>
            <w:r w:rsidRPr="001215F9">
              <w:rPr>
                <w:sz w:val="18"/>
              </w:rPr>
              <w:t xml:space="preserve">There is currently a lack of protected title for audiologists, leading to stakeholder concerns of confusion for consumers. </w:t>
            </w:r>
          </w:p>
        </w:tc>
      </w:tr>
      <w:tr w:rsidR="00C90830" w:rsidRPr="001215F9" w14:paraId="3F460378" w14:textId="77777777" w:rsidTr="00163085">
        <w:tc>
          <w:tcPr>
            <w:tcW w:w="3261" w:type="dxa"/>
          </w:tcPr>
          <w:p w14:paraId="1AAD427C" w14:textId="2B8D8F46" w:rsidR="00C90830" w:rsidRPr="001215F9" w:rsidRDefault="00C90830">
            <w:pPr>
              <w:rPr>
                <w:b/>
                <w:i/>
                <w:sz w:val="18"/>
              </w:rPr>
            </w:pPr>
            <w:r w:rsidRPr="001215F9">
              <w:rPr>
                <w:b/>
                <w:sz w:val="18"/>
              </w:rPr>
              <w:t>Ethical practice</w:t>
            </w:r>
            <w:r w:rsidR="00941AEC" w:rsidRPr="00406DB5">
              <w:rPr>
                <w:b/>
                <w:bCs/>
                <w:sz w:val="18"/>
              </w:rPr>
              <w:t xml:space="preserve">. </w:t>
            </w:r>
            <w:r w:rsidRPr="001215F9">
              <w:rPr>
                <w:i/>
                <w:sz w:val="18"/>
              </w:rPr>
              <w:t xml:space="preserve">Mechanisms that </w:t>
            </w:r>
            <w:r w:rsidR="00941AEC" w:rsidRPr="00406DB5">
              <w:rPr>
                <w:i/>
                <w:iCs/>
                <w:sz w:val="18"/>
              </w:rPr>
              <w:t xml:space="preserve">seek to </w:t>
            </w:r>
            <w:r w:rsidRPr="001215F9">
              <w:rPr>
                <w:i/>
                <w:sz w:val="18"/>
              </w:rPr>
              <w:t xml:space="preserve">minimise undue commercial influence on clinical practice, with the goal of </w:t>
            </w:r>
            <w:r>
              <w:rPr>
                <w:i/>
                <w:iCs/>
                <w:sz w:val="18"/>
              </w:rPr>
              <w:t>preventing</w:t>
            </w:r>
            <w:r w:rsidRPr="001215F9">
              <w:rPr>
                <w:i/>
                <w:sz w:val="18"/>
              </w:rPr>
              <w:t xml:space="preserve"> practitioner behaviours that are unethical or unsafe.</w:t>
            </w:r>
            <w:r w:rsidR="00941AEC" w:rsidRPr="00406DB5">
              <w:rPr>
                <w:b/>
                <w:bCs/>
                <w:i/>
                <w:iCs/>
                <w:sz w:val="18"/>
              </w:rPr>
              <w:t xml:space="preserve"> </w:t>
            </w:r>
          </w:p>
        </w:tc>
        <w:tc>
          <w:tcPr>
            <w:tcW w:w="5386" w:type="dxa"/>
          </w:tcPr>
          <w:p w14:paraId="03DC5EA0" w14:textId="77777777" w:rsidR="00C90830" w:rsidRPr="001215F9" w:rsidRDefault="00C90830">
            <w:pPr>
              <w:rPr>
                <w:sz w:val="18"/>
              </w:rPr>
            </w:pPr>
            <w:r w:rsidRPr="001215F9">
              <w:rPr>
                <w:sz w:val="18"/>
              </w:rPr>
              <w:t>Somewhat (2)</w:t>
            </w:r>
          </w:p>
          <w:p w14:paraId="3826CFDB" w14:textId="780D4F0E" w:rsidR="00C90830" w:rsidRPr="001215F9" w:rsidRDefault="00764225">
            <w:pPr>
              <w:rPr>
                <w:sz w:val="18"/>
              </w:rPr>
            </w:pPr>
            <w:r>
              <w:rPr>
                <w:sz w:val="18"/>
              </w:rPr>
              <w:t>HCEs</w:t>
            </w:r>
            <w:r w:rsidR="00C90830" w:rsidRPr="001215F9">
              <w:rPr>
                <w:sz w:val="18"/>
              </w:rPr>
              <w:t xml:space="preserve"> are the most appropriate entity to investigate concerns about health systems or health service providers. At present, there is limited practitioner awareness about these powers, and there are some jurisdictions without the National Code. </w:t>
            </w:r>
          </w:p>
        </w:tc>
      </w:tr>
      <w:tr w:rsidR="00C90830" w:rsidRPr="001215F9" w14:paraId="44FAA908" w14:textId="77777777" w:rsidTr="00163085">
        <w:trPr>
          <w:trHeight w:val="31"/>
        </w:trPr>
        <w:tc>
          <w:tcPr>
            <w:tcW w:w="3261" w:type="dxa"/>
          </w:tcPr>
          <w:p w14:paraId="7BFFF51F" w14:textId="77777777" w:rsidR="00C90830" w:rsidRPr="001215F9" w:rsidRDefault="00C90830">
            <w:pPr>
              <w:rPr>
                <w:b/>
                <w:sz w:val="18"/>
              </w:rPr>
            </w:pPr>
            <w:r w:rsidRPr="001215F9">
              <w:rPr>
                <w:b/>
                <w:sz w:val="18"/>
              </w:rPr>
              <w:t>Total score (20 max)</w:t>
            </w:r>
          </w:p>
        </w:tc>
        <w:tc>
          <w:tcPr>
            <w:tcW w:w="5386" w:type="dxa"/>
          </w:tcPr>
          <w:p w14:paraId="256BA0FF" w14:textId="77777777" w:rsidR="00C90830" w:rsidRPr="001215F9" w:rsidRDefault="00C90830">
            <w:pPr>
              <w:rPr>
                <w:b/>
                <w:sz w:val="18"/>
              </w:rPr>
            </w:pPr>
            <w:r w:rsidRPr="001215F9">
              <w:rPr>
                <w:b/>
                <w:sz w:val="18"/>
              </w:rPr>
              <w:t>9</w:t>
            </w:r>
          </w:p>
        </w:tc>
      </w:tr>
    </w:tbl>
    <w:p w14:paraId="524C4D51" w14:textId="6E2FE65C" w:rsidR="00C90830" w:rsidRDefault="00C90830" w:rsidP="00C90830">
      <w:pPr>
        <w:pStyle w:val="ListBullet"/>
        <w:numPr>
          <w:ilvl w:val="0"/>
          <w:numId w:val="0"/>
        </w:numPr>
      </w:pPr>
    </w:p>
    <w:p w14:paraId="690C8450" w14:textId="77777777" w:rsidR="00C90830" w:rsidRPr="00C90830" w:rsidRDefault="00C90830" w:rsidP="00C90830">
      <w:pPr>
        <w:pStyle w:val="BodyText"/>
        <w:rPr>
          <w:lang w:eastAsia="en-AU"/>
        </w:rPr>
      </w:pPr>
    </w:p>
    <w:p w14:paraId="1256BCBB" w14:textId="77777777" w:rsidR="00E0118F" w:rsidRDefault="00E0118F">
      <w:pPr>
        <w:rPr>
          <w:rFonts w:eastAsiaTheme="majorEastAsia" w:cstheme="majorBidi"/>
          <w:color w:val="0F5CA2" w:themeColor="accent1"/>
          <w:kern w:val="21"/>
          <w:sz w:val="40"/>
          <w:szCs w:val="42"/>
          <w:lang w:val="en-AU" w:eastAsia="en-AU"/>
          <w14:numSpacing w14:val="proportional"/>
        </w:rPr>
      </w:pPr>
      <w:bookmarkStart w:id="237" w:name="_Ref170993947"/>
      <w:bookmarkStart w:id="238" w:name="_Toc171324783"/>
      <w:r>
        <w:br w:type="page"/>
      </w:r>
    </w:p>
    <w:p w14:paraId="5168E9CE" w14:textId="66751B51" w:rsidR="00D1034B" w:rsidRDefault="00D1034B" w:rsidP="00011823">
      <w:pPr>
        <w:pStyle w:val="Heading2"/>
        <w:numPr>
          <w:ilvl w:val="1"/>
          <w:numId w:val="33"/>
        </w:numPr>
        <w:spacing w:after="0" w:line="280" w:lineRule="atLeast"/>
        <w:ind w:left="936" w:hanging="794"/>
        <w:textboxTightWrap w:val="none"/>
      </w:pPr>
      <w:bookmarkStart w:id="239" w:name="_Ref172795786"/>
      <w:bookmarkStart w:id="240" w:name="_Toc198138636"/>
      <w:r>
        <w:t xml:space="preserve">National </w:t>
      </w:r>
      <w:r w:rsidR="00C82664">
        <w:t>R</w:t>
      </w:r>
      <w:r>
        <w:t xml:space="preserve">egistration of audiology profession under </w:t>
      </w:r>
      <w:bookmarkEnd w:id="237"/>
      <w:bookmarkEnd w:id="238"/>
      <w:bookmarkEnd w:id="239"/>
      <w:r w:rsidR="0009650C">
        <w:t>the National Scheme</w:t>
      </w:r>
      <w:r w:rsidR="00CA6822">
        <w:t xml:space="preserve"> (Option 7)</w:t>
      </w:r>
      <w:bookmarkEnd w:id="240"/>
    </w:p>
    <w:p w14:paraId="40DE6086" w14:textId="77777777" w:rsidR="00D1034B" w:rsidRDefault="00D1034B" w:rsidP="00D61C70">
      <w:pPr>
        <w:pStyle w:val="Heading3"/>
      </w:pPr>
      <w:bookmarkStart w:id="241" w:name="_Toc171324784"/>
      <w:bookmarkStart w:id="242" w:name="_Toc198138637"/>
      <w:r>
        <w:t>Theory of change</w:t>
      </w:r>
      <w:bookmarkEnd w:id="241"/>
      <w:bookmarkEnd w:id="242"/>
    </w:p>
    <w:p w14:paraId="2E29C29B" w14:textId="6A8898EE" w:rsidR="00D1034B" w:rsidRDefault="00C94229" w:rsidP="00D1034B">
      <w:r>
        <w:fldChar w:fldCharType="begin"/>
      </w:r>
      <w:r>
        <w:instrText xml:space="preserve"> REF _Ref172047281 \h </w:instrText>
      </w:r>
      <w:r>
        <w:fldChar w:fldCharType="separate"/>
      </w:r>
      <w:r w:rsidR="00F32107">
        <w:t xml:space="preserve">Figure </w:t>
      </w:r>
      <w:r w:rsidR="00F32107">
        <w:rPr>
          <w:noProof/>
        </w:rPr>
        <w:t>8</w:t>
      </w:r>
      <w:r w:rsidR="00F32107">
        <w:t>.</w:t>
      </w:r>
      <w:r w:rsidR="00F32107">
        <w:rPr>
          <w:noProof/>
        </w:rPr>
        <w:t>2</w:t>
      </w:r>
      <w:r>
        <w:fldChar w:fldCharType="end"/>
      </w:r>
      <w:r>
        <w:t xml:space="preserve"> </w:t>
      </w:r>
      <w:r w:rsidR="00D1034B">
        <w:t xml:space="preserve">provides a theory of change for </w:t>
      </w:r>
      <w:r w:rsidR="00CA6822">
        <w:t>Option 7</w:t>
      </w:r>
      <w:r w:rsidR="001D5AF7">
        <w:t xml:space="preserve"> </w:t>
      </w:r>
      <w:r w:rsidR="00D1034B">
        <w:t xml:space="preserve">relative to the </w:t>
      </w:r>
      <w:r w:rsidR="00A80F45">
        <w:t>Status Quo</w:t>
      </w:r>
      <w:r w:rsidR="00D1034B">
        <w:t xml:space="preserve">, by first identifying the legislative changes that would occur under </w:t>
      </w:r>
      <w:r w:rsidR="009D65B6">
        <w:t>National Registration</w:t>
      </w:r>
      <w:r w:rsidR="00D1034B">
        <w:t xml:space="preserve"> and then describing the expected immediate outcomes and flow on-benefits.</w:t>
      </w:r>
    </w:p>
    <w:p w14:paraId="16FA93B2" w14:textId="3B4C2EFD" w:rsidR="009E3B2C" w:rsidRDefault="009E3B2C" w:rsidP="009E3B2C">
      <w:pPr>
        <w:pStyle w:val="Caption"/>
        <w:keepNext/>
      </w:pPr>
      <w:bookmarkStart w:id="243" w:name="_Ref172047281"/>
      <w:r>
        <w:t xml:space="preserve">Figure </w:t>
      </w:r>
      <w:fldSimple w:instr=" STYLEREF 1 \s ">
        <w:r w:rsidR="00F32107">
          <w:rPr>
            <w:noProof/>
          </w:rPr>
          <w:t>8</w:t>
        </w:r>
      </w:fldSimple>
      <w:r w:rsidR="00222D06">
        <w:t>.</w:t>
      </w:r>
      <w:fldSimple w:instr=" SEQ Figure \* ARABIC \s 1 ">
        <w:r w:rsidR="00F32107">
          <w:rPr>
            <w:noProof/>
          </w:rPr>
          <w:t>2</w:t>
        </w:r>
      </w:fldSimple>
      <w:bookmarkEnd w:id="243"/>
      <w:r>
        <w:t xml:space="preserve"> </w:t>
      </w:r>
      <w:r w:rsidR="008708FF">
        <w:t xml:space="preserve">Theory of change for </w:t>
      </w:r>
      <w:r w:rsidR="009D65B6">
        <w:t>National Registration</w:t>
      </w:r>
      <w:r w:rsidR="008708FF">
        <w:t xml:space="preserve"> of audiology profession under </w:t>
      </w:r>
      <w:r w:rsidR="0043552E">
        <w:t>National Scheme</w:t>
      </w:r>
    </w:p>
    <w:p w14:paraId="664594E4" w14:textId="45EA5B6C" w:rsidR="00FB5008" w:rsidRDefault="0043552E" w:rsidP="00FB5008">
      <w:pPr>
        <w:pStyle w:val="BodyText"/>
      </w:pPr>
      <w:r w:rsidRPr="0043552E">
        <w:t xml:space="preserve"> </w:t>
      </w:r>
      <w:r w:rsidRPr="0043552E">
        <w:rPr>
          <w:noProof/>
          <w:lang w:eastAsia="en-AU"/>
        </w:rPr>
        <w:drawing>
          <wp:inline distT="0" distB="0" distL="0" distR="0" wp14:anchorId="20F8454C" wp14:editId="291B696B">
            <wp:extent cx="5615940" cy="2395220"/>
            <wp:effectExtent l="0" t="0" r="3810" b="5080"/>
            <wp:docPr id="1140238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5940" cy="2395220"/>
                    </a:xfrm>
                    <a:prstGeom prst="rect">
                      <a:avLst/>
                    </a:prstGeom>
                    <a:noFill/>
                    <a:ln>
                      <a:noFill/>
                    </a:ln>
                  </pic:spPr>
                </pic:pic>
              </a:graphicData>
            </a:graphic>
          </wp:inline>
        </w:drawing>
      </w:r>
    </w:p>
    <w:p w14:paraId="4ED32E4E" w14:textId="77777777" w:rsidR="00C94229" w:rsidRDefault="00C94229" w:rsidP="00C94229">
      <w:pPr>
        <w:pStyle w:val="Heading3"/>
      </w:pPr>
      <w:bookmarkStart w:id="244" w:name="_Toc171324785"/>
      <w:bookmarkStart w:id="245" w:name="_Toc198138638"/>
      <w:r>
        <w:t xml:space="preserve">Impact </w:t>
      </w:r>
      <w:r w:rsidRPr="00C94229">
        <w:t>assessment</w:t>
      </w:r>
      <w:r>
        <w:t xml:space="preserve"> framework</w:t>
      </w:r>
      <w:bookmarkEnd w:id="244"/>
      <w:bookmarkEnd w:id="245"/>
    </w:p>
    <w:p w14:paraId="16A43803" w14:textId="2DC7449A" w:rsidR="00C94229" w:rsidRDefault="00C94229" w:rsidP="00C94229">
      <w:pPr>
        <w:pStyle w:val="BodyText"/>
      </w:pPr>
      <w:r w:rsidRPr="007C59B2">
        <w:t xml:space="preserve">The identified impact streams associated with </w:t>
      </w:r>
      <w:r w:rsidR="0043552E">
        <w:t>Option 7</w:t>
      </w:r>
      <w:r w:rsidRPr="007C59B2">
        <w:t xml:space="preserve"> </w:t>
      </w:r>
      <w:r w:rsidR="005B5A73">
        <w:t xml:space="preserve">relative to the </w:t>
      </w:r>
      <w:r w:rsidR="00A80F45">
        <w:t>Status Quo</w:t>
      </w:r>
      <w:r w:rsidR="005B5A73">
        <w:t xml:space="preserve"> </w:t>
      </w:r>
      <w:r w:rsidRPr="007C59B2">
        <w:t xml:space="preserve">are outlined in </w:t>
      </w:r>
      <w:r w:rsidR="0087128C">
        <w:fldChar w:fldCharType="begin"/>
      </w:r>
      <w:r w:rsidR="0087128C">
        <w:instrText xml:space="preserve"> REF _Ref172724648 \h </w:instrText>
      </w:r>
      <w:r w:rsidR="0087128C">
        <w:fldChar w:fldCharType="separate"/>
      </w:r>
      <w:r w:rsidR="00F32107">
        <w:t xml:space="preserve">Figure </w:t>
      </w:r>
      <w:r w:rsidR="00F32107">
        <w:rPr>
          <w:noProof/>
        </w:rPr>
        <w:t>8</w:t>
      </w:r>
      <w:r w:rsidR="00F32107">
        <w:t>.</w:t>
      </w:r>
      <w:r w:rsidR="00F32107">
        <w:rPr>
          <w:noProof/>
        </w:rPr>
        <w:t>3</w:t>
      </w:r>
      <w:r w:rsidR="0087128C">
        <w:fldChar w:fldCharType="end"/>
      </w:r>
      <w:r>
        <w:t xml:space="preserve"> </w:t>
      </w:r>
      <w:r w:rsidRPr="007C59B2">
        <w:t>by stakeholder group</w:t>
      </w:r>
      <w:r>
        <w:t>.</w:t>
      </w:r>
    </w:p>
    <w:p w14:paraId="76C24B1C" w14:textId="3C7906A9" w:rsidR="00A93E76" w:rsidRDefault="00A93E76" w:rsidP="00A93E76">
      <w:pPr>
        <w:pStyle w:val="Caption"/>
        <w:keepNext/>
      </w:pPr>
      <w:bookmarkStart w:id="246" w:name="_Ref197948709"/>
      <w:bookmarkStart w:id="247" w:name="_Ref193202610"/>
      <w:bookmarkStart w:id="248" w:name="_Ref172724648"/>
      <w:r>
        <w:t xml:space="preserve">Figure </w:t>
      </w:r>
      <w:fldSimple w:instr=" STYLEREF 1 \s ">
        <w:r w:rsidR="00F32107">
          <w:rPr>
            <w:noProof/>
          </w:rPr>
          <w:t>8</w:t>
        </w:r>
      </w:fldSimple>
      <w:r w:rsidR="00222D06">
        <w:t>.</w:t>
      </w:r>
      <w:fldSimple w:instr=" SEQ Figure \* ARABIC \s 1 ">
        <w:r w:rsidR="00F32107">
          <w:rPr>
            <w:noProof/>
          </w:rPr>
          <w:t>3</w:t>
        </w:r>
      </w:fldSimple>
      <w:bookmarkEnd w:id="246"/>
      <w:bookmarkEnd w:id="247"/>
      <w:bookmarkEnd w:id="248"/>
      <w:r>
        <w:t xml:space="preserve"> </w:t>
      </w:r>
      <w:r w:rsidR="009579A9">
        <w:t xml:space="preserve">Impact assessment for </w:t>
      </w:r>
      <w:r w:rsidR="0043552E">
        <w:t>Option 7</w:t>
      </w:r>
    </w:p>
    <w:p w14:paraId="48A8C194" w14:textId="44B3680A" w:rsidR="00C94229" w:rsidRDefault="00D870A4" w:rsidP="00C94229">
      <w:pPr>
        <w:pStyle w:val="BodyText"/>
      </w:pPr>
      <w:r w:rsidRPr="00D870A4">
        <w:t xml:space="preserve"> </w:t>
      </w:r>
      <w:r w:rsidRPr="00D870A4">
        <w:rPr>
          <w:noProof/>
          <w:lang w:eastAsia="en-AU"/>
        </w:rPr>
        <w:drawing>
          <wp:inline distT="0" distB="0" distL="0" distR="0" wp14:anchorId="77FBAFDB" wp14:editId="4DE938F2">
            <wp:extent cx="5615940" cy="3122295"/>
            <wp:effectExtent l="0" t="0" r="3810" b="0"/>
            <wp:docPr id="1047552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5940" cy="3122295"/>
                    </a:xfrm>
                    <a:prstGeom prst="rect">
                      <a:avLst/>
                    </a:prstGeom>
                    <a:noFill/>
                    <a:ln>
                      <a:noFill/>
                    </a:ln>
                  </pic:spPr>
                </pic:pic>
              </a:graphicData>
            </a:graphic>
          </wp:inline>
        </w:drawing>
      </w:r>
    </w:p>
    <w:p w14:paraId="09A67F3F" w14:textId="45256875" w:rsidR="009579A9" w:rsidRDefault="009579A9" w:rsidP="00C94229">
      <w:pPr>
        <w:pStyle w:val="BodyText"/>
        <w:rPr>
          <w:color w:val="7F7F7F" w:themeColor="text1" w:themeTint="80"/>
          <w:sz w:val="16"/>
          <w:szCs w:val="16"/>
        </w:rPr>
      </w:pPr>
      <w:r w:rsidRPr="00FA0A3F">
        <w:rPr>
          <w:color w:val="7F7F7F" w:themeColor="text1" w:themeTint="80"/>
          <w:sz w:val="16"/>
          <w:szCs w:val="16"/>
        </w:rPr>
        <w:t xml:space="preserve">Note: </w:t>
      </w:r>
      <w:r w:rsidR="00A23DB6">
        <w:rPr>
          <w:color w:val="7F7F7F" w:themeColor="text1" w:themeTint="80"/>
          <w:sz w:val="16"/>
          <w:szCs w:val="16"/>
        </w:rPr>
        <w:t>*</w:t>
      </w:r>
      <w:r w:rsidR="00FA0A3F" w:rsidRPr="00FA0A3F">
        <w:rPr>
          <w:color w:val="7F7F7F" w:themeColor="text1" w:themeTint="80"/>
          <w:sz w:val="16"/>
          <w:szCs w:val="16"/>
        </w:rPr>
        <w:t xml:space="preserve">For illustration purposes, </w:t>
      </w:r>
      <w:r w:rsidR="000701A9">
        <w:rPr>
          <w:color w:val="7F7F7F" w:themeColor="text1" w:themeTint="80"/>
          <w:sz w:val="16"/>
          <w:szCs w:val="16"/>
        </w:rPr>
        <w:t>asterisked</w:t>
      </w:r>
      <w:r w:rsidR="000701A9" w:rsidRPr="00FA0A3F">
        <w:rPr>
          <w:color w:val="7F7F7F" w:themeColor="text1" w:themeTint="80"/>
          <w:sz w:val="16"/>
          <w:szCs w:val="16"/>
        </w:rPr>
        <w:t xml:space="preserve"> </w:t>
      </w:r>
      <w:r w:rsidR="00FA0A3F" w:rsidRPr="00FA0A3F">
        <w:rPr>
          <w:color w:val="7F7F7F" w:themeColor="text1" w:themeTint="80"/>
          <w:sz w:val="16"/>
          <w:szCs w:val="16"/>
        </w:rPr>
        <w:t>government impacts are categorised as a ‘financial cost impact of regulatory burden’</w:t>
      </w:r>
      <w:r w:rsidR="002C6AB6">
        <w:rPr>
          <w:color w:val="7F7F7F" w:themeColor="text1" w:themeTint="80"/>
          <w:sz w:val="16"/>
          <w:szCs w:val="16"/>
        </w:rPr>
        <w:t>. H</w:t>
      </w:r>
      <w:r w:rsidR="00FA0A3F" w:rsidRPr="00FA0A3F">
        <w:rPr>
          <w:color w:val="7F7F7F" w:themeColor="text1" w:themeTint="80"/>
          <w:sz w:val="16"/>
          <w:szCs w:val="16"/>
        </w:rPr>
        <w:t xml:space="preserve">owever, to align with OIA’s guidance on regulatory costs accruing to government under a regulatory change, these cost categories are excluded from </w:t>
      </w:r>
      <w:r w:rsidR="00A23DB6">
        <w:rPr>
          <w:color w:val="7F7F7F" w:themeColor="text1" w:themeTint="80"/>
          <w:sz w:val="16"/>
          <w:szCs w:val="16"/>
        </w:rPr>
        <w:t>the</w:t>
      </w:r>
      <w:r w:rsidR="00304431">
        <w:rPr>
          <w:color w:val="7F7F7F" w:themeColor="text1" w:themeTint="80"/>
          <w:sz w:val="16"/>
          <w:szCs w:val="16"/>
        </w:rPr>
        <w:t xml:space="preserve"> conclusion</w:t>
      </w:r>
      <w:r w:rsidR="00FA0A3F" w:rsidRPr="00FA0A3F">
        <w:rPr>
          <w:color w:val="7F7F7F" w:themeColor="text1" w:themeTint="80"/>
          <w:sz w:val="16"/>
          <w:szCs w:val="16"/>
        </w:rPr>
        <w:t xml:space="preserve"> table summarising the annual costs of </w:t>
      </w:r>
      <w:r w:rsidR="00304431">
        <w:rPr>
          <w:color w:val="7F7F7F" w:themeColor="text1" w:themeTint="80"/>
          <w:sz w:val="16"/>
          <w:szCs w:val="16"/>
        </w:rPr>
        <w:t>the</w:t>
      </w:r>
      <w:r w:rsidR="00FA0A3F" w:rsidRPr="00FA0A3F">
        <w:rPr>
          <w:color w:val="7F7F7F" w:themeColor="text1" w:themeTint="80"/>
          <w:sz w:val="16"/>
          <w:szCs w:val="16"/>
        </w:rPr>
        <w:t xml:space="preserve"> option.</w:t>
      </w:r>
    </w:p>
    <w:p w14:paraId="1072B8B3" w14:textId="77777777" w:rsidR="00B11106" w:rsidRDefault="00B11106" w:rsidP="00B11106">
      <w:pPr>
        <w:pStyle w:val="Heading3"/>
      </w:pPr>
      <w:bookmarkStart w:id="249" w:name="_Toc171324786"/>
      <w:bookmarkStart w:id="250" w:name="_Toc198138639"/>
      <w:r>
        <w:t xml:space="preserve">Incremental </w:t>
      </w:r>
      <w:r w:rsidRPr="00B11106">
        <w:t>impact</w:t>
      </w:r>
      <w:r>
        <w:t xml:space="preserve"> analysis</w:t>
      </w:r>
      <w:bookmarkEnd w:id="249"/>
      <w:bookmarkEnd w:id="250"/>
    </w:p>
    <w:p w14:paraId="337B597E" w14:textId="4786892B" w:rsidR="0096684D" w:rsidRDefault="000432F3" w:rsidP="000432F3">
      <w:pPr>
        <w:pStyle w:val="Heading4"/>
      </w:pPr>
      <w:r>
        <w:t>Change in social and economic outcomes associated with substandard care – for patients, families/carers and government services</w:t>
      </w:r>
    </w:p>
    <w:p w14:paraId="0AC7B59E" w14:textId="5D0BB5A9" w:rsidR="00404203" w:rsidRDefault="000432F3" w:rsidP="00404203">
      <w:pPr>
        <w:pStyle w:val="BodyText"/>
      </w:pPr>
      <w:r>
        <w:t xml:space="preserve">As outlined in Section </w:t>
      </w:r>
      <w:r>
        <w:fldChar w:fldCharType="begin"/>
      </w:r>
      <w:r>
        <w:instrText xml:space="preserve"> REF _Ref171318838 \r \h </w:instrText>
      </w:r>
      <w:r>
        <w:fldChar w:fldCharType="separate"/>
      </w:r>
      <w:r w:rsidR="00F32107">
        <w:t>7.6</w:t>
      </w:r>
      <w:r>
        <w:fldChar w:fldCharType="end"/>
      </w:r>
      <w:r>
        <w:t>, w</w:t>
      </w:r>
      <w:r w:rsidR="00404203">
        <w:t>here substandard care results in delayed time to diagnosis or appropriate treatment, this has both short-term and long-term social and economic consequences for patients, families/carers, and government services, especially when diagnosis occurs after a ‘critical period’.</w:t>
      </w:r>
      <w:r w:rsidR="00CA3516">
        <w:rPr>
          <w:rStyle w:val="FootnoteReference"/>
        </w:rPr>
        <w:footnoteReference w:id="262"/>
      </w:r>
    </w:p>
    <w:p w14:paraId="2EDA9409" w14:textId="656A2EF8" w:rsidR="000432F3" w:rsidRDefault="000432F3" w:rsidP="000432F3">
      <w:pPr>
        <w:pStyle w:val="BodyText"/>
      </w:pPr>
      <w:r>
        <w:t xml:space="preserve">Consultations and the public sector external reviews highlighted a number of patient types (patient personas) that are at greater risk of substandard care and long-term adverse outcomes under the </w:t>
      </w:r>
      <w:r w:rsidR="00A80F45">
        <w:t>Status Quo</w:t>
      </w:r>
      <w:r>
        <w:t xml:space="preserve">. A summary of these personas, the harms that may be experienced, and the associated social and economic impacts are summarised in </w:t>
      </w:r>
      <w:r w:rsidR="00E41209">
        <w:fldChar w:fldCharType="begin"/>
      </w:r>
      <w:r w:rsidR="00E41209">
        <w:instrText xml:space="preserve"> REF _Ref172874370 \h </w:instrText>
      </w:r>
      <w:r w:rsidR="00E41209">
        <w:fldChar w:fldCharType="separate"/>
      </w:r>
      <w:r w:rsidR="00F32107">
        <w:t xml:space="preserve">Figure </w:t>
      </w:r>
      <w:r w:rsidR="00F32107">
        <w:rPr>
          <w:noProof/>
        </w:rPr>
        <w:t>7</w:t>
      </w:r>
      <w:r w:rsidR="00F32107">
        <w:t>.</w:t>
      </w:r>
      <w:r w:rsidR="00F32107">
        <w:rPr>
          <w:noProof/>
        </w:rPr>
        <w:t>3</w:t>
      </w:r>
      <w:r w:rsidR="00E41209">
        <w:fldChar w:fldCharType="end"/>
      </w:r>
      <w:r>
        <w:t xml:space="preserve"> and in Sections </w:t>
      </w:r>
      <w:r>
        <w:fldChar w:fldCharType="begin"/>
      </w:r>
      <w:r>
        <w:instrText xml:space="preserve"> REF _Ref172538825 \r \h </w:instrText>
      </w:r>
      <w:r>
        <w:fldChar w:fldCharType="separate"/>
      </w:r>
      <w:r w:rsidR="00F32107">
        <w:t>7.6.1</w:t>
      </w:r>
      <w:r>
        <w:fldChar w:fldCharType="end"/>
      </w:r>
      <w:r w:rsidR="00D4672D">
        <w:t xml:space="preserve"> </w:t>
      </w:r>
      <w:r>
        <w:t xml:space="preserve">and </w:t>
      </w:r>
      <w:r>
        <w:fldChar w:fldCharType="begin"/>
      </w:r>
      <w:r>
        <w:instrText xml:space="preserve"> REF _Ref170033230 \r \h </w:instrText>
      </w:r>
      <w:r>
        <w:fldChar w:fldCharType="separate"/>
      </w:r>
      <w:r w:rsidR="00F32107">
        <w:t>7.6.2</w:t>
      </w:r>
      <w:r>
        <w:fldChar w:fldCharType="end"/>
      </w:r>
      <w:r>
        <w:t xml:space="preserve">. </w:t>
      </w:r>
      <w:r w:rsidR="005E21C0">
        <w:t>Broadly this includes:</w:t>
      </w:r>
    </w:p>
    <w:p w14:paraId="2E8EE293" w14:textId="7715CC3E" w:rsidR="005E21C0" w:rsidRDefault="00DA5E63" w:rsidP="00322452">
      <w:pPr>
        <w:pStyle w:val="ListBullet"/>
      </w:pPr>
      <w:r>
        <w:t xml:space="preserve">Patient short-term </w:t>
      </w:r>
      <w:r w:rsidR="00CE4A8B">
        <w:t>quality</w:t>
      </w:r>
      <w:r>
        <w:t xml:space="preserve"> of life impacts associated with </w:t>
      </w:r>
      <w:r w:rsidR="00711004">
        <w:t>unaddressed</w:t>
      </w:r>
      <w:r>
        <w:t xml:space="preserve"> hearing loss</w:t>
      </w:r>
    </w:p>
    <w:p w14:paraId="03F620FF" w14:textId="6F5D9D84" w:rsidR="00DA5E63" w:rsidRDefault="00DA5E63" w:rsidP="00322452">
      <w:pPr>
        <w:pStyle w:val="ListBullet"/>
      </w:pPr>
      <w:r>
        <w:t>Patient long-term quality of life and productivity impacts associated with delayed time to diagnosis or appropriate treatment</w:t>
      </w:r>
    </w:p>
    <w:p w14:paraId="02BC3186" w14:textId="539796FA" w:rsidR="00DA5E63" w:rsidRDefault="00DA5E63" w:rsidP="00322452">
      <w:pPr>
        <w:pStyle w:val="ListBullet"/>
      </w:pPr>
      <w:r>
        <w:t>Family/carer financial burden and informal care costs</w:t>
      </w:r>
    </w:p>
    <w:p w14:paraId="69AB5F97" w14:textId="47251AAF" w:rsidR="00DA5E63" w:rsidRDefault="00DA5E63" w:rsidP="00322452">
      <w:pPr>
        <w:pStyle w:val="ListBullet"/>
      </w:pPr>
      <w:r>
        <w:t xml:space="preserve">Increased utilisation of government services (e.g., </w:t>
      </w:r>
      <w:r w:rsidR="00690C60">
        <w:t>medical and allied health</w:t>
      </w:r>
      <w:r>
        <w:t>, NDIS) and welfare payments</w:t>
      </w:r>
      <w:r w:rsidR="00322452">
        <w:t>.</w:t>
      </w:r>
    </w:p>
    <w:p w14:paraId="043CE2EF" w14:textId="5908B210" w:rsidR="000432F3" w:rsidRPr="00404203" w:rsidRDefault="00FC3921" w:rsidP="00404203">
      <w:pPr>
        <w:pStyle w:val="BodyText"/>
      </w:pPr>
      <w:r>
        <w:t xml:space="preserve">Relative to the </w:t>
      </w:r>
      <w:r w:rsidR="00A80F45">
        <w:t>Status Quo</w:t>
      </w:r>
      <w:r>
        <w:t xml:space="preserve">, </w:t>
      </w:r>
      <w:r w:rsidR="00690C60">
        <w:t>Option 7</w:t>
      </w:r>
      <w:r w:rsidR="00D4672D" w:rsidRPr="00371510">
        <w:t xml:space="preserve"> is expected to </w:t>
      </w:r>
      <w:r w:rsidR="00D4672D">
        <w:t xml:space="preserve">reduce the incidence of substandard care </w:t>
      </w:r>
      <w:r>
        <w:t>and avoid the associated social and economic costs for patients, families/carers and government</w:t>
      </w:r>
      <w:r w:rsidR="00D4672D" w:rsidRPr="00371510">
        <w:t>.</w:t>
      </w:r>
      <w:r w:rsidR="001D737B">
        <w:t xml:space="preserve"> </w:t>
      </w:r>
      <w:r w:rsidR="00D34DFE">
        <w:t xml:space="preserve">However, due to uncertainty relating to the level of harms occurring under the </w:t>
      </w:r>
      <w:r w:rsidR="00A80F45">
        <w:t>Status Quo</w:t>
      </w:r>
      <w:r w:rsidR="00D34DFE">
        <w:t xml:space="preserve"> and the efficacy of </w:t>
      </w:r>
      <w:r w:rsidR="00887C1B">
        <w:t>Option 7</w:t>
      </w:r>
      <w:r w:rsidR="00D34DFE">
        <w:t xml:space="preserve"> on harm minimisation</w:t>
      </w:r>
      <w:r w:rsidR="001D737B">
        <w:t xml:space="preserve">, it </w:t>
      </w:r>
      <w:r w:rsidR="00152850">
        <w:t xml:space="preserve">was not </w:t>
      </w:r>
      <w:r w:rsidR="000D5212">
        <w:t xml:space="preserve">possible to </w:t>
      </w:r>
      <w:r w:rsidR="00152850">
        <w:t xml:space="preserve">estimate the volume and value of harms that could be avoided under </w:t>
      </w:r>
      <w:r w:rsidR="009D65B6">
        <w:t>National Registration</w:t>
      </w:r>
      <w:r w:rsidR="000D5212">
        <w:t>.</w:t>
      </w:r>
    </w:p>
    <w:p w14:paraId="19893845" w14:textId="7765746B" w:rsidR="00E260D1" w:rsidRDefault="00E260D1" w:rsidP="00E260D1">
      <w:pPr>
        <w:pStyle w:val="Heading4"/>
      </w:pPr>
      <w:r>
        <w:t xml:space="preserve">Change in </w:t>
      </w:r>
      <w:r w:rsidR="00F42A7C">
        <w:t>consumer understanding of</w:t>
      </w:r>
      <w:r w:rsidR="00887C1B">
        <w:t xml:space="preserve"> audiologists and audiometrists</w:t>
      </w:r>
    </w:p>
    <w:p w14:paraId="2FB9E47F" w14:textId="0A302908" w:rsidR="00922481" w:rsidRDefault="00B77F12" w:rsidP="00922481">
      <w:pPr>
        <w:pStyle w:val="BodyText"/>
      </w:pPr>
      <w:r w:rsidRPr="00584875">
        <w:t xml:space="preserve">Protection of title for audiologists under </w:t>
      </w:r>
      <w:r w:rsidR="00044FE1">
        <w:t xml:space="preserve">the </w:t>
      </w:r>
      <w:r w:rsidRPr="00584875">
        <w:t xml:space="preserve">National Law and a public register of registered practitioners is expected to raise consumer understanding of the qualifications of the person providing care. </w:t>
      </w:r>
      <w:r w:rsidR="00922481">
        <w:t>Th</w:t>
      </w:r>
      <w:r w:rsidR="00D96ACF">
        <w:t>e</w:t>
      </w:r>
      <w:r w:rsidR="00922481">
        <w:t xml:space="preserve"> ability to</w:t>
      </w:r>
      <w:r w:rsidR="00D96ACF">
        <w:t xml:space="preserve"> more</w:t>
      </w:r>
      <w:r w:rsidR="00922481">
        <w:t xml:space="preserve"> easily discern </w:t>
      </w:r>
      <w:r w:rsidR="00D70B8E">
        <w:t>the qualifications of a treating practitioner</w:t>
      </w:r>
      <w:r w:rsidR="00044FE1">
        <w:t xml:space="preserve"> for a given health condition</w:t>
      </w:r>
      <w:r w:rsidR="00054790">
        <w:t xml:space="preserve"> may reduce</w:t>
      </w:r>
      <w:r w:rsidR="00922481">
        <w:t xml:space="preserve"> </w:t>
      </w:r>
      <w:r w:rsidR="006E398F">
        <w:t>instances of</w:t>
      </w:r>
      <w:r w:rsidR="00922481">
        <w:t xml:space="preserve"> substandard care</w:t>
      </w:r>
      <w:r w:rsidR="00054790">
        <w:t xml:space="preserve"> attributable to </w:t>
      </w:r>
      <w:r w:rsidR="00D96ACF">
        <w:t>market information asymmetry</w:t>
      </w:r>
      <w:r w:rsidR="00656B24">
        <w:t xml:space="preserve"> occurring under the Status Quo</w:t>
      </w:r>
      <w:r w:rsidR="00922481">
        <w:t>.</w:t>
      </w:r>
    </w:p>
    <w:p w14:paraId="7718FF38" w14:textId="74A2CAA1" w:rsidR="00F42A7C" w:rsidRDefault="00F42A7C" w:rsidP="00F42A7C">
      <w:pPr>
        <w:pStyle w:val="Heading4"/>
      </w:pPr>
      <w:r>
        <w:t xml:space="preserve">Change in </w:t>
      </w:r>
      <w:r w:rsidR="00F36F54">
        <w:t>o</w:t>
      </w:r>
      <w:r>
        <w:t xml:space="preserve">ut-of-pocket costs associated with use of private </w:t>
      </w:r>
      <w:r w:rsidR="00161222">
        <w:t xml:space="preserve">sector audiologists </w:t>
      </w:r>
      <w:r>
        <w:t xml:space="preserve">without </w:t>
      </w:r>
      <w:r w:rsidR="004E6886">
        <w:t xml:space="preserve">current clinical </w:t>
      </w:r>
      <w:r>
        <w:t>certification</w:t>
      </w:r>
    </w:p>
    <w:p w14:paraId="74EB58D1" w14:textId="0366B757" w:rsidR="006A52A3" w:rsidRPr="006A52A3" w:rsidRDefault="00830C01" w:rsidP="006A52A3">
      <w:pPr>
        <w:pStyle w:val="BodyText"/>
      </w:pPr>
      <w:r>
        <w:t xml:space="preserve">Under </w:t>
      </w:r>
      <w:r w:rsidR="00044FE1">
        <w:t>Option 7</w:t>
      </w:r>
      <w:r w:rsidR="00E94D16">
        <w:t>,</w:t>
      </w:r>
      <w:r>
        <w:t xml:space="preserve"> </w:t>
      </w:r>
      <w:bookmarkStart w:id="251" w:name="_Hlk193222375"/>
      <w:r>
        <w:t>it is anticipate</w:t>
      </w:r>
      <w:r w:rsidR="004147EB">
        <w:t>d</w:t>
      </w:r>
      <w:r>
        <w:t xml:space="preserve"> that the </w:t>
      </w:r>
      <w:r w:rsidR="00E94D16">
        <w:t>rules associated with claiming funding f</w:t>
      </w:r>
      <w:r w:rsidR="005D6814">
        <w:t xml:space="preserve">rom </w:t>
      </w:r>
      <w:r w:rsidR="007C21EC">
        <w:t xml:space="preserve">major service delivery programs </w:t>
      </w:r>
      <w:r w:rsidR="00E94D16">
        <w:t>will be changed</w:t>
      </w:r>
      <w:r w:rsidR="007C21EC">
        <w:t xml:space="preserve"> for audiologists</w:t>
      </w:r>
      <w:r w:rsidR="00E94D16">
        <w:t xml:space="preserve"> to require registration</w:t>
      </w:r>
      <w:r w:rsidR="00BE0482">
        <w:t xml:space="preserve"> </w:t>
      </w:r>
      <w:r w:rsidR="00E94D16">
        <w:t xml:space="preserve">instead of PPB membership </w:t>
      </w:r>
      <w:r w:rsidR="007C21EC">
        <w:t xml:space="preserve">and/or </w:t>
      </w:r>
      <w:r w:rsidR="00E94D16">
        <w:t xml:space="preserve">current clinical certification. </w:t>
      </w:r>
      <w:r w:rsidR="0075486E">
        <w:t xml:space="preserve">Given that registration will be </w:t>
      </w:r>
      <w:r w:rsidR="002F715B">
        <w:t>mandatory to</w:t>
      </w:r>
      <w:r w:rsidR="0075486E">
        <w:t xml:space="preserve"> practice as an audiologist, </w:t>
      </w:r>
      <w:r w:rsidR="00FA55B9">
        <w:t>Option 7</w:t>
      </w:r>
      <w:r w:rsidR="00717942">
        <w:t xml:space="preserve"> </w:t>
      </w:r>
      <w:r w:rsidR="009A5EF0">
        <w:t xml:space="preserve">is expected to </w:t>
      </w:r>
      <w:r w:rsidR="00FA55B9">
        <w:t xml:space="preserve">reduce </w:t>
      </w:r>
      <w:r w:rsidR="00BE0482">
        <w:t>Status Quo</w:t>
      </w:r>
      <w:r w:rsidR="0075486E">
        <w:t xml:space="preserve"> out-of-pocket costs </w:t>
      </w:r>
      <w:r w:rsidR="00BE0482">
        <w:t>incurred by patient</w:t>
      </w:r>
      <w:r w:rsidR="00717942">
        <w:t>s</w:t>
      </w:r>
      <w:r w:rsidR="00BE0482">
        <w:t xml:space="preserve"> and families/carers associated with</w:t>
      </w:r>
      <w:r w:rsidR="0075486E">
        <w:t xml:space="preserve"> </w:t>
      </w:r>
      <w:r w:rsidR="00345795">
        <w:t xml:space="preserve">provision </w:t>
      </w:r>
      <w:r w:rsidR="009B7C9E">
        <w:t>of</w:t>
      </w:r>
      <w:r w:rsidR="00345795">
        <w:t xml:space="preserve"> services by pr</w:t>
      </w:r>
      <w:r w:rsidR="009A5EF0">
        <w:t>ivate se</w:t>
      </w:r>
      <w:r w:rsidR="00584C95">
        <w:t>ctor audiologists</w:t>
      </w:r>
      <w:r w:rsidR="00CD29A0">
        <w:t>, as audiologists will be more likely to meet the regulatory requirements to claim funding</w:t>
      </w:r>
      <w:r w:rsidR="002F715B">
        <w:t>.</w:t>
      </w:r>
      <w:r w:rsidR="00017865">
        <w:t xml:space="preserve"> This cost impact is likely to be marginal</w:t>
      </w:r>
      <w:r w:rsidR="003F2279">
        <w:t>,</w:t>
      </w:r>
      <w:r w:rsidR="00017865">
        <w:t xml:space="preserve"> </w:t>
      </w:r>
      <w:r w:rsidR="003F2279">
        <w:t>as</w:t>
      </w:r>
      <w:r w:rsidR="00017865">
        <w:t xml:space="preserve"> </w:t>
      </w:r>
      <w:r w:rsidR="005833A5">
        <w:t xml:space="preserve">stakeholder estimates suggest that </w:t>
      </w:r>
      <w:r w:rsidR="00CD29A0">
        <w:t xml:space="preserve">only a small </w:t>
      </w:r>
      <w:r w:rsidR="003F2279">
        <w:t>percentage</w:t>
      </w:r>
      <w:r w:rsidR="00CD29A0">
        <w:t xml:space="preserve"> of the profession</w:t>
      </w:r>
      <w:r w:rsidR="00017865">
        <w:t xml:space="preserve"> is</w:t>
      </w:r>
      <w:r w:rsidR="005833A5">
        <w:t xml:space="preserve"> currently</w:t>
      </w:r>
      <w:r w:rsidR="00017865">
        <w:t xml:space="preserve"> practicing in the private sector without current clinical certification</w:t>
      </w:r>
      <w:bookmarkEnd w:id="251"/>
      <w:r w:rsidR="00017865">
        <w:t>.</w:t>
      </w:r>
    </w:p>
    <w:p w14:paraId="1C24749C" w14:textId="77777777" w:rsidR="00B11106" w:rsidRDefault="00B11106" w:rsidP="00B11106">
      <w:pPr>
        <w:pStyle w:val="Heading4"/>
      </w:pPr>
      <w:bookmarkStart w:id="252" w:name="_Ref171151459"/>
      <w:r>
        <w:t>Change in audiologist time costs associated with CPD</w:t>
      </w:r>
      <w:bookmarkEnd w:id="252"/>
    </w:p>
    <w:p w14:paraId="628B02E7" w14:textId="6447977A" w:rsidR="00B11106" w:rsidRDefault="009B4BAB" w:rsidP="00B11106">
      <w:pPr>
        <w:pStyle w:val="BodyText"/>
      </w:pPr>
      <w:r>
        <w:t>Option 7</w:t>
      </w:r>
      <w:r w:rsidR="00B11106" w:rsidRPr="002D260C">
        <w:t xml:space="preserve"> is expected to increase </w:t>
      </w:r>
      <w:r w:rsidR="00B11106">
        <w:t>audiologist</w:t>
      </w:r>
      <w:r w:rsidR="00B11106" w:rsidRPr="002D260C">
        <w:t xml:space="preserve"> time costs associated with CPD.</w:t>
      </w:r>
      <w:r w:rsidR="00B11106">
        <w:t xml:space="preserve"> To renew clinical certification, individuals are required to complete a minimum of 20 CPD points (or pro-rata equivalent). It is assumed that the time cost associated with completion of 20 points of CPD is approximately 20 hours per year.</w:t>
      </w:r>
      <w:r w:rsidR="00A4193B">
        <w:t xml:space="preserve"> </w:t>
      </w:r>
      <w:r w:rsidR="00020AC0">
        <w:t>As stated, it</w:t>
      </w:r>
      <w:r w:rsidR="00B11106">
        <w:t xml:space="preserve"> is only likely to be a small proportion of audiologists working in the public </w:t>
      </w:r>
      <w:r w:rsidR="00F4445C">
        <w:t xml:space="preserve">or private </w:t>
      </w:r>
      <w:r w:rsidR="00B11106">
        <w:t>sector who are not currently completing CPD hours</w:t>
      </w:r>
      <w:r w:rsidR="00A4193B">
        <w:t>,</w:t>
      </w:r>
      <w:r w:rsidR="00B11106">
        <w:t xml:space="preserve"> but would seek general registration. This is assumed to be 10% of the audiology workforce.</w:t>
      </w:r>
    </w:p>
    <w:p w14:paraId="09FB47F0" w14:textId="6AA70902" w:rsidR="00B11106" w:rsidRDefault="00A4193B" w:rsidP="00B11106">
      <w:pPr>
        <w:pStyle w:val="BodyText"/>
      </w:pPr>
      <w:r>
        <w:t>Option 7</w:t>
      </w:r>
      <w:r w:rsidR="00B11106">
        <w:t xml:space="preserve"> will include mandatory CPD for all audiologists</w:t>
      </w:r>
      <w:r w:rsidR="00B11106" w:rsidRPr="008F3895">
        <w:t>.</w:t>
      </w:r>
      <w:r w:rsidR="00B11106">
        <w:t xml:space="preserve"> The National Board will determine the number of credits/points/hours practitioners must spend each year on learning activities to renew their registration. The Osteopathy National Board requires 25 hours of CPD per annum.</w:t>
      </w:r>
      <w:r w:rsidR="00B11106">
        <w:rPr>
          <w:rStyle w:val="FootnoteReference"/>
        </w:rPr>
        <w:footnoteReference w:id="263"/>
      </w:r>
      <w:r w:rsidR="00B11106">
        <w:t xml:space="preserve"> This benchmark suggests that the increase in CPD time costs associated with </w:t>
      </w:r>
      <w:r w:rsidR="00182E5E">
        <w:t>Option 7</w:t>
      </w:r>
      <w:r w:rsidR="00B11106">
        <w:t xml:space="preserve"> </w:t>
      </w:r>
      <w:r w:rsidR="00946030">
        <w:t xml:space="preserve">for </w:t>
      </w:r>
      <w:r w:rsidR="004F2DEB">
        <w:t xml:space="preserve">practising audiologists </w:t>
      </w:r>
      <w:r w:rsidR="00B11106">
        <w:t>is likely to be marginal for those with current clinical certification</w:t>
      </w:r>
      <w:r w:rsidR="00A80A9C">
        <w:t xml:space="preserve"> (increasing by approximately 5 hours per</w:t>
      </w:r>
      <w:r w:rsidR="00B11106">
        <w:t xml:space="preserve"> annum</w:t>
      </w:r>
      <w:r w:rsidR="00A80A9C">
        <w:t>)</w:t>
      </w:r>
      <w:r w:rsidR="00B11106">
        <w:t xml:space="preserve">. Using the median wage of an audiologist multiped by 1.75 to account for overheads and oncosts, </w:t>
      </w:r>
      <w:r w:rsidR="00F42484">
        <w:t>the overall change in</w:t>
      </w:r>
      <w:r w:rsidR="00991DDB">
        <w:t xml:space="preserve"> in CPD time costs</w:t>
      </w:r>
      <w:r w:rsidR="00F42484">
        <w:t xml:space="preserve"> </w:t>
      </w:r>
      <w:r w:rsidR="00EA7FDA">
        <w:t xml:space="preserve">across the profession </w:t>
      </w:r>
      <w:r w:rsidR="00B11106">
        <w:t>equates to an annualised ten-year FY25 NPV cost of $</w:t>
      </w:r>
      <w:r w:rsidR="001B31F3">
        <w:t>871,739</w:t>
      </w:r>
      <w:r w:rsidR="00B11106">
        <w:t>.</w:t>
      </w:r>
      <w:r w:rsidR="005605F6">
        <w:t xml:space="preserve"> This cost would be borne by the employer assuming the CPD is completed during work hours.</w:t>
      </w:r>
    </w:p>
    <w:p w14:paraId="08038ADF" w14:textId="2A85524F" w:rsidR="00B11106" w:rsidRDefault="00B11106" w:rsidP="00AB09C0">
      <w:pPr>
        <w:pStyle w:val="Caption"/>
        <w:keepNext/>
      </w:pPr>
      <w:r>
        <w:t xml:space="preserve">Table </w:t>
      </w:r>
      <w:fldSimple w:instr=" STYLEREF 1 \s ">
        <w:r w:rsidR="00F32107">
          <w:rPr>
            <w:noProof/>
          </w:rPr>
          <w:t>8</w:t>
        </w:r>
      </w:fldSimple>
      <w:r w:rsidR="008944FB">
        <w:t>.</w:t>
      </w:r>
      <w:fldSimple w:instr=" SEQ Table \* ARABIC \s 1 ">
        <w:r w:rsidR="00F32107">
          <w:rPr>
            <w:noProof/>
          </w:rPr>
          <w:t>7</w:t>
        </w:r>
      </w:fldSimple>
      <w:r>
        <w:t xml:space="preserve"> Ten-year NPV of increase in CPD time costs to audiologists under </w:t>
      </w:r>
      <w:r w:rsidR="00040BEB">
        <w:t>Option 7</w:t>
      </w:r>
    </w:p>
    <w:tbl>
      <w:tblPr>
        <w:tblStyle w:val="BodyTable"/>
        <w:tblW w:w="0" w:type="auto"/>
        <w:tblLook w:val="04A0" w:firstRow="1" w:lastRow="0" w:firstColumn="1" w:lastColumn="0" w:noHBand="0" w:noVBand="1"/>
      </w:tblPr>
      <w:tblGrid>
        <w:gridCol w:w="1677"/>
        <w:gridCol w:w="1898"/>
        <w:gridCol w:w="1844"/>
        <w:gridCol w:w="1830"/>
        <w:gridCol w:w="1595"/>
      </w:tblGrid>
      <w:tr w:rsidR="00B11106" w14:paraId="15B8BA32" w14:textId="77777777" w:rsidTr="00160F44">
        <w:trPr>
          <w:cnfStyle w:val="100000000000" w:firstRow="1" w:lastRow="0" w:firstColumn="0" w:lastColumn="0" w:oddVBand="0" w:evenVBand="0" w:oddHBand="0" w:evenHBand="0" w:firstRowFirstColumn="0" w:firstRowLastColumn="0" w:lastRowFirstColumn="0" w:lastRowLastColumn="0"/>
          <w:trHeight w:val="699"/>
        </w:trPr>
        <w:tc>
          <w:tcPr>
            <w:tcW w:w="1677" w:type="dxa"/>
          </w:tcPr>
          <w:p w14:paraId="0AF347D6" w14:textId="77777777" w:rsidR="00B11106" w:rsidRDefault="00B11106" w:rsidP="00AB09C0">
            <w:pPr>
              <w:keepNext/>
              <w:spacing w:line="240" w:lineRule="auto"/>
            </w:pPr>
          </w:p>
        </w:tc>
        <w:tc>
          <w:tcPr>
            <w:tcW w:w="1898" w:type="dxa"/>
          </w:tcPr>
          <w:p w14:paraId="32178069" w14:textId="77777777" w:rsidR="00B11106" w:rsidRPr="006A1D83" w:rsidRDefault="00B11106" w:rsidP="00AB09C0">
            <w:pPr>
              <w:keepNext/>
              <w:spacing w:line="240" w:lineRule="auto"/>
              <w:ind w:left="113" w:right="113"/>
              <w:jc w:val="right"/>
              <w:rPr>
                <w:b/>
                <w:bCs/>
              </w:rPr>
            </w:pPr>
            <w:r w:rsidRPr="006A1D83">
              <w:rPr>
                <w:b/>
                <w:bCs/>
              </w:rPr>
              <w:t>Total NPV cost in establishment year</w:t>
            </w:r>
            <w:r>
              <w:rPr>
                <w:b/>
                <w:bCs/>
              </w:rPr>
              <w:t>s</w:t>
            </w:r>
          </w:p>
          <w:p w14:paraId="4AA6014E" w14:textId="4B4F7519" w:rsidR="00B11106" w:rsidRPr="006A1D83" w:rsidRDefault="00B11106" w:rsidP="00AB09C0">
            <w:pPr>
              <w:keepNext/>
              <w:spacing w:line="240" w:lineRule="auto"/>
              <w:ind w:left="113" w:right="113"/>
              <w:jc w:val="right"/>
              <w:rPr>
                <w:b/>
                <w:bCs/>
              </w:rPr>
            </w:pPr>
            <w:r w:rsidRPr="006A1D83">
              <w:rPr>
                <w:b/>
                <w:bCs/>
              </w:rPr>
              <w:t>(</w:t>
            </w:r>
            <w:r>
              <w:rPr>
                <w:b/>
                <w:bCs/>
              </w:rPr>
              <w:t>FY</w:t>
            </w:r>
            <w:r w:rsidRPr="006A1D83">
              <w:rPr>
                <w:b/>
                <w:bCs/>
              </w:rPr>
              <w:t>2</w:t>
            </w:r>
            <w:r w:rsidR="000F34F9">
              <w:rPr>
                <w:b/>
                <w:bCs/>
              </w:rPr>
              <w:t>5</w:t>
            </w:r>
            <w:r>
              <w:rPr>
                <w:b/>
                <w:bCs/>
              </w:rPr>
              <w:t>-2</w:t>
            </w:r>
            <w:r w:rsidR="00003179">
              <w:rPr>
                <w:b/>
                <w:bCs/>
              </w:rPr>
              <w:t>8</w:t>
            </w:r>
            <w:r w:rsidRPr="006A1D83">
              <w:rPr>
                <w:b/>
                <w:bCs/>
              </w:rPr>
              <w:t>)</w:t>
            </w:r>
          </w:p>
        </w:tc>
        <w:tc>
          <w:tcPr>
            <w:tcW w:w="1844" w:type="dxa"/>
          </w:tcPr>
          <w:p w14:paraId="5D8CD9E9" w14:textId="77777777" w:rsidR="00B11106" w:rsidRPr="006A1D83" w:rsidRDefault="00B11106" w:rsidP="00AB09C0">
            <w:pPr>
              <w:keepNext/>
              <w:spacing w:line="240" w:lineRule="auto"/>
              <w:ind w:left="113" w:right="113"/>
              <w:jc w:val="right"/>
              <w:rPr>
                <w:b/>
                <w:bCs/>
              </w:rPr>
            </w:pPr>
            <w:r w:rsidRPr="006A1D83">
              <w:rPr>
                <w:b/>
                <w:bCs/>
              </w:rPr>
              <w:t>Total NPV cost in operational years</w:t>
            </w:r>
          </w:p>
          <w:p w14:paraId="7F90B1E8" w14:textId="424C2F47" w:rsidR="00B11106" w:rsidRPr="006A1D83" w:rsidRDefault="00B11106" w:rsidP="00AB09C0">
            <w:pPr>
              <w:keepNext/>
              <w:spacing w:line="240" w:lineRule="auto"/>
              <w:ind w:left="113" w:right="113"/>
              <w:jc w:val="right"/>
              <w:rPr>
                <w:b/>
                <w:bCs/>
              </w:rPr>
            </w:pPr>
            <w:r w:rsidRPr="006A1D83">
              <w:rPr>
                <w:b/>
                <w:bCs/>
              </w:rPr>
              <w:t>(</w:t>
            </w:r>
            <w:r>
              <w:rPr>
                <w:b/>
                <w:bCs/>
              </w:rPr>
              <w:t>FY2</w:t>
            </w:r>
            <w:r w:rsidR="000F34F9">
              <w:rPr>
                <w:b/>
                <w:bCs/>
              </w:rPr>
              <w:t>9</w:t>
            </w:r>
            <w:r>
              <w:rPr>
                <w:b/>
                <w:bCs/>
              </w:rPr>
              <w:t>-34</w:t>
            </w:r>
            <w:r w:rsidRPr="006A1D83">
              <w:rPr>
                <w:b/>
                <w:bCs/>
              </w:rPr>
              <w:t>)</w:t>
            </w:r>
          </w:p>
        </w:tc>
        <w:tc>
          <w:tcPr>
            <w:tcW w:w="1830" w:type="dxa"/>
          </w:tcPr>
          <w:p w14:paraId="6D06118E" w14:textId="77777777" w:rsidR="00B11106" w:rsidRDefault="00B11106" w:rsidP="00AB09C0">
            <w:pPr>
              <w:keepNext/>
              <w:spacing w:line="240" w:lineRule="auto"/>
              <w:ind w:left="113" w:right="113"/>
              <w:jc w:val="right"/>
              <w:rPr>
                <w:b/>
                <w:bCs/>
              </w:rPr>
            </w:pPr>
            <w:r>
              <w:rPr>
                <w:b/>
                <w:bCs/>
              </w:rPr>
              <w:t>Total NPV cost over ten-year period</w:t>
            </w:r>
          </w:p>
          <w:p w14:paraId="1CDC7398" w14:textId="77777777" w:rsidR="00B11106" w:rsidRPr="006A1D83" w:rsidRDefault="00B11106" w:rsidP="00AB09C0">
            <w:pPr>
              <w:keepNext/>
              <w:spacing w:line="240" w:lineRule="auto"/>
              <w:ind w:left="113" w:right="113"/>
              <w:jc w:val="right"/>
              <w:rPr>
                <w:b/>
                <w:bCs/>
              </w:rPr>
            </w:pPr>
            <w:r w:rsidRPr="006A1D83">
              <w:rPr>
                <w:b/>
                <w:bCs/>
              </w:rPr>
              <w:t>(</w:t>
            </w:r>
            <w:r>
              <w:rPr>
                <w:b/>
                <w:bCs/>
              </w:rPr>
              <w:t>FY25-34</w:t>
            </w:r>
            <w:r w:rsidRPr="006A1D83">
              <w:rPr>
                <w:b/>
                <w:bCs/>
              </w:rPr>
              <w:t>)</w:t>
            </w:r>
          </w:p>
        </w:tc>
        <w:tc>
          <w:tcPr>
            <w:tcW w:w="1595" w:type="dxa"/>
          </w:tcPr>
          <w:p w14:paraId="504B3D33" w14:textId="77777777" w:rsidR="00B11106" w:rsidRPr="006A1D83" w:rsidRDefault="00B11106" w:rsidP="00AB09C0">
            <w:pPr>
              <w:keepNext/>
              <w:spacing w:line="240" w:lineRule="auto"/>
              <w:ind w:left="113" w:right="113"/>
              <w:jc w:val="right"/>
              <w:rPr>
                <w:b/>
                <w:bCs/>
              </w:rPr>
            </w:pPr>
            <w:r w:rsidRPr="006A1D83">
              <w:rPr>
                <w:b/>
                <w:bCs/>
              </w:rPr>
              <w:t>Annualised NPV cost over ten-year period</w:t>
            </w:r>
          </w:p>
          <w:p w14:paraId="7177A318" w14:textId="77777777" w:rsidR="00B11106" w:rsidRPr="006A1D83" w:rsidRDefault="00B11106" w:rsidP="00AB09C0">
            <w:pPr>
              <w:keepNext/>
              <w:spacing w:line="240" w:lineRule="auto"/>
              <w:ind w:left="113" w:right="113"/>
              <w:jc w:val="right"/>
              <w:rPr>
                <w:b/>
                <w:bCs/>
              </w:rPr>
            </w:pPr>
            <w:r w:rsidRPr="006A1D83">
              <w:rPr>
                <w:b/>
                <w:bCs/>
              </w:rPr>
              <w:t>(</w:t>
            </w:r>
            <w:r>
              <w:rPr>
                <w:b/>
                <w:bCs/>
              </w:rPr>
              <w:t>FY25-34</w:t>
            </w:r>
            <w:r w:rsidRPr="006A1D83">
              <w:rPr>
                <w:b/>
                <w:bCs/>
              </w:rPr>
              <w:t>)</w:t>
            </w:r>
          </w:p>
        </w:tc>
      </w:tr>
      <w:tr w:rsidR="001F5AC5" w14:paraId="644FAC68" w14:textId="77777777" w:rsidTr="00160F44">
        <w:trPr>
          <w:trHeight w:val="232"/>
        </w:trPr>
        <w:tc>
          <w:tcPr>
            <w:tcW w:w="1677" w:type="dxa"/>
          </w:tcPr>
          <w:p w14:paraId="6ACBC7FC" w14:textId="77777777" w:rsidR="001F5AC5" w:rsidRDefault="001F5AC5" w:rsidP="00AB09C0">
            <w:pPr>
              <w:keepNext/>
              <w:spacing w:line="240" w:lineRule="auto"/>
            </w:pPr>
            <w:r>
              <w:t>FY25 NPV cost</w:t>
            </w:r>
          </w:p>
        </w:tc>
        <w:tc>
          <w:tcPr>
            <w:tcW w:w="1898" w:type="dxa"/>
          </w:tcPr>
          <w:p w14:paraId="26C3F4C0" w14:textId="7FBE7F8B" w:rsidR="001F5AC5" w:rsidRPr="009E67F2" w:rsidRDefault="001F5AC5" w:rsidP="00AB09C0">
            <w:pPr>
              <w:keepNext/>
              <w:spacing w:line="240" w:lineRule="auto"/>
              <w:ind w:left="113" w:right="113"/>
              <w:jc w:val="right"/>
            </w:pPr>
            <w:r w:rsidRPr="001440F5">
              <w:t xml:space="preserve"> $-   </w:t>
            </w:r>
          </w:p>
        </w:tc>
        <w:tc>
          <w:tcPr>
            <w:tcW w:w="1844" w:type="dxa"/>
          </w:tcPr>
          <w:p w14:paraId="46913A4C" w14:textId="4A300602" w:rsidR="001F5AC5" w:rsidRPr="009E67F2" w:rsidRDefault="001F5AC5" w:rsidP="00AB09C0">
            <w:pPr>
              <w:keepNext/>
              <w:spacing w:line="240" w:lineRule="auto"/>
              <w:ind w:left="113" w:right="113"/>
              <w:jc w:val="right"/>
            </w:pPr>
            <w:r w:rsidRPr="001440F5">
              <w:t xml:space="preserve"> $8,717,389 </w:t>
            </w:r>
          </w:p>
        </w:tc>
        <w:tc>
          <w:tcPr>
            <w:tcW w:w="1830" w:type="dxa"/>
          </w:tcPr>
          <w:p w14:paraId="4C765990" w14:textId="2F636726" w:rsidR="001F5AC5" w:rsidRPr="009E67F2" w:rsidRDefault="001F5AC5" w:rsidP="00AB09C0">
            <w:pPr>
              <w:keepNext/>
              <w:spacing w:line="240" w:lineRule="auto"/>
              <w:ind w:left="113" w:right="113"/>
              <w:jc w:val="right"/>
            </w:pPr>
            <w:r w:rsidRPr="001440F5">
              <w:t xml:space="preserve"> $8,717,389 </w:t>
            </w:r>
          </w:p>
        </w:tc>
        <w:tc>
          <w:tcPr>
            <w:tcW w:w="1595" w:type="dxa"/>
          </w:tcPr>
          <w:p w14:paraId="7356CEFD" w14:textId="1378F047" w:rsidR="001F5AC5" w:rsidRPr="009E67F2" w:rsidRDefault="001F5AC5" w:rsidP="00AB09C0">
            <w:pPr>
              <w:keepNext/>
              <w:spacing w:line="240" w:lineRule="auto"/>
              <w:ind w:left="113" w:right="113"/>
              <w:jc w:val="right"/>
            </w:pPr>
            <w:r w:rsidRPr="001440F5">
              <w:t xml:space="preserve"> $871,739 </w:t>
            </w:r>
          </w:p>
        </w:tc>
      </w:tr>
    </w:tbl>
    <w:p w14:paraId="5EC86189" w14:textId="77777777" w:rsidR="00160F44" w:rsidRDefault="00160F44" w:rsidP="002C5BF7">
      <w:pPr>
        <w:pStyle w:val="Heading4"/>
      </w:pPr>
      <w:r>
        <w:t xml:space="preserve">Change in audiologist </w:t>
      </w:r>
      <w:r w:rsidRPr="002C5BF7">
        <w:t>psychological</w:t>
      </w:r>
      <w:r>
        <w:t xml:space="preserve"> harm due to substandard care</w:t>
      </w:r>
    </w:p>
    <w:p w14:paraId="03886F55" w14:textId="17D61B52" w:rsidR="00F85265" w:rsidRDefault="000B32A9" w:rsidP="002C5BF7">
      <w:pPr>
        <w:pStyle w:val="BodyText"/>
      </w:pPr>
      <w:r>
        <w:t xml:space="preserve">As </w:t>
      </w:r>
      <w:r w:rsidR="002A0164">
        <w:t>noted</w:t>
      </w:r>
      <w:r>
        <w:t xml:space="preserve"> in Section </w:t>
      </w:r>
      <w:r w:rsidR="002A3100">
        <w:fldChar w:fldCharType="begin"/>
      </w:r>
      <w:r w:rsidR="002A3100">
        <w:instrText xml:space="preserve"> REF _Ref193204697 \r \h </w:instrText>
      </w:r>
      <w:r w:rsidR="002A3100">
        <w:fldChar w:fldCharType="separate"/>
      </w:r>
      <w:r w:rsidR="00F32107">
        <w:t>8.1.2.6</w:t>
      </w:r>
      <w:r w:rsidR="002A3100">
        <w:fldChar w:fldCharType="end"/>
      </w:r>
      <w:r>
        <w:t xml:space="preserve">, </w:t>
      </w:r>
      <w:r w:rsidR="002A3100">
        <w:t>h</w:t>
      </w:r>
      <w:r w:rsidR="00160F44">
        <w:t xml:space="preserve">arms occurring as a result of substandard care can affect the </w:t>
      </w:r>
      <w:r w:rsidR="002A0164">
        <w:t xml:space="preserve">practitioner </w:t>
      </w:r>
      <w:r w:rsidR="00160F44">
        <w:t>as well as the patient</w:t>
      </w:r>
      <w:r w:rsidR="006107FC">
        <w:t xml:space="preserve">, specifically </w:t>
      </w:r>
      <w:r w:rsidR="007A4506">
        <w:t xml:space="preserve">in cases </w:t>
      </w:r>
      <w:r w:rsidR="006107FC">
        <w:t xml:space="preserve">where the harm is recognised, and in some </w:t>
      </w:r>
      <w:r w:rsidR="007A4506">
        <w:t>instances</w:t>
      </w:r>
      <w:r w:rsidR="006107FC">
        <w:t>, reported</w:t>
      </w:r>
      <w:r w:rsidR="00160F44">
        <w:t xml:space="preserve">. Stakeholders reflected that it is a better experience for the practitioner to have complaint mechanisms that enable prompt identification of any issues of concern (and therefore swift remediation), which may include training or sanctions. </w:t>
      </w:r>
      <w:r w:rsidR="00AA22FB">
        <w:t>Under Option</w:t>
      </w:r>
      <w:r w:rsidR="00032B2A">
        <w:t xml:space="preserve"> 7, </w:t>
      </w:r>
      <w:r w:rsidR="002100F6">
        <w:t>complaints against audiologists are able to be made to Ahpra</w:t>
      </w:r>
      <w:r w:rsidR="00A93610">
        <w:t xml:space="preserve"> and there are notifier protections and mandatory notification mechanisms.</w:t>
      </w:r>
      <w:r w:rsidR="00EE7277">
        <w:t xml:space="preserve"> </w:t>
      </w:r>
      <w:r w:rsidR="00CA6B1D">
        <w:t>Hence, Option 7’s theory of change</w:t>
      </w:r>
      <w:r w:rsidR="00FD1445">
        <w:t xml:space="preserve"> is </w:t>
      </w:r>
      <w:r w:rsidR="00EE7277">
        <w:t>an increased likelihood of notifications relative to instances of substandard care.</w:t>
      </w:r>
    </w:p>
    <w:p w14:paraId="63EE74B3" w14:textId="2203283C" w:rsidR="00160F44" w:rsidRPr="00E1260D" w:rsidRDefault="00ED110D" w:rsidP="00D44210">
      <w:pPr>
        <w:pStyle w:val="BodyText"/>
      </w:pPr>
      <w:r>
        <w:t>However, s</w:t>
      </w:r>
      <w:r w:rsidR="008777CE">
        <w:t xml:space="preserve">takeholders reported that a notification made against a registered health professional </w:t>
      </w:r>
      <w:r w:rsidR="0080366F">
        <w:t>is</w:t>
      </w:r>
      <w:r w:rsidR="008777CE">
        <w:t xml:space="preserve"> often a significant stressor to that health </w:t>
      </w:r>
      <w:r w:rsidR="00980CFC">
        <w:t>practitioner</w:t>
      </w:r>
      <w:r w:rsidR="00CA6B1D">
        <w:t>,</w:t>
      </w:r>
      <w:r w:rsidR="008777CE">
        <w:t xml:space="preserve"> irrespective of the eventual outcome. </w:t>
      </w:r>
      <w:r w:rsidR="006F03BA">
        <w:t>This ca</w:t>
      </w:r>
      <w:r w:rsidR="00532BAA">
        <w:t xml:space="preserve">n result in </w:t>
      </w:r>
      <w:r w:rsidR="006F03BA">
        <w:t xml:space="preserve">time away from work and </w:t>
      </w:r>
      <w:r w:rsidR="00B76172">
        <w:t xml:space="preserve">emotional wellbeing impacts. </w:t>
      </w:r>
      <w:r w:rsidR="00FD1445">
        <w:t>Overall, it</w:t>
      </w:r>
      <w:r w:rsidR="00694452">
        <w:t xml:space="preserve"> is</w:t>
      </w:r>
      <w:r w:rsidR="00160F44">
        <w:t xml:space="preserve"> </w:t>
      </w:r>
      <w:r w:rsidR="00694452">
        <w:t>possible</w:t>
      </w:r>
      <w:r w:rsidR="00160F44">
        <w:t xml:space="preserve"> that audiologist psychological harm may increase</w:t>
      </w:r>
      <w:r w:rsidR="008E291F">
        <w:t xml:space="preserve"> </w:t>
      </w:r>
      <w:r w:rsidR="00694452">
        <w:t xml:space="preserve">under </w:t>
      </w:r>
      <w:r w:rsidR="00830D53">
        <w:t>Option 7</w:t>
      </w:r>
      <w:r w:rsidR="00160F44">
        <w:t xml:space="preserve"> </w:t>
      </w:r>
      <w:r w:rsidR="0028229E">
        <w:t>in the short-term</w:t>
      </w:r>
      <w:r w:rsidR="00160F44">
        <w:t xml:space="preserve"> due to </w:t>
      </w:r>
      <w:r w:rsidR="004A4A32">
        <w:t>an</w:t>
      </w:r>
      <w:r w:rsidR="00160F44">
        <w:t xml:space="preserve"> increased </w:t>
      </w:r>
      <w:r w:rsidR="004A4A32">
        <w:t xml:space="preserve">number of </w:t>
      </w:r>
      <w:r w:rsidR="00160F44">
        <w:t>notifications</w:t>
      </w:r>
      <w:r w:rsidR="00694452">
        <w:t>. H</w:t>
      </w:r>
      <w:r w:rsidR="00160F44">
        <w:t>owever</w:t>
      </w:r>
      <w:r w:rsidR="00935457">
        <w:t>,</w:t>
      </w:r>
      <w:r w:rsidR="00160F44">
        <w:t xml:space="preserve"> </w:t>
      </w:r>
      <w:r w:rsidR="00F8147B">
        <w:t>it may</w:t>
      </w:r>
      <w:r w:rsidR="00173587">
        <w:t xml:space="preserve"> also</w:t>
      </w:r>
      <w:r w:rsidR="00160F44">
        <w:t xml:space="preserve"> prevent outlier cases of audiologists providing multiple instances of substandard care over a prolonged period of time. </w:t>
      </w:r>
    </w:p>
    <w:p w14:paraId="4DFFF282" w14:textId="77777777" w:rsidR="00160F44" w:rsidRPr="003E64B1" w:rsidRDefault="00160F44" w:rsidP="002C5BF7">
      <w:pPr>
        <w:pStyle w:val="Heading4"/>
      </w:pPr>
      <w:r>
        <w:t xml:space="preserve">Change in audiologist concern associated with raising substandard </w:t>
      </w:r>
      <w:r w:rsidRPr="002C5BF7">
        <w:t>care</w:t>
      </w:r>
      <w:r>
        <w:t xml:space="preserve"> issues</w:t>
      </w:r>
    </w:p>
    <w:p w14:paraId="6F074C40" w14:textId="6E2B39CB" w:rsidR="00160F44" w:rsidRDefault="00160F44" w:rsidP="002C5BF7">
      <w:pPr>
        <w:pStyle w:val="BodyText"/>
      </w:pPr>
      <w:r>
        <w:t xml:space="preserve">Stakeholders raised concerns that under the </w:t>
      </w:r>
      <w:r w:rsidR="00AB09C0">
        <w:t>Status Quo</w:t>
      </w:r>
      <w:r>
        <w:t xml:space="preserve"> there is:</w:t>
      </w:r>
    </w:p>
    <w:p w14:paraId="06052A17" w14:textId="133AFE23" w:rsidR="00160F44" w:rsidRDefault="00160F44" w:rsidP="00AB4347">
      <w:pPr>
        <w:pStyle w:val="ListBullet"/>
      </w:pPr>
      <w:r>
        <w:t>witnessing of harms associated with financial conflicts of interest</w:t>
      </w:r>
      <w:r w:rsidR="007F2A75">
        <w:t xml:space="preserve"> </w:t>
      </w:r>
      <w:r w:rsidR="00C44830">
        <w:t>and</w:t>
      </w:r>
      <w:r w:rsidR="007F2A75">
        <w:t xml:space="preserve">/or </w:t>
      </w:r>
      <w:r w:rsidR="006D30A3">
        <w:t xml:space="preserve">more general cases of </w:t>
      </w:r>
      <w:r w:rsidR="00E2059A">
        <w:t>substandard</w:t>
      </w:r>
      <w:r w:rsidR="006D30A3">
        <w:t xml:space="preserve"> </w:t>
      </w:r>
      <w:r w:rsidR="00ED110D">
        <w:t>care</w:t>
      </w:r>
      <w:r w:rsidR="00C44830">
        <w:t xml:space="preserve"> </w:t>
      </w:r>
    </w:p>
    <w:p w14:paraId="3616A25D" w14:textId="59345051" w:rsidR="00160F44" w:rsidRDefault="00160F44" w:rsidP="00AB4347">
      <w:pPr>
        <w:pStyle w:val="ListBullet"/>
      </w:pPr>
      <w:r>
        <w:t>fear associated with raising complaints of unsafe or unethical practice</w:t>
      </w:r>
    </w:p>
    <w:p w14:paraId="67F97368" w14:textId="0B552333" w:rsidR="00C44830" w:rsidRDefault="008A3785" w:rsidP="00AB4347">
      <w:pPr>
        <w:pStyle w:val="ListBullet"/>
      </w:pPr>
      <w:r>
        <w:t>limited</w:t>
      </w:r>
      <w:r w:rsidR="00C44830">
        <w:t xml:space="preserve"> ability for current regulatory mechanisms to address issues of business practice.</w:t>
      </w:r>
    </w:p>
    <w:p w14:paraId="49695830" w14:textId="69B9DEE9" w:rsidR="004E6FB6" w:rsidRDefault="00405A7D" w:rsidP="002C5BF7">
      <w:pPr>
        <w:pStyle w:val="BodyText"/>
      </w:pPr>
      <w:r>
        <w:t>Option 7</w:t>
      </w:r>
      <w:r w:rsidR="00160F44">
        <w:t xml:space="preserve"> would </w:t>
      </w:r>
      <w:r w:rsidR="00AB4347">
        <w:t xml:space="preserve">somewhat </w:t>
      </w:r>
      <w:r w:rsidR="003E2942">
        <w:t xml:space="preserve">mitigate </w:t>
      </w:r>
      <w:r>
        <w:t>the first two issues</w:t>
      </w:r>
      <w:r w:rsidR="003E2942">
        <w:t xml:space="preserve"> by </w:t>
      </w:r>
      <w:r w:rsidR="00160F44">
        <w:t>creat</w:t>
      </w:r>
      <w:r w:rsidR="003E2942">
        <w:t>ing</w:t>
      </w:r>
      <w:r w:rsidR="00160F44">
        <w:t xml:space="preserve"> notifier protections</w:t>
      </w:r>
      <w:r w:rsidR="00AE4B2E">
        <w:rPr>
          <w:rStyle w:val="FootnoteReference"/>
        </w:rPr>
        <w:footnoteReference w:id="264"/>
      </w:r>
      <w:r w:rsidR="00160F44">
        <w:t xml:space="preserve"> and mandatory notifications, as well as additional powers under Section 136 of the National Law. </w:t>
      </w:r>
      <w:r w:rsidR="0038273F">
        <w:t xml:space="preserve">Notifier protections would </w:t>
      </w:r>
      <w:r w:rsidR="00C03E9D">
        <w:t>protect</w:t>
      </w:r>
      <w:r w:rsidR="0038273F">
        <w:t xml:space="preserve"> audiologists </w:t>
      </w:r>
      <w:r w:rsidR="00C03E9D">
        <w:t>from</w:t>
      </w:r>
      <w:r w:rsidR="0038273F">
        <w:t xml:space="preserve"> </w:t>
      </w:r>
      <w:r w:rsidR="00C31E5C">
        <w:t xml:space="preserve">financial harm </w:t>
      </w:r>
      <w:r w:rsidR="0038273F">
        <w:t>associated with raising complaints of unsafe or unethical practice</w:t>
      </w:r>
      <w:r w:rsidR="00CD76AE">
        <w:t xml:space="preserve">, while mandatory notifications may eliminate stressors to the audiologist associated with the decision to </w:t>
      </w:r>
      <w:r w:rsidR="00E76598">
        <w:t>make a notification.</w:t>
      </w:r>
      <w:r w:rsidR="007F2A75">
        <w:t xml:space="preserve"> </w:t>
      </w:r>
      <w:r w:rsidR="00BA481B">
        <w:t>These mechanisms</w:t>
      </w:r>
      <w:r w:rsidR="00E944DB">
        <w:t xml:space="preserve"> </w:t>
      </w:r>
      <w:r w:rsidR="00492C9D">
        <w:t>will enable increased identification of cases of substandard care</w:t>
      </w:r>
      <w:r w:rsidR="00BA481B">
        <w:t xml:space="preserve">, </w:t>
      </w:r>
      <w:r w:rsidR="00E41A62">
        <w:t>and in turn,</w:t>
      </w:r>
      <w:r w:rsidR="00BA481B">
        <w:t xml:space="preserve"> the quality of care for </w:t>
      </w:r>
      <w:r w:rsidR="00E41A62">
        <w:t xml:space="preserve">audiology </w:t>
      </w:r>
      <w:r w:rsidR="00BA481B">
        <w:t>patient</w:t>
      </w:r>
      <w:r w:rsidR="00E41A62">
        <w:t>s</w:t>
      </w:r>
      <w:r w:rsidR="008D3DF3">
        <w:t xml:space="preserve">. </w:t>
      </w:r>
      <w:r w:rsidR="006B2EF0">
        <w:t>However, i</w:t>
      </w:r>
      <w:r w:rsidR="00E75908">
        <w:t>t</w:t>
      </w:r>
      <w:r w:rsidR="007F2A75">
        <w:t xml:space="preserve"> is recognised that due to the small size of the audiology profession, issues may persist in relation to fear of identification</w:t>
      </w:r>
      <w:r w:rsidR="004A685B">
        <w:t xml:space="preserve"> where a notification is made</w:t>
      </w:r>
      <w:r w:rsidR="007F2A75">
        <w:t>.</w:t>
      </w:r>
    </w:p>
    <w:p w14:paraId="1D5F874E" w14:textId="3AF489B6" w:rsidR="00160F44" w:rsidRDefault="00E75908" w:rsidP="002C5BF7">
      <w:pPr>
        <w:pStyle w:val="BodyText"/>
      </w:pPr>
      <w:r>
        <w:t>I</w:t>
      </w:r>
      <w:r w:rsidR="00C44830">
        <w:t xml:space="preserve">n relation to </w:t>
      </w:r>
      <w:r w:rsidR="00557CD9">
        <w:t>business practices</w:t>
      </w:r>
      <w:r w:rsidR="00C44830">
        <w:t>,</w:t>
      </w:r>
      <w:r w:rsidR="00160F44">
        <w:t xml:space="preserve"> </w:t>
      </w:r>
      <w:r w:rsidR="001358EA">
        <w:t>Ahpra</w:t>
      </w:r>
      <w:r w:rsidR="00160F44">
        <w:t xml:space="preserve"> does not have the ability to take regulatory action against organisations</w:t>
      </w:r>
      <w:r w:rsidR="0040234E">
        <w:t>.</w:t>
      </w:r>
    </w:p>
    <w:p w14:paraId="74D673AE" w14:textId="77777777" w:rsidR="00160F44" w:rsidRDefault="00160F44" w:rsidP="002C5BF7">
      <w:pPr>
        <w:pStyle w:val="Heading4"/>
      </w:pPr>
      <w:bookmarkStart w:id="253" w:name="_Ref171066868"/>
      <w:r>
        <w:t>Change in eligibility assessment time costs for public-sector employers</w:t>
      </w:r>
      <w:bookmarkEnd w:id="253"/>
    </w:p>
    <w:p w14:paraId="6220CAD4" w14:textId="1E2F27AD" w:rsidR="00160F44" w:rsidRDefault="00160F44" w:rsidP="002C5BF7">
      <w:pPr>
        <w:pStyle w:val="BodyText"/>
      </w:pPr>
      <w:r>
        <w:t xml:space="preserve">Under the current state, public sector audiology hiring managers face time costs associated with </w:t>
      </w:r>
      <w:r w:rsidR="00FD613D">
        <w:t>eligibility for the role (e.g., eligibility for PPB membership, suitability to practice)</w:t>
      </w:r>
      <w:r>
        <w:t>. As advised by stakeholders, these issues do not commonly occur in private sector settings</w:t>
      </w:r>
      <w:r w:rsidR="002A3EE6">
        <w:t>.</w:t>
      </w:r>
    </w:p>
    <w:p w14:paraId="1F120128" w14:textId="1977DF36" w:rsidR="00160F44" w:rsidRDefault="002A3EE6" w:rsidP="002C5BF7">
      <w:pPr>
        <w:pStyle w:val="BodyText"/>
      </w:pPr>
      <w:r>
        <w:t>Option 7</w:t>
      </w:r>
      <w:r w:rsidR="00160F44">
        <w:t xml:space="preserve"> would result in </w:t>
      </w:r>
      <w:r w:rsidR="001358EA">
        <w:t>Ahpra</w:t>
      </w:r>
      <w:r w:rsidR="00160F44">
        <w:t xml:space="preserve"> ass</w:t>
      </w:r>
      <w:r w:rsidR="00AD60EE">
        <w:t xml:space="preserve">essing audiologists </w:t>
      </w:r>
      <w:r w:rsidR="00A1040B">
        <w:t>against registration standards</w:t>
      </w:r>
      <w:r w:rsidR="00160F44">
        <w:t xml:space="preserve">. Once determined suitable for registration, the audiologist’s name would be added to a national register available online. In addition, </w:t>
      </w:r>
      <w:r w:rsidR="001358EA">
        <w:t>Ahpra</w:t>
      </w:r>
      <w:r w:rsidR="00160F44">
        <w:t xml:space="preserve"> has a streamlined registration checking process for employers who wish to undertake annual checks on large numbers of employees registered under the National Law. These mechanisms will simplify employment screening for public sector employers and </w:t>
      </w:r>
      <w:r w:rsidR="00C46034">
        <w:t>eliminate</w:t>
      </w:r>
      <w:r w:rsidR="00160F44">
        <w:t xml:space="preserve"> current time costs associated with eligibility assessments</w:t>
      </w:r>
      <w:r w:rsidR="00664AC5">
        <w:t xml:space="preserve"> </w:t>
      </w:r>
      <w:r w:rsidR="00D337F3">
        <w:t xml:space="preserve">for </w:t>
      </w:r>
      <w:r w:rsidR="003257E1">
        <w:t>practitioners without current clinical certification</w:t>
      </w:r>
      <w:r w:rsidR="000D0B46">
        <w:t xml:space="preserve"> or membership</w:t>
      </w:r>
      <w:r w:rsidR="006F1D2A">
        <w:t xml:space="preserve"> (new employees) or current clinical certification </w:t>
      </w:r>
      <w:r w:rsidR="00036E2B">
        <w:t>for existing employees</w:t>
      </w:r>
      <w:r w:rsidR="003257E1">
        <w:t xml:space="preserve">. </w:t>
      </w:r>
      <w:r w:rsidR="00AF3E0A">
        <w:t>Please refer to</w:t>
      </w:r>
      <w:r w:rsidR="00664AC5">
        <w:t xml:space="preserve"> </w:t>
      </w:r>
      <w:r w:rsidR="00AF3E0A">
        <w:t>S</w:t>
      </w:r>
      <w:r w:rsidR="00FE40A7">
        <w:t>ection</w:t>
      </w:r>
      <w:r w:rsidR="00664AC5">
        <w:t xml:space="preserve"> </w:t>
      </w:r>
      <w:r w:rsidR="00FE40A7">
        <w:fldChar w:fldCharType="begin"/>
      </w:r>
      <w:r w:rsidR="00FE40A7">
        <w:instrText xml:space="preserve"> REF _Ref172549724 \r \h </w:instrText>
      </w:r>
      <w:r w:rsidR="00FE40A7">
        <w:fldChar w:fldCharType="separate"/>
      </w:r>
      <w:r w:rsidR="00F32107">
        <w:t>8.1.2.8</w:t>
      </w:r>
      <w:r w:rsidR="00FE40A7">
        <w:fldChar w:fldCharType="end"/>
      </w:r>
      <w:r w:rsidR="00FE40A7">
        <w:t xml:space="preserve"> for the assumptions used to estimate </w:t>
      </w:r>
      <w:r w:rsidR="00262311">
        <w:t xml:space="preserve">time costs under the </w:t>
      </w:r>
      <w:r w:rsidR="00A80F45">
        <w:t>Status Quo</w:t>
      </w:r>
      <w:r w:rsidR="00262311">
        <w:t>.</w:t>
      </w:r>
      <w:r w:rsidR="00F3522A">
        <w:t xml:space="preserve"> </w:t>
      </w:r>
    </w:p>
    <w:p w14:paraId="5DAAE9AF" w14:textId="24DF3E6A" w:rsidR="00160F44" w:rsidRDefault="00262311" w:rsidP="002C5BF7">
      <w:pPr>
        <w:pStyle w:val="BodyText"/>
      </w:pPr>
      <w:r>
        <w:t>I</w:t>
      </w:r>
      <w:r w:rsidR="00160F44">
        <w:t xml:space="preserve">t is estimated that the avoided annualised ten-year FY25 NPV of employer time costs associated with </w:t>
      </w:r>
      <w:r w:rsidR="00345D63">
        <w:t>Option 7</w:t>
      </w:r>
      <w:r w:rsidR="00160F44">
        <w:t xml:space="preserve"> is $</w:t>
      </w:r>
      <w:r w:rsidR="00966AA0" w:rsidRPr="00966AA0">
        <w:t xml:space="preserve">14,267 </w:t>
      </w:r>
      <w:r w:rsidR="00160F44">
        <w:t xml:space="preserve">. </w:t>
      </w:r>
      <w:r w:rsidR="00C46034">
        <w:t xml:space="preserve">These avoided costs accrue to </w:t>
      </w:r>
      <w:r w:rsidR="004A6570">
        <w:t xml:space="preserve">public sector </w:t>
      </w:r>
      <w:r w:rsidR="00C46034">
        <w:t>employer</w:t>
      </w:r>
      <w:r w:rsidR="004A6570">
        <w:t>s</w:t>
      </w:r>
      <w:r w:rsidR="00C46034">
        <w:t>.</w:t>
      </w:r>
    </w:p>
    <w:p w14:paraId="00D3C947" w14:textId="0055B575" w:rsidR="00160F44" w:rsidRDefault="002C5BF7" w:rsidP="002C5BF7">
      <w:pPr>
        <w:pStyle w:val="Caption"/>
        <w:keepNext/>
      </w:pPr>
      <w:r>
        <w:t xml:space="preserve">Table </w:t>
      </w:r>
      <w:fldSimple w:instr=" STYLEREF 1 \s ">
        <w:r w:rsidR="00F32107">
          <w:rPr>
            <w:noProof/>
          </w:rPr>
          <w:t>8</w:t>
        </w:r>
      </w:fldSimple>
      <w:r w:rsidR="008944FB">
        <w:t>.</w:t>
      </w:r>
      <w:fldSimple w:instr=" SEQ Table \* ARABIC \s 1 ">
        <w:r w:rsidR="00F32107">
          <w:rPr>
            <w:noProof/>
          </w:rPr>
          <w:t>8</w:t>
        </w:r>
      </w:fldSimple>
      <w:r>
        <w:t xml:space="preserve"> </w:t>
      </w:r>
      <w:r w:rsidR="00160F44">
        <w:t xml:space="preserve">Ten-year NPV of reduced public sector employer eligibility checking time costs under </w:t>
      </w:r>
      <w:r w:rsidR="00345D63">
        <w:t>Option 7</w:t>
      </w:r>
    </w:p>
    <w:tbl>
      <w:tblPr>
        <w:tblStyle w:val="BodyTable"/>
        <w:tblW w:w="0" w:type="auto"/>
        <w:tblLook w:val="04A0" w:firstRow="1" w:lastRow="0" w:firstColumn="1" w:lastColumn="0" w:noHBand="0" w:noVBand="1"/>
      </w:tblPr>
      <w:tblGrid>
        <w:gridCol w:w="1681"/>
        <w:gridCol w:w="1900"/>
        <w:gridCol w:w="1846"/>
        <w:gridCol w:w="1821"/>
        <w:gridCol w:w="1596"/>
      </w:tblGrid>
      <w:tr w:rsidR="00BD2773" w14:paraId="40F61FEE" w14:textId="77777777" w:rsidTr="00BD2773">
        <w:trPr>
          <w:cnfStyle w:val="100000000000" w:firstRow="1" w:lastRow="0" w:firstColumn="0" w:lastColumn="0" w:oddVBand="0" w:evenVBand="0" w:oddHBand="0" w:evenHBand="0" w:firstRowFirstColumn="0" w:firstRowLastColumn="0" w:lastRowFirstColumn="0" w:lastRowLastColumn="0"/>
          <w:trHeight w:val="699"/>
        </w:trPr>
        <w:tc>
          <w:tcPr>
            <w:tcW w:w="1681" w:type="dxa"/>
          </w:tcPr>
          <w:p w14:paraId="57DD4F15" w14:textId="77777777" w:rsidR="00BD2773" w:rsidRDefault="00BD2773" w:rsidP="00BD2773">
            <w:pPr>
              <w:spacing w:line="240" w:lineRule="auto"/>
            </w:pPr>
          </w:p>
        </w:tc>
        <w:tc>
          <w:tcPr>
            <w:tcW w:w="1900" w:type="dxa"/>
          </w:tcPr>
          <w:p w14:paraId="23B61DB7" w14:textId="77777777" w:rsidR="00BD2773" w:rsidRPr="006A1D83" w:rsidRDefault="00BD2773" w:rsidP="00BD2773">
            <w:pPr>
              <w:keepNext/>
              <w:spacing w:line="240" w:lineRule="auto"/>
              <w:ind w:left="113" w:right="113"/>
              <w:jc w:val="right"/>
              <w:rPr>
                <w:b/>
                <w:bCs/>
              </w:rPr>
            </w:pPr>
            <w:r w:rsidRPr="006A1D83">
              <w:rPr>
                <w:b/>
                <w:bCs/>
              </w:rPr>
              <w:t>Total NPV cost in establishment year</w:t>
            </w:r>
            <w:r>
              <w:rPr>
                <w:b/>
                <w:bCs/>
              </w:rPr>
              <w:t>s</w:t>
            </w:r>
          </w:p>
          <w:p w14:paraId="1FD32EC2" w14:textId="215A4CA5" w:rsidR="00BD2773" w:rsidRPr="006A1D83" w:rsidRDefault="00BD2773" w:rsidP="00BD2773">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Pr>
          <w:p w14:paraId="439D4A8F" w14:textId="77777777" w:rsidR="00BD2773" w:rsidRPr="006A1D83" w:rsidRDefault="00BD2773" w:rsidP="00BD2773">
            <w:pPr>
              <w:keepNext/>
              <w:spacing w:line="240" w:lineRule="auto"/>
              <w:ind w:left="113" w:right="113"/>
              <w:jc w:val="right"/>
              <w:rPr>
                <w:b/>
                <w:bCs/>
              </w:rPr>
            </w:pPr>
            <w:r w:rsidRPr="006A1D83">
              <w:rPr>
                <w:b/>
                <w:bCs/>
              </w:rPr>
              <w:t>Total NPV cost in operational years</w:t>
            </w:r>
          </w:p>
          <w:p w14:paraId="68CD9E5B" w14:textId="3E88AECB" w:rsidR="00BD2773" w:rsidRPr="006A1D83" w:rsidRDefault="00BD2773" w:rsidP="00BD2773">
            <w:pPr>
              <w:spacing w:line="240" w:lineRule="auto"/>
              <w:ind w:left="113" w:right="113"/>
              <w:jc w:val="right"/>
              <w:rPr>
                <w:b/>
                <w:bCs/>
              </w:rPr>
            </w:pPr>
            <w:r w:rsidRPr="006A1D83">
              <w:rPr>
                <w:b/>
                <w:bCs/>
              </w:rPr>
              <w:t>(</w:t>
            </w:r>
            <w:r>
              <w:rPr>
                <w:b/>
                <w:bCs/>
              </w:rPr>
              <w:t>FY29-34</w:t>
            </w:r>
            <w:r w:rsidRPr="006A1D83">
              <w:rPr>
                <w:b/>
                <w:bCs/>
              </w:rPr>
              <w:t>)</w:t>
            </w:r>
          </w:p>
        </w:tc>
        <w:tc>
          <w:tcPr>
            <w:tcW w:w="1821" w:type="dxa"/>
          </w:tcPr>
          <w:p w14:paraId="3014EFD4" w14:textId="77777777" w:rsidR="00BD2773" w:rsidRDefault="00BD2773" w:rsidP="00BD2773">
            <w:pPr>
              <w:keepNext/>
              <w:spacing w:line="240" w:lineRule="auto"/>
              <w:ind w:left="113" w:right="113"/>
              <w:jc w:val="right"/>
              <w:rPr>
                <w:b/>
                <w:bCs/>
              </w:rPr>
            </w:pPr>
            <w:r>
              <w:rPr>
                <w:b/>
                <w:bCs/>
              </w:rPr>
              <w:t>Total NPV cost over ten-year period</w:t>
            </w:r>
          </w:p>
          <w:p w14:paraId="5F1EB741" w14:textId="175E8909" w:rsidR="00BD2773" w:rsidRPr="006A1D83" w:rsidRDefault="00BD2773" w:rsidP="00BD2773">
            <w:pPr>
              <w:spacing w:line="240" w:lineRule="auto"/>
              <w:ind w:left="113" w:right="113"/>
              <w:jc w:val="right"/>
              <w:rPr>
                <w:b/>
                <w:bCs/>
              </w:rPr>
            </w:pPr>
            <w:r w:rsidRPr="006A1D83">
              <w:rPr>
                <w:b/>
                <w:bCs/>
              </w:rPr>
              <w:t>(</w:t>
            </w:r>
            <w:r>
              <w:rPr>
                <w:b/>
                <w:bCs/>
              </w:rPr>
              <w:t>FY25-34</w:t>
            </w:r>
            <w:r w:rsidRPr="006A1D83">
              <w:rPr>
                <w:b/>
                <w:bCs/>
              </w:rPr>
              <w:t>)</w:t>
            </w:r>
          </w:p>
        </w:tc>
        <w:tc>
          <w:tcPr>
            <w:tcW w:w="1596" w:type="dxa"/>
          </w:tcPr>
          <w:p w14:paraId="428714C7" w14:textId="77777777" w:rsidR="00BD2773" w:rsidRPr="006A1D83" w:rsidRDefault="00BD2773" w:rsidP="00BD2773">
            <w:pPr>
              <w:keepNext/>
              <w:spacing w:line="240" w:lineRule="auto"/>
              <w:ind w:left="113" w:right="113"/>
              <w:jc w:val="right"/>
              <w:rPr>
                <w:b/>
                <w:bCs/>
              </w:rPr>
            </w:pPr>
            <w:r w:rsidRPr="006A1D83">
              <w:rPr>
                <w:b/>
                <w:bCs/>
              </w:rPr>
              <w:t>Annualised NPV cost over ten-year period</w:t>
            </w:r>
          </w:p>
          <w:p w14:paraId="34A1DF09" w14:textId="4BF3AAA1" w:rsidR="00BD2773" w:rsidRPr="006A1D83" w:rsidRDefault="00BD2773" w:rsidP="00BD2773">
            <w:pPr>
              <w:spacing w:line="240" w:lineRule="auto"/>
              <w:ind w:left="113" w:right="113"/>
              <w:jc w:val="right"/>
              <w:rPr>
                <w:b/>
                <w:bCs/>
              </w:rPr>
            </w:pPr>
            <w:r w:rsidRPr="006A1D83">
              <w:rPr>
                <w:b/>
                <w:bCs/>
              </w:rPr>
              <w:t>(</w:t>
            </w:r>
            <w:r>
              <w:rPr>
                <w:b/>
                <w:bCs/>
              </w:rPr>
              <w:t>FY25-34</w:t>
            </w:r>
            <w:r w:rsidRPr="006A1D83">
              <w:rPr>
                <w:b/>
                <w:bCs/>
              </w:rPr>
              <w:t>)</w:t>
            </w:r>
          </w:p>
        </w:tc>
      </w:tr>
      <w:tr w:rsidR="009F7CE4" w14:paraId="2C62E343" w14:textId="77777777" w:rsidTr="00BD2773">
        <w:trPr>
          <w:trHeight w:val="232"/>
        </w:trPr>
        <w:tc>
          <w:tcPr>
            <w:tcW w:w="1681" w:type="dxa"/>
          </w:tcPr>
          <w:p w14:paraId="3D33C820" w14:textId="77777777" w:rsidR="009F7CE4" w:rsidRDefault="009F7CE4" w:rsidP="009F7CE4">
            <w:pPr>
              <w:spacing w:line="240" w:lineRule="auto"/>
            </w:pPr>
            <w:r>
              <w:t>FY25 NPV cost</w:t>
            </w:r>
          </w:p>
        </w:tc>
        <w:tc>
          <w:tcPr>
            <w:tcW w:w="1900" w:type="dxa"/>
          </w:tcPr>
          <w:p w14:paraId="0691453A" w14:textId="236A225B" w:rsidR="009F7CE4" w:rsidRPr="009E67F2" w:rsidRDefault="00A566D6" w:rsidP="009F7CE4">
            <w:pPr>
              <w:spacing w:line="240" w:lineRule="auto"/>
              <w:jc w:val="right"/>
            </w:pPr>
            <w:r w:rsidRPr="0013059C">
              <w:t xml:space="preserve"> $-   </w:t>
            </w:r>
          </w:p>
        </w:tc>
        <w:tc>
          <w:tcPr>
            <w:tcW w:w="1846" w:type="dxa"/>
          </w:tcPr>
          <w:p w14:paraId="0E196E22" w14:textId="39B4B93A" w:rsidR="009F7CE4" w:rsidRPr="009E67F2" w:rsidRDefault="00A566D6" w:rsidP="009F7CE4">
            <w:pPr>
              <w:spacing w:line="240" w:lineRule="auto"/>
              <w:jc w:val="right"/>
            </w:pPr>
            <w:r w:rsidRPr="0013059C">
              <w:t xml:space="preserve">-$142,671 </w:t>
            </w:r>
          </w:p>
        </w:tc>
        <w:tc>
          <w:tcPr>
            <w:tcW w:w="1821" w:type="dxa"/>
          </w:tcPr>
          <w:p w14:paraId="00A2BA57" w14:textId="6532BA70" w:rsidR="009F7CE4" w:rsidRPr="009E67F2" w:rsidRDefault="00A566D6" w:rsidP="009F7CE4">
            <w:pPr>
              <w:spacing w:line="240" w:lineRule="auto"/>
              <w:jc w:val="right"/>
            </w:pPr>
            <w:r w:rsidRPr="0013059C">
              <w:t xml:space="preserve">-$142,671 </w:t>
            </w:r>
          </w:p>
        </w:tc>
        <w:tc>
          <w:tcPr>
            <w:tcW w:w="1596" w:type="dxa"/>
          </w:tcPr>
          <w:p w14:paraId="7DD3409E" w14:textId="662748C1" w:rsidR="009F7CE4" w:rsidRPr="009E67F2" w:rsidRDefault="00A566D6" w:rsidP="009F7CE4">
            <w:pPr>
              <w:spacing w:line="240" w:lineRule="auto"/>
              <w:jc w:val="right"/>
            </w:pPr>
            <w:r w:rsidRPr="0013059C">
              <w:t xml:space="preserve">-$14,267 </w:t>
            </w:r>
          </w:p>
        </w:tc>
      </w:tr>
    </w:tbl>
    <w:p w14:paraId="68B55C13" w14:textId="77777777" w:rsidR="00160F44" w:rsidRDefault="00160F44" w:rsidP="00160F44"/>
    <w:p w14:paraId="109A43D6" w14:textId="0ABC4568" w:rsidR="00160F44" w:rsidRPr="00350358" w:rsidRDefault="00160F44" w:rsidP="002C5BF7">
      <w:pPr>
        <w:pStyle w:val="BodyText"/>
      </w:pPr>
      <w:r>
        <w:t xml:space="preserve">Under </w:t>
      </w:r>
      <w:r w:rsidR="005016BF">
        <w:t>Option 7</w:t>
      </w:r>
      <w:r>
        <w:t>, public sector and private sector hiring managers will continue to bear other recruitment time costs, such as referee checks and assessing specialised clinical skills, as needed.</w:t>
      </w:r>
    </w:p>
    <w:p w14:paraId="26875DC2" w14:textId="77777777" w:rsidR="00BF2B8A" w:rsidRPr="00E4472A" w:rsidRDefault="00BF2B8A" w:rsidP="00BF2B8A">
      <w:pPr>
        <w:pStyle w:val="Heading4"/>
      </w:pPr>
      <w:r>
        <w:t>Change in availability of data about the profession</w:t>
      </w:r>
    </w:p>
    <w:p w14:paraId="3224A069" w14:textId="0E722D9A" w:rsidR="00BF2B8A" w:rsidRDefault="00BF2B8A" w:rsidP="00BF2B8A">
      <w:pPr>
        <w:pStyle w:val="BodyText"/>
      </w:pPr>
      <w:r>
        <w:t xml:space="preserve">As noted in Chapter </w:t>
      </w:r>
      <w:r w:rsidR="00DF67F1">
        <w:t>2,</w:t>
      </w:r>
      <w:r>
        <w:t xml:space="preserve"> there is currently limited national data about the audiology profession, including statistics on workforce</w:t>
      </w:r>
      <w:r w:rsidR="00242E94">
        <w:t xml:space="preserve"> </w:t>
      </w:r>
      <w:r>
        <w:t>and safety. This makes it challenging</w:t>
      </w:r>
      <w:r w:rsidR="00A73F8D">
        <w:t xml:space="preserve"> employers and policymakers</w:t>
      </w:r>
      <w:r>
        <w:t xml:space="preserve"> to identify and respond to emerging issues such as workforce supply</w:t>
      </w:r>
      <w:r w:rsidR="00A73F8D">
        <w:t xml:space="preserve"> gaps</w:t>
      </w:r>
      <w:r>
        <w:t xml:space="preserve"> or trends in patient harms. </w:t>
      </w:r>
      <w:r w:rsidR="00242E94">
        <w:t>Option 7</w:t>
      </w:r>
      <w:r>
        <w:t xml:space="preserve"> would resolve some of these issues. A review of data made available by the National Boards of other registered health professions shows that an Audiology National Board could publish data on:</w:t>
      </w:r>
    </w:p>
    <w:p w14:paraId="422ABA2E" w14:textId="77777777" w:rsidR="00BF2B8A" w:rsidRPr="00D6094C" w:rsidRDefault="00BF2B8A" w:rsidP="00190F6C">
      <w:pPr>
        <w:pStyle w:val="ListBullet"/>
      </w:pPr>
      <w:r w:rsidRPr="00F74B76">
        <w:t>practitioners by principal place of practice</w:t>
      </w:r>
      <w:r>
        <w:t>, demographics,</w:t>
      </w:r>
      <w:r w:rsidRPr="00F74B76">
        <w:t xml:space="preserve"> and registration type</w:t>
      </w:r>
      <w:r>
        <w:t xml:space="preserve"> </w:t>
      </w:r>
    </w:p>
    <w:p w14:paraId="7C354EF9" w14:textId="77777777" w:rsidR="00BF2B8A" w:rsidRDefault="00BF2B8A" w:rsidP="00190F6C">
      <w:pPr>
        <w:pStyle w:val="ListBullet"/>
      </w:pPr>
      <w:r>
        <w:t>o</w:t>
      </w:r>
      <w:r w:rsidRPr="009916AB">
        <w:t>pen notifications, by state or territory</w:t>
      </w:r>
    </w:p>
    <w:p w14:paraId="2423A59D" w14:textId="77777777" w:rsidR="00BF2B8A" w:rsidRDefault="00BF2B8A" w:rsidP="00190F6C">
      <w:pPr>
        <w:pStyle w:val="ListBullet"/>
      </w:pPr>
      <w:r>
        <w:t>m</w:t>
      </w:r>
      <w:r w:rsidRPr="00753437">
        <w:t>andatory notifications received, by state or territory</w:t>
      </w:r>
    </w:p>
    <w:p w14:paraId="069534F5" w14:textId="77777777" w:rsidR="00BF2B8A" w:rsidRDefault="00BF2B8A" w:rsidP="00190F6C">
      <w:pPr>
        <w:pStyle w:val="ListBullet"/>
      </w:pPr>
      <w:r>
        <w:t>o</w:t>
      </w:r>
      <w:r w:rsidRPr="005D73DA">
        <w:t>utcomes of assessment for mandatory notifications, by grounds for the notification</w:t>
      </w:r>
    </w:p>
    <w:p w14:paraId="251D41F8" w14:textId="77777777" w:rsidR="00BF2B8A" w:rsidRDefault="00BF2B8A" w:rsidP="00190F6C">
      <w:pPr>
        <w:pStyle w:val="ListBullet"/>
      </w:pPr>
      <w:r>
        <w:t>outcomes from assessments, investigations, panel hearing and tribunal hearings</w:t>
      </w:r>
    </w:p>
    <w:p w14:paraId="6E788BF3" w14:textId="77777777" w:rsidR="00BF2B8A" w:rsidRDefault="00BF2B8A" w:rsidP="00190F6C">
      <w:pPr>
        <w:pStyle w:val="ListBullet"/>
      </w:pPr>
      <w:r>
        <w:t>c</w:t>
      </w:r>
      <w:r w:rsidRPr="00134B52">
        <w:t>riminal offence complaints received and closed, by type of offence and jurisdiction</w:t>
      </w:r>
      <w:r>
        <w:t>.</w:t>
      </w:r>
    </w:p>
    <w:p w14:paraId="219DE6B6" w14:textId="4D4C1DB9" w:rsidR="00BF2B8A" w:rsidRPr="00445238" w:rsidRDefault="00BF2B8A" w:rsidP="00190F6C">
      <w:pPr>
        <w:pStyle w:val="Heading4"/>
      </w:pPr>
      <w:bookmarkStart w:id="254" w:name="_Ref171071508"/>
      <w:r>
        <w:t xml:space="preserve">Change in </w:t>
      </w:r>
      <w:r w:rsidRPr="00190F6C">
        <w:t>mandatory</w:t>
      </w:r>
      <w:r>
        <w:t xml:space="preserve"> fees</w:t>
      </w:r>
      <w:bookmarkEnd w:id="254"/>
    </w:p>
    <w:p w14:paraId="41A88A4A" w14:textId="1B4C3679" w:rsidR="00BF2B8A" w:rsidRPr="00B25637" w:rsidRDefault="00BF2B8A" w:rsidP="00190F6C">
      <w:pPr>
        <w:pStyle w:val="BodyText"/>
      </w:pPr>
      <w:r>
        <w:t xml:space="preserve">The </w:t>
      </w:r>
      <w:r w:rsidR="000A5DD5">
        <w:t xml:space="preserve">regulatory </w:t>
      </w:r>
      <w:r>
        <w:t xml:space="preserve">costs </w:t>
      </w:r>
      <w:r w:rsidR="005F30CA">
        <w:t>within the National Scheme</w:t>
      </w:r>
      <w:r>
        <w:t xml:space="preserve"> </w:t>
      </w:r>
      <w:r w:rsidR="005F30CA">
        <w:t>are</w:t>
      </w:r>
      <w:r>
        <w:t xml:space="preserve"> funded on a cost-recovery basis through fees paid by individual practitioners. This includes an initial application fee as well as the annual registration/renewal fee. These fees cover the cost of the functions of the National Board as well as </w:t>
      </w:r>
      <w:r w:rsidR="001358EA">
        <w:t>Ahpra</w:t>
      </w:r>
      <w:r>
        <w:t xml:space="preserve"> administrative costs such as assessing applications. The fees for each </w:t>
      </w:r>
      <w:r w:rsidR="0049343D">
        <w:t xml:space="preserve">National </w:t>
      </w:r>
      <w:r>
        <w:t xml:space="preserve">Board reflect the risks and costs associated with complexity of the individual professions, as well as </w:t>
      </w:r>
      <w:r w:rsidR="00B35FD1">
        <w:t>activities described in the</w:t>
      </w:r>
      <w:r w:rsidR="00370E13">
        <w:t xml:space="preserve"> Health Professions Agreement</w:t>
      </w:r>
      <w:r w:rsidR="00317E8C">
        <w:t xml:space="preserve"> between Ahpra and the National Board</w:t>
      </w:r>
      <w:r>
        <w:t>.</w:t>
      </w:r>
    </w:p>
    <w:p w14:paraId="79CE1F3B" w14:textId="33E0C29D" w:rsidR="00BF2B8A" w:rsidRDefault="0079581D" w:rsidP="00190F6C">
      <w:pPr>
        <w:pStyle w:val="BodyText"/>
      </w:pPr>
      <w:r>
        <w:t xml:space="preserve">As part of </w:t>
      </w:r>
      <w:r w:rsidR="00961478">
        <w:t xml:space="preserve">the activities undertaken for this Decision RIS, Ahpra has provided estimates for the </w:t>
      </w:r>
      <w:r w:rsidR="000D6F63">
        <w:t>initial application fee and the registration fee</w:t>
      </w:r>
      <w:r w:rsidR="00450350">
        <w:t>, with additional commentary</w:t>
      </w:r>
      <w:r w:rsidR="000D6F63">
        <w:t xml:space="preserve"> as described.</w:t>
      </w:r>
    </w:p>
    <w:p w14:paraId="73911F47" w14:textId="5096CCDD" w:rsidR="00BF2B8A" w:rsidRPr="00CF59AD" w:rsidRDefault="00DB6D94" w:rsidP="00190F6C">
      <w:pPr>
        <w:pStyle w:val="BodyText"/>
        <w:rPr>
          <w:u w:val="single"/>
        </w:rPr>
      </w:pPr>
      <w:r>
        <w:rPr>
          <w:u w:val="single"/>
        </w:rPr>
        <w:t>R</w:t>
      </w:r>
      <w:r w:rsidR="001974A3">
        <w:rPr>
          <w:u w:val="single"/>
        </w:rPr>
        <w:t>egistration fees</w:t>
      </w:r>
    </w:p>
    <w:p w14:paraId="06EE660F" w14:textId="1B8E6D33" w:rsidR="00611DB6" w:rsidRDefault="005D4201" w:rsidP="00190F6C">
      <w:pPr>
        <w:pStyle w:val="BodyText"/>
      </w:pPr>
      <w:r>
        <w:t xml:space="preserve">Ahpra’s </w:t>
      </w:r>
      <w:r w:rsidR="00450350">
        <w:t>estimated registration fee range for the audiology profession is $600-$650</w:t>
      </w:r>
      <w:r w:rsidR="00DB6D94">
        <w:t>.</w:t>
      </w:r>
      <w:r w:rsidR="006269E9">
        <w:t xml:space="preserve"> </w:t>
      </w:r>
      <w:r w:rsidR="009A2979">
        <w:t>Ahpra states</w:t>
      </w:r>
      <w:r w:rsidR="007116CE">
        <w:rPr>
          <w:rStyle w:val="FootnoteReference"/>
        </w:rPr>
        <w:footnoteReference w:id="265"/>
      </w:r>
      <w:r w:rsidR="009A2979">
        <w:t>, “</w:t>
      </w:r>
      <w:r w:rsidR="00E538E0" w:rsidRPr="00972F5E">
        <w:rPr>
          <w:i/>
          <w:iCs/>
        </w:rPr>
        <w:t xml:space="preserve">This range is based on the information available for audiology as a profession and the National Scheme as it currently operates. </w:t>
      </w:r>
      <w:r w:rsidR="00611DB6" w:rsidRPr="00972F5E">
        <w:rPr>
          <w:i/>
          <w:iCs/>
        </w:rPr>
        <w:t>The actual fee to be charged for both the application fee and registration fee for practitioners in any profession are set by agreement between Ahpra and the relevant National Board for that profession under the National Law. The decision process for the setting of the application fee and registration fee would commence following the establishment of the profession’s National Board (however constituted)</w:t>
      </w:r>
      <w:r w:rsidR="00226605">
        <w:rPr>
          <w:i/>
          <w:iCs/>
        </w:rPr>
        <w:t xml:space="preserve">…. </w:t>
      </w:r>
      <w:r w:rsidR="00A5262D" w:rsidRPr="00972F5E">
        <w:rPr>
          <w:i/>
          <w:iCs/>
        </w:rPr>
        <w:t>The range outlined above is subject to change following the full consideration of administrative processes associated with the application fee and registration fee in conjunction with decisioning on fees by Ahpra and the relevant National Board (however constituted). This estimate is subject to change as there are factors to consider and finalise closer to the time, including the actual vs estimated registrant base</w:t>
      </w:r>
      <w:r w:rsidR="00A5262D" w:rsidRPr="00A5262D">
        <w:t>.</w:t>
      </w:r>
      <w:r w:rsidR="007116CE">
        <w:t>”</w:t>
      </w:r>
    </w:p>
    <w:p w14:paraId="2169E8F2" w14:textId="4D615D05" w:rsidR="00BF2B8A" w:rsidRDefault="00B00884" w:rsidP="00190F6C">
      <w:pPr>
        <w:pStyle w:val="BodyText"/>
      </w:pPr>
      <w:r>
        <w:t>Using $625 as a point estimate</w:t>
      </w:r>
      <w:r w:rsidR="00496048">
        <w:rPr>
          <w:rStyle w:val="FootnoteReference"/>
        </w:rPr>
        <w:footnoteReference w:id="266"/>
      </w:r>
      <w:r>
        <w:t>, t</w:t>
      </w:r>
      <w:r w:rsidR="00BF2B8A">
        <w:t xml:space="preserve">his equates to a ten-year annualised FY25 NPV of </w:t>
      </w:r>
      <w:r w:rsidR="00523858" w:rsidRPr="00523858">
        <w:t xml:space="preserve">$1,093,885 </w:t>
      </w:r>
      <w:r w:rsidR="00BF2B8A">
        <w:t xml:space="preserve">per annum across the profession. </w:t>
      </w:r>
      <w:r w:rsidR="001E6A8E">
        <w:t>Th</w:t>
      </w:r>
      <w:r w:rsidR="00186281">
        <w:t>is</w:t>
      </w:r>
      <w:r w:rsidR="001E6A8E">
        <w:t xml:space="preserve"> cost </w:t>
      </w:r>
      <w:r w:rsidR="00186281">
        <w:t>would be</w:t>
      </w:r>
      <w:r w:rsidR="001E6A8E">
        <w:t xml:space="preserve"> borne by </w:t>
      </w:r>
      <w:r w:rsidR="00186281">
        <w:t xml:space="preserve">registered </w:t>
      </w:r>
      <w:r w:rsidR="00A13CC4">
        <w:t>audiologists</w:t>
      </w:r>
      <w:r w:rsidR="009C3574">
        <w:t xml:space="preserve">. </w:t>
      </w:r>
    </w:p>
    <w:p w14:paraId="771A5305" w14:textId="0FBC50FD" w:rsidR="00BF2B8A" w:rsidRDefault="00BF2B8A" w:rsidP="00190F6C">
      <w:pPr>
        <w:pStyle w:val="BodyText"/>
      </w:pPr>
      <w:r>
        <w:t xml:space="preserve">The National Law </w:t>
      </w:r>
      <w:r w:rsidR="005F58C7">
        <w:t xml:space="preserve">also </w:t>
      </w:r>
      <w:r w:rsidR="00286B47">
        <w:t xml:space="preserve">allows for National Board </w:t>
      </w:r>
      <w:r w:rsidR="00114160">
        <w:t>with multiple professions (e.</w:t>
      </w:r>
      <w:r w:rsidR="00286B47">
        <w:t xml:space="preserve">g., </w:t>
      </w:r>
      <w:r w:rsidR="005F58C7">
        <w:t xml:space="preserve">a Multi-Profession Board or a National Board for </w:t>
      </w:r>
      <w:r w:rsidR="002D69F7">
        <w:t>T</w:t>
      </w:r>
      <w:r w:rsidR="005F58C7">
        <w:t xml:space="preserve">wo or </w:t>
      </w:r>
      <w:r w:rsidR="002D69F7">
        <w:t>M</w:t>
      </w:r>
      <w:r w:rsidR="005F58C7">
        <w:t xml:space="preserve">ore </w:t>
      </w:r>
      <w:r w:rsidR="002D69F7">
        <w:t>P</w:t>
      </w:r>
      <w:r w:rsidR="005F58C7">
        <w:t xml:space="preserve">rofessions). </w:t>
      </w:r>
      <w:r w:rsidR="00462E55">
        <w:t>C</w:t>
      </w:r>
      <w:r>
        <w:t xml:space="preserve">orporate overheads and board support services </w:t>
      </w:r>
      <w:r w:rsidR="00462E55">
        <w:t xml:space="preserve">are able to </w:t>
      </w:r>
      <w:r>
        <w:t>be shared and reduced</w:t>
      </w:r>
      <w:r w:rsidR="00462E55">
        <w:t xml:space="preserve"> under this option</w:t>
      </w:r>
      <w:r>
        <w:t xml:space="preserve">. </w:t>
      </w:r>
      <w:r w:rsidR="00D10A67">
        <w:t xml:space="preserve">Based on stakeholder consultation, the extent to which costs are able to be reduced </w:t>
      </w:r>
      <w:r w:rsidR="00D925A9">
        <w:t xml:space="preserve">under this option is </w:t>
      </w:r>
      <w:r w:rsidR="0012266E">
        <w:t xml:space="preserve">estimated at 8% (a 40% reduction on the 20% of overall National Board costs able to be shared). If audiology </w:t>
      </w:r>
      <w:r>
        <w:t xml:space="preserve">is included under a </w:t>
      </w:r>
      <w:r w:rsidR="00DB0F1D">
        <w:t>National Board with multiple professions</w:t>
      </w:r>
      <w:r>
        <w:t xml:space="preserve">, this equates to a ten-year annualised FY25 NPV cost </w:t>
      </w:r>
      <w:r w:rsidR="00DB0F1D">
        <w:t xml:space="preserve">estimate </w:t>
      </w:r>
      <w:r>
        <w:t xml:space="preserve">of </w:t>
      </w:r>
      <w:r w:rsidR="007C588B" w:rsidRPr="007C588B">
        <w:t xml:space="preserve">$1,006,374 </w:t>
      </w:r>
      <w:r>
        <w:t>per annum.</w:t>
      </w:r>
    </w:p>
    <w:p w14:paraId="6B86D1EA" w14:textId="21E93D31" w:rsidR="003E0108" w:rsidRDefault="003E0108" w:rsidP="00190F6C">
      <w:pPr>
        <w:pStyle w:val="BodyText"/>
      </w:pPr>
      <w:r>
        <w:t>Please note</w:t>
      </w:r>
      <w:r w:rsidR="001D036D">
        <w:t xml:space="preserve"> that a NSW</w:t>
      </w:r>
      <w:r w:rsidR="008A779B">
        <w:t xml:space="preserve"> surcharge or rebate </w:t>
      </w:r>
      <w:r w:rsidR="00B461A5">
        <w:t>on registration fees has not been estimated.</w:t>
      </w:r>
    </w:p>
    <w:p w14:paraId="47EFCF1E" w14:textId="77777777" w:rsidR="00BF2B8A" w:rsidRDefault="00BF2B8A" w:rsidP="00190F6C">
      <w:pPr>
        <w:pStyle w:val="BodyText"/>
        <w:rPr>
          <w:u w:val="single"/>
        </w:rPr>
      </w:pPr>
      <w:r w:rsidRPr="00CF59AD">
        <w:rPr>
          <w:u w:val="single"/>
        </w:rPr>
        <w:t>Application fees</w:t>
      </w:r>
    </w:p>
    <w:p w14:paraId="26F8E9D0" w14:textId="785840C9" w:rsidR="0098140A" w:rsidRDefault="00BF2B8A" w:rsidP="00190F6C">
      <w:pPr>
        <w:pStyle w:val="BodyText"/>
      </w:pPr>
      <w:r>
        <w:t>A one-off application fee covering assessment of suitability to practise would be charged for first-time registrants. This would include verification of identify and good character, assessment and verification of qualifications and criminal history (in Australia and overseas), establishing English language competence and, for international applicants, confirmation of registration status with international regulatory bodies.</w:t>
      </w:r>
      <w:r>
        <w:rPr>
          <w:rStyle w:val="FootnoteReference"/>
        </w:rPr>
        <w:footnoteReference w:id="267"/>
      </w:r>
      <w:r w:rsidRPr="00FF6008">
        <w:t xml:space="preserve"> </w:t>
      </w:r>
      <w:r w:rsidR="00B00884">
        <w:t>Ahpra’s estimated application fee range is $600-$650, noting the commentary provided above.</w:t>
      </w:r>
      <w:r w:rsidR="00B461A5">
        <w:t xml:space="preserve"> </w:t>
      </w:r>
      <w:r w:rsidR="006059F9">
        <w:t xml:space="preserve">Using $625 as a point estimate, this </w:t>
      </w:r>
      <w:r>
        <w:t>equat</w:t>
      </w:r>
      <w:r w:rsidR="006059F9">
        <w:t>es</w:t>
      </w:r>
      <w:r>
        <w:t xml:space="preserve"> to an annualised ten-year FY25 NPV cost of </w:t>
      </w:r>
      <w:r w:rsidR="00643065" w:rsidRPr="00643065">
        <w:t xml:space="preserve">$272,899 </w:t>
      </w:r>
      <w:r>
        <w:t xml:space="preserve">across the profession. If audiology is included under a </w:t>
      </w:r>
      <w:r w:rsidR="00643065">
        <w:t>National Board with multiple professions</w:t>
      </w:r>
      <w:r>
        <w:t xml:space="preserve">, and </w:t>
      </w:r>
      <w:r w:rsidR="00643065">
        <w:t xml:space="preserve">an 8% </w:t>
      </w:r>
      <w:r>
        <w:t>assumed fee reduction is applied, this equates to an annualised ten-year FY25 NPV cost</w:t>
      </w:r>
      <w:r w:rsidR="002F381B">
        <w:t xml:space="preserve"> estimate</w:t>
      </w:r>
      <w:r>
        <w:t xml:space="preserve"> of </w:t>
      </w:r>
      <w:r w:rsidR="00BD41FF" w:rsidRPr="00BD41FF">
        <w:t xml:space="preserve">$251,067 </w:t>
      </w:r>
      <w:r>
        <w:t>across the profession.</w:t>
      </w:r>
    </w:p>
    <w:p w14:paraId="7ABCADAD" w14:textId="04FBF075" w:rsidR="00BF2B8A" w:rsidRDefault="00476AF9" w:rsidP="00190F6C">
      <w:pPr>
        <w:pStyle w:val="BodyText"/>
      </w:pPr>
      <w:r>
        <w:t xml:space="preserve">Please note that </w:t>
      </w:r>
      <w:r w:rsidR="00F175FC">
        <w:t xml:space="preserve">an additional one-off </w:t>
      </w:r>
      <w:r w:rsidR="00304872">
        <w:t>application fee for NSW practitioners has not been estimated</w:t>
      </w:r>
      <w:r w:rsidR="00BF2B8A">
        <w:t>.</w:t>
      </w:r>
      <w:r w:rsidR="000A4A46">
        <w:t xml:space="preserve"> Establishment costs for the Health Professions Council Authority are discussed in Section </w:t>
      </w:r>
      <w:r w:rsidR="003128E8">
        <w:fldChar w:fldCharType="begin"/>
      </w:r>
      <w:r w:rsidR="003128E8">
        <w:instrText xml:space="preserve"> REF _Ref172742369 \r \h </w:instrText>
      </w:r>
      <w:r w:rsidR="003128E8">
        <w:fldChar w:fldCharType="separate"/>
      </w:r>
      <w:r w:rsidR="00F32107">
        <w:t>8.2.3.13</w:t>
      </w:r>
      <w:r w:rsidR="003128E8">
        <w:fldChar w:fldCharType="end"/>
      </w:r>
      <w:r w:rsidR="000A4A46">
        <w:t>.</w:t>
      </w:r>
    </w:p>
    <w:p w14:paraId="79D68E24" w14:textId="77777777" w:rsidR="00BF2B8A" w:rsidRPr="00CF59AD" w:rsidRDefault="00BF2B8A" w:rsidP="00190F6C">
      <w:pPr>
        <w:pStyle w:val="BodyText"/>
        <w:rPr>
          <w:u w:val="single"/>
        </w:rPr>
      </w:pPr>
      <w:r>
        <w:rPr>
          <w:u w:val="single"/>
        </w:rPr>
        <w:t>Professional indemnity insurance</w:t>
      </w:r>
    </w:p>
    <w:p w14:paraId="28E4AB43" w14:textId="1063C374" w:rsidR="00890406" w:rsidRDefault="0012569C" w:rsidP="0059790F">
      <w:pPr>
        <w:pStyle w:val="BodyText"/>
      </w:pPr>
      <w:r>
        <w:t>Under the current state, jurisdictions with the</w:t>
      </w:r>
      <w:r w:rsidR="00D0423C">
        <w:t xml:space="preserve"> National Code of Conduct</w:t>
      </w:r>
      <w:r>
        <w:t xml:space="preserve"> require </w:t>
      </w:r>
      <w:r w:rsidR="00D0423C">
        <w:t xml:space="preserve">audiologists to have appropriate </w:t>
      </w:r>
      <w:r w:rsidR="009D3541">
        <w:t xml:space="preserve">professional </w:t>
      </w:r>
      <w:r w:rsidR="00D0423C">
        <w:t xml:space="preserve">indemnity insurance arrangements in place in relation to their scope of practice. </w:t>
      </w:r>
      <w:r w:rsidR="009D3541">
        <w:t xml:space="preserve">These arrangements </w:t>
      </w:r>
      <w:r w:rsidR="009D3541" w:rsidRPr="0072099A">
        <w:t>insure practitioners against civil liability incurred by, or loss arising from, claims made as a result of a negligent act, error or omission in their professional practice. This type of insurance</w:t>
      </w:r>
      <w:r w:rsidR="00D94C83">
        <w:t xml:space="preserve"> may be held </w:t>
      </w:r>
      <w:r w:rsidR="00890406">
        <w:t>at an employer level</w:t>
      </w:r>
      <w:r w:rsidR="00A55898">
        <w:rPr>
          <w:rStyle w:val="FootnoteReference"/>
        </w:rPr>
        <w:footnoteReference w:id="268"/>
      </w:r>
      <w:r w:rsidR="00E15748">
        <w:t>, or at an individual audiologist level (particularly for self-employed practitioners)</w:t>
      </w:r>
      <w:r w:rsidR="00890406">
        <w:t>. It</w:t>
      </w:r>
      <w:r w:rsidR="009D3541" w:rsidRPr="0072099A">
        <w:t xml:space="preserve"> covers the cost and expenses of defending legal claims, as well as any damages payable.</w:t>
      </w:r>
      <w:r w:rsidR="009D3541">
        <w:t xml:space="preserve"> </w:t>
      </w:r>
    </w:p>
    <w:p w14:paraId="3D35BE47" w14:textId="3D10EFCE" w:rsidR="009B4CCE" w:rsidRDefault="00572932" w:rsidP="0059790F">
      <w:pPr>
        <w:pStyle w:val="BodyText"/>
      </w:pPr>
      <w:r>
        <w:t>Under Option 7, p</w:t>
      </w:r>
      <w:r w:rsidR="0059790F">
        <w:t>rofessional indemnity requirements are set as a mandatory registration standard by the National Board.</w:t>
      </w:r>
      <w:r w:rsidR="00A07F18">
        <w:t xml:space="preserve"> The following rationale has been used to estimate </w:t>
      </w:r>
      <w:r w:rsidR="007048F3">
        <w:t xml:space="preserve">overall </w:t>
      </w:r>
      <w:r w:rsidR="00A07F18">
        <w:t>changes in professional indemnity insurance costs</w:t>
      </w:r>
      <w:r w:rsidR="007048F3">
        <w:t>, noting that this is a function of incremental change</w:t>
      </w:r>
      <w:r w:rsidR="00172A03">
        <w:t>s</w:t>
      </w:r>
      <w:r w:rsidR="007048F3">
        <w:t xml:space="preserve"> in </w:t>
      </w:r>
      <w:r w:rsidR="00172A03">
        <w:t>the volume of policies and the price of policies.</w:t>
      </w:r>
      <w:r w:rsidR="00A07F18">
        <w:t xml:space="preserve"> </w:t>
      </w:r>
    </w:p>
    <w:p w14:paraId="1D1F208B" w14:textId="4F6698A0" w:rsidR="00A07F18" w:rsidRPr="00172A03" w:rsidRDefault="00172A03" w:rsidP="0059790F">
      <w:pPr>
        <w:pStyle w:val="BodyText"/>
      </w:pPr>
      <w:r w:rsidRPr="00972F5E">
        <w:t>Regar</w:t>
      </w:r>
      <w:r>
        <w:t>ding incr</w:t>
      </w:r>
      <w:r w:rsidR="00430B47">
        <w:t>emental changes in the volume of policies:</w:t>
      </w:r>
    </w:p>
    <w:p w14:paraId="7E542BF0" w14:textId="584C975B" w:rsidR="00A07F18" w:rsidRDefault="007048F3" w:rsidP="00A07F18">
      <w:pPr>
        <w:pStyle w:val="ListBullet"/>
      </w:pPr>
      <w:r>
        <w:t>The current state requires appropriate professional indemnity ins</w:t>
      </w:r>
      <w:r w:rsidR="00430B47">
        <w:t xml:space="preserve">urance arrangements </w:t>
      </w:r>
      <w:r w:rsidR="001B272D">
        <w:t>under the National Code of Conduct. In Australia,</w:t>
      </w:r>
      <w:r w:rsidR="00430B47">
        <w:t xml:space="preserve"> </w:t>
      </w:r>
      <w:r w:rsidR="00C65A90">
        <w:t xml:space="preserve">97% of </w:t>
      </w:r>
      <w:r w:rsidR="001B272D">
        <w:t>audiologists practice</w:t>
      </w:r>
      <w:r w:rsidR="00C65A90">
        <w:t xml:space="preserve"> in a jurisdiction with the National Code of Conduct.</w:t>
      </w:r>
      <w:r w:rsidR="00640C00">
        <w:t xml:space="preserve"> The sectoral </w:t>
      </w:r>
      <w:r w:rsidR="00640C00" w:rsidRPr="00972F5E">
        <w:rPr>
          <w:i/>
          <w:iCs/>
        </w:rPr>
        <w:t>Code of Conduct</w:t>
      </w:r>
      <w:r w:rsidR="00640C00">
        <w:t xml:space="preserve"> </w:t>
      </w:r>
      <w:r w:rsidR="00F5119A">
        <w:t xml:space="preserve">also </w:t>
      </w:r>
      <w:r w:rsidR="00521F5E">
        <w:t>states that members must be covered by appropriate indemnity insurance</w:t>
      </w:r>
      <w:r w:rsidR="000F481C">
        <w:t>, for jurisdictions without that National Code of Conduct implemented.</w:t>
      </w:r>
    </w:p>
    <w:p w14:paraId="6D717D25" w14:textId="493CE0C4" w:rsidR="00C65A90" w:rsidRDefault="00C65A90" w:rsidP="00A07F18">
      <w:pPr>
        <w:pStyle w:val="ListBullet"/>
      </w:pPr>
      <w:r>
        <w:t>It</w:t>
      </w:r>
      <w:r w:rsidRPr="00082668">
        <w:t xml:space="preserve"> is anticipated that most employers would hold professional indemnity insurance to cover their employees, </w:t>
      </w:r>
      <w:r w:rsidR="00260EAB">
        <w:t xml:space="preserve">and hence </w:t>
      </w:r>
      <w:r w:rsidRPr="00082668">
        <w:t xml:space="preserve">only self-employed </w:t>
      </w:r>
      <w:r>
        <w:t>audiologists</w:t>
      </w:r>
      <w:r w:rsidRPr="00082668">
        <w:t xml:space="preserve"> would need to pay for this type of insurance</w:t>
      </w:r>
      <w:r>
        <w:t xml:space="preserve"> as an individual expense (noting that audiologists can elect to take out additional professional indemnity insurance cover separate to an employer policy)</w:t>
      </w:r>
      <w:r w:rsidRPr="00082668">
        <w:t xml:space="preserve">. </w:t>
      </w:r>
      <w:r>
        <w:t>The ABS 2021 Census data indicates that 11% of the audiology profession is self-employed.</w:t>
      </w:r>
    </w:p>
    <w:p w14:paraId="0AAD897A" w14:textId="482323E5" w:rsidR="00260EAB" w:rsidRDefault="005D38F7" w:rsidP="00972F5E">
      <w:pPr>
        <w:pStyle w:val="ListBullet"/>
      </w:pPr>
      <w:r>
        <w:t xml:space="preserve">It is </w:t>
      </w:r>
      <w:r w:rsidR="003B00A9">
        <w:t xml:space="preserve">therefore </w:t>
      </w:r>
      <w:r>
        <w:t xml:space="preserve">conservatively assumed </w:t>
      </w:r>
      <w:r w:rsidR="003B00A9">
        <w:t>that 10% of audiologists will elect to take out an individual policy, either due to non-compliance under the current state or a desire to have additional policy coverage separate to their employer.</w:t>
      </w:r>
    </w:p>
    <w:p w14:paraId="1F0C486F" w14:textId="6950B3DB" w:rsidR="009B4CCE" w:rsidRDefault="00DF5A94" w:rsidP="0059790F">
      <w:pPr>
        <w:pStyle w:val="BodyText"/>
      </w:pPr>
      <w:r>
        <w:t>Regarding incremental changes in the price of policies:</w:t>
      </w:r>
    </w:p>
    <w:p w14:paraId="76E2F712" w14:textId="29077B27" w:rsidR="0059790F" w:rsidRDefault="0059790F" w:rsidP="00DF5A94">
      <w:pPr>
        <w:pStyle w:val="ListBullet"/>
      </w:pPr>
      <w:r>
        <w:t xml:space="preserve">Costs to hold professional indemnity insurance coverage are driven by: </w:t>
      </w:r>
    </w:p>
    <w:p w14:paraId="7C2D736F" w14:textId="77777777" w:rsidR="0059790F" w:rsidRDefault="0059790F" w:rsidP="0059790F">
      <w:pPr>
        <w:pStyle w:val="ListBullet"/>
        <w:numPr>
          <w:ilvl w:val="0"/>
          <w:numId w:val="0"/>
        </w:numPr>
        <w:ind w:left="720"/>
      </w:pPr>
      <w:r>
        <w:t xml:space="preserve">1) the rate of claims and the expense associated with claims </w:t>
      </w:r>
    </w:p>
    <w:p w14:paraId="76B259F0" w14:textId="77777777" w:rsidR="0059790F" w:rsidRDefault="0059790F" w:rsidP="0059790F">
      <w:pPr>
        <w:pStyle w:val="ListBullet"/>
        <w:numPr>
          <w:ilvl w:val="0"/>
          <w:numId w:val="0"/>
        </w:numPr>
        <w:ind w:left="720"/>
      </w:pPr>
      <w:r>
        <w:t xml:space="preserve">2) the level of coverage required (i.e. what limit is specified for the policy). </w:t>
      </w:r>
    </w:p>
    <w:p w14:paraId="7B60394E" w14:textId="34A7752A" w:rsidR="00132445" w:rsidRDefault="002704F6" w:rsidP="00AA515C">
      <w:pPr>
        <w:pStyle w:val="ListBullet"/>
      </w:pPr>
      <w:r>
        <w:t>National Board decisions regarding the level of coverage required, and changes in the rate of complaints that require use of the policy, would impact costs faced by the profession.</w:t>
      </w:r>
    </w:p>
    <w:p w14:paraId="4461C58F" w14:textId="46DE752F" w:rsidR="00062BF0" w:rsidRDefault="00F45BCC" w:rsidP="00133976">
      <w:pPr>
        <w:pStyle w:val="ListBullet"/>
      </w:pPr>
      <w:r>
        <w:t>T</w:t>
      </w:r>
      <w:r w:rsidRPr="00F45BCC">
        <w:t>he new entry of a profession into the National Scheme may increase the rate of complaints made against audiologists, which would have downstream actuarial consequences on the pooled risk.</w:t>
      </w:r>
      <w:r w:rsidR="00133976">
        <w:t xml:space="preserve"> </w:t>
      </w:r>
      <w:r w:rsidR="00A23877" w:rsidRPr="00A23877">
        <w:t xml:space="preserve">Insurance advice provided to the Decision RIS did not believe </w:t>
      </w:r>
      <w:r w:rsidR="00133976">
        <w:t>this to be</w:t>
      </w:r>
      <w:r w:rsidR="00A23877" w:rsidRPr="00A23877">
        <w:t xml:space="preserve"> a major risk of reform, however </w:t>
      </w:r>
      <w:r w:rsidR="005E0C36">
        <w:t>noted</w:t>
      </w:r>
      <w:r w:rsidR="00A23877" w:rsidRPr="00A23877">
        <w:t xml:space="preserve"> that National Board requirements for coverage significantly in excess of the current level held by the profession</w:t>
      </w:r>
      <w:r w:rsidR="005E0C36">
        <w:t>,</w:t>
      </w:r>
      <w:r w:rsidR="00A23877" w:rsidRPr="00A23877">
        <w:t xml:space="preserve"> or a significant increase in complaints</w:t>
      </w:r>
      <w:r w:rsidR="005E0C36">
        <w:t>,</w:t>
      </w:r>
      <w:r w:rsidR="00A23877" w:rsidRPr="00A23877">
        <w:t xml:space="preserve"> would represent exceptional circumstances.</w:t>
      </w:r>
    </w:p>
    <w:p w14:paraId="4FDA8CFA" w14:textId="2B8697C3" w:rsidR="005E0C36" w:rsidRDefault="005E0C36" w:rsidP="00972F5E">
      <w:pPr>
        <w:pStyle w:val="ListBullet"/>
      </w:pPr>
      <w:r>
        <w:t xml:space="preserve">It is assumed that there is nil change in the cost of </w:t>
      </w:r>
      <w:r w:rsidR="00941A04">
        <w:t>an individual policy driven by audiology’s inclusion in the National Scheme</w:t>
      </w:r>
      <w:r w:rsidR="009E2A8A">
        <w:t>.</w:t>
      </w:r>
    </w:p>
    <w:p w14:paraId="30A57D70" w14:textId="35C5BBAD" w:rsidR="002E109F" w:rsidRDefault="00E770F5" w:rsidP="00190F6C">
      <w:pPr>
        <w:pStyle w:val="BodyText"/>
      </w:pPr>
      <w:r>
        <w:t>At</w:t>
      </w:r>
      <w:r w:rsidR="00BF2B8A">
        <w:t xml:space="preserve"> $352 per year using current quoted rates, this equates to a ten-year annualised FY25 NPV cost</w:t>
      </w:r>
      <w:r>
        <w:t xml:space="preserve"> estimate</w:t>
      </w:r>
      <w:r w:rsidR="00BF2B8A">
        <w:t xml:space="preserve"> of </w:t>
      </w:r>
      <w:r w:rsidR="00907562" w:rsidRPr="00907562">
        <w:t xml:space="preserve">$72,334 </w:t>
      </w:r>
      <w:r w:rsidR="001A45DB">
        <w:t>borne by audiologists</w:t>
      </w:r>
      <w:r w:rsidR="00BF2B8A">
        <w:t>.</w:t>
      </w:r>
      <w:r w:rsidR="00BF2B8A">
        <w:rPr>
          <w:rStyle w:val="FootnoteReference"/>
        </w:rPr>
        <w:footnoteReference w:id="269"/>
      </w:r>
      <w:r w:rsidR="002E109F">
        <w:t xml:space="preserve"> </w:t>
      </w:r>
    </w:p>
    <w:p w14:paraId="56DBFFC9" w14:textId="6DAFB9AE" w:rsidR="00ED4D4F" w:rsidRDefault="002E109F" w:rsidP="00190F6C">
      <w:pPr>
        <w:pStyle w:val="BodyText"/>
      </w:pPr>
      <w:r>
        <w:t>Overall, in relation to mandatory fees</w:t>
      </w:r>
      <w:r w:rsidR="00E00646">
        <w:t>,</w:t>
      </w:r>
      <w:r>
        <w:t xml:space="preserve"> it</w:t>
      </w:r>
      <w:r w:rsidR="00ED4D4F">
        <w:t xml:space="preserve"> is acknowledged that in thin markets there is a risk that </w:t>
      </w:r>
      <w:r w:rsidR="00E00646">
        <w:t>these</w:t>
      </w:r>
      <w:r w:rsidR="00ED4D4F">
        <w:t xml:space="preserve"> are passed on to employers given that the bargaining power sits with the labour market in areas with increased competition for workforce. This </w:t>
      </w:r>
      <w:r w:rsidR="002262B9">
        <w:t xml:space="preserve">risk </w:t>
      </w:r>
      <w:r w:rsidR="00ED4D4F">
        <w:t xml:space="preserve">is discussed further in Section </w:t>
      </w:r>
      <w:r w:rsidR="00ED4D4F">
        <w:fldChar w:fldCharType="begin"/>
      </w:r>
      <w:r w:rsidR="00ED4D4F">
        <w:instrText xml:space="preserve"> REF _Ref172621278 \r \h </w:instrText>
      </w:r>
      <w:r w:rsidR="00ED4D4F">
        <w:fldChar w:fldCharType="separate"/>
      </w:r>
      <w:r w:rsidR="00F32107">
        <w:t>8.2.3.16</w:t>
      </w:r>
      <w:r w:rsidR="00ED4D4F">
        <w:fldChar w:fldCharType="end"/>
      </w:r>
      <w:r w:rsidR="00ED4D4F">
        <w:t>.</w:t>
      </w:r>
    </w:p>
    <w:p w14:paraId="2D72C46F" w14:textId="018DB55F" w:rsidR="00BF2B8A" w:rsidRDefault="00190F6C" w:rsidP="00190F6C">
      <w:pPr>
        <w:pStyle w:val="Caption"/>
      </w:pPr>
      <w:r>
        <w:t xml:space="preserve">Table </w:t>
      </w:r>
      <w:fldSimple w:instr=" STYLEREF 1 \s ">
        <w:r w:rsidR="00F32107">
          <w:rPr>
            <w:noProof/>
          </w:rPr>
          <w:t>8</w:t>
        </w:r>
      </w:fldSimple>
      <w:r w:rsidR="008944FB">
        <w:t>.</w:t>
      </w:r>
      <w:fldSimple w:instr=" SEQ Table \* ARABIC \s 1 ">
        <w:r w:rsidR="00F32107">
          <w:rPr>
            <w:noProof/>
          </w:rPr>
          <w:t>9</w:t>
        </w:r>
      </w:fldSimple>
      <w:r>
        <w:t xml:space="preserve"> </w:t>
      </w:r>
      <w:r w:rsidR="00BF2B8A">
        <w:t xml:space="preserve">Ten-year NPV of </w:t>
      </w:r>
      <w:r w:rsidR="002262B9">
        <w:t>Option 7</w:t>
      </w:r>
      <w:r w:rsidR="00BF2B8A">
        <w:t xml:space="preserve"> </w:t>
      </w:r>
      <w:r w:rsidR="002262B9">
        <w:t>mandatory fees</w:t>
      </w:r>
    </w:p>
    <w:tbl>
      <w:tblPr>
        <w:tblStyle w:val="BodyTable"/>
        <w:tblW w:w="0" w:type="auto"/>
        <w:tblLook w:val="04A0" w:firstRow="1" w:lastRow="0" w:firstColumn="1" w:lastColumn="0" w:noHBand="0" w:noVBand="1"/>
      </w:tblPr>
      <w:tblGrid>
        <w:gridCol w:w="1211"/>
        <w:gridCol w:w="1895"/>
        <w:gridCol w:w="1455"/>
        <w:gridCol w:w="1434"/>
        <w:gridCol w:w="1419"/>
        <w:gridCol w:w="1430"/>
      </w:tblGrid>
      <w:tr w:rsidR="00BD2773" w14:paraId="1018DE63" w14:textId="77777777" w:rsidTr="00C319AC">
        <w:trPr>
          <w:cnfStyle w:val="100000000000" w:firstRow="1" w:lastRow="0" w:firstColumn="0" w:lastColumn="0" w:oddVBand="0" w:evenVBand="0" w:oddHBand="0" w:evenHBand="0" w:firstRowFirstColumn="0" w:firstRowLastColumn="0" w:lastRowFirstColumn="0" w:lastRowLastColumn="0"/>
          <w:trHeight w:val="699"/>
        </w:trPr>
        <w:tc>
          <w:tcPr>
            <w:tcW w:w="1211" w:type="dxa"/>
          </w:tcPr>
          <w:p w14:paraId="26E6915F" w14:textId="77777777" w:rsidR="00BD2773" w:rsidRDefault="00BD2773" w:rsidP="00BD2773">
            <w:pPr>
              <w:spacing w:line="240" w:lineRule="auto"/>
            </w:pPr>
          </w:p>
        </w:tc>
        <w:tc>
          <w:tcPr>
            <w:tcW w:w="1895" w:type="dxa"/>
          </w:tcPr>
          <w:p w14:paraId="7663A214" w14:textId="77777777" w:rsidR="00BD2773" w:rsidRDefault="00BD2773" w:rsidP="00BD2773">
            <w:pPr>
              <w:spacing w:line="240" w:lineRule="auto"/>
            </w:pPr>
          </w:p>
        </w:tc>
        <w:tc>
          <w:tcPr>
            <w:tcW w:w="1455" w:type="dxa"/>
          </w:tcPr>
          <w:p w14:paraId="20B3593A" w14:textId="77777777" w:rsidR="00BD2773" w:rsidRPr="006A1D83" w:rsidRDefault="00BD2773" w:rsidP="00BD2773">
            <w:pPr>
              <w:keepNext/>
              <w:spacing w:line="240" w:lineRule="auto"/>
              <w:ind w:left="113" w:right="113"/>
              <w:jc w:val="right"/>
              <w:rPr>
                <w:b/>
                <w:bCs/>
              </w:rPr>
            </w:pPr>
            <w:r w:rsidRPr="006A1D83">
              <w:rPr>
                <w:b/>
                <w:bCs/>
              </w:rPr>
              <w:t>Total NPV cost in establishment year</w:t>
            </w:r>
            <w:r>
              <w:rPr>
                <w:b/>
                <w:bCs/>
              </w:rPr>
              <w:t>s</w:t>
            </w:r>
          </w:p>
          <w:p w14:paraId="3168B93C" w14:textId="5930BB17" w:rsidR="00BD2773" w:rsidRPr="006A1D83" w:rsidRDefault="00BD2773" w:rsidP="00BD2773">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434" w:type="dxa"/>
          </w:tcPr>
          <w:p w14:paraId="348265C8" w14:textId="77777777" w:rsidR="00BD2773" w:rsidRPr="006A1D83" w:rsidRDefault="00BD2773" w:rsidP="00BD2773">
            <w:pPr>
              <w:keepNext/>
              <w:spacing w:line="240" w:lineRule="auto"/>
              <w:ind w:left="113" w:right="113"/>
              <w:jc w:val="right"/>
              <w:rPr>
                <w:b/>
                <w:bCs/>
              </w:rPr>
            </w:pPr>
            <w:r w:rsidRPr="006A1D83">
              <w:rPr>
                <w:b/>
                <w:bCs/>
              </w:rPr>
              <w:t>Total NPV cost in operational years</w:t>
            </w:r>
          </w:p>
          <w:p w14:paraId="51374D1F" w14:textId="276DADEA" w:rsidR="00BD2773" w:rsidRPr="006A1D83" w:rsidRDefault="00BD2773" w:rsidP="00BD2773">
            <w:pPr>
              <w:spacing w:line="240" w:lineRule="auto"/>
              <w:ind w:left="113" w:right="113"/>
              <w:jc w:val="right"/>
              <w:rPr>
                <w:b/>
                <w:bCs/>
              </w:rPr>
            </w:pPr>
            <w:r w:rsidRPr="006A1D83">
              <w:rPr>
                <w:b/>
                <w:bCs/>
              </w:rPr>
              <w:t>(</w:t>
            </w:r>
            <w:r>
              <w:rPr>
                <w:b/>
                <w:bCs/>
              </w:rPr>
              <w:t>FY29-34</w:t>
            </w:r>
            <w:r w:rsidRPr="006A1D83">
              <w:rPr>
                <w:b/>
                <w:bCs/>
              </w:rPr>
              <w:t>)</w:t>
            </w:r>
          </w:p>
        </w:tc>
        <w:tc>
          <w:tcPr>
            <w:tcW w:w="1419" w:type="dxa"/>
          </w:tcPr>
          <w:p w14:paraId="302613F9" w14:textId="77777777" w:rsidR="00BD2773" w:rsidRDefault="00BD2773" w:rsidP="00BD2773">
            <w:pPr>
              <w:keepNext/>
              <w:spacing w:line="240" w:lineRule="auto"/>
              <w:ind w:left="113" w:right="113"/>
              <w:jc w:val="right"/>
              <w:rPr>
                <w:b/>
                <w:bCs/>
              </w:rPr>
            </w:pPr>
            <w:r>
              <w:rPr>
                <w:b/>
                <w:bCs/>
              </w:rPr>
              <w:t>Total NPV cost over ten-year period</w:t>
            </w:r>
          </w:p>
          <w:p w14:paraId="1550A632" w14:textId="51AC9273" w:rsidR="00BD2773" w:rsidRDefault="00BD2773" w:rsidP="00BD2773">
            <w:pPr>
              <w:spacing w:line="240" w:lineRule="auto"/>
              <w:ind w:left="113" w:right="113"/>
              <w:jc w:val="right"/>
              <w:rPr>
                <w:b/>
                <w:bCs/>
              </w:rPr>
            </w:pPr>
            <w:r w:rsidRPr="006A1D83">
              <w:rPr>
                <w:b/>
                <w:bCs/>
              </w:rPr>
              <w:t>(</w:t>
            </w:r>
            <w:r>
              <w:rPr>
                <w:b/>
                <w:bCs/>
              </w:rPr>
              <w:t>FY25-34</w:t>
            </w:r>
            <w:r w:rsidRPr="006A1D83">
              <w:rPr>
                <w:b/>
                <w:bCs/>
              </w:rPr>
              <w:t>)</w:t>
            </w:r>
          </w:p>
        </w:tc>
        <w:tc>
          <w:tcPr>
            <w:tcW w:w="1430" w:type="dxa"/>
          </w:tcPr>
          <w:p w14:paraId="39F73971" w14:textId="77777777" w:rsidR="00BD2773" w:rsidRPr="006A1D83" w:rsidRDefault="00BD2773" w:rsidP="00BD2773">
            <w:pPr>
              <w:keepNext/>
              <w:spacing w:line="240" w:lineRule="auto"/>
              <w:ind w:left="113" w:right="113"/>
              <w:jc w:val="right"/>
              <w:rPr>
                <w:b/>
                <w:bCs/>
              </w:rPr>
            </w:pPr>
            <w:r w:rsidRPr="006A1D83">
              <w:rPr>
                <w:b/>
                <w:bCs/>
              </w:rPr>
              <w:t>Annualised NPV cost over ten-year period</w:t>
            </w:r>
          </w:p>
          <w:p w14:paraId="14F1821A" w14:textId="0813698A" w:rsidR="00BD2773" w:rsidRPr="006A1D83" w:rsidRDefault="00BD2773" w:rsidP="00BD2773">
            <w:pPr>
              <w:spacing w:line="240" w:lineRule="auto"/>
              <w:ind w:left="113" w:right="113"/>
              <w:jc w:val="right"/>
              <w:rPr>
                <w:b/>
                <w:bCs/>
              </w:rPr>
            </w:pPr>
            <w:r w:rsidRPr="006A1D83">
              <w:rPr>
                <w:b/>
                <w:bCs/>
              </w:rPr>
              <w:t>(</w:t>
            </w:r>
            <w:r>
              <w:rPr>
                <w:b/>
                <w:bCs/>
              </w:rPr>
              <w:t>FY25-34</w:t>
            </w:r>
            <w:r w:rsidRPr="006A1D83">
              <w:rPr>
                <w:b/>
                <w:bCs/>
              </w:rPr>
              <w:t>)</w:t>
            </w:r>
          </w:p>
        </w:tc>
      </w:tr>
      <w:tr w:rsidR="00F35EB3" w14:paraId="736EA7FF" w14:textId="77777777" w:rsidTr="00175EFD">
        <w:trPr>
          <w:trHeight w:val="232"/>
        </w:trPr>
        <w:tc>
          <w:tcPr>
            <w:tcW w:w="1211" w:type="dxa"/>
            <w:vMerge w:val="restart"/>
            <w:vAlign w:val="center"/>
          </w:tcPr>
          <w:p w14:paraId="2518459F" w14:textId="77777777" w:rsidR="00F35EB3" w:rsidRDefault="00F35EB3" w:rsidP="00F35EB3">
            <w:pPr>
              <w:spacing w:line="240" w:lineRule="auto"/>
            </w:pPr>
            <w:r>
              <w:t>Single National Board – FY25 NPV cost</w:t>
            </w:r>
          </w:p>
        </w:tc>
        <w:tc>
          <w:tcPr>
            <w:tcW w:w="1895" w:type="dxa"/>
          </w:tcPr>
          <w:p w14:paraId="2F33AD72" w14:textId="6BC482EF" w:rsidR="00F35EB3" w:rsidRDefault="00F35EB3" w:rsidP="00F35EB3">
            <w:pPr>
              <w:spacing w:line="240" w:lineRule="auto"/>
            </w:pPr>
            <w:r>
              <w:t>Registration fees</w:t>
            </w:r>
          </w:p>
        </w:tc>
        <w:tc>
          <w:tcPr>
            <w:tcW w:w="1455" w:type="dxa"/>
          </w:tcPr>
          <w:p w14:paraId="6C91A93B" w14:textId="6CE006AE" w:rsidR="00F35EB3" w:rsidRPr="00EB74A6" w:rsidRDefault="00F35EB3" w:rsidP="00F35EB3">
            <w:pPr>
              <w:spacing w:line="240" w:lineRule="auto"/>
              <w:ind w:left="113" w:right="113"/>
              <w:jc w:val="right"/>
            </w:pPr>
            <w:r w:rsidRPr="0063558F">
              <w:t xml:space="preserve"> $-   </w:t>
            </w:r>
          </w:p>
        </w:tc>
        <w:tc>
          <w:tcPr>
            <w:tcW w:w="1434" w:type="dxa"/>
          </w:tcPr>
          <w:p w14:paraId="2B162CD4" w14:textId="18EF08BE" w:rsidR="00F35EB3" w:rsidRPr="00EB74A6" w:rsidRDefault="00F35EB3" w:rsidP="00F35EB3">
            <w:pPr>
              <w:spacing w:line="240" w:lineRule="auto"/>
              <w:ind w:left="113" w:right="113"/>
              <w:jc w:val="right"/>
            </w:pPr>
            <w:r w:rsidRPr="0063558F">
              <w:t xml:space="preserve"> $10,938,849 </w:t>
            </w:r>
          </w:p>
        </w:tc>
        <w:tc>
          <w:tcPr>
            <w:tcW w:w="1419" w:type="dxa"/>
          </w:tcPr>
          <w:p w14:paraId="0CC2862E" w14:textId="11A05D40" w:rsidR="00F35EB3" w:rsidRPr="00EB74A6" w:rsidRDefault="00F35EB3" w:rsidP="00F35EB3">
            <w:pPr>
              <w:spacing w:line="240" w:lineRule="auto"/>
              <w:ind w:left="113" w:right="113"/>
              <w:jc w:val="right"/>
            </w:pPr>
            <w:r w:rsidRPr="0063558F">
              <w:t xml:space="preserve"> $10,938,849 </w:t>
            </w:r>
          </w:p>
        </w:tc>
        <w:tc>
          <w:tcPr>
            <w:tcW w:w="1430" w:type="dxa"/>
          </w:tcPr>
          <w:p w14:paraId="1DA238ED" w14:textId="6F3D1E3D" w:rsidR="00F35EB3" w:rsidRPr="00EB74A6" w:rsidRDefault="00F35EB3" w:rsidP="00F35EB3">
            <w:pPr>
              <w:spacing w:line="240" w:lineRule="auto"/>
              <w:ind w:left="113" w:right="113"/>
              <w:jc w:val="right"/>
            </w:pPr>
            <w:r w:rsidRPr="0063558F">
              <w:t xml:space="preserve"> $1,093,885 </w:t>
            </w:r>
          </w:p>
        </w:tc>
      </w:tr>
      <w:tr w:rsidR="00F35EB3" w14:paraId="1FD85A47" w14:textId="77777777" w:rsidTr="00175EFD">
        <w:trPr>
          <w:trHeight w:val="232"/>
        </w:trPr>
        <w:tc>
          <w:tcPr>
            <w:tcW w:w="1211" w:type="dxa"/>
            <w:vMerge/>
            <w:vAlign w:val="center"/>
          </w:tcPr>
          <w:p w14:paraId="772FE1E9" w14:textId="77777777" w:rsidR="00F35EB3" w:rsidRDefault="00F35EB3" w:rsidP="00F35EB3">
            <w:pPr>
              <w:spacing w:line="240" w:lineRule="auto"/>
            </w:pPr>
          </w:p>
        </w:tc>
        <w:tc>
          <w:tcPr>
            <w:tcW w:w="1895" w:type="dxa"/>
          </w:tcPr>
          <w:p w14:paraId="02FAA6A7" w14:textId="77777777" w:rsidR="00F35EB3" w:rsidRDefault="00F35EB3" w:rsidP="00F35EB3">
            <w:pPr>
              <w:spacing w:line="240" w:lineRule="auto"/>
            </w:pPr>
            <w:r>
              <w:t>Application fees</w:t>
            </w:r>
          </w:p>
        </w:tc>
        <w:tc>
          <w:tcPr>
            <w:tcW w:w="1455" w:type="dxa"/>
          </w:tcPr>
          <w:p w14:paraId="64D803A5" w14:textId="16BDFDA1" w:rsidR="00F35EB3" w:rsidRPr="00EB74A6" w:rsidRDefault="00F35EB3" w:rsidP="00F35EB3">
            <w:pPr>
              <w:spacing w:line="240" w:lineRule="auto"/>
              <w:ind w:left="113" w:right="113"/>
              <w:jc w:val="right"/>
            </w:pPr>
            <w:r w:rsidRPr="0063558F">
              <w:t xml:space="preserve"> $2,078,080 </w:t>
            </w:r>
          </w:p>
        </w:tc>
        <w:tc>
          <w:tcPr>
            <w:tcW w:w="1434" w:type="dxa"/>
          </w:tcPr>
          <w:p w14:paraId="4E10CCE0" w14:textId="643C3ED6" w:rsidR="00F35EB3" w:rsidRPr="00EB74A6" w:rsidRDefault="00F35EB3" w:rsidP="00F35EB3">
            <w:pPr>
              <w:spacing w:line="240" w:lineRule="auto"/>
              <w:ind w:left="113" w:right="113"/>
              <w:jc w:val="right"/>
            </w:pPr>
            <w:r w:rsidRPr="0063558F">
              <w:t xml:space="preserve"> $650,907 </w:t>
            </w:r>
          </w:p>
        </w:tc>
        <w:tc>
          <w:tcPr>
            <w:tcW w:w="1419" w:type="dxa"/>
          </w:tcPr>
          <w:p w14:paraId="7590887C" w14:textId="57BD440D" w:rsidR="00F35EB3" w:rsidRPr="00EB74A6" w:rsidRDefault="00F35EB3" w:rsidP="00F35EB3">
            <w:pPr>
              <w:spacing w:line="240" w:lineRule="auto"/>
              <w:ind w:left="113" w:right="113"/>
              <w:jc w:val="right"/>
            </w:pPr>
            <w:r w:rsidRPr="0063558F">
              <w:t xml:space="preserve"> $2,728,987 </w:t>
            </w:r>
          </w:p>
        </w:tc>
        <w:tc>
          <w:tcPr>
            <w:tcW w:w="1430" w:type="dxa"/>
          </w:tcPr>
          <w:p w14:paraId="44D0F874" w14:textId="57830944" w:rsidR="00F35EB3" w:rsidRPr="00EB74A6" w:rsidRDefault="00F35EB3" w:rsidP="00F35EB3">
            <w:pPr>
              <w:spacing w:line="240" w:lineRule="auto"/>
              <w:ind w:left="113" w:right="113"/>
              <w:jc w:val="right"/>
            </w:pPr>
            <w:r w:rsidRPr="0063558F">
              <w:t xml:space="preserve"> $272,899 </w:t>
            </w:r>
          </w:p>
        </w:tc>
      </w:tr>
      <w:tr w:rsidR="00F35EB3" w14:paraId="0A3E438A" w14:textId="77777777" w:rsidTr="00175EFD">
        <w:trPr>
          <w:trHeight w:val="232"/>
        </w:trPr>
        <w:tc>
          <w:tcPr>
            <w:tcW w:w="1211" w:type="dxa"/>
            <w:vMerge/>
            <w:vAlign w:val="center"/>
          </w:tcPr>
          <w:p w14:paraId="4A0C0AFE" w14:textId="77777777" w:rsidR="00F35EB3" w:rsidRDefault="00F35EB3" w:rsidP="00F35EB3">
            <w:pPr>
              <w:spacing w:line="240" w:lineRule="auto"/>
            </w:pPr>
          </w:p>
        </w:tc>
        <w:tc>
          <w:tcPr>
            <w:tcW w:w="1895" w:type="dxa"/>
          </w:tcPr>
          <w:p w14:paraId="4B0E8AC3" w14:textId="77777777" w:rsidR="00F35EB3" w:rsidRDefault="00F35EB3" w:rsidP="00F35EB3">
            <w:pPr>
              <w:spacing w:line="240" w:lineRule="auto"/>
            </w:pPr>
            <w:r>
              <w:t>Professional indemnity insurance</w:t>
            </w:r>
          </w:p>
        </w:tc>
        <w:tc>
          <w:tcPr>
            <w:tcW w:w="1455" w:type="dxa"/>
          </w:tcPr>
          <w:p w14:paraId="07EE488A" w14:textId="59075AEE" w:rsidR="00F35EB3" w:rsidRPr="00EB74A6" w:rsidRDefault="00F35EB3" w:rsidP="00F35EB3">
            <w:pPr>
              <w:spacing w:line="240" w:lineRule="auto"/>
              <w:ind w:left="113" w:right="113"/>
              <w:jc w:val="right"/>
            </w:pPr>
            <w:r w:rsidRPr="0063558F">
              <w:t xml:space="preserve"> $112,356 </w:t>
            </w:r>
          </w:p>
        </w:tc>
        <w:tc>
          <w:tcPr>
            <w:tcW w:w="1434" w:type="dxa"/>
          </w:tcPr>
          <w:p w14:paraId="5B61869C" w14:textId="52570022" w:rsidR="00F35EB3" w:rsidRPr="00EB74A6" w:rsidRDefault="00F35EB3" w:rsidP="00F35EB3">
            <w:pPr>
              <w:spacing w:line="240" w:lineRule="auto"/>
              <w:ind w:left="113" w:right="113"/>
              <w:jc w:val="right"/>
            </w:pPr>
            <w:r w:rsidRPr="0063558F">
              <w:t xml:space="preserve"> $610,984 </w:t>
            </w:r>
          </w:p>
        </w:tc>
        <w:tc>
          <w:tcPr>
            <w:tcW w:w="1419" w:type="dxa"/>
          </w:tcPr>
          <w:p w14:paraId="4775FC84" w14:textId="79B3D472" w:rsidR="00F35EB3" w:rsidRPr="00EB74A6" w:rsidRDefault="00F35EB3" w:rsidP="00F35EB3">
            <w:pPr>
              <w:spacing w:line="240" w:lineRule="auto"/>
              <w:ind w:left="113" w:right="113"/>
              <w:jc w:val="right"/>
            </w:pPr>
            <w:r w:rsidRPr="0063558F">
              <w:t xml:space="preserve"> $723,340 </w:t>
            </w:r>
          </w:p>
        </w:tc>
        <w:tc>
          <w:tcPr>
            <w:tcW w:w="1430" w:type="dxa"/>
          </w:tcPr>
          <w:p w14:paraId="146538BC" w14:textId="438705FB" w:rsidR="00F35EB3" w:rsidRPr="00EB74A6" w:rsidRDefault="00F35EB3" w:rsidP="00F35EB3">
            <w:pPr>
              <w:spacing w:line="240" w:lineRule="auto"/>
              <w:ind w:left="113" w:right="113"/>
              <w:jc w:val="right"/>
            </w:pPr>
            <w:r w:rsidRPr="0063558F">
              <w:t xml:space="preserve"> $72,334 </w:t>
            </w:r>
          </w:p>
        </w:tc>
      </w:tr>
      <w:tr w:rsidR="00975EE9" w14:paraId="7770B8AB" w14:textId="77777777" w:rsidTr="00175EFD">
        <w:trPr>
          <w:trHeight w:val="232"/>
        </w:trPr>
        <w:tc>
          <w:tcPr>
            <w:tcW w:w="1211" w:type="dxa"/>
            <w:vMerge w:val="restart"/>
            <w:vAlign w:val="center"/>
          </w:tcPr>
          <w:p w14:paraId="11B1C44D" w14:textId="77777777" w:rsidR="00975EE9" w:rsidRDefault="00975EE9" w:rsidP="00975EE9">
            <w:pPr>
              <w:spacing w:line="240" w:lineRule="auto"/>
            </w:pPr>
            <w:r>
              <w:t>Multi-profession National Board – FY25 NPV cost</w:t>
            </w:r>
          </w:p>
        </w:tc>
        <w:tc>
          <w:tcPr>
            <w:tcW w:w="1895" w:type="dxa"/>
          </w:tcPr>
          <w:p w14:paraId="6BC4762B" w14:textId="2DFD349E" w:rsidR="00975EE9" w:rsidRDefault="00975EE9" w:rsidP="00975EE9">
            <w:pPr>
              <w:spacing w:line="240" w:lineRule="auto"/>
            </w:pPr>
            <w:r>
              <w:t>Registration fees</w:t>
            </w:r>
          </w:p>
        </w:tc>
        <w:tc>
          <w:tcPr>
            <w:tcW w:w="1455" w:type="dxa"/>
          </w:tcPr>
          <w:p w14:paraId="6AF6324D" w14:textId="65D86158" w:rsidR="00975EE9" w:rsidRPr="00EB74A6" w:rsidRDefault="00975EE9" w:rsidP="00975EE9">
            <w:pPr>
              <w:spacing w:line="240" w:lineRule="auto"/>
              <w:ind w:left="113" w:right="113"/>
              <w:jc w:val="right"/>
            </w:pPr>
            <w:r w:rsidRPr="00D4024B">
              <w:t xml:space="preserve"> $-   </w:t>
            </w:r>
          </w:p>
        </w:tc>
        <w:tc>
          <w:tcPr>
            <w:tcW w:w="1434" w:type="dxa"/>
          </w:tcPr>
          <w:p w14:paraId="01F4965C" w14:textId="731CA106" w:rsidR="00975EE9" w:rsidRPr="00EB74A6" w:rsidRDefault="00975EE9" w:rsidP="00975EE9">
            <w:pPr>
              <w:spacing w:line="240" w:lineRule="auto"/>
              <w:ind w:left="113" w:right="113"/>
              <w:jc w:val="right"/>
            </w:pPr>
            <w:r w:rsidRPr="00D4024B">
              <w:t xml:space="preserve"> $10,063,741 </w:t>
            </w:r>
          </w:p>
        </w:tc>
        <w:tc>
          <w:tcPr>
            <w:tcW w:w="1419" w:type="dxa"/>
          </w:tcPr>
          <w:p w14:paraId="1F38E792" w14:textId="5117DCAF" w:rsidR="00975EE9" w:rsidRPr="00EB74A6" w:rsidRDefault="00975EE9" w:rsidP="00975EE9">
            <w:pPr>
              <w:spacing w:line="240" w:lineRule="auto"/>
              <w:ind w:left="113" w:right="113"/>
              <w:jc w:val="right"/>
            </w:pPr>
            <w:r w:rsidRPr="00D4024B">
              <w:t xml:space="preserve"> $10,063,741 </w:t>
            </w:r>
          </w:p>
        </w:tc>
        <w:tc>
          <w:tcPr>
            <w:tcW w:w="1430" w:type="dxa"/>
          </w:tcPr>
          <w:p w14:paraId="65187C98" w14:textId="10215214" w:rsidR="00975EE9" w:rsidRPr="00EB74A6" w:rsidRDefault="00975EE9" w:rsidP="00975EE9">
            <w:pPr>
              <w:spacing w:line="240" w:lineRule="auto"/>
              <w:ind w:left="113" w:right="113"/>
              <w:jc w:val="right"/>
            </w:pPr>
            <w:r w:rsidRPr="00D4024B">
              <w:t xml:space="preserve"> $1,006,374 </w:t>
            </w:r>
          </w:p>
        </w:tc>
      </w:tr>
      <w:tr w:rsidR="00975EE9" w14:paraId="14FFB671" w14:textId="77777777" w:rsidTr="00C319AC">
        <w:trPr>
          <w:trHeight w:val="232"/>
        </w:trPr>
        <w:tc>
          <w:tcPr>
            <w:tcW w:w="1211" w:type="dxa"/>
            <w:vMerge/>
          </w:tcPr>
          <w:p w14:paraId="3A697614" w14:textId="77777777" w:rsidR="00975EE9" w:rsidRDefault="00975EE9" w:rsidP="00975EE9">
            <w:pPr>
              <w:spacing w:line="240" w:lineRule="auto"/>
            </w:pPr>
          </w:p>
        </w:tc>
        <w:tc>
          <w:tcPr>
            <w:tcW w:w="1895" w:type="dxa"/>
          </w:tcPr>
          <w:p w14:paraId="7AE39DC7" w14:textId="77777777" w:rsidR="00975EE9" w:rsidRDefault="00975EE9" w:rsidP="00975EE9">
            <w:pPr>
              <w:spacing w:line="240" w:lineRule="auto"/>
            </w:pPr>
            <w:r>
              <w:t>Application fees</w:t>
            </w:r>
          </w:p>
        </w:tc>
        <w:tc>
          <w:tcPr>
            <w:tcW w:w="1455" w:type="dxa"/>
          </w:tcPr>
          <w:p w14:paraId="0928C432" w14:textId="69568BF3" w:rsidR="00975EE9" w:rsidRPr="00EB74A6" w:rsidRDefault="00975EE9" w:rsidP="00975EE9">
            <w:pPr>
              <w:spacing w:line="240" w:lineRule="auto"/>
              <w:ind w:left="113" w:right="113"/>
              <w:jc w:val="right"/>
            </w:pPr>
            <w:r w:rsidRPr="00D4024B">
              <w:t xml:space="preserve"> $1,911,833 </w:t>
            </w:r>
          </w:p>
        </w:tc>
        <w:tc>
          <w:tcPr>
            <w:tcW w:w="1434" w:type="dxa"/>
          </w:tcPr>
          <w:p w14:paraId="7BFB7107" w14:textId="4C6FB479" w:rsidR="00975EE9" w:rsidRPr="00EB74A6" w:rsidRDefault="00975EE9" w:rsidP="00975EE9">
            <w:pPr>
              <w:spacing w:line="240" w:lineRule="auto"/>
              <w:ind w:left="113" w:right="113"/>
              <w:jc w:val="right"/>
            </w:pPr>
            <w:r w:rsidRPr="00D4024B">
              <w:t xml:space="preserve"> $598,834 </w:t>
            </w:r>
          </w:p>
        </w:tc>
        <w:tc>
          <w:tcPr>
            <w:tcW w:w="1419" w:type="dxa"/>
          </w:tcPr>
          <w:p w14:paraId="782C0297" w14:textId="0AC9F63C" w:rsidR="00975EE9" w:rsidRPr="00EB74A6" w:rsidRDefault="00975EE9" w:rsidP="00975EE9">
            <w:pPr>
              <w:spacing w:line="240" w:lineRule="auto"/>
              <w:ind w:left="113" w:right="113"/>
              <w:jc w:val="right"/>
            </w:pPr>
            <w:r w:rsidRPr="00D4024B">
              <w:t xml:space="preserve"> $2,510,668 </w:t>
            </w:r>
          </w:p>
        </w:tc>
        <w:tc>
          <w:tcPr>
            <w:tcW w:w="1430" w:type="dxa"/>
          </w:tcPr>
          <w:p w14:paraId="4B6C4E2B" w14:textId="22AB822A" w:rsidR="00975EE9" w:rsidRPr="00EB74A6" w:rsidRDefault="00975EE9" w:rsidP="00975EE9">
            <w:pPr>
              <w:spacing w:line="240" w:lineRule="auto"/>
              <w:ind w:left="113" w:right="113"/>
              <w:jc w:val="right"/>
            </w:pPr>
            <w:r w:rsidRPr="00D4024B">
              <w:t xml:space="preserve"> $251,067 </w:t>
            </w:r>
          </w:p>
        </w:tc>
      </w:tr>
      <w:tr w:rsidR="00975EE9" w14:paraId="2FE0F8A1" w14:textId="77777777" w:rsidTr="00C319AC">
        <w:trPr>
          <w:trHeight w:val="232"/>
        </w:trPr>
        <w:tc>
          <w:tcPr>
            <w:tcW w:w="1211" w:type="dxa"/>
            <w:vMerge/>
          </w:tcPr>
          <w:p w14:paraId="3106D954" w14:textId="77777777" w:rsidR="00975EE9" w:rsidRDefault="00975EE9" w:rsidP="00975EE9">
            <w:pPr>
              <w:spacing w:line="240" w:lineRule="auto"/>
            </w:pPr>
          </w:p>
        </w:tc>
        <w:tc>
          <w:tcPr>
            <w:tcW w:w="1895" w:type="dxa"/>
          </w:tcPr>
          <w:p w14:paraId="6ECC41E8" w14:textId="77777777" w:rsidR="00975EE9" w:rsidRDefault="00975EE9" w:rsidP="00975EE9">
            <w:pPr>
              <w:spacing w:line="240" w:lineRule="auto"/>
            </w:pPr>
            <w:r>
              <w:t>Professional indemnity insurance</w:t>
            </w:r>
          </w:p>
        </w:tc>
        <w:tc>
          <w:tcPr>
            <w:tcW w:w="1455" w:type="dxa"/>
          </w:tcPr>
          <w:p w14:paraId="2D094BAE" w14:textId="28AD45D9" w:rsidR="00975EE9" w:rsidRPr="00EB74A6" w:rsidRDefault="00975EE9" w:rsidP="00975EE9">
            <w:pPr>
              <w:spacing w:line="240" w:lineRule="auto"/>
              <w:ind w:left="113" w:right="113"/>
              <w:jc w:val="right"/>
            </w:pPr>
            <w:r w:rsidRPr="00D4024B">
              <w:t xml:space="preserve"> $112,356 </w:t>
            </w:r>
          </w:p>
        </w:tc>
        <w:tc>
          <w:tcPr>
            <w:tcW w:w="1434" w:type="dxa"/>
          </w:tcPr>
          <w:p w14:paraId="58A9295A" w14:textId="4A010AC1" w:rsidR="00975EE9" w:rsidRPr="00EB74A6" w:rsidRDefault="00975EE9" w:rsidP="00975EE9">
            <w:pPr>
              <w:spacing w:line="240" w:lineRule="auto"/>
              <w:ind w:left="113" w:right="113"/>
              <w:jc w:val="right"/>
            </w:pPr>
            <w:r w:rsidRPr="00D4024B">
              <w:t xml:space="preserve"> $610,984 </w:t>
            </w:r>
          </w:p>
        </w:tc>
        <w:tc>
          <w:tcPr>
            <w:tcW w:w="1419" w:type="dxa"/>
          </w:tcPr>
          <w:p w14:paraId="6CA4450C" w14:textId="4FB1ADA2" w:rsidR="00975EE9" w:rsidRPr="00EB74A6" w:rsidRDefault="00975EE9" w:rsidP="00975EE9">
            <w:pPr>
              <w:spacing w:line="240" w:lineRule="auto"/>
              <w:ind w:left="113" w:right="113"/>
              <w:jc w:val="right"/>
            </w:pPr>
            <w:r w:rsidRPr="00D4024B">
              <w:t xml:space="preserve"> $723,340 </w:t>
            </w:r>
          </w:p>
        </w:tc>
        <w:tc>
          <w:tcPr>
            <w:tcW w:w="1430" w:type="dxa"/>
          </w:tcPr>
          <w:p w14:paraId="74F9D804" w14:textId="40B76FD2" w:rsidR="00975EE9" w:rsidRPr="00EB74A6" w:rsidRDefault="00975EE9" w:rsidP="00975EE9">
            <w:pPr>
              <w:spacing w:line="240" w:lineRule="auto"/>
              <w:ind w:left="113" w:right="113"/>
              <w:jc w:val="right"/>
            </w:pPr>
            <w:r w:rsidRPr="00D4024B">
              <w:t xml:space="preserve"> $72,334 </w:t>
            </w:r>
          </w:p>
        </w:tc>
      </w:tr>
    </w:tbl>
    <w:p w14:paraId="647410B1" w14:textId="58499BC3" w:rsidR="00C319AC" w:rsidRPr="00D67805" w:rsidRDefault="00C319AC" w:rsidP="00C319AC">
      <w:pPr>
        <w:pStyle w:val="Heading4"/>
      </w:pPr>
      <w:r>
        <w:t xml:space="preserve">Change </w:t>
      </w:r>
      <w:r w:rsidRPr="00C319AC">
        <w:t>in</w:t>
      </w:r>
      <w:r>
        <w:t xml:space="preserve"> elective fees</w:t>
      </w:r>
      <w:r w:rsidRPr="0014159E">
        <w:t xml:space="preserve"> (i.e., PPB membership)</w:t>
      </w:r>
    </w:p>
    <w:p w14:paraId="20944C9D" w14:textId="1C92FD65" w:rsidR="00665560" w:rsidRDefault="00A64007" w:rsidP="00C17FDE">
      <w:pPr>
        <w:pStyle w:val="BodyText"/>
      </w:pPr>
      <w:r>
        <w:t xml:space="preserve">Under </w:t>
      </w:r>
      <w:r w:rsidR="0000753D">
        <w:t>Option 7</w:t>
      </w:r>
      <w:r w:rsidR="00C319AC">
        <w:t xml:space="preserve">, it is assumed that clinician requirements for government-funded schemes will be updated to require </w:t>
      </w:r>
      <w:r w:rsidR="001358EA">
        <w:t>Ahpra</w:t>
      </w:r>
      <w:r w:rsidR="00C319AC">
        <w:t xml:space="preserve"> registration, rather than membership and</w:t>
      </w:r>
      <w:r w:rsidR="0000753D">
        <w:t>/or</w:t>
      </w:r>
      <w:r w:rsidR="00C319AC">
        <w:t xml:space="preserve"> current clinical certification. PPB membership is thus expected to be elective. However, it is noted that under </w:t>
      </w:r>
      <w:r w:rsidR="001358EA">
        <w:t>Ahpra</w:t>
      </w:r>
      <w:r w:rsidR="00C319AC">
        <w:t xml:space="preserve"> registration there are large number of professional bodies that support registered professions. There are a range of professional benefits associated with membership, such as convenient access to CPD (which is mandated under ongoing registration), workforce capacity and capability building, policy and advocacy, and professional networking. It is thus assumed that the current proportion of the workforce with PPB membership will retain PPB membership if </w:t>
      </w:r>
      <w:r w:rsidR="009D65B6">
        <w:t>National Registration</w:t>
      </w:r>
      <w:r w:rsidR="00C319AC">
        <w:t xml:space="preserve"> is introduced. However, a move to </w:t>
      </w:r>
      <w:r w:rsidR="009D65B6">
        <w:t>National Registration</w:t>
      </w:r>
      <w:r w:rsidR="00C319AC">
        <w:t xml:space="preserve"> will see</w:t>
      </w:r>
      <w:r w:rsidR="00867803">
        <w:t>:</w:t>
      </w:r>
    </w:p>
    <w:p w14:paraId="212DAFD1" w14:textId="3354DE09" w:rsidR="00C17FDE" w:rsidRDefault="00C17FDE" w:rsidP="00C17FDE">
      <w:pPr>
        <w:pStyle w:val="ListBullet"/>
      </w:pPr>
      <w:r>
        <w:t>3% of the workforce choose not to register</w:t>
      </w:r>
    </w:p>
    <w:p w14:paraId="7DB24BB6" w14:textId="0EEE12BE" w:rsidR="00F6580F" w:rsidRDefault="00C319AC" w:rsidP="00C319AC">
      <w:pPr>
        <w:pStyle w:val="ListBullet"/>
      </w:pPr>
      <w:r>
        <w:t xml:space="preserve">some PPB regulatory functions become redundant, including aspects of the </w:t>
      </w:r>
      <w:r w:rsidR="007E0160">
        <w:t>HPCCB</w:t>
      </w:r>
      <w:r>
        <w:t xml:space="preserve"> </w:t>
      </w:r>
      <w:r w:rsidR="004E310B">
        <w:t xml:space="preserve">functions </w:t>
      </w:r>
      <w:r>
        <w:t xml:space="preserve">as they relate to audiologists. </w:t>
      </w:r>
    </w:p>
    <w:p w14:paraId="75C3A81B" w14:textId="7A504386" w:rsidR="00787ACF" w:rsidRDefault="004F154D" w:rsidP="00F6580F">
      <w:pPr>
        <w:pStyle w:val="ListBullet"/>
        <w:numPr>
          <w:ilvl w:val="0"/>
          <w:numId w:val="0"/>
        </w:numPr>
      </w:pPr>
      <w:r>
        <w:t xml:space="preserve">The following assumptions were used in the calculation of </w:t>
      </w:r>
      <w:r w:rsidR="00787ACF">
        <w:t>the change in elective fees</w:t>
      </w:r>
      <w:r w:rsidR="008564D6">
        <w:t>.</w:t>
      </w:r>
    </w:p>
    <w:p w14:paraId="63D94E6A" w14:textId="02AFBF89" w:rsidR="00874A55" w:rsidRDefault="009F694F" w:rsidP="00DF2CE7">
      <w:pPr>
        <w:pStyle w:val="ListBullet"/>
      </w:pPr>
      <w:r>
        <w:t>The</w:t>
      </w:r>
      <w:r w:rsidR="00023437">
        <w:t xml:space="preserve"> 105 </w:t>
      </w:r>
      <w:r w:rsidR="003676D0">
        <w:t>workforce that choose not to register</w:t>
      </w:r>
      <w:r>
        <w:t xml:space="preserve"> leave the audiologist workforce, with </w:t>
      </w:r>
      <w:r w:rsidR="003676D0">
        <w:t xml:space="preserve">24 </w:t>
      </w:r>
      <w:r w:rsidR="008623FB">
        <w:t xml:space="preserve">choosing to practise </w:t>
      </w:r>
      <w:r>
        <w:t>as audiometrists.</w:t>
      </w:r>
      <w:r w:rsidR="00F9395C">
        <w:t xml:space="preserve"> </w:t>
      </w:r>
      <w:r w:rsidR="00E242C0">
        <w:t xml:space="preserve">Those that choose not to </w:t>
      </w:r>
      <w:r w:rsidR="00661D26">
        <w:t xml:space="preserve">practise as audiometrists </w:t>
      </w:r>
      <w:r w:rsidR="00E242C0">
        <w:t>save</w:t>
      </w:r>
      <w:r w:rsidR="00F474B1">
        <w:t xml:space="preserve"> PPB fees.</w:t>
      </w:r>
    </w:p>
    <w:p w14:paraId="42C08FB5" w14:textId="7F32D1A2" w:rsidR="008639D9" w:rsidRDefault="008639D9" w:rsidP="00DF2CE7">
      <w:pPr>
        <w:pStyle w:val="ListBullet"/>
      </w:pPr>
      <w:r>
        <w:t xml:space="preserve">Audiologists that hold current clinical certification but not membership </w:t>
      </w:r>
      <w:r w:rsidR="00E31D01">
        <w:t xml:space="preserve">under the Status Quo and </w:t>
      </w:r>
      <w:r w:rsidR="00D94CB5">
        <w:t xml:space="preserve">seek general registration </w:t>
      </w:r>
      <w:r>
        <w:t>move to holding membership under National Registration.</w:t>
      </w:r>
    </w:p>
    <w:p w14:paraId="6BEF5EFD" w14:textId="4EFA3136" w:rsidR="001A2B5E" w:rsidRDefault="00874A55" w:rsidP="00DF2CE7">
      <w:pPr>
        <w:pStyle w:val="ListBullet"/>
      </w:pPr>
      <w:r>
        <w:t>The avoided administrative costs associated with redundant functions is expected to reduce annual membership fees</w:t>
      </w:r>
      <w:r w:rsidR="00935C2B">
        <w:t xml:space="preserve"> for audiologists that choose to register</w:t>
      </w:r>
      <w:r>
        <w:t xml:space="preserve">. </w:t>
      </w:r>
      <w:r w:rsidR="00C319AC">
        <w:t xml:space="preserve">It is conservatively assumed that annual membership fees would be reduced by 10% under </w:t>
      </w:r>
      <w:r w:rsidR="009D65B6">
        <w:t>National Registration</w:t>
      </w:r>
      <w:r w:rsidR="00C319AC">
        <w:t xml:space="preserve">. </w:t>
      </w:r>
    </w:p>
    <w:p w14:paraId="6AAFB57C" w14:textId="152FEFF6" w:rsidR="00DB3541" w:rsidRDefault="00E4715D" w:rsidP="00EE3AA4">
      <w:pPr>
        <w:pStyle w:val="ListBullet"/>
        <w:numPr>
          <w:ilvl w:val="0"/>
          <w:numId w:val="0"/>
        </w:numPr>
      </w:pPr>
      <w:r>
        <w:t>T</w:t>
      </w:r>
      <w:r w:rsidR="00C319AC">
        <w:t>his equates</w:t>
      </w:r>
      <w:r w:rsidR="00C319AC" w:rsidRPr="00D1335D">
        <w:t xml:space="preserve"> to </w:t>
      </w:r>
      <w:r w:rsidR="00C319AC">
        <w:t>an avoided ten-year annualised FY25 NPV cost</w:t>
      </w:r>
      <w:r w:rsidR="001C31EC">
        <w:t xml:space="preserve"> estimate</w:t>
      </w:r>
      <w:r w:rsidR="00C319AC">
        <w:t xml:space="preserve"> of </w:t>
      </w:r>
      <w:r w:rsidR="00C319AC" w:rsidRPr="0024711A">
        <w:t>$</w:t>
      </w:r>
      <w:r w:rsidR="00C862CF" w:rsidRPr="00C862CF">
        <w:t xml:space="preserve">150,051 </w:t>
      </w:r>
      <w:r w:rsidR="00C319AC">
        <w:t>across the profession.</w:t>
      </w:r>
      <w:r w:rsidR="00781C7C">
        <w:t xml:space="preserve"> This cost saving would accrue to audiologists</w:t>
      </w:r>
      <w:r w:rsidR="00331664">
        <w:t xml:space="preserve"> (including those that leave the profession).</w:t>
      </w:r>
    </w:p>
    <w:p w14:paraId="501AA08B" w14:textId="57B2708E" w:rsidR="00C319AC" w:rsidRDefault="00AC1175" w:rsidP="00C319AC">
      <w:pPr>
        <w:pStyle w:val="BodyText"/>
      </w:pPr>
      <w:r>
        <w:t xml:space="preserve">Potential risks associated with reduction in PPB </w:t>
      </w:r>
      <w:r w:rsidR="00DB3541">
        <w:t>revenue</w:t>
      </w:r>
      <w:r w:rsidR="005943E1">
        <w:t xml:space="preserve"> </w:t>
      </w:r>
      <w:r>
        <w:t xml:space="preserve">are discussed in Section </w:t>
      </w:r>
      <w:r w:rsidR="002356FA">
        <w:fldChar w:fldCharType="begin"/>
      </w:r>
      <w:r w:rsidR="002356FA">
        <w:instrText xml:space="preserve"> REF _Ref172805562 \r \h </w:instrText>
      </w:r>
      <w:r w:rsidR="002356FA">
        <w:fldChar w:fldCharType="separate"/>
      </w:r>
      <w:r w:rsidR="00F32107">
        <w:t>9.2.4</w:t>
      </w:r>
      <w:r w:rsidR="002356FA">
        <w:fldChar w:fldCharType="end"/>
      </w:r>
      <w:r>
        <w:t>.</w:t>
      </w:r>
    </w:p>
    <w:p w14:paraId="288DC7E5" w14:textId="0C58A48C" w:rsidR="00C319AC" w:rsidRDefault="00E36890" w:rsidP="00972F5E">
      <w:pPr>
        <w:pStyle w:val="Caption"/>
        <w:keepNext/>
      </w:pPr>
      <w:r>
        <w:t xml:space="preserve">Table </w:t>
      </w:r>
      <w:fldSimple w:instr=" STYLEREF 1 \s ">
        <w:r w:rsidR="00F32107">
          <w:rPr>
            <w:noProof/>
          </w:rPr>
          <w:t>8</w:t>
        </w:r>
      </w:fldSimple>
      <w:r w:rsidR="008944FB">
        <w:t>.</w:t>
      </w:r>
      <w:fldSimple w:instr=" SEQ Table \* ARABIC \s 1 ">
        <w:r w:rsidR="00F32107">
          <w:rPr>
            <w:noProof/>
          </w:rPr>
          <w:t>10</w:t>
        </w:r>
      </w:fldSimple>
      <w:r>
        <w:t xml:space="preserve"> </w:t>
      </w:r>
      <w:r w:rsidR="00C319AC">
        <w:t xml:space="preserve">Ten-year NPV of reduced elective membership fees under </w:t>
      </w:r>
      <w:r w:rsidR="002C5849">
        <w:t>Option 7</w:t>
      </w:r>
    </w:p>
    <w:tbl>
      <w:tblPr>
        <w:tblStyle w:val="BodyTable"/>
        <w:tblW w:w="0" w:type="auto"/>
        <w:tblLook w:val="04A0" w:firstRow="1" w:lastRow="0" w:firstColumn="1" w:lastColumn="0" w:noHBand="0" w:noVBand="1"/>
      </w:tblPr>
      <w:tblGrid>
        <w:gridCol w:w="1680"/>
        <w:gridCol w:w="1900"/>
        <w:gridCol w:w="1846"/>
        <w:gridCol w:w="1822"/>
        <w:gridCol w:w="1596"/>
      </w:tblGrid>
      <w:tr w:rsidR="00177F5B" w14:paraId="61A227E4" w14:textId="77777777" w:rsidTr="00D81383">
        <w:trPr>
          <w:cnfStyle w:val="100000000000" w:firstRow="1" w:lastRow="0" w:firstColumn="0" w:lastColumn="0" w:oddVBand="0" w:evenVBand="0" w:oddHBand="0" w:evenHBand="0" w:firstRowFirstColumn="0" w:firstRowLastColumn="0" w:lastRowFirstColumn="0" w:lastRowLastColumn="0"/>
          <w:trHeight w:val="699"/>
        </w:trPr>
        <w:tc>
          <w:tcPr>
            <w:tcW w:w="1680" w:type="dxa"/>
          </w:tcPr>
          <w:p w14:paraId="623A5609" w14:textId="77777777" w:rsidR="00177F5B" w:rsidRDefault="00177F5B" w:rsidP="00177F5B">
            <w:pPr>
              <w:keepNext/>
              <w:spacing w:line="240" w:lineRule="auto"/>
            </w:pPr>
          </w:p>
        </w:tc>
        <w:tc>
          <w:tcPr>
            <w:tcW w:w="1900" w:type="dxa"/>
          </w:tcPr>
          <w:p w14:paraId="376B3181"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676481D7" w14:textId="79008E96" w:rsidR="00177F5B" w:rsidRPr="006A1D83" w:rsidRDefault="00177F5B" w:rsidP="00177F5B">
            <w:pPr>
              <w:keepNext/>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Pr>
          <w:p w14:paraId="0BEF32EA"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4E4A6869" w14:textId="625F0257" w:rsidR="00177F5B" w:rsidRPr="006A1D83" w:rsidRDefault="00177F5B" w:rsidP="00177F5B">
            <w:pPr>
              <w:keepNext/>
              <w:spacing w:line="240" w:lineRule="auto"/>
              <w:ind w:left="113" w:right="113"/>
              <w:jc w:val="right"/>
              <w:rPr>
                <w:b/>
                <w:bCs/>
              </w:rPr>
            </w:pPr>
            <w:r w:rsidRPr="006A1D83">
              <w:rPr>
                <w:b/>
                <w:bCs/>
              </w:rPr>
              <w:t>(</w:t>
            </w:r>
            <w:r>
              <w:rPr>
                <w:b/>
                <w:bCs/>
              </w:rPr>
              <w:t>FY29-34</w:t>
            </w:r>
            <w:r w:rsidRPr="006A1D83">
              <w:rPr>
                <w:b/>
                <w:bCs/>
              </w:rPr>
              <w:t>)</w:t>
            </w:r>
          </w:p>
        </w:tc>
        <w:tc>
          <w:tcPr>
            <w:tcW w:w="1822" w:type="dxa"/>
          </w:tcPr>
          <w:p w14:paraId="2543D303" w14:textId="77777777" w:rsidR="00177F5B" w:rsidRDefault="00177F5B" w:rsidP="00177F5B">
            <w:pPr>
              <w:keepNext/>
              <w:spacing w:line="240" w:lineRule="auto"/>
              <w:ind w:left="113" w:right="113"/>
              <w:jc w:val="right"/>
              <w:rPr>
                <w:b/>
                <w:bCs/>
              </w:rPr>
            </w:pPr>
            <w:r>
              <w:rPr>
                <w:b/>
                <w:bCs/>
              </w:rPr>
              <w:t>Total NPV cost over ten-year period</w:t>
            </w:r>
          </w:p>
          <w:p w14:paraId="30932D7B" w14:textId="4D79C72E" w:rsidR="00177F5B" w:rsidRPr="006A1D83" w:rsidRDefault="00177F5B" w:rsidP="00177F5B">
            <w:pPr>
              <w:keepNext/>
              <w:spacing w:line="240" w:lineRule="auto"/>
              <w:ind w:left="113" w:right="113"/>
              <w:jc w:val="right"/>
              <w:rPr>
                <w:b/>
                <w:bCs/>
              </w:rPr>
            </w:pPr>
            <w:r w:rsidRPr="006A1D83">
              <w:rPr>
                <w:b/>
                <w:bCs/>
              </w:rPr>
              <w:t>(</w:t>
            </w:r>
            <w:r>
              <w:rPr>
                <w:b/>
                <w:bCs/>
              </w:rPr>
              <w:t>FY25-34</w:t>
            </w:r>
            <w:r w:rsidRPr="006A1D83">
              <w:rPr>
                <w:b/>
                <w:bCs/>
              </w:rPr>
              <w:t>)</w:t>
            </w:r>
          </w:p>
        </w:tc>
        <w:tc>
          <w:tcPr>
            <w:tcW w:w="1596" w:type="dxa"/>
          </w:tcPr>
          <w:p w14:paraId="3028F687"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7706F998" w14:textId="21708AEE" w:rsidR="00177F5B" w:rsidRPr="006A1D83" w:rsidRDefault="00177F5B" w:rsidP="00177F5B">
            <w:pPr>
              <w:keepNext/>
              <w:spacing w:line="240" w:lineRule="auto"/>
              <w:ind w:left="113" w:right="113"/>
              <w:jc w:val="right"/>
              <w:rPr>
                <w:b/>
                <w:bCs/>
              </w:rPr>
            </w:pPr>
            <w:r w:rsidRPr="006A1D83">
              <w:rPr>
                <w:b/>
                <w:bCs/>
              </w:rPr>
              <w:t>(</w:t>
            </w:r>
            <w:r>
              <w:rPr>
                <w:b/>
                <w:bCs/>
              </w:rPr>
              <w:t>FY25-34</w:t>
            </w:r>
            <w:r w:rsidRPr="006A1D83">
              <w:rPr>
                <w:b/>
                <w:bCs/>
              </w:rPr>
              <w:t>)</w:t>
            </w:r>
          </w:p>
        </w:tc>
      </w:tr>
      <w:tr w:rsidR="008D521C" w14:paraId="7455B144" w14:textId="77777777" w:rsidTr="00D81383">
        <w:trPr>
          <w:trHeight w:val="232"/>
        </w:trPr>
        <w:tc>
          <w:tcPr>
            <w:tcW w:w="1680" w:type="dxa"/>
          </w:tcPr>
          <w:p w14:paraId="24E1306B" w14:textId="77777777" w:rsidR="008D521C" w:rsidRDefault="008D521C" w:rsidP="008D521C">
            <w:pPr>
              <w:keepNext/>
              <w:spacing w:line="240" w:lineRule="auto"/>
            </w:pPr>
            <w:r>
              <w:t>FY25 NPV cost</w:t>
            </w:r>
          </w:p>
        </w:tc>
        <w:tc>
          <w:tcPr>
            <w:tcW w:w="1900" w:type="dxa"/>
          </w:tcPr>
          <w:p w14:paraId="6E0B437F" w14:textId="6B15668A" w:rsidR="008D521C" w:rsidRPr="009E67F2" w:rsidRDefault="000B7EA8" w:rsidP="008D521C">
            <w:pPr>
              <w:keepNext/>
              <w:spacing w:line="240" w:lineRule="auto"/>
              <w:jc w:val="right"/>
            </w:pPr>
            <w:r w:rsidRPr="00B776FF">
              <w:t xml:space="preserve">-$160,479 </w:t>
            </w:r>
          </w:p>
        </w:tc>
        <w:tc>
          <w:tcPr>
            <w:tcW w:w="1846" w:type="dxa"/>
          </w:tcPr>
          <w:p w14:paraId="41295C0B" w14:textId="2F0BA27C" w:rsidR="008D521C" w:rsidRPr="009E67F2" w:rsidRDefault="000B7EA8" w:rsidP="008D521C">
            <w:pPr>
              <w:keepNext/>
              <w:spacing w:line="240" w:lineRule="auto"/>
              <w:jc w:val="right"/>
            </w:pPr>
            <w:r w:rsidRPr="00B776FF">
              <w:t xml:space="preserve">-$1,340,035 </w:t>
            </w:r>
          </w:p>
        </w:tc>
        <w:tc>
          <w:tcPr>
            <w:tcW w:w="1822" w:type="dxa"/>
          </w:tcPr>
          <w:p w14:paraId="6ABCE40A" w14:textId="6C654DAE" w:rsidR="008D521C" w:rsidRPr="009E67F2" w:rsidRDefault="000B7EA8" w:rsidP="008D521C">
            <w:pPr>
              <w:keepNext/>
              <w:spacing w:line="240" w:lineRule="auto"/>
              <w:jc w:val="right"/>
            </w:pPr>
            <w:r w:rsidRPr="00B776FF">
              <w:t xml:space="preserve">-$1,500,513 </w:t>
            </w:r>
          </w:p>
        </w:tc>
        <w:tc>
          <w:tcPr>
            <w:tcW w:w="1596" w:type="dxa"/>
          </w:tcPr>
          <w:p w14:paraId="6B854FDD" w14:textId="0561F5DD" w:rsidR="008D521C" w:rsidRPr="009E67F2" w:rsidRDefault="000B7EA8" w:rsidP="008D521C">
            <w:pPr>
              <w:keepNext/>
              <w:spacing w:line="240" w:lineRule="auto"/>
              <w:jc w:val="right"/>
            </w:pPr>
            <w:r w:rsidRPr="00B776FF">
              <w:t xml:space="preserve">-$150,051 </w:t>
            </w:r>
          </w:p>
        </w:tc>
      </w:tr>
    </w:tbl>
    <w:p w14:paraId="7F20C671" w14:textId="77777777" w:rsidR="00D81383" w:rsidRDefault="00D81383" w:rsidP="00D81383">
      <w:pPr>
        <w:pStyle w:val="Heading4"/>
      </w:pPr>
      <w:r>
        <w:t>Change in compliance costs for all employers</w:t>
      </w:r>
    </w:p>
    <w:p w14:paraId="2769CABF" w14:textId="42D48F8D" w:rsidR="00D81383" w:rsidRPr="004647A8" w:rsidRDefault="00D81383" w:rsidP="00D81383">
      <w:pPr>
        <w:pStyle w:val="BodyText"/>
      </w:pPr>
      <w:r>
        <w:t>Under the current state, s</w:t>
      </w:r>
      <w:r w:rsidRPr="004647A8">
        <w:t xml:space="preserve">ix of the eight </w:t>
      </w:r>
      <w:r>
        <w:t>Australian jurisdictions</w:t>
      </w:r>
      <w:r w:rsidRPr="004647A8">
        <w:t xml:space="preserve"> </w:t>
      </w:r>
      <w:r>
        <w:t>who collectively employ 97% of audiologists</w:t>
      </w:r>
      <w:r w:rsidRPr="004647A8">
        <w:t xml:space="preserve"> have enacted the </w:t>
      </w:r>
      <w:r>
        <w:t xml:space="preserve">National Code. The National Code sets out </w:t>
      </w:r>
      <w:r w:rsidRPr="00A21071">
        <w:t>the minimum practice and ethical standards compliance requirements for non-registered health service</w:t>
      </w:r>
      <w:r>
        <w:t>s</w:t>
      </w:r>
      <w:r w:rsidRPr="00A21071">
        <w:t xml:space="preserve"> providers</w:t>
      </w:r>
      <w:r>
        <w:t>. To this end, some employer compliance costs, such as record keeping, maintaining appropriate insurance, or a</w:t>
      </w:r>
      <w:r w:rsidRPr="0032799D">
        <w:t>dopt</w:t>
      </w:r>
      <w:r>
        <w:t>ing</w:t>
      </w:r>
      <w:r w:rsidRPr="0032799D">
        <w:t xml:space="preserve"> standard precautions </w:t>
      </w:r>
      <w:r>
        <w:t xml:space="preserve">are not expected to change under </w:t>
      </w:r>
      <w:r w:rsidR="00DB3541">
        <w:t>Option 7</w:t>
      </w:r>
      <w:r>
        <w:t xml:space="preserve">. </w:t>
      </w:r>
    </w:p>
    <w:p w14:paraId="403D9529" w14:textId="6F93E9CA" w:rsidR="00F578E1" w:rsidRDefault="00D001FE" w:rsidP="00D81383">
      <w:pPr>
        <w:pStyle w:val="BodyText"/>
      </w:pPr>
      <w:r>
        <w:t>Employer compliance</w:t>
      </w:r>
      <w:r w:rsidR="002F061F">
        <w:t xml:space="preserve"> costs </w:t>
      </w:r>
      <w:r w:rsidR="00D81383">
        <w:t xml:space="preserve">may be incurred related to obligations under the National Law </w:t>
      </w:r>
      <w:r w:rsidR="00F578E1">
        <w:t xml:space="preserve">regarding: </w:t>
      </w:r>
    </w:p>
    <w:p w14:paraId="096B0AE5" w14:textId="09A40A37" w:rsidR="002F061F" w:rsidRDefault="00226323" w:rsidP="00226323">
      <w:pPr>
        <w:pStyle w:val="ListBullet"/>
      </w:pPr>
      <w:r w:rsidRPr="00226323">
        <w:t xml:space="preserve">ensuring that </w:t>
      </w:r>
      <w:r w:rsidR="00F24B66">
        <w:t>the employee</w:t>
      </w:r>
      <w:r w:rsidRPr="00226323">
        <w:t xml:space="preserve"> holds current registration</w:t>
      </w:r>
    </w:p>
    <w:p w14:paraId="447D79DD" w14:textId="3243BE5B" w:rsidR="002F061F" w:rsidRDefault="00226323" w:rsidP="00226323">
      <w:pPr>
        <w:pStyle w:val="ListBullet"/>
      </w:pPr>
      <w:r w:rsidRPr="00226323">
        <w:t xml:space="preserve">ensuring that the </w:t>
      </w:r>
      <w:r w:rsidR="00F24B66">
        <w:t>employee</w:t>
      </w:r>
      <w:r w:rsidRPr="00226323">
        <w:t xml:space="preserve"> is practising within any restrictions placed on their registration</w:t>
      </w:r>
    </w:p>
    <w:p w14:paraId="40FAE636" w14:textId="77777777" w:rsidR="00D001FE" w:rsidRDefault="00226323" w:rsidP="00D81383">
      <w:pPr>
        <w:pStyle w:val="ListBullet"/>
      </w:pPr>
      <w:r w:rsidRPr="00226323">
        <w:t>meeting mandatory notification obligations</w:t>
      </w:r>
    </w:p>
    <w:p w14:paraId="5A0D2C78" w14:textId="5142663A" w:rsidR="00F24B66" w:rsidRDefault="00F24B66" w:rsidP="00D81383">
      <w:pPr>
        <w:pStyle w:val="ListBullet"/>
      </w:pPr>
      <w:r>
        <w:t xml:space="preserve">meeting </w:t>
      </w:r>
      <w:r w:rsidR="00D81383">
        <w:t xml:space="preserve">business </w:t>
      </w:r>
      <w:r>
        <w:t xml:space="preserve">advertising </w:t>
      </w:r>
      <w:r w:rsidR="00BD6D05">
        <w:t xml:space="preserve">requirements </w:t>
      </w:r>
      <w:r w:rsidR="006B3685">
        <w:t>(</w:t>
      </w:r>
      <w:r w:rsidR="00A861DE">
        <w:t xml:space="preserve">including </w:t>
      </w:r>
      <w:r w:rsidR="006B3685">
        <w:t>as they relate</w:t>
      </w:r>
      <w:r w:rsidR="00C92EAE">
        <w:t xml:space="preserve"> to testimonials or</w:t>
      </w:r>
      <w:r w:rsidR="00A861DE">
        <w:t xml:space="preserve"> </w:t>
      </w:r>
      <w:r w:rsidR="00BD6D05">
        <w:t>protection of title</w:t>
      </w:r>
      <w:r w:rsidR="00C92EAE">
        <w:t>)</w:t>
      </w:r>
      <w:r w:rsidR="00BD6D05">
        <w:t>.</w:t>
      </w:r>
    </w:p>
    <w:p w14:paraId="2A61C629" w14:textId="6734D0E8" w:rsidR="00D27703" w:rsidRDefault="00D27703" w:rsidP="00972F5E">
      <w:pPr>
        <w:pStyle w:val="ListBullet"/>
        <w:numPr>
          <w:ilvl w:val="0"/>
          <w:numId w:val="0"/>
        </w:numPr>
      </w:pPr>
      <w:r>
        <w:t>It is noted that there are also one-off time costs associated with understanding new compliance requirements.</w:t>
      </w:r>
    </w:p>
    <w:p w14:paraId="23F83CA2" w14:textId="17FB9A79" w:rsidR="00970D3C" w:rsidRDefault="00970D3C" w:rsidP="00D81383">
      <w:pPr>
        <w:pStyle w:val="BodyText"/>
      </w:pPr>
      <w:r>
        <w:t xml:space="preserve">In relation to these compliance costs, </w:t>
      </w:r>
      <w:r w:rsidR="00E5191E">
        <w:t xml:space="preserve">the following rationale is provided below for </w:t>
      </w:r>
      <w:r w:rsidR="0029359F">
        <w:t>their overall impact</w:t>
      </w:r>
      <w:r w:rsidR="00E5191E">
        <w:t>.</w:t>
      </w:r>
    </w:p>
    <w:p w14:paraId="4DA3F2E1" w14:textId="0442C31D" w:rsidR="001240FE" w:rsidRDefault="00F36CDC" w:rsidP="00236359">
      <w:pPr>
        <w:pStyle w:val="ListBullet"/>
      </w:pPr>
      <w:r w:rsidRPr="002F4DC8">
        <w:t>B</w:t>
      </w:r>
      <w:r w:rsidR="00855D2B" w:rsidRPr="002F4DC8">
        <w:t xml:space="preserve">usiness materials are updated frequently, and as a result updates to meet compliance requirements may be undertaken at the same time as </w:t>
      </w:r>
      <w:r w:rsidR="007548E7" w:rsidRPr="002F4DC8">
        <w:t xml:space="preserve">other changes, for minimal additional cost. </w:t>
      </w:r>
      <w:r w:rsidRPr="002F4DC8">
        <w:t xml:space="preserve">Given </w:t>
      </w:r>
      <w:r w:rsidR="000D5B48" w:rsidRPr="002F4DC8">
        <w:t>a</w:t>
      </w:r>
      <w:r w:rsidRPr="002F4DC8">
        <w:t xml:space="preserve"> multi-year timeframe for </w:t>
      </w:r>
      <w:r w:rsidR="000D5B48" w:rsidRPr="002F4DC8">
        <w:t xml:space="preserve">inclusion in the National Scheme, there is </w:t>
      </w:r>
      <w:r w:rsidR="008871B6" w:rsidRPr="002F4DC8">
        <w:t>reasonable time</w:t>
      </w:r>
      <w:r w:rsidR="005B259C" w:rsidRPr="002F4DC8">
        <w:t xml:space="preserve"> for this to occur.</w:t>
      </w:r>
    </w:p>
    <w:p w14:paraId="38391E04" w14:textId="7473E8C0" w:rsidR="00F52843" w:rsidRDefault="00970D3C" w:rsidP="00972F5E">
      <w:pPr>
        <w:pStyle w:val="ListBullet"/>
      </w:pPr>
      <w:r w:rsidRPr="002F4DC8">
        <w:t>Ahpra’s guidance notes that there are free bulk check services for checking the registration status for up to 50,000 practitioners at a time, and a Practitioner Information Exchange can allow employers to create alerts when an employee’s registration status changes.</w:t>
      </w:r>
      <w:r w:rsidRPr="00970D3C">
        <w:t xml:space="preserve"> </w:t>
      </w:r>
      <w:r w:rsidR="001E3941">
        <w:t>Instances of employee restrictions and being required to meet mandatory notification obligations is considered to be relatively rare.</w:t>
      </w:r>
    </w:p>
    <w:p w14:paraId="53450A3D" w14:textId="42250695" w:rsidR="00D81383" w:rsidRDefault="00F52843" w:rsidP="008871B6">
      <w:pPr>
        <w:pStyle w:val="ListBullet"/>
      </w:pPr>
      <w:r>
        <w:t>There are multiple large employers</w:t>
      </w:r>
      <w:r w:rsidR="00F119B3">
        <w:t xml:space="preserve"> in the audiology profession</w:t>
      </w:r>
      <w:r w:rsidR="00C8248F">
        <w:t xml:space="preserve">, and hence </w:t>
      </w:r>
      <w:r w:rsidR="0082230E">
        <w:t xml:space="preserve">one-off </w:t>
      </w:r>
      <w:r w:rsidR="00C8248F">
        <w:t xml:space="preserve">time costs to </w:t>
      </w:r>
      <w:r w:rsidR="00C92EAE">
        <w:t>understand new compliance requirements</w:t>
      </w:r>
      <w:r w:rsidR="00F119B3">
        <w:t xml:space="preserve"> at the employer level may be </w:t>
      </w:r>
      <w:r w:rsidR="00EB62A6">
        <w:t>borne by a smaller number of people. These one-off time costs have not been estimated</w:t>
      </w:r>
      <w:r w:rsidR="006C439D">
        <w:t xml:space="preserve"> due to uncertainty</w:t>
      </w:r>
      <w:r w:rsidR="00EB62A6">
        <w:t>.</w:t>
      </w:r>
      <w:r w:rsidR="0082230E">
        <w:t xml:space="preserve"> </w:t>
      </w:r>
    </w:p>
    <w:p w14:paraId="181B6311" w14:textId="741EB730" w:rsidR="008871B6" w:rsidRPr="002D6655" w:rsidRDefault="00670C8B" w:rsidP="00EE3AA4">
      <w:pPr>
        <w:pStyle w:val="ListBullet"/>
        <w:numPr>
          <w:ilvl w:val="0"/>
          <w:numId w:val="0"/>
        </w:numPr>
      </w:pPr>
      <w:r>
        <w:t>Overall, no additional compliance costs have been estimated</w:t>
      </w:r>
      <w:r w:rsidR="005E2D7D">
        <w:t xml:space="preserve">. </w:t>
      </w:r>
      <w:r w:rsidR="004A1C9C">
        <w:t>However, for</w:t>
      </w:r>
      <w:r w:rsidR="00115474">
        <w:t xml:space="preserve"> </w:t>
      </w:r>
      <w:r w:rsidR="00FE0809">
        <w:t xml:space="preserve">stakeholders that opposed Option 7, </w:t>
      </w:r>
      <w:r w:rsidR="008871B6" w:rsidRPr="00970D3C">
        <w:t>ongoing regulatory burden costs for employers of a registered profession</w:t>
      </w:r>
      <w:r w:rsidR="00FE0809">
        <w:t xml:space="preserve"> were considered to be a significant concern. This risk is returned to in Section </w:t>
      </w:r>
      <w:r w:rsidR="00FE0809">
        <w:fldChar w:fldCharType="begin"/>
      </w:r>
      <w:r w:rsidR="00FE0809">
        <w:instrText xml:space="preserve"> REF _Ref191644031 \r \h </w:instrText>
      </w:r>
      <w:r w:rsidR="00FE0809">
        <w:fldChar w:fldCharType="separate"/>
      </w:r>
      <w:r w:rsidR="00F32107">
        <w:t>9.2.4.1</w:t>
      </w:r>
      <w:r w:rsidR="00FE0809">
        <w:fldChar w:fldCharType="end"/>
      </w:r>
      <w:r w:rsidR="00FE0809">
        <w:t>.</w:t>
      </w:r>
    </w:p>
    <w:p w14:paraId="12CA5B62" w14:textId="77777777" w:rsidR="00D81383" w:rsidRPr="002D6655" w:rsidRDefault="00D81383" w:rsidP="00842071">
      <w:pPr>
        <w:pStyle w:val="Heading4"/>
      </w:pPr>
      <w:bookmarkStart w:id="255" w:name="_Ref171090828"/>
      <w:r w:rsidRPr="002D6655">
        <w:t>Change in fees for accreditation</w:t>
      </w:r>
      <w:r>
        <w:t xml:space="preserve"> of universities</w:t>
      </w:r>
      <w:bookmarkEnd w:id="255"/>
    </w:p>
    <w:p w14:paraId="12FF866C" w14:textId="51D66D08" w:rsidR="00D81383" w:rsidRDefault="00D81383" w:rsidP="00842071">
      <w:pPr>
        <w:pStyle w:val="BodyText"/>
      </w:pPr>
      <w:r w:rsidRPr="0054505E">
        <w:t xml:space="preserve">The National Law gives </w:t>
      </w:r>
      <w:r w:rsidR="00AF6368">
        <w:t>a</w:t>
      </w:r>
      <w:r w:rsidR="00AF6368" w:rsidRPr="0054505E">
        <w:t xml:space="preserve">ccreditation </w:t>
      </w:r>
      <w:r w:rsidR="00AF6368">
        <w:t>committees</w:t>
      </w:r>
      <w:r w:rsidR="00AF6368" w:rsidRPr="0054505E">
        <w:t xml:space="preserve"> </w:t>
      </w:r>
      <w:r w:rsidRPr="0054505E">
        <w:t>and National Boards separate but related roles and responsibilities for accreditation and approval of programs respectively.</w:t>
      </w:r>
      <w:r>
        <w:t xml:space="preserve"> </w:t>
      </w:r>
      <w:r w:rsidRPr="001B6F5E">
        <w:t xml:space="preserve">Program accreditation under the National Law is a key quality and risk management mechanism undertaken by </w:t>
      </w:r>
      <w:r w:rsidR="00AF6368">
        <w:t>a</w:t>
      </w:r>
      <w:r w:rsidR="00AF6368" w:rsidRPr="001B6F5E">
        <w:t xml:space="preserve">ccreditation </w:t>
      </w:r>
      <w:r w:rsidR="00AB0CF4">
        <w:t>committees</w:t>
      </w:r>
      <w:r w:rsidR="00AF6368" w:rsidRPr="001B6F5E">
        <w:t xml:space="preserve"> </w:t>
      </w:r>
      <w:r w:rsidRPr="001B6F5E">
        <w:t>and includes assessing whether an educational program of study and the education provider that provides the program meet the approved accreditation standards.</w:t>
      </w:r>
      <w:r>
        <w:t xml:space="preserve"> </w:t>
      </w:r>
      <w:r w:rsidRPr="00620D9C">
        <w:t>When a program of study has been accredited, a National Board considers whether it will approve, or refuse to approve the accredited program of study. Graduates of approved programs are automatically qualified for registration.</w:t>
      </w:r>
      <w:r w:rsidR="004A4510">
        <w:t xml:space="preserve"> </w:t>
      </w:r>
      <w:r>
        <w:t>All education institutions seeking an accredited program of study face a set of annual fees.</w:t>
      </w:r>
    </w:p>
    <w:p w14:paraId="6FD49055" w14:textId="2A21ADB0" w:rsidR="00D81383" w:rsidRDefault="00D81383" w:rsidP="00842071">
      <w:pPr>
        <w:pStyle w:val="BodyText"/>
      </w:pPr>
      <w:r>
        <w:t xml:space="preserve">Estimates of </w:t>
      </w:r>
      <w:r w:rsidR="00850DE8">
        <w:t>the change in</w:t>
      </w:r>
      <w:r>
        <w:t xml:space="preserve"> audiology university accreditation fees under </w:t>
      </w:r>
      <w:r w:rsidR="00EE3357">
        <w:t>Option 7</w:t>
      </w:r>
      <w:r>
        <w:t xml:space="preserve"> was derived by drawing on benchmarks form the osteopathy profession, which currently has five approved programs of study. The </w:t>
      </w:r>
      <w:r w:rsidRPr="00ED0C77">
        <w:t>Australian Osteopathic Accreditation Council (AOAC)</w:t>
      </w:r>
      <w:r>
        <w:t xml:space="preserve">, </w:t>
      </w:r>
      <w:r w:rsidRPr="00ED0C77">
        <w:t>is the independent accrediting authority for osteopathy education under National Scheme.</w:t>
      </w:r>
      <w:r>
        <w:t xml:space="preserve"> The schedule of fees </w:t>
      </w:r>
      <w:r w:rsidRPr="00232314">
        <w:t xml:space="preserve">for accreditation </w:t>
      </w:r>
      <w:r>
        <w:t xml:space="preserve">set out by </w:t>
      </w:r>
      <w:r w:rsidRPr="006E7834">
        <w:t>AOAC</w:t>
      </w:r>
      <w:r>
        <w:t xml:space="preserve"> is provided below:</w:t>
      </w:r>
    </w:p>
    <w:p w14:paraId="48B2086F" w14:textId="3E54C4C0" w:rsidR="00D81383" w:rsidRDefault="003C4237" w:rsidP="00842071">
      <w:pPr>
        <w:pStyle w:val="Caption"/>
      </w:pPr>
      <w:bookmarkStart w:id="256" w:name="_Hlk172808275"/>
      <w:r>
        <w:t xml:space="preserve">Table </w:t>
      </w:r>
      <w:fldSimple w:instr=" STYLEREF 1 \s ">
        <w:r w:rsidR="00F32107">
          <w:rPr>
            <w:noProof/>
          </w:rPr>
          <w:t>8</w:t>
        </w:r>
      </w:fldSimple>
      <w:r w:rsidR="008944FB">
        <w:t>.</w:t>
      </w:r>
      <w:fldSimple w:instr=" SEQ Table \* ARABIC \s 1 ">
        <w:r w:rsidR="00F32107">
          <w:rPr>
            <w:noProof/>
          </w:rPr>
          <w:t>11</w:t>
        </w:r>
      </w:fldSimple>
      <w:r w:rsidR="00E36FED">
        <w:t>.</w:t>
      </w:r>
      <w:r w:rsidR="003F0CB0">
        <w:t xml:space="preserve"> </w:t>
      </w:r>
      <w:bookmarkEnd w:id="256"/>
      <w:r w:rsidR="003F0CB0">
        <w:t>Accreditation</w:t>
      </w:r>
      <w:r w:rsidR="00D81383">
        <w:t xml:space="preserve"> Fee Schedule 2024 (effective 1 January 2024)</w:t>
      </w:r>
    </w:p>
    <w:tbl>
      <w:tblPr>
        <w:tblStyle w:val="BodyTable"/>
        <w:tblW w:w="0" w:type="auto"/>
        <w:tblLook w:val="04A0" w:firstRow="1" w:lastRow="0" w:firstColumn="1" w:lastColumn="0" w:noHBand="0" w:noVBand="1"/>
      </w:tblPr>
      <w:tblGrid>
        <w:gridCol w:w="4206"/>
        <w:gridCol w:w="1564"/>
      </w:tblGrid>
      <w:tr w:rsidR="00D81383" w14:paraId="53E98E03" w14:textId="77777777" w:rsidTr="004C18CD">
        <w:trPr>
          <w:cnfStyle w:val="100000000000" w:firstRow="1" w:lastRow="0" w:firstColumn="0" w:lastColumn="0" w:oddVBand="0" w:evenVBand="0" w:oddHBand="0" w:evenHBand="0" w:firstRowFirstColumn="0" w:firstRowLastColumn="0" w:lastRowFirstColumn="0" w:lastRowLastColumn="0"/>
          <w:trHeight w:val="62"/>
        </w:trPr>
        <w:tc>
          <w:tcPr>
            <w:tcW w:w="5770" w:type="dxa"/>
            <w:gridSpan w:val="2"/>
          </w:tcPr>
          <w:p w14:paraId="70FA7864" w14:textId="77777777" w:rsidR="00D81383" w:rsidRPr="00842071" w:rsidRDefault="00D81383">
            <w:pPr>
              <w:pStyle w:val="NormalWeb"/>
              <w:jc w:val="center"/>
              <w:rPr>
                <w:rFonts w:cs="Calibri Light"/>
                <w:sz w:val="20"/>
                <w:szCs w:val="20"/>
              </w:rPr>
            </w:pPr>
            <w:r w:rsidRPr="00842071">
              <w:rPr>
                <w:rFonts w:cstheme="minorBidi"/>
                <w:sz w:val="20"/>
                <w:szCs w:val="18"/>
              </w:rPr>
              <w:t>Accreditation Fee Schedule 2024</w:t>
            </w:r>
          </w:p>
        </w:tc>
      </w:tr>
      <w:tr w:rsidR="00D81383" w14:paraId="2A6C972B" w14:textId="77777777" w:rsidTr="00842071">
        <w:trPr>
          <w:trHeight w:val="69"/>
        </w:trPr>
        <w:tc>
          <w:tcPr>
            <w:tcW w:w="5770" w:type="dxa"/>
            <w:gridSpan w:val="2"/>
          </w:tcPr>
          <w:p w14:paraId="41F9E254" w14:textId="77777777" w:rsidR="00D81383" w:rsidRPr="00842071" w:rsidRDefault="00D81383">
            <w:pPr>
              <w:pStyle w:val="NormalWeb"/>
              <w:jc w:val="center"/>
              <w:rPr>
                <w:rFonts w:cs="Calibri Light"/>
                <w:sz w:val="20"/>
                <w:szCs w:val="20"/>
              </w:rPr>
            </w:pPr>
            <w:r w:rsidRPr="00842071">
              <w:rPr>
                <w:rFonts w:cstheme="minorBidi"/>
                <w:sz w:val="20"/>
                <w:szCs w:val="18"/>
              </w:rPr>
              <w:t>1. Application Fee (incurred every five years)</w:t>
            </w:r>
          </w:p>
        </w:tc>
      </w:tr>
      <w:tr w:rsidR="00D81383" w14:paraId="775D9A0C" w14:textId="77777777" w:rsidTr="00842071">
        <w:trPr>
          <w:trHeight w:val="106"/>
        </w:trPr>
        <w:tc>
          <w:tcPr>
            <w:tcW w:w="4206" w:type="dxa"/>
          </w:tcPr>
          <w:p w14:paraId="22F0209E" w14:textId="77777777" w:rsidR="00D81383" w:rsidRPr="00B80C4B" w:rsidRDefault="00D81383">
            <w:pPr>
              <w:rPr>
                <w:b/>
              </w:rPr>
            </w:pPr>
            <w:r w:rsidRPr="00B80C4B">
              <w:rPr>
                <w:b/>
              </w:rPr>
              <w:t>New program of study</w:t>
            </w:r>
          </w:p>
        </w:tc>
        <w:tc>
          <w:tcPr>
            <w:tcW w:w="1563" w:type="dxa"/>
          </w:tcPr>
          <w:p w14:paraId="712018A0" w14:textId="77777777" w:rsidR="00D81383" w:rsidRPr="00223798" w:rsidRDefault="00D81383">
            <w:pPr>
              <w:jc w:val="right"/>
            </w:pPr>
            <w:r w:rsidRPr="00BF3BB5">
              <w:rPr>
                <w:rFonts w:cs="Calibri Light"/>
                <w:color w:val="000000"/>
                <w:szCs w:val="20"/>
              </w:rPr>
              <w:t>$6,314</w:t>
            </w:r>
          </w:p>
        </w:tc>
      </w:tr>
      <w:tr w:rsidR="00D81383" w14:paraId="0B431F4F" w14:textId="77777777" w:rsidTr="00842071">
        <w:trPr>
          <w:trHeight w:val="64"/>
        </w:trPr>
        <w:tc>
          <w:tcPr>
            <w:tcW w:w="4206" w:type="dxa"/>
          </w:tcPr>
          <w:p w14:paraId="5CEBBC2A" w14:textId="77777777" w:rsidR="00D81383" w:rsidRPr="00B80C4B" w:rsidRDefault="00D81383">
            <w:pPr>
              <w:rPr>
                <w:b/>
              </w:rPr>
            </w:pPr>
            <w:r w:rsidRPr="00B80C4B">
              <w:rPr>
                <w:b/>
              </w:rPr>
              <w:t>Existing program of study</w:t>
            </w:r>
          </w:p>
        </w:tc>
        <w:tc>
          <w:tcPr>
            <w:tcW w:w="1563" w:type="dxa"/>
          </w:tcPr>
          <w:p w14:paraId="5A9E7032" w14:textId="77777777" w:rsidR="00D81383" w:rsidRPr="00223798" w:rsidRDefault="00D81383">
            <w:pPr>
              <w:jc w:val="right"/>
            </w:pPr>
            <w:r w:rsidRPr="00BF3BB5">
              <w:rPr>
                <w:rFonts w:cs="Calibri Light"/>
                <w:color w:val="000000"/>
                <w:szCs w:val="20"/>
              </w:rPr>
              <w:t>$6,314</w:t>
            </w:r>
          </w:p>
        </w:tc>
      </w:tr>
      <w:tr w:rsidR="00D81383" w14:paraId="1FA836A8" w14:textId="77777777" w:rsidTr="00842071">
        <w:trPr>
          <w:trHeight w:val="100"/>
        </w:trPr>
        <w:tc>
          <w:tcPr>
            <w:tcW w:w="5770" w:type="dxa"/>
            <w:gridSpan w:val="2"/>
          </w:tcPr>
          <w:p w14:paraId="2914D7D1" w14:textId="77777777" w:rsidR="00D81383" w:rsidRPr="00842071" w:rsidRDefault="00D81383">
            <w:pPr>
              <w:pStyle w:val="NormalWeb"/>
              <w:jc w:val="center"/>
              <w:rPr>
                <w:rFonts w:cstheme="minorBidi"/>
                <w:sz w:val="20"/>
                <w:szCs w:val="18"/>
              </w:rPr>
            </w:pPr>
            <w:r w:rsidRPr="00842071">
              <w:rPr>
                <w:rFonts w:cstheme="minorBidi"/>
                <w:sz w:val="20"/>
                <w:szCs w:val="18"/>
              </w:rPr>
              <w:t>2. Accreditation Fee (incurred every five years)</w:t>
            </w:r>
          </w:p>
        </w:tc>
      </w:tr>
      <w:tr w:rsidR="00D81383" w14:paraId="2A3461D6" w14:textId="77777777" w:rsidTr="00842071">
        <w:trPr>
          <w:trHeight w:val="31"/>
        </w:trPr>
        <w:tc>
          <w:tcPr>
            <w:tcW w:w="4206" w:type="dxa"/>
          </w:tcPr>
          <w:p w14:paraId="13459AAF" w14:textId="77777777" w:rsidR="00D81383" w:rsidRPr="003F7242" w:rsidRDefault="00D81383">
            <w:pPr>
              <w:rPr>
                <w:b/>
              </w:rPr>
            </w:pPr>
            <w:r w:rsidRPr="003F7242">
              <w:rPr>
                <w:b/>
              </w:rPr>
              <w:t>New program of study</w:t>
            </w:r>
          </w:p>
        </w:tc>
        <w:tc>
          <w:tcPr>
            <w:tcW w:w="1563" w:type="dxa"/>
          </w:tcPr>
          <w:p w14:paraId="704BE245" w14:textId="77777777" w:rsidR="00D81383" w:rsidRPr="00223798" w:rsidRDefault="00D81383">
            <w:pPr>
              <w:jc w:val="right"/>
            </w:pPr>
            <w:r w:rsidRPr="00BF3BB5">
              <w:rPr>
                <w:rFonts w:cs="Calibri Light"/>
                <w:color w:val="000000"/>
                <w:szCs w:val="20"/>
              </w:rPr>
              <w:t>$18,942</w:t>
            </w:r>
          </w:p>
        </w:tc>
      </w:tr>
      <w:tr w:rsidR="00D81383" w14:paraId="006E3A13" w14:textId="77777777" w:rsidTr="00842071">
        <w:trPr>
          <w:trHeight w:val="156"/>
        </w:trPr>
        <w:tc>
          <w:tcPr>
            <w:tcW w:w="4206" w:type="dxa"/>
          </w:tcPr>
          <w:p w14:paraId="369A1075" w14:textId="77777777" w:rsidR="00D81383" w:rsidRPr="003F7242" w:rsidRDefault="00D81383">
            <w:pPr>
              <w:rPr>
                <w:b/>
              </w:rPr>
            </w:pPr>
            <w:r w:rsidRPr="003F7242">
              <w:rPr>
                <w:b/>
              </w:rPr>
              <w:t>Existing program of study</w:t>
            </w:r>
          </w:p>
        </w:tc>
        <w:tc>
          <w:tcPr>
            <w:tcW w:w="1563" w:type="dxa"/>
          </w:tcPr>
          <w:p w14:paraId="4F761771" w14:textId="77777777" w:rsidR="00D81383" w:rsidRPr="00223798" w:rsidRDefault="00D81383">
            <w:pPr>
              <w:jc w:val="right"/>
            </w:pPr>
            <w:r w:rsidRPr="00BF3BB5">
              <w:rPr>
                <w:rFonts w:cs="Calibri Light"/>
                <w:color w:val="000000"/>
                <w:szCs w:val="20"/>
              </w:rPr>
              <w:t>$12,628</w:t>
            </w:r>
          </w:p>
        </w:tc>
      </w:tr>
      <w:tr w:rsidR="00D81383" w14:paraId="7986D692" w14:textId="77777777" w:rsidTr="00842071">
        <w:trPr>
          <w:trHeight w:val="31"/>
        </w:trPr>
        <w:tc>
          <w:tcPr>
            <w:tcW w:w="4206" w:type="dxa"/>
          </w:tcPr>
          <w:p w14:paraId="1FB68D39" w14:textId="77777777" w:rsidR="00D81383" w:rsidRPr="003F7242" w:rsidRDefault="00D81383">
            <w:pPr>
              <w:rPr>
                <w:b/>
              </w:rPr>
            </w:pPr>
            <w:r w:rsidRPr="003F7242">
              <w:rPr>
                <w:b/>
              </w:rPr>
              <w:t>Major course changes</w:t>
            </w:r>
          </w:p>
        </w:tc>
        <w:tc>
          <w:tcPr>
            <w:tcW w:w="1563" w:type="dxa"/>
          </w:tcPr>
          <w:p w14:paraId="39547E87" w14:textId="77777777" w:rsidR="00D81383" w:rsidRPr="00223798" w:rsidRDefault="00D81383">
            <w:pPr>
              <w:jc w:val="right"/>
            </w:pPr>
            <w:r w:rsidRPr="00BF3BB5">
              <w:rPr>
                <w:rFonts w:cs="Calibri Light"/>
                <w:color w:val="000000"/>
                <w:szCs w:val="20"/>
              </w:rPr>
              <w:t>$6,314</w:t>
            </w:r>
          </w:p>
        </w:tc>
      </w:tr>
      <w:tr w:rsidR="00D81383" w14:paraId="441B09D2" w14:textId="77777777" w:rsidTr="00842071">
        <w:trPr>
          <w:trHeight w:val="22"/>
        </w:trPr>
        <w:tc>
          <w:tcPr>
            <w:tcW w:w="5770" w:type="dxa"/>
            <w:gridSpan w:val="2"/>
          </w:tcPr>
          <w:p w14:paraId="44E2992C" w14:textId="77777777" w:rsidR="00D81383" w:rsidRPr="00842071" w:rsidRDefault="00D81383">
            <w:pPr>
              <w:pStyle w:val="NormalWeb"/>
              <w:jc w:val="center"/>
              <w:rPr>
                <w:rFonts w:cstheme="minorBidi"/>
                <w:sz w:val="20"/>
                <w:szCs w:val="18"/>
              </w:rPr>
            </w:pPr>
            <w:r w:rsidRPr="00842071">
              <w:rPr>
                <w:rFonts w:cstheme="minorBidi"/>
                <w:sz w:val="20"/>
                <w:szCs w:val="18"/>
              </w:rPr>
              <w:t>3. Annual Accreditation Fee</w:t>
            </w:r>
          </w:p>
        </w:tc>
      </w:tr>
      <w:tr w:rsidR="00D81383" w14:paraId="4FDEBDD5" w14:textId="77777777" w:rsidTr="00842071">
        <w:trPr>
          <w:trHeight w:val="145"/>
        </w:trPr>
        <w:tc>
          <w:tcPr>
            <w:tcW w:w="4206" w:type="dxa"/>
          </w:tcPr>
          <w:p w14:paraId="5C549926" w14:textId="77777777" w:rsidR="00D81383" w:rsidRPr="00BE4D67" w:rsidRDefault="00D81383">
            <w:pPr>
              <w:rPr>
                <w:b/>
              </w:rPr>
            </w:pPr>
            <w:r w:rsidRPr="00BE4D67">
              <w:rPr>
                <w:b/>
              </w:rPr>
              <w:t>All programs</w:t>
            </w:r>
          </w:p>
        </w:tc>
        <w:tc>
          <w:tcPr>
            <w:tcW w:w="1563" w:type="dxa"/>
          </w:tcPr>
          <w:p w14:paraId="34843B2B" w14:textId="77777777" w:rsidR="00D81383" w:rsidRPr="00BF3BB5" w:rsidRDefault="00D81383">
            <w:pPr>
              <w:jc w:val="right"/>
              <w:rPr>
                <w:rFonts w:cs="Calibri Light"/>
                <w:color w:val="000000"/>
                <w:szCs w:val="20"/>
              </w:rPr>
            </w:pPr>
            <w:r w:rsidRPr="00BF3BB5">
              <w:rPr>
                <w:rFonts w:cs="Calibri Light"/>
                <w:color w:val="000000"/>
                <w:szCs w:val="20"/>
              </w:rPr>
              <w:t>$2,526</w:t>
            </w:r>
          </w:p>
        </w:tc>
      </w:tr>
    </w:tbl>
    <w:p w14:paraId="2F256CB9" w14:textId="77777777" w:rsidR="00D81383" w:rsidRPr="000B0D39" w:rsidRDefault="00D81383" w:rsidP="000B0D39">
      <w:pPr>
        <w:rPr>
          <w:color w:val="7F7F7F" w:themeColor="text1" w:themeTint="80"/>
          <w:kern w:val="21"/>
          <w:sz w:val="14"/>
          <w:szCs w:val="14"/>
          <w:lang w:val="en-AU"/>
          <w14:numSpacing w14:val="proportional"/>
        </w:rPr>
      </w:pPr>
      <w:r w:rsidRPr="000B0D39">
        <w:rPr>
          <w:color w:val="7F7F7F" w:themeColor="text1" w:themeTint="80"/>
          <w:kern w:val="21"/>
          <w:sz w:val="14"/>
          <w:szCs w:val="14"/>
          <w:lang w:val="en-AU"/>
          <w14:numSpacing w14:val="proportional"/>
        </w:rPr>
        <w:t xml:space="preserve">Source: Australian Osteopathic Accreditation Council (AOAC) </w:t>
      </w:r>
    </w:p>
    <w:p w14:paraId="49C8AE9A" w14:textId="6058E5D2" w:rsidR="00D81383" w:rsidRDefault="00D81383" w:rsidP="000B0D39">
      <w:pPr>
        <w:pStyle w:val="BodyText"/>
      </w:pPr>
      <w:r w:rsidRPr="00C605E8">
        <w:t xml:space="preserve">To estimate the incremental change in university accreditation fees </w:t>
      </w:r>
      <w:r w:rsidR="005736FA">
        <w:t>Option 7</w:t>
      </w:r>
      <w:r w:rsidRPr="00C605E8">
        <w:t xml:space="preserve"> </w:t>
      </w:r>
      <w:r w:rsidR="00A625E1">
        <w:t xml:space="preserve">over a ten-year period </w:t>
      </w:r>
      <w:r w:rsidRPr="00C605E8">
        <w:t xml:space="preserve">the following </w:t>
      </w:r>
      <w:r>
        <w:t>assumptions were used</w:t>
      </w:r>
      <w:r w:rsidR="005736FA">
        <w:t>.</w:t>
      </w:r>
    </w:p>
    <w:p w14:paraId="3635DEA4" w14:textId="4D75A5BF" w:rsidR="00D81383" w:rsidRDefault="00EB3296" w:rsidP="000B0D39">
      <w:pPr>
        <w:pStyle w:val="ListBullet"/>
      </w:pPr>
      <w:r>
        <w:t xml:space="preserve">In the year prior to </w:t>
      </w:r>
      <w:r w:rsidR="00932210">
        <w:t>‘Go-Live’</w:t>
      </w:r>
      <w:r w:rsidR="00D81383">
        <w:t>, the seven current university audiology programs of study will each incur a new program of study application fee ($6,314) and accreditation fee ($18,942).</w:t>
      </w:r>
    </w:p>
    <w:p w14:paraId="4BAAFF09" w14:textId="3BD650EC" w:rsidR="00D81383" w:rsidRDefault="004D6592" w:rsidP="000B0D39">
      <w:pPr>
        <w:pStyle w:val="ListBullet"/>
      </w:pPr>
      <w:r>
        <w:t>Following completion of the first five-year cycle</w:t>
      </w:r>
      <w:r w:rsidR="00D81383">
        <w:t xml:space="preserve">, the </w:t>
      </w:r>
      <w:r>
        <w:t xml:space="preserve">seven </w:t>
      </w:r>
      <w:r w:rsidR="00D81383">
        <w:t>accredited universit</w:t>
      </w:r>
      <w:r>
        <w:t xml:space="preserve">y </w:t>
      </w:r>
      <w:r w:rsidR="00D81383">
        <w:t>programs will then incur an existing program of study application fee ($6,314) and accreditation fee (</w:t>
      </w:r>
      <w:r w:rsidR="00D81383" w:rsidRPr="008937C0">
        <w:t>$12,628)</w:t>
      </w:r>
      <w:r w:rsidR="00D81383">
        <w:t>.</w:t>
      </w:r>
    </w:p>
    <w:p w14:paraId="7A06E4B7" w14:textId="27EB501E" w:rsidR="00D81383" w:rsidRDefault="00D81383" w:rsidP="000B0D39">
      <w:pPr>
        <w:pStyle w:val="ListBullet"/>
      </w:pPr>
      <w:r>
        <w:t xml:space="preserve">In the other years </w:t>
      </w:r>
      <w:r w:rsidR="00E678C2">
        <w:t xml:space="preserve">following ‘Go-Live’ </w:t>
      </w:r>
      <w:r>
        <w:t xml:space="preserve">over the ten-year period, the seven accredited universities programs will each incur annual accreditation fees of </w:t>
      </w:r>
      <w:r w:rsidRPr="008937C0">
        <w:t>$2,526.</w:t>
      </w:r>
      <w:r>
        <w:t xml:space="preserve"> </w:t>
      </w:r>
    </w:p>
    <w:p w14:paraId="7581489F" w14:textId="3E7CC3DD" w:rsidR="00D81383" w:rsidRPr="00A45BA7" w:rsidRDefault="000F45A0" w:rsidP="000B0D39">
      <w:pPr>
        <w:pStyle w:val="BodyText"/>
      </w:pPr>
      <w:r>
        <w:t xml:space="preserve">To estimate the </w:t>
      </w:r>
      <w:r w:rsidR="00E23395">
        <w:t>incremental</w:t>
      </w:r>
      <w:r>
        <w:t xml:space="preserve"> </w:t>
      </w:r>
      <w:r w:rsidR="00E23395">
        <w:t>accreditation</w:t>
      </w:r>
      <w:r>
        <w:t xml:space="preserve"> costs incurred under </w:t>
      </w:r>
      <w:r w:rsidR="00254134">
        <w:t>Option 7</w:t>
      </w:r>
      <w:r>
        <w:t xml:space="preserve">, the costs </w:t>
      </w:r>
      <w:r w:rsidR="00E23395">
        <w:t>estimated</w:t>
      </w:r>
      <w:r>
        <w:t xml:space="preserve"> </w:t>
      </w:r>
      <w:r w:rsidR="00E23395">
        <w:t>using the above assumptions</w:t>
      </w:r>
      <w:r w:rsidR="00A625E1">
        <w:t xml:space="preserve"> were compared to the costs of university accreditation under the </w:t>
      </w:r>
      <w:r w:rsidR="00A80F45">
        <w:t>Status Quo</w:t>
      </w:r>
      <w:r w:rsidR="00A625E1">
        <w:t xml:space="preserve"> </w:t>
      </w:r>
      <w:r w:rsidR="00EB743C">
        <w:t>(presented</w:t>
      </w:r>
      <w:r w:rsidR="00A625E1">
        <w:t xml:space="preserve"> in </w:t>
      </w:r>
      <w:r w:rsidR="00A42ED3">
        <w:t>S</w:t>
      </w:r>
      <w:r w:rsidR="00A625E1">
        <w:t xml:space="preserve">ection </w:t>
      </w:r>
      <w:r w:rsidR="00A625E1">
        <w:fldChar w:fldCharType="begin"/>
      </w:r>
      <w:r w:rsidR="00A625E1">
        <w:instrText xml:space="preserve"> REF _Ref172553262 \r \h </w:instrText>
      </w:r>
      <w:r w:rsidR="00A625E1">
        <w:fldChar w:fldCharType="separate"/>
      </w:r>
      <w:r w:rsidR="00F32107">
        <w:t>8.1.2.11</w:t>
      </w:r>
      <w:r w:rsidR="00A625E1">
        <w:fldChar w:fldCharType="end"/>
      </w:r>
      <w:r w:rsidR="00EB743C">
        <w:t>)</w:t>
      </w:r>
      <w:r w:rsidR="00A625E1">
        <w:t>.</w:t>
      </w:r>
    </w:p>
    <w:p w14:paraId="6C5BB658" w14:textId="57DDA07D" w:rsidR="00D81383" w:rsidRDefault="00A625E1" w:rsidP="000B0D39">
      <w:pPr>
        <w:pStyle w:val="BodyText"/>
      </w:pPr>
      <w:bookmarkStart w:id="257" w:name="_Hlk193217928"/>
      <w:r>
        <w:t>I</w:t>
      </w:r>
      <w:r w:rsidR="00D81383">
        <w:t xml:space="preserve">t is estimated that under </w:t>
      </w:r>
      <w:r w:rsidR="009D65B6">
        <w:t>National Registration</w:t>
      </w:r>
      <w:r w:rsidR="00D81383">
        <w:t xml:space="preserve"> the university programs </w:t>
      </w:r>
      <w:r w:rsidR="00566208">
        <w:t xml:space="preserve">collectively </w:t>
      </w:r>
      <w:r w:rsidR="00D81383">
        <w:t>will incur an annualised ten-year FY25 NPV cost</w:t>
      </w:r>
      <w:r w:rsidR="00566208">
        <w:t xml:space="preserve"> estimate</w:t>
      </w:r>
      <w:r w:rsidR="00D81383">
        <w:t xml:space="preserve"> of </w:t>
      </w:r>
      <w:r w:rsidR="00D81383" w:rsidRPr="0024711A">
        <w:t>$</w:t>
      </w:r>
      <w:r w:rsidR="00F1180E">
        <w:t>8,019</w:t>
      </w:r>
      <w:bookmarkEnd w:id="257"/>
      <w:r w:rsidR="00D81383">
        <w:t>.</w:t>
      </w:r>
    </w:p>
    <w:p w14:paraId="2BB8721D" w14:textId="1B264249" w:rsidR="00412172" w:rsidRDefault="0060533A" w:rsidP="0060533A">
      <w:pPr>
        <w:pStyle w:val="Caption"/>
      </w:pPr>
      <w:bookmarkStart w:id="258" w:name="_Hlk172809576"/>
      <w:r>
        <w:t xml:space="preserve">Table </w:t>
      </w:r>
      <w:fldSimple w:instr=" STYLEREF 1 \s ">
        <w:r w:rsidR="00F32107">
          <w:rPr>
            <w:noProof/>
          </w:rPr>
          <w:t>8</w:t>
        </w:r>
      </w:fldSimple>
      <w:r w:rsidR="008944FB">
        <w:t>.</w:t>
      </w:r>
      <w:fldSimple w:instr=" SEQ Table \* ARABIC \s 1 ">
        <w:r w:rsidR="00F32107">
          <w:rPr>
            <w:noProof/>
          </w:rPr>
          <w:t>12</w:t>
        </w:r>
      </w:fldSimple>
      <w:r>
        <w:t>.</w:t>
      </w:r>
      <w:bookmarkEnd w:id="258"/>
      <w:r w:rsidR="003F0CB0">
        <w:t>Ten</w:t>
      </w:r>
      <w:r w:rsidR="00412172">
        <w:t xml:space="preserve">-year NPV of change in accreditation fees under </w:t>
      </w:r>
      <w:r w:rsidR="00A7280E">
        <w:t>Option 7</w:t>
      </w:r>
    </w:p>
    <w:tbl>
      <w:tblPr>
        <w:tblStyle w:val="BodyTable"/>
        <w:tblW w:w="0" w:type="auto"/>
        <w:tblLook w:val="04A0" w:firstRow="1" w:lastRow="0" w:firstColumn="1" w:lastColumn="0" w:noHBand="0" w:noVBand="1"/>
      </w:tblPr>
      <w:tblGrid>
        <w:gridCol w:w="1681"/>
        <w:gridCol w:w="1900"/>
        <w:gridCol w:w="1846"/>
        <w:gridCol w:w="1821"/>
        <w:gridCol w:w="1596"/>
      </w:tblGrid>
      <w:tr w:rsidR="00177F5B" w14:paraId="544419D1" w14:textId="77777777" w:rsidTr="004C18CD">
        <w:trPr>
          <w:cnfStyle w:val="100000000000" w:firstRow="1" w:lastRow="0" w:firstColumn="0" w:lastColumn="0" w:oddVBand="0" w:evenVBand="0" w:oddHBand="0" w:evenHBand="0" w:firstRowFirstColumn="0" w:firstRowLastColumn="0" w:lastRowFirstColumn="0" w:lastRowLastColumn="0"/>
          <w:trHeight w:val="25"/>
        </w:trPr>
        <w:tc>
          <w:tcPr>
            <w:tcW w:w="1681" w:type="dxa"/>
          </w:tcPr>
          <w:p w14:paraId="5DFE8778" w14:textId="77777777" w:rsidR="00177F5B" w:rsidRDefault="00177F5B" w:rsidP="00177F5B">
            <w:pPr>
              <w:spacing w:line="240" w:lineRule="auto"/>
            </w:pPr>
          </w:p>
        </w:tc>
        <w:tc>
          <w:tcPr>
            <w:tcW w:w="1900" w:type="dxa"/>
          </w:tcPr>
          <w:p w14:paraId="671549DB"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7912CCC0" w14:textId="053708AD"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Pr>
          <w:p w14:paraId="0A0C1065"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50D1E132" w14:textId="0E1304E9"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21" w:type="dxa"/>
          </w:tcPr>
          <w:p w14:paraId="344214CA" w14:textId="77777777" w:rsidR="00177F5B" w:rsidRDefault="00177F5B" w:rsidP="00177F5B">
            <w:pPr>
              <w:keepNext/>
              <w:spacing w:line="240" w:lineRule="auto"/>
              <w:ind w:left="113" w:right="113"/>
              <w:jc w:val="right"/>
              <w:rPr>
                <w:b/>
                <w:bCs/>
              </w:rPr>
            </w:pPr>
            <w:r>
              <w:rPr>
                <w:b/>
                <w:bCs/>
              </w:rPr>
              <w:t>Total NPV cost over ten-year period</w:t>
            </w:r>
          </w:p>
          <w:p w14:paraId="41474C6B" w14:textId="55F35DDD"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6" w:type="dxa"/>
          </w:tcPr>
          <w:p w14:paraId="510AC7BB"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55DE8293" w14:textId="221B9459"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F1180E" w14:paraId="2947CE5E" w14:textId="77777777" w:rsidTr="004C18CD">
        <w:trPr>
          <w:trHeight w:val="232"/>
        </w:trPr>
        <w:tc>
          <w:tcPr>
            <w:tcW w:w="1681" w:type="dxa"/>
          </w:tcPr>
          <w:p w14:paraId="539F4DA7" w14:textId="77777777" w:rsidR="00F1180E" w:rsidRDefault="00F1180E" w:rsidP="00F1180E">
            <w:pPr>
              <w:spacing w:line="240" w:lineRule="auto"/>
            </w:pPr>
            <w:r>
              <w:t>FY25 NPV cost</w:t>
            </w:r>
          </w:p>
        </w:tc>
        <w:tc>
          <w:tcPr>
            <w:tcW w:w="1900" w:type="dxa"/>
          </w:tcPr>
          <w:p w14:paraId="2172DAA2" w14:textId="1716D23B" w:rsidR="00F1180E" w:rsidRPr="009E67F2" w:rsidRDefault="00F1180E" w:rsidP="00F1180E">
            <w:pPr>
              <w:spacing w:line="240" w:lineRule="auto"/>
              <w:jc w:val="right"/>
            </w:pPr>
            <w:r w:rsidRPr="00AD272C">
              <w:t xml:space="preserve"> $139,524 </w:t>
            </w:r>
          </w:p>
        </w:tc>
        <w:tc>
          <w:tcPr>
            <w:tcW w:w="1846" w:type="dxa"/>
          </w:tcPr>
          <w:p w14:paraId="4E3A3FF5" w14:textId="618BE83D" w:rsidR="00F1180E" w:rsidRPr="009E67F2" w:rsidRDefault="00F1180E" w:rsidP="00F1180E">
            <w:pPr>
              <w:spacing w:line="240" w:lineRule="auto"/>
              <w:jc w:val="right"/>
            </w:pPr>
            <w:r w:rsidRPr="00AD272C">
              <w:t xml:space="preserve">-$59,338 </w:t>
            </w:r>
          </w:p>
        </w:tc>
        <w:tc>
          <w:tcPr>
            <w:tcW w:w="1821" w:type="dxa"/>
          </w:tcPr>
          <w:p w14:paraId="2BB4824E" w14:textId="4F595EF3" w:rsidR="00F1180E" w:rsidRPr="009E67F2" w:rsidRDefault="00F1180E" w:rsidP="00F1180E">
            <w:pPr>
              <w:spacing w:line="240" w:lineRule="auto"/>
              <w:jc w:val="right"/>
            </w:pPr>
            <w:r w:rsidRPr="00AD272C">
              <w:t xml:space="preserve"> $80,186 </w:t>
            </w:r>
          </w:p>
        </w:tc>
        <w:tc>
          <w:tcPr>
            <w:tcW w:w="1596" w:type="dxa"/>
          </w:tcPr>
          <w:p w14:paraId="46F7BE2E" w14:textId="329C749C" w:rsidR="00F1180E" w:rsidRPr="009E67F2" w:rsidRDefault="00F1180E" w:rsidP="00F1180E">
            <w:pPr>
              <w:spacing w:line="240" w:lineRule="auto"/>
              <w:jc w:val="right"/>
            </w:pPr>
            <w:r w:rsidRPr="00AD272C">
              <w:t xml:space="preserve"> $8,019 </w:t>
            </w:r>
          </w:p>
        </w:tc>
      </w:tr>
    </w:tbl>
    <w:p w14:paraId="4E04F1AF" w14:textId="32989A93" w:rsidR="004C18CD" w:rsidRPr="00514DB4" w:rsidRDefault="00915067" w:rsidP="00067F74">
      <w:pPr>
        <w:pStyle w:val="Heading4"/>
      </w:pPr>
      <w:bookmarkStart w:id="259" w:name="_Ref172742369"/>
      <w:r>
        <w:t>E</w:t>
      </w:r>
      <w:r w:rsidR="004C18CD" w:rsidRPr="004E44B1">
        <w:t>stablishment</w:t>
      </w:r>
      <w:r w:rsidR="004C18CD">
        <w:t xml:space="preserve"> costs</w:t>
      </w:r>
      <w:bookmarkEnd w:id="259"/>
      <w:r>
        <w:t xml:space="preserve"> (Ahpra</w:t>
      </w:r>
      <w:r w:rsidR="004B3865">
        <w:t xml:space="preserve"> and</w:t>
      </w:r>
      <w:r>
        <w:t xml:space="preserve"> HPCA)</w:t>
      </w:r>
    </w:p>
    <w:p w14:paraId="59A368A7" w14:textId="644FDC2E" w:rsidR="00561952" w:rsidRDefault="00561952" w:rsidP="008360A8">
      <w:pPr>
        <w:pStyle w:val="BodyText"/>
      </w:pPr>
      <w:r>
        <w:t xml:space="preserve">Establishment costs for </w:t>
      </w:r>
      <w:r w:rsidR="004B3865">
        <w:t>Ahpra and the HPCA</w:t>
      </w:r>
      <w:r>
        <w:t xml:space="preserve"> are outlined below. </w:t>
      </w:r>
    </w:p>
    <w:p w14:paraId="2FA04D52" w14:textId="08D6DEDC" w:rsidR="00561952" w:rsidRPr="00972F5E" w:rsidRDefault="00561952" w:rsidP="008360A8">
      <w:pPr>
        <w:pStyle w:val="BodyText"/>
        <w:rPr>
          <w:u w:val="single"/>
        </w:rPr>
      </w:pPr>
      <w:r w:rsidRPr="00972F5E">
        <w:rPr>
          <w:u w:val="single"/>
        </w:rPr>
        <w:t>Ahpra</w:t>
      </w:r>
    </w:p>
    <w:p w14:paraId="7D776231" w14:textId="2BEF96E3" w:rsidR="008360A8" w:rsidRDefault="004C18CD" w:rsidP="008360A8">
      <w:pPr>
        <w:pStyle w:val="BodyText"/>
      </w:pPr>
      <w:r>
        <w:t xml:space="preserve">As noted </w:t>
      </w:r>
      <w:r w:rsidR="004C0CB8">
        <w:t>in the mandatory fees section</w:t>
      </w:r>
      <w:r>
        <w:t xml:space="preserve">, </w:t>
      </w:r>
      <w:r w:rsidR="00810D87">
        <w:t xml:space="preserve">ongoing </w:t>
      </w:r>
      <w:r>
        <w:t xml:space="preserve">administrative costs associated with </w:t>
      </w:r>
      <w:r w:rsidR="004C0CB8">
        <w:t>the National Scheme</w:t>
      </w:r>
      <w:r>
        <w:t xml:space="preserve"> </w:t>
      </w:r>
      <w:r w:rsidR="00810D87">
        <w:t xml:space="preserve">are </w:t>
      </w:r>
      <w:r>
        <w:t xml:space="preserve">funded on a cost-recovery basis through registration fees paid by individual practitioners. </w:t>
      </w:r>
      <w:r w:rsidR="005B33F0">
        <w:t xml:space="preserve">Ahpra and the National Boards have no source of funding within the National Scheme to transition a profession into the </w:t>
      </w:r>
      <w:r w:rsidR="00D474B8">
        <w:t>Scheme until the ‘Go-Live</w:t>
      </w:r>
      <w:r w:rsidR="00437DE0">
        <w:t>’ date (where an individual pays their application and registration fees). The transition of other professions (four professions in 2012 and paramedicine in 2018) was successfully completed using seed funding from Government to establish national regulation for these professions</w:t>
      </w:r>
      <w:r>
        <w:t xml:space="preserve">. </w:t>
      </w:r>
    </w:p>
    <w:p w14:paraId="3B8C6112" w14:textId="655830D5" w:rsidR="00FB730C" w:rsidRDefault="008F091B" w:rsidP="00FB730C">
      <w:pPr>
        <w:pStyle w:val="BodyText"/>
      </w:pPr>
      <w:r>
        <w:t xml:space="preserve">As part of the Decision RIS, </w:t>
      </w:r>
      <w:r w:rsidR="00372EF0">
        <w:t>Ahpra provided an</w:t>
      </w:r>
      <w:r w:rsidR="00CC7488">
        <w:t xml:space="preserve"> estimate for seed fun</w:t>
      </w:r>
      <w:r w:rsidR="00F13639">
        <w:t xml:space="preserve">ding </w:t>
      </w:r>
      <w:r w:rsidR="00482AAF">
        <w:t>in the range of $4.3 to $4.5 million</w:t>
      </w:r>
      <w:r w:rsidR="00E62730">
        <w:t xml:space="preserve">, alongside </w:t>
      </w:r>
      <w:r w:rsidR="00DC3781">
        <w:t>the following additional commentar</w:t>
      </w:r>
      <w:r w:rsidR="00226605">
        <w:t>y.</w:t>
      </w:r>
      <w:r w:rsidR="00560404">
        <w:rPr>
          <w:rStyle w:val="FootnoteReference"/>
        </w:rPr>
        <w:footnoteReference w:id="270"/>
      </w:r>
    </w:p>
    <w:p w14:paraId="29829BCD" w14:textId="0C906658" w:rsidR="00882520" w:rsidRPr="00972F5E" w:rsidRDefault="00FB730C" w:rsidP="00882520">
      <w:pPr>
        <w:pStyle w:val="BodyText"/>
        <w:rPr>
          <w:i/>
          <w:iCs/>
        </w:rPr>
      </w:pPr>
      <w:r>
        <w:t>“</w:t>
      </w:r>
      <w:r w:rsidR="00B75BD0" w:rsidRPr="00972F5E">
        <w:rPr>
          <w:i/>
          <w:iCs/>
        </w:rPr>
        <w:t>There would be no asset (or liability) transfer from state and territory registration systems as this is a profession that is self-regulated</w:t>
      </w:r>
      <w:r w:rsidR="00882520" w:rsidRPr="00972F5E">
        <w:rPr>
          <w:i/>
          <w:iCs/>
        </w:rPr>
        <w:t xml:space="preserve">….There are important policy decisions to be resolved that have a direct impact on the likely cost and resources needed for a smooth and successful implementation…This includes: </w:t>
      </w:r>
    </w:p>
    <w:p w14:paraId="19F2A9FB" w14:textId="54C8F433" w:rsidR="00882520" w:rsidRPr="00972F5E" w:rsidRDefault="00882520" w:rsidP="00882520">
      <w:pPr>
        <w:pStyle w:val="BodyText"/>
        <w:rPr>
          <w:i/>
          <w:iCs/>
        </w:rPr>
      </w:pPr>
      <w:r w:rsidRPr="00972F5E">
        <w:rPr>
          <w:i/>
          <w:iCs/>
        </w:rPr>
        <w:t>(a) how the National Board will be constituted (new 9 person board – the smallest currently possible – or amalgamated with other board/s or a new Multi</w:t>
      </w:r>
      <w:r w:rsidR="007A42DC">
        <w:rPr>
          <w:i/>
          <w:iCs/>
        </w:rPr>
        <w:t>-</w:t>
      </w:r>
      <w:r w:rsidRPr="00972F5E">
        <w:rPr>
          <w:i/>
          <w:iCs/>
        </w:rPr>
        <w:t xml:space="preserve">profession board established)  </w:t>
      </w:r>
    </w:p>
    <w:p w14:paraId="7BD78298" w14:textId="6954624E" w:rsidR="00882520" w:rsidRPr="00972F5E" w:rsidRDefault="00882520" w:rsidP="00882520">
      <w:pPr>
        <w:pStyle w:val="BodyText"/>
        <w:rPr>
          <w:i/>
          <w:iCs/>
        </w:rPr>
      </w:pPr>
      <w:r w:rsidRPr="00972F5E">
        <w:rPr>
          <w:i/>
          <w:iCs/>
        </w:rPr>
        <w:t xml:space="preserve">(b) this estimate is provided ahead of the delivery of the Dawson review report which is specifically looking at options for regulation of other (particularly allied health) professions in the scheme – including a tiering system for regulation of professions </w:t>
      </w:r>
    </w:p>
    <w:p w14:paraId="2D437C58" w14:textId="3294C5ED" w:rsidR="00882520" w:rsidRPr="00972F5E" w:rsidRDefault="00882520" w:rsidP="00882520">
      <w:pPr>
        <w:pStyle w:val="BodyText"/>
        <w:rPr>
          <w:i/>
          <w:iCs/>
        </w:rPr>
      </w:pPr>
      <w:r w:rsidRPr="00972F5E">
        <w:rPr>
          <w:i/>
          <w:iCs/>
        </w:rPr>
        <w:t xml:space="preserve">(c) jurisdictions scoping of the audiology workforce (becomes the likely registrant base and impacts on administration of agreed model) and setting up strong professional relationships, communication channels, and an expert group to resolve policy matters and reach the profession, noting it is relatively small and predominantly private sector </w:t>
      </w:r>
    </w:p>
    <w:p w14:paraId="2E9139A0" w14:textId="5845E45C" w:rsidR="00882520" w:rsidRPr="00972F5E" w:rsidRDefault="00882520" w:rsidP="00882520">
      <w:pPr>
        <w:pStyle w:val="BodyText"/>
        <w:rPr>
          <w:i/>
          <w:iCs/>
        </w:rPr>
      </w:pPr>
      <w:r w:rsidRPr="00972F5E">
        <w:rPr>
          <w:i/>
          <w:iCs/>
        </w:rPr>
        <w:t xml:space="preserve">(d) transitional arrangements to bring qualified audiologists into the scheme, including grandparenting arrangements for qualifications, experience and training  </w:t>
      </w:r>
    </w:p>
    <w:p w14:paraId="379D054E" w14:textId="6C4F3CF0" w:rsidR="008360A8" w:rsidRPr="00972F5E" w:rsidRDefault="00882520" w:rsidP="00882520">
      <w:pPr>
        <w:pStyle w:val="BodyText"/>
        <w:rPr>
          <w:i/>
          <w:iCs/>
        </w:rPr>
      </w:pPr>
      <w:r w:rsidRPr="00972F5E">
        <w:rPr>
          <w:i/>
          <w:iCs/>
        </w:rPr>
        <w:t>(e) preferred model for accreditation arrangements and assessment of qualifications that will be accredited and approved as programs of study for registration.</w:t>
      </w:r>
      <w:r w:rsidR="00560404" w:rsidRPr="00972F5E">
        <w:rPr>
          <w:i/>
          <w:iCs/>
        </w:rPr>
        <w:t>”</w:t>
      </w:r>
    </w:p>
    <w:p w14:paraId="04A2FB41" w14:textId="77777777" w:rsidR="00A62381" w:rsidRDefault="00C3783E" w:rsidP="008360A8">
      <w:pPr>
        <w:pStyle w:val="BodyText"/>
      </w:pPr>
      <w:r>
        <w:t>A point estimate of $4.4 million</w:t>
      </w:r>
      <w:r w:rsidR="006605F2">
        <w:t xml:space="preserve"> was utilised as a result</w:t>
      </w:r>
      <w:r w:rsidR="004F2F63">
        <w:t>, timed to be incurred across FY27-FY28</w:t>
      </w:r>
      <w:r w:rsidR="006605F2">
        <w:t xml:space="preserve">. </w:t>
      </w:r>
      <w:r w:rsidR="00D424F6">
        <w:t xml:space="preserve">This cost </w:t>
      </w:r>
      <w:r w:rsidR="00D15677">
        <w:t xml:space="preserve">is based on </w:t>
      </w:r>
      <w:r w:rsidR="00D709A6">
        <w:t xml:space="preserve">the introduction of paramedicine as a template and </w:t>
      </w:r>
      <w:r w:rsidR="00A62381">
        <w:t>includes:</w:t>
      </w:r>
    </w:p>
    <w:p w14:paraId="480EFDF2" w14:textId="77777777" w:rsidR="007F5F77" w:rsidRDefault="007F5F77" w:rsidP="00A62381">
      <w:pPr>
        <w:pStyle w:val="ListBullet"/>
      </w:pPr>
      <w:r>
        <w:t>setting up a 3-person team within Ahpra to lead initial work (6-12 months)</w:t>
      </w:r>
    </w:p>
    <w:p w14:paraId="29B67BD1" w14:textId="77777777" w:rsidR="00E03BE5" w:rsidRDefault="00E03BE5" w:rsidP="00A62381">
      <w:pPr>
        <w:pStyle w:val="ListBullet"/>
      </w:pPr>
      <w:r>
        <w:t>coordination across Ahpra directorates (life of the project)</w:t>
      </w:r>
    </w:p>
    <w:p w14:paraId="19E35048" w14:textId="1AB2FA83" w:rsidR="00D424F6" w:rsidRDefault="00E03BE5" w:rsidP="00EE3AA4">
      <w:pPr>
        <w:pStyle w:val="ListBullet"/>
      </w:pPr>
      <w:r>
        <w:t xml:space="preserve">working with the National Board once appointed over a </w:t>
      </w:r>
      <w:r w:rsidR="009B1CC3">
        <w:t xml:space="preserve">12 month period before the </w:t>
      </w:r>
      <w:r w:rsidR="00E0199B">
        <w:t>‘</w:t>
      </w:r>
      <w:r w:rsidR="009B1CC3">
        <w:t>Go-Live</w:t>
      </w:r>
      <w:r w:rsidR="00E0199B">
        <w:t xml:space="preserve">’ </w:t>
      </w:r>
      <w:r w:rsidR="009B1CC3">
        <w:t>date.</w:t>
      </w:r>
      <w:r w:rsidR="00D424F6">
        <w:t xml:space="preserve"> </w:t>
      </w:r>
    </w:p>
    <w:p w14:paraId="3DC723B7" w14:textId="255A7265" w:rsidR="004C18CD" w:rsidRDefault="006605F2" w:rsidP="008360A8">
      <w:pPr>
        <w:pStyle w:val="BodyText"/>
      </w:pPr>
      <w:r>
        <w:t xml:space="preserve">Conservatively, there is no reduction </w:t>
      </w:r>
      <w:r w:rsidR="0095550A">
        <w:t>in establishment costs estimated from a National Board with multiple professions.</w:t>
      </w:r>
      <w:r w:rsidR="00811751">
        <w:t xml:space="preserve"> </w:t>
      </w:r>
      <w:r w:rsidR="0095550A">
        <w:t xml:space="preserve">This </w:t>
      </w:r>
      <w:r w:rsidR="00DA4CA7">
        <w:t xml:space="preserve">cost </w:t>
      </w:r>
      <w:r w:rsidR="00811751">
        <w:t>would be borne by government</w:t>
      </w:r>
      <w:r w:rsidR="00CA659E">
        <w:t>.</w:t>
      </w:r>
    </w:p>
    <w:p w14:paraId="1D338BB2" w14:textId="48B7EB55" w:rsidR="00561952" w:rsidRPr="00972F5E" w:rsidRDefault="00561952" w:rsidP="008360A8">
      <w:pPr>
        <w:pStyle w:val="BodyText"/>
        <w:rPr>
          <w:u w:val="single"/>
        </w:rPr>
      </w:pPr>
      <w:r w:rsidRPr="00972F5E">
        <w:rPr>
          <w:u w:val="single"/>
        </w:rPr>
        <w:t>NSW HPCA</w:t>
      </w:r>
    </w:p>
    <w:p w14:paraId="1439FE93" w14:textId="1B7C03A9" w:rsidR="00561952" w:rsidRDefault="00561952" w:rsidP="008360A8">
      <w:pPr>
        <w:pStyle w:val="BodyText"/>
      </w:pPr>
      <w:r>
        <w:t>NSW’s HPCA also requires establishment funding for the work of audiology’s Health Professions Council in that jurisdiction.</w:t>
      </w:r>
      <w:r w:rsidR="00677DF9">
        <w:t xml:space="preserve"> </w:t>
      </w:r>
      <w:r w:rsidR="00441D28">
        <w:t xml:space="preserve">For the HPCA, an </w:t>
      </w:r>
      <w:r w:rsidR="00CA659E">
        <w:t>estimate range of $100,000 to $105,000 was provided by the NSW Ministry of Health. A point estimate of $102,500 was utilised</w:t>
      </w:r>
      <w:r w:rsidR="002C6FC8">
        <w:t xml:space="preserve"> as a result</w:t>
      </w:r>
      <w:r w:rsidR="00C85EC5">
        <w:t>, timed to occur in FY28</w:t>
      </w:r>
      <w:r w:rsidR="00CA659E">
        <w:t>. This cost would be borne by the NSW government</w:t>
      </w:r>
      <w:r>
        <w:t>.</w:t>
      </w:r>
    </w:p>
    <w:p w14:paraId="1BB20617" w14:textId="01F833D3" w:rsidR="004C18CD" w:rsidRDefault="00FE3A33" w:rsidP="004E44B1">
      <w:pPr>
        <w:pStyle w:val="Caption"/>
      </w:pPr>
      <w:r>
        <w:t xml:space="preserve">Table </w:t>
      </w:r>
      <w:fldSimple w:instr=" STYLEREF 1 \s ">
        <w:r w:rsidR="00F32107">
          <w:rPr>
            <w:noProof/>
          </w:rPr>
          <w:t>8</w:t>
        </w:r>
      </w:fldSimple>
      <w:r w:rsidR="008944FB">
        <w:t>.</w:t>
      </w:r>
      <w:fldSimple w:instr=" SEQ Table \* ARABIC \s 1 ">
        <w:r w:rsidR="00F32107">
          <w:rPr>
            <w:noProof/>
          </w:rPr>
          <w:t>13</w:t>
        </w:r>
      </w:fldSimple>
      <w:r>
        <w:t xml:space="preserve">. </w:t>
      </w:r>
      <w:r w:rsidR="00F960EE">
        <w:t>Te</w:t>
      </w:r>
      <w:r w:rsidR="004C18CD">
        <w:t xml:space="preserve">n-year NPV of </w:t>
      </w:r>
      <w:r w:rsidR="001358EA">
        <w:t>Ahpra</w:t>
      </w:r>
      <w:r w:rsidR="004C18CD">
        <w:t xml:space="preserve"> </w:t>
      </w:r>
      <w:r w:rsidR="001F5B0B">
        <w:t xml:space="preserve">and HPCA </w:t>
      </w:r>
      <w:r w:rsidR="004C18CD">
        <w:t xml:space="preserve">establishment costs under </w:t>
      </w:r>
      <w:r w:rsidR="001F5B0B">
        <w:t>Option 7</w:t>
      </w:r>
    </w:p>
    <w:tbl>
      <w:tblPr>
        <w:tblStyle w:val="BodyTable"/>
        <w:tblW w:w="0" w:type="auto"/>
        <w:tblLook w:val="04A0" w:firstRow="1" w:lastRow="0" w:firstColumn="1" w:lastColumn="0" w:noHBand="0" w:noVBand="1"/>
      </w:tblPr>
      <w:tblGrid>
        <w:gridCol w:w="1934"/>
        <w:gridCol w:w="1659"/>
        <w:gridCol w:w="1842"/>
        <w:gridCol w:w="1815"/>
        <w:gridCol w:w="1594"/>
      </w:tblGrid>
      <w:tr w:rsidR="00177F5B" w14:paraId="18557558" w14:textId="77777777" w:rsidTr="00177F5B">
        <w:trPr>
          <w:cnfStyle w:val="100000000000" w:firstRow="1" w:lastRow="0" w:firstColumn="0" w:lastColumn="0" w:oddVBand="0" w:evenVBand="0" w:oddHBand="0" w:evenHBand="0" w:firstRowFirstColumn="0" w:firstRowLastColumn="0" w:lastRowFirstColumn="0" w:lastRowLastColumn="0"/>
          <w:trHeight w:val="25"/>
        </w:trPr>
        <w:tc>
          <w:tcPr>
            <w:tcW w:w="1934" w:type="dxa"/>
          </w:tcPr>
          <w:p w14:paraId="17A05555" w14:textId="77777777" w:rsidR="00177F5B" w:rsidRDefault="00177F5B" w:rsidP="00177F5B">
            <w:pPr>
              <w:spacing w:line="240" w:lineRule="auto"/>
            </w:pPr>
          </w:p>
        </w:tc>
        <w:tc>
          <w:tcPr>
            <w:tcW w:w="1659" w:type="dxa"/>
          </w:tcPr>
          <w:p w14:paraId="65D4F58B"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1305E5EE" w14:textId="6830350A"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2" w:type="dxa"/>
          </w:tcPr>
          <w:p w14:paraId="3936F545"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4DA725D8" w14:textId="0F30FC60"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15" w:type="dxa"/>
          </w:tcPr>
          <w:p w14:paraId="17F1B3B2" w14:textId="77777777" w:rsidR="00177F5B" w:rsidRDefault="00177F5B" w:rsidP="00177F5B">
            <w:pPr>
              <w:keepNext/>
              <w:spacing w:line="240" w:lineRule="auto"/>
              <w:ind w:left="113" w:right="113"/>
              <w:jc w:val="right"/>
              <w:rPr>
                <w:b/>
                <w:bCs/>
              </w:rPr>
            </w:pPr>
            <w:r>
              <w:rPr>
                <w:b/>
                <w:bCs/>
              </w:rPr>
              <w:t>Total NPV cost over ten-year period</w:t>
            </w:r>
          </w:p>
          <w:p w14:paraId="292C9B57" w14:textId="7BA80F8A"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4" w:type="dxa"/>
          </w:tcPr>
          <w:p w14:paraId="5A0F931E"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30506C3F" w14:textId="3FC97F9F"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B40590" w14:paraId="35782C94" w14:textId="77777777" w:rsidTr="00177F5B">
        <w:trPr>
          <w:trHeight w:val="232"/>
        </w:trPr>
        <w:tc>
          <w:tcPr>
            <w:tcW w:w="1934" w:type="dxa"/>
          </w:tcPr>
          <w:p w14:paraId="21837D3F" w14:textId="3031BB06" w:rsidR="00B40590" w:rsidRDefault="00B40590" w:rsidP="00B40590">
            <w:pPr>
              <w:spacing w:line="240" w:lineRule="auto"/>
            </w:pPr>
            <w:r>
              <w:t>Ahpra establishment costs FY25 NPV cost</w:t>
            </w:r>
          </w:p>
        </w:tc>
        <w:tc>
          <w:tcPr>
            <w:tcW w:w="1659" w:type="dxa"/>
          </w:tcPr>
          <w:p w14:paraId="4C68B047" w14:textId="7EE09ADC" w:rsidR="00B40590" w:rsidRPr="009E67F2" w:rsidRDefault="00B40590" w:rsidP="00B40590">
            <w:pPr>
              <w:spacing w:line="240" w:lineRule="auto"/>
              <w:jc w:val="right"/>
            </w:pPr>
            <w:r w:rsidRPr="002E5BF2">
              <w:t xml:space="preserve"> $3,594,001 </w:t>
            </w:r>
          </w:p>
        </w:tc>
        <w:tc>
          <w:tcPr>
            <w:tcW w:w="1842" w:type="dxa"/>
          </w:tcPr>
          <w:p w14:paraId="673F7E30" w14:textId="09A1E748" w:rsidR="00B40590" w:rsidRPr="009E67F2" w:rsidRDefault="00B40590" w:rsidP="00B40590">
            <w:pPr>
              <w:spacing w:line="240" w:lineRule="auto"/>
              <w:jc w:val="right"/>
            </w:pPr>
            <w:r w:rsidRPr="002E5BF2">
              <w:t xml:space="preserve"> $-   </w:t>
            </w:r>
          </w:p>
        </w:tc>
        <w:tc>
          <w:tcPr>
            <w:tcW w:w="1815" w:type="dxa"/>
          </w:tcPr>
          <w:p w14:paraId="09D8F4F2" w14:textId="2332644A" w:rsidR="00B40590" w:rsidRPr="009E67F2" w:rsidRDefault="00B40590" w:rsidP="00B40590">
            <w:pPr>
              <w:spacing w:line="240" w:lineRule="auto"/>
              <w:jc w:val="right"/>
            </w:pPr>
            <w:r w:rsidRPr="002E5BF2">
              <w:t xml:space="preserve"> $3,594,001 </w:t>
            </w:r>
          </w:p>
        </w:tc>
        <w:tc>
          <w:tcPr>
            <w:tcW w:w="1594" w:type="dxa"/>
          </w:tcPr>
          <w:p w14:paraId="6339A4E7" w14:textId="5F3E2806" w:rsidR="00B40590" w:rsidRPr="009E67F2" w:rsidRDefault="00B40590" w:rsidP="00B40590">
            <w:pPr>
              <w:spacing w:line="240" w:lineRule="auto"/>
              <w:jc w:val="right"/>
            </w:pPr>
            <w:r w:rsidRPr="002E5BF2">
              <w:t xml:space="preserve"> $359,400 </w:t>
            </w:r>
          </w:p>
        </w:tc>
      </w:tr>
      <w:tr w:rsidR="0016785B" w14:paraId="376491D8" w14:textId="77777777" w:rsidTr="00177F5B">
        <w:trPr>
          <w:trHeight w:val="232"/>
        </w:trPr>
        <w:tc>
          <w:tcPr>
            <w:tcW w:w="1934" w:type="dxa"/>
          </w:tcPr>
          <w:p w14:paraId="5E52EA81" w14:textId="6E925068" w:rsidR="0016785B" w:rsidRDefault="0016785B" w:rsidP="0016785B">
            <w:pPr>
              <w:spacing w:line="240" w:lineRule="auto"/>
            </w:pPr>
            <w:r>
              <w:t>HPCA establishment costs - FY25 NPV cost</w:t>
            </w:r>
          </w:p>
        </w:tc>
        <w:tc>
          <w:tcPr>
            <w:tcW w:w="1659" w:type="dxa"/>
          </w:tcPr>
          <w:p w14:paraId="2DFB2E4E" w14:textId="7E23AB00" w:rsidR="0016785B" w:rsidRPr="00BA20C8" w:rsidRDefault="0016785B" w:rsidP="0016785B">
            <w:pPr>
              <w:spacing w:line="240" w:lineRule="auto"/>
              <w:jc w:val="right"/>
            </w:pPr>
            <w:r w:rsidRPr="00080F30">
              <w:t xml:space="preserve"> $80,893 </w:t>
            </w:r>
          </w:p>
        </w:tc>
        <w:tc>
          <w:tcPr>
            <w:tcW w:w="1842" w:type="dxa"/>
          </w:tcPr>
          <w:p w14:paraId="182C3F34" w14:textId="39641DB4" w:rsidR="0016785B" w:rsidRPr="00BA20C8" w:rsidRDefault="0016785B" w:rsidP="0016785B">
            <w:pPr>
              <w:spacing w:line="240" w:lineRule="auto"/>
              <w:jc w:val="right"/>
            </w:pPr>
            <w:r w:rsidRPr="00080F30">
              <w:t xml:space="preserve"> $-   </w:t>
            </w:r>
          </w:p>
        </w:tc>
        <w:tc>
          <w:tcPr>
            <w:tcW w:w="1815" w:type="dxa"/>
          </w:tcPr>
          <w:p w14:paraId="748171B3" w14:textId="50D46239" w:rsidR="0016785B" w:rsidRPr="00BA20C8" w:rsidRDefault="0016785B" w:rsidP="0016785B">
            <w:pPr>
              <w:spacing w:line="240" w:lineRule="auto"/>
              <w:jc w:val="right"/>
            </w:pPr>
            <w:r w:rsidRPr="00080F30">
              <w:t xml:space="preserve"> $80,893 </w:t>
            </w:r>
          </w:p>
        </w:tc>
        <w:tc>
          <w:tcPr>
            <w:tcW w:w="1594" w:type="dxa"/>
          </w:tcPr>
          <w:p w14:paraId="24F3C8A1" w14:textId="7EC90AC1" w:rsidR="0016785B" w:rsidRPr="00BA20C8" w:rsidRDefault="0016785B" w:rsidP="0016785B">
            <w:pPr>
              <w:spacing w:line="240" w:lineRule="auto"/>
              <w:jc w:val="right"/>
            </w:pPr>
            <w:r w:rsidRPr="00080F30">
              <w:t xml:space="preserve"> $8,089 </w:t>
            </w:r>
          </w:p>
        </w:tc>
      </w:tr>
    </w:tbl>
    <w:p w14:paraId="283BDEA4" w14:textId="77777777" w:rsidR="004C18CD" w:rsidRPr="00505D4B" w:rsidRDefault="004C18CD" w:rsidP="004C18CD"/>
    <w:p w14:paraId="1BD904E2" w14:textId="2C7C0307" w:rsidR="004C18CD" w:rsidRPr="006C4B68" w:rsidRDefault="004C18CD" w:rsidP="00067F74">
      <w:pPr>
        <w:pStyle w:val="Heading4"/>
      </w:pPr>
      <w:bookmarkStart w:id="260" w:name="_Ref171091749"/>
      <w:r>
        <w:t xml:space="preserve">Change in compensation </w:t>
      </w:r>
      <w:r w:rsidRPr="004E44B1">
        <w:t>claims</w:t>
      </w:r>
      <w:r>
        <w:t xml:space="preserve"> and reputational harm for government services and agencies</w:t>
      </w:r>
      <w:bookmarkEnd w:id="260"/>
    </w:p>
    <w:p w14:paraId="585CE06A" w14:textId="25ACFD70" w:rsidR="004C18CD" w:rsidRPr="005E2A02" w:rsidRDefault="0016785B" w:rsidP="00A85E31">
      <w:pPr>
        <w:pStyle w:val="BodyText"/>
      </w:pPr>
      <w:r>
        <w:t>Option 7</w:t>
      </w:r>
      <w:r w:rsidR="004C18CD">
        <w:t xml:space="preserve"> will not eliminate substandard care, however it may minimise the incidence of substandard care. It is not possible to estimate the volume and severity of avoided cases of substandard care under </w:t>
      </w:r>
      <w:r>
        <w:t>Option 7</w:t>
      </w:r>
      <w:r w:rsidR="004C18CD">
        <w:t xml:space="preserve">. To this end, the change in compensation claims attributable to </w:t>
      </w:r>
      <w:r w:rsidR="009D65B6">
        <w:t>National Registration</w:t>
      </w:r>
      <w:r w:rsidR="001D74AC">
        <w:t xml:space="preserve"> </w:t>
      </w:r>
      <w:r w:rsidR="004C18CD">
        <w:t>is not valued.</w:t>
      </w:r>
    </w:p>
    <w:p w14:paraId="7E1A190C" w14:textId="4E49D0E5" w:rsidR="004C18CD" w:rsidRPr="00B65DA9" w:rsidRDefault="004C18CD" w:rsidP="0074679D">
      <w:pPr>
        <w:pStyle w:val="Heading4"/>
      </w:pPr>
      <w:r w:rsidRPr="00A85E31">
        <w:t>Implementation</w:t>
      </w:r>
      <w:r>
        <w:t xml:space="preserve"> cost for </w:t>
      </w:r>
      <w:r w:rsidR="004B3865">
        <w:t>policy work and legislative change</w:t>
      </w:r>
    </w:p>
    <w:p w14:paraId="00786342" w14:textId="2EA786E5" w:rsidR="004C18CD" w:rsidRDefault="004B3865" w:rsidP="00A85E31">
      <w:pPr>
        <w:pStyle w:val="BodyText"/>
      </w:pPr>
      <w:r>
        <w:t xml:space="preserve">Ahead of Ahpra’s involvement in the transition of audiology into the National Scheme, there is a range of policy and legislative work that would be required to be </w:t>
      </w:r>
      <w:r w:rsidR="005D50C4">
        <w:t xml:space="preserve">undertaken by </w:t>
      </w:r>
      <w:r w:rsidR="00E006FE">
        <w:t>jurisdictions</w:t>
      </w:r>
      <w:r w:rsidR="002333E3">
        <w:t xml:space="preserve">. </w:t>
      </w:r>
      <w:bookmarkStart w:id="261" w:name="_Hlk193261164"/>
      <w:r w:rsidR="002333E3">
        <w:t>There was considerable uncertainty regarding costs associated with policy work</w:t>
      </w:r>
      <w:r w:rsidR="00FE27C3">
        <w:t xml:space="preserve"> (including stakeholder views that </w:t>
      </w:r>
      <w:r w:rsidR="0053569F">
        <w:t>this type of work</w:t>
      </w:r>
      <w:r w:rsidR="00FE27C3">
        <w:t xml:space="preserve"> is considered part of business-as-usual costs)</w:t>
      </w:r>
      <w:r w:rsidR="00C854E6">
        <w:t xml:space="preserve">, however an estimate of </w:t>
      </w:r>
      <w:r w:rsidR="008249B6">
        <w:t xml:space="preserve">$1,000,000 occurring in </w:t>
      </w:r>
      <w:r w:rsidR="000F2CAE">
        <w:t>FY2026 was utilised</w:t>
      </w:r>
      <w:bookmarkEnd w:id="261"/>
      <w:r w:rsidR="000F2CAE">
        <w:t>.</w:t>
      </w:r>
      <w:r w:rsidR="00416FE4">
        <w:t xml:space="preserve"> Regarding legislative changes required to include the</w:t>
      </w:r>
      <w:r w:rsidR="004C18CD" w:rsidRPr="00DC4815">
        <w:t xml:space="preserve"> </w:t>
      </w:r>
      <w:r w:rsidR="004C18CD">
        <w:t xml:space="preserve">audiology </w:t>
      </w:r>
      <w:r w:rsidR="004C18CD" w:rsidRPr="00DC4815">
        <w:t xml:space="preserve">profession </w:t>
      </w:r>
      <w:r w:rsidR="00416FE4">
        <w:t xml:space="preserve">in the National Law, the current </w:t>
      </w:r>
      <w:r w:rsidR="004C18CD">
        <w:t>NRAS Complexity Review is expected to result in changes to the National Law</w:t>
      </w:r>
      <w:r w:rsidR="004C18CD" w:rsidRPr="00DC4815">
        <w:t xml:space="preserve">. </w:t>
      </w:r>
      <w:r w:rsidR="00416FE4">
        <w:t>Hence,</w:t>
      </w:r>
      <w:r w:rsidR="00416FE4" w:rsidRPr="00DC4815">
        <w:t xml:space="preserve"> </w:t>
      </w:r>
      <w:r w:rsidR="00416FE4">
        <w:t xml:space="preserve">changes may be able to </w:t>
      </w:r>
      <w:r w:rsidR="003825B6">
        <w:t>be packaged together in order to minimise costs. This cost would be borne by government.</w:t>
      </w:r>
    </w:p>
    <w:p w14:paraId="13600156" w14:textId="7F6AF4B5" w:rsidR="00295D5A" w:rsidRDefault="00295D5A" w:rsidP="00972F5E">
      <w:pPr>
        <w:pStyle w:val="Caption"/>
        <w:keepNext/>
      </w:pPr>
      <w:r>
        <w:t xml:space="preserve">Table </w:t>
      </w:r>
      <w:fldSimple w:instr=" STYLEREF 1 \s ">
        <w:r w:rsidR="00F32107">
          <w:rPr>
            <w:noProof/>
          </w:rPr>
          <w:t>8</w:t>
        </w:r>
      </w:fldSimple>
      <w:r w:rsidR="008944FB">
        <w:t>.</w:t>
      </w:r>
      <w:fldSimple w:instr=" SEQ Table \* ARABIC \s 1 ">
        <w:r w:rsidR="00F32107">
          <w:rPr>
            <w:noProof/>
          </w:rPr>
          <w:t>14</w:t>
        </w:r>
      </w:fldSimple>
      <w:r>
        <w:t>. Ten-year NPV of policy work and legislative change under Option 7</w:t>
      </w:r>
    </w:p>
    <w:tbl>
      <w:tblPr>
        <w:tblStyle w:val="BodyTable"/>
        <w:tblW w:w="0" w:type="auto"/>
        <w:tblLook w:val="04A0" w:firstRow="1" w:lastRow="0" w:firstColumn="1" w:lastColumn="0" w:noHBand="0" w:noVBand="1"/>
      </w:tblPr>
      <w:tblGrid>
        <w:gridCol w:w="1934"/>
        <w:gridCol w:w="1659"/>
        <w:gridCol w:w="1842"/>
        <w:gridCol w:w="1815"/>
        <w:gridCol w:w="1594"/>
      </w:tblGrid>
      <w:tr w:rsidR="00295D5A" w14:paraId="5F958BAB" w14:textId="77777777" w:rsidTr="00F26291">
        <w:trPr>
          <w:cnfStyle w:val="100000000000" w:firstRow="1" w:lastRow="0" w:firstColumn="0" w:lastColumn="0" w:oddVBand="0" w:evenVBand="0" w:oddHBand="0" w:evenHBand="0" w:firstRowFirstColumn="0" w:firstRowLastColumn="0" w:lastRowFirstColumn="0" w:lastRowLastColumn="0"/>
          <w:trHeight w:val="25"/>
        </w:trPr>
        <w:tc>
          <w:tcPr>
            <w:tcW w:w="1934" w:type="dxa"/>
          </w:tcPr>
          <w:p w14:paraId="651FEACD" w14:textId="77777777" w:rsidR="00295D5A" w:rsidRDefault="00295D5A" w:rsidP="00972F5E">
            <w:pPr>
              <w:keepNext/>
              <w:spacing w:line="240" w:lineRule="auto"/>
            </w:pPr>
          </w:p>
        </w:tc>
        <w:tc>
          <w:tcPr>
            <w:tcW w:w="1659" w:type="dxa"/>
          </w:tcPr>
          <w:p w14:paraId="147F9AE9" w14:textId="77777777" w:rsidR="00295D5A" w:rsidRPr="006A1D83" w:rsidRDefault="00295D5A" w:rsidP="00295D5A">
            <w:pPr>
              <w:keepNext/>
              <w:spacing w:line="240" w:lineRule="auto"/>
              <w:ind w:left="113" w:right="113"/>
              <w:jc w:val="right"/>
              <w:rPr>
                <w:b/>
                <w:bCs/>
              </w:rPr>
            </w:pPr>
            <w:r w:rsidRPr="006A1D83">
              <w:rPr>
                <w:b/>
                <w:bCs/>
              </w:rPr>
              <w:t>Total NPV cost in establishment year</w:t>
            </w:r>
            <w:r>
              <w:rPr>
                <w:b/>
                <w:bCs/>
              </w:rPr>
              <w:t>s</w:t>
            </w:r>
          </w:p>
          <w:p w14:paraId="7E66875A" w14:textId="77777777" w:rsidR="00295D5A" w:rsidRPr="006A1D83" w:rsidRDefault="00295D5A" w:rsidP="00972F5E">
            <w:pPr>
              <w:keepNext/>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2" w:type="dxa"/>
          </w:tcPr>
          <w:p w14:paraId="3E637611" w14:textId="77777777" w:rsidR="00295D5A" w:rsidRPr="006A1D83" w:rsidRDefault="00295D5A" w:rsidP="00295D5A">
            <w:pPr>
              <w:keepNext/>
              <w:spacing w:line="240" w:lineRule="auto"/>
              <w:ind w:left="113" w:right="113"/>
              <w:jc w:val="right"/>
              <w:rPr>
                <w:b/>
                <w:bCs/>
              </w:rPr>
            </w:pPr>
            <w:r w:rsidRPr="006A1D83">
              <w:rPr>
                <w:b/>
                <w:bCs/>
              </w:rPr>
              <w:t>Total NPV cost in operational years</w:t>
            </w:r>
          </w:p>
          <w:p w14:paraId="08B53316" w14:textId="77777777" w:rsidR="00295D5A" w:rsidRPr="006A1D83" w:rsidRDefault="00295D5A" w:rsidP="00972F5E">
            <w:pPr>
              <w:keepNext/>
              <w:spacing w:line="240" w:lineRule="auto"/>
              <w:ind w:left="113" w:right="113"/>
              <w:jc w:val="right"/>
              <w:rPr>
                <w:b/>
                <w:bCs/>
              </w:rPr>
            </w:pPr>
            <w:r w:rsidRPr="006A1D83">
              <w:rPr>
                <w:b/>
                <w:bCs/>
              </w:rPr>
              <w:t>(</w:t>
            </w:r>
            <w:r>
              <w:rPr>
                <w:b/>
                <w:bCs/>
              </w:rPr>
              <w:t>FY29-34</w:t>
            </w:r>
            <w:r w:rsidRPr="006A1D83">
              <w:rPr>
                <w:b/>
                <w:bCs/>
              </w:rPr>
              <w:t>)</w:t>
            </w:r>
          </w:p>
        </w:tc>
        <w:tc>
          <w:tcPr>
            <w:tcW w:w="1815" w:type="dxa"/>
          </w:tcPr>
          <w:p w14:paraId="2A757C5B" w14:textId="77777777" w:rsidR="00295D5A" w:rsidRDefault="00295D5A" w:rsidP="00295D5A">
            <w:pPr>
              <w:keepNext/>
              <w:spacing w:line="240" w:lineRule="auto"/>
              <w:ind w:left="113" w:right="113"/>
              <w:jc w:val="right"/>
              <w:rPr>
                <w:b/>
                <w:bCs/>
              </w:rPr>
            </w:pPr>
            <w:r>
              <w:rPr>
                <w:b/>
                <w:bCs/>
              </w:rPr>
              <w:t>Total NPV cost over ten-year period</w:t>
            </w:r>
          </w:p>
          <w:p w14:paraId="78306CB9" w14:textId="77777777" w:rsidR="00295D5A" w:rsidRPr="006A1D83" w:rsidRDefault="00295D5A" w:rsidP="00972F5E">
            <w:pPr>
              <w:keepNext/>
              <w:spacing w:line="240" w:lineRule="auto"/>
              <w:ind w:left="113" w:right="113"/>
              <w:jc w:val="right"/>
              <w:rPr>
                <w:b/>
                <w:bCs/>
              </w:rPr>
            </w:pPr>
            <w:r w:rsidRPr="006A1D83">
              <w:rPr>
                <w:b/>
                <w:bCs/>
              </w:rPr>
              <w:t>(</w:t>
            </w:r>
            <w:r>
              <w:rPr>
                <w:b/>
                <w:bCs/>
              </w:rPr>
              <w:t>FY25-34</w:t>
            </w:r>
            <w:r w:rsidRPr="006A1D83">
              <w:rPr>
                <w:b/>
                <w:bCs/>
              </w:rPr>
              <w:t>)</w:t>
            </w:r>
          </w:p>
        </w:tc>
        <w:tc>
          <w:tcPr>
            <w:tcW w:w="1594" w:type="dxa"/>
          </w:tcPr>
          <w:p w14:paraId="74C7E1DA" w14:textId="77777777" w:rsidR="00295D5A" w:rsidRPr="006A1D83" w:rsidRDefault="00295D5A" w:rsidP="00295D5A">
            <w:pPr>
              <w:keepNext/>
              <w:spacing w:line="240" w:lineRule="auto"/>
              <w:ind w:left="113" w:right="113"/>
              <w:jc w:val="right"/>
              <w:rPr>
                <w:b/>
                <w:bCs/>
              </w:rPr>
            </w:pPr>
            <w:r w:rsidRPr="006A1D83">
              <w:rPr>
                <w:b/>
                <w:bCs/>
              </w:rPr>
              <w:t>Annualised NPV cost over ten-year period</w:t>
            </w:r>
          </w:p>
          <w:p w14:paraId="333050B9" w14:textId="77777777" w:rsidR="00295D5A" w:rsidRPr="006A1D83" w:rsidRDefault="00295D5A" w:rsidP="00972F5E">
            <w:pPr>
              <w:keepNext/>
              <w:spacing w:line="240" w:lineRule="auto"/>
              <w:ind w:left="113" w:right="113"/>
              <w:jc w:val="right"/>
              <w:rPr>
                <w:b/>
                <w:bCs/>
              </w:rPr>
            </w:pPr>
            <w:r w:rsidRPr="006A1D83">
              <w:rPr>
                <w:b/>
                <w:bCs/>
              </w:rPr>
              <w:t>(</w:t>
            </w:r>
            <w:r>
              <w:rPr>
                <w:b/>
                <w:bCs/>
              </w:rPr>
              <w:t>FY25-34</w:t>
            </w:r>
            <w:r w:rsidRPr="006A1D83">
              <w:rPr>
                <w:b/>
                <w:bCs/>
              </w:rPr>
              <w:t>)</w:t>
            </w:r>
          </w:p>
        </w:tc>
      </w:tr>
      <w:tr w:rsidR="003C085E" w14:paraId="59DB843A" w14:textId="77777777" w:rsidTr="00F26291">
        <w:trPr>
          <w:trHeight w:val="232"/>
        </w:trPr>
        <w:tc>
          <w:tcPr>
            <w:tcW w:w="1934" w:type="dxa"/>
          </w:tcPr>
          <w:p w14:paraId="071BFD62" w14:textId="4B42C256" w:rsidR="003C085E" w:rsidRDefault="003C085E" w:rsidP="00972F5E">
            <w:pPr>
              <w:keepNext/>
              <w:spacing w:line="240" w:lineRule="auto"/>
            </w:pPr>
            <w:r>
              <w:t>Policy work and legislative change FY25 NPV cost</w:t>
            </w:r>
          </w:p>
        </w:tc>
        <w:tc>
          <w:tcPr>
            <w:tcW w:w="1659" w:type="dxa"/>
          </w:tcPr>
          <w:p w14:paraId="57D45F68" w14:textId="19B4BFC4" w:rsidR="003C085E" w:rsidRPr="009E67F2" w:rsidRDefault="003C085E" w:rsidP="00972F5E">
            <w:pPr>
              <w:keepNext/>
              <w:spacing w:line="240" w:lineRule="auto"/>
              <w:jc w:val="right"/>
            </w:pPr>
            <w:r w:rsidRPr="007423A3">
              <w:t xml:space="preserve"> $903,534 </w:t>
            </w:r>
          </w:p>
        </w:tc>
        <w:tc>
          <w:tcPr>
            <w:tcW w:w="1842" w:type="dxa"/>
          </w:tcPr>
          <w:p w14:paraId="095D0B93" w14:textId="462D8BB5" w:rsidR="003C085E" w:rsidRPr="009E67F2" w:rsidRDefault="003C085E" w:rsidP="00972F5E">
            <w:pPr>
              <w:keepNext/>
              <w:spacing w:line="240" w:lineRule="auto"/>
              <w:jc w:val="right"/>
            </w:pPr>
            <w:r w:rsidRPr="007423A3">
              <w:t xml:space="preserve"> $-   </w:t>
            </w:r>
          </w:p>
        </w:tc>
        <w:tc>
          <w:tcPr>
            <w:tcW w:w="1815" w:type="dxa"/>
          </w:tcPr>
          <w:p w14:paraId="5191C45E" w14:textId="5C557FDC" w:rsidR="003C085E" w:rsidRPr="009E67F2" w:rsidRDefault="003C085E" w:rsidP="00972F5E">
            <w:pPr>
              <w:keepNext/>
              <w:spacing w:line="240" w:lineRule="auto"/>
              <w:jc w:val="right"/>
            </w:pPr>
            <w:r w:rsidRPr="007423A3">
              <w:t xml:space="preserve"> $903,534 </w:t>
            </w:r>
          </w:p>
        </w:tc>
        <w:tc>
          <w:tcPr>
            <w:tcW w:w="1594" w:type="dxa"/>
          </w:tcPr>
          <w:p w14:paraId="60272C4E" w14:textId="57170458" w:rsidR="003C085E" w:rsidRPr="009E67F2" w:rsidRDefault="003C085E" w:rsidP="00972F5E">
            <w:pPr>
              <w:keepNext/>
              <w:spacing w:line="240" w:lineRule="auto"/>
              <w:jc w:val="right"/>
            </w:pPr>
            <w:r w:rsidRPr="007423A3">
              <w:t xml:space="preserve"> $90,353 </w:t>
            </w:r>
          </w:p>
        </w:tc>
      </w:tr>
    </w:tbl>
    <w:p w14:paraId="362E706B" w14:textId="77777777" w:rsidR="003825B6" w:rsidRDefault="003825B6" w:rsidP="00A85E31">
      <w:pPr>
        <w:pStyle w:val="BodyText"/>
      </w:pPr>
    </w:p>
    <w:p w14:paraId="72DBB57A" w14:textId="517B40F9" w:rsidR="0074679D" w:rsidRPr="0074679D" w:rsidRDefault="0074679D" w:rsidP="00067F74">
      <w:pPr>
        <w:pStyle w:val="Heading4"/>
      </w:pPr>
      <w:bookmarkStart w:id="262" w:name="_Ref172621278"/>
      <w:r w:rsidRPr="0074679D">
        <w:t>Competition and labour market impacts</w:t>
      </w:r>
      <w:bookmarkEnd w:id="262"/>
    </w:p>
    <w:p w14:paraId="1E602C90" w14:textId="64064B57" w:rsidR="00871644" w:rsidRDefault="00981DA8" w:rsidP="000E0790">
      <w:pPr>
        <w:pStyle w:val="BodyText"/>
      </w:pPr>
      <w:r>
        <w:t xml:space="preserve">Competition and labour market impacts due to </w:t>
      </w:r>
      <w:r w:rsidR="009D65B6">
        <w:t>National Registration</w:t>
      </w:r>
      <w:r w:rsidR="003C511B">
        <w:t xml:space="preserve"> were canvassed with stakeholders as part of Consultation </w:t>
      </w:r>
      <w:r w:rsidR="008E2BB4">
        <w:t xml:space="preserve">Phase </w:t>
      </w:r>
      <w:r w:rsidR="003C511B">
        <w:t xml:space="preserve">2. Overall, there was substantial disagreement on the direction of </w:t>
      </w:r>
      <w:r w:rsidR="002C068E">
        <w:t>labour market impacts to audiologists relative to audiometrists</w:t>
      </w:r>
      <w:r w:rsidR="003C511B">
        <w:t xml:space="preserve">, and </w:t>
      </w:r>
      <w:r w:rsidR="00933EE3">
        <w:t xml:space="preserve">stakeholders spoke of factors under the </w:t>
      </w:r>
      <w:r w:rsidR="008E2BB4">
        <w:t>Status Quo</w:t>
      </w:r>
      <w:r w:rsidR="00933EE3">
        <w:t xml:space="preserve"> which are likely to impact </w:t>
      </w:r>
      <w:r w:rsidR="001A7EC3">
        <w:t>both competition and labour market impacts</w:t>
      </w:r>
      <w:r w:rsidR="00933EE3">
        <w:t>.</w:t>
      </w:r>
      <w:r w:rsidR="00C30832">
        <w:t xml:space="preserve"> </w:t>
      </w:r>
      <w:r w:rsidR="00933EE3">
        <w:t xml:space="preserve">Briefly, stakeholder observations of </w:t>
      </w:r>
      <w:r w:rsidR="00C30832">
        <w:t>potential impacts</w:t>
      </w:r>
      <w:r w:rsidR="00933EE3">
        <w:t xml:space="preserve"> included:</w:t>
      </w:r>
    </w:p>
    <w:p w14:paraId="2F208055" w14:textId="4B77FCFE" w:rsidR="00871644" w:rsidRDefault="00D74D56" w:rsidP="00871644">
      <w:pPr>
        <w:pStyle w:val="ListBullet"/>
      </w:pPr>
      <w:r>
        <w:t>i</w:t>
      </w:r>
      <w:r w:rsidR="00981DA8">
        <w:t>ncreased ongoing regulatory costs lead to workforce substitution of audiologists for audiometrists</w:t>
      </w:r>
      <w:r w:rsidR="00D252F9">
        <w:t xml:space="preserve"> in private sector adult rehabilitation</w:t>
      </w:r>
    </w:p>
    <w:p w14:paraId="18407A93" w14:textId="77777777" w:rsidR="00C30832" w:rsidRDefault="00D74D56" w:rsidP="00871644">
      <w:pPr>
        <w:pStyle w:val="ListBullet"/>
      </w:pPr>
      <w:r>
        <w:t>o</w:t>
      </w:r>
      <w:r w:rsidR="00D252F9">
        <w:t xml:space="preserve">ngoing professional tension between audiologists and audiometrists working in private sector adult rehabilitation </w:t>
      </w:r>
      <w:r w:rsidR="001A7EC3">
        <w:t>lead to reduced consumer confidence in audiometrist services</w:t>
      </w:r>
    </w:p>
    <w:p w14:paraId="79BA920B" w14:textId="5C59ACED" w:rsidR="00981DA8" w:rsidRDefault="00DC6BF4" w:rsidP="00972F5E">
      <w:pPr>
        <w:pStyle w:val="ListBullet"/>
      </w:pPr>
      <w:r>
        <w:t>increased ongoing regulatory costs for audiologists leads to price increases for consumers or withdrawal of services</w:t>
      </w:r>
      <w:r w:rsidR="001A7EC3">
        <w:t xml:space="preserve">. </w:t>
      </w:r>
    </w:p>
    <w:p w14:paraId="46613B79" w14:textId="78C4939C" w:rsidR="00CB5EB9" w:rsidRPr="000E38E1" w:rsidRDefault="00EF7567" w:rsidP="000E0790">
      <w:pPr>
        <w:pStyle w:val="BodyText"/>
      </w:pPr>
      <w:r>
        <w:t xml:space="preserve">Please refer to Section </w:t>
      </w:r>
      <w:r>
        <w:fldChar w:fldCharType="begin"/>
      </w:r>
      <w:r>
        <w:instrText xml:space="preserve"> REF _Ref172805562 \r \h </w:instrText>
      </w:r>
      <w:r>
        <w:fldChar w:fldCharType="separate"/>
      </w:r>
      <w:r w:rsidR="00F32107">
        <w:t>9.2.4</w:t>
      </w:r>
      <w:r>
        <w:fldChar w:fldCharType="end"/>
      </w:r>
      <w:r>
        <w:t xml:space="preserve"> for further discussion of these risks.</w:t>
      </w:r>
    </w:p>
    <w:p w14:paraId="2B184829" w14:textId="5C068148" w:rsidR="004C18CD" w:rsidRDefault="004C18CD" w:rsidP="00CE51A1">
      <w:pPr>
        <w:pStyle w:val="Heading3"/>
      </w:pPr>
      <w:bookmarkStart w:id="263" w:name="_Ref170287813"/>
      <w:bookmarkStart w:id="264" w:name="_Toc171324787"/>
      <w:bookmarkStart w:id="265" w:name="_Toc198138640"/>
      <w:r w:rsidRPr="00CE51A1">
        <w:t>Summary</w:t>
      </w:r>
      <w:r>
        <w:t xml:space="preserve"> of incremental impact analysis</w:t>
      </w:r>
      <w:bookmarkEnd w:id="263"/>
      <w:bookmarkEnd w:id="264"/>
      <w:bookmarkEnd w:id="265"/>
    </w:p>
    <w:p w14:paraId="5D9511E7" w14:textId="56C8A67F" w:rsidR="004C18CD" w:rsidRDefault="004C18CD" w:rsidP="00CE51A1">
      <w:pPr>
        <w:pStyle w:val="BodyText"/>
      </w:pPr>
      <w:r>
        <w:t xml:space="preserve">The table below summarises incremental impacts of </w:t>
      </w:r>
      <w:r w:rsidR="00E21983">
        <w:t>Option 7</w:t>
      </w:r>
      <w:r>
        <w:t xml:space="preserve"> relative to the </w:t>
      </w:r>
      <w:r w:rsidR="00A80F45">
        <w:t>Status Quo</w:t>
      </w:r>
      <w:r>
        <w:t>.</w:t>
      </w:r>
    </w:p>
    <w:p w14:paraId="3ADCAFEC" w14:textId="65548518" w:rsidR="004C18CD" w:rsidRDefault="00FE3A33" w:rsidP="00EE3AA4">
      <w:pPr>
        <w:pStyle w:val="Caption"/>
        <w:keepNext/>
      </w:pPr>
      <w:r>
        <w:t xml:space="preserve">Table </w:t>
      </w:r>
      <w:fldSimple w:instr=" STYLEREF 1 \s ">
        <w:r w:rsidR="00F32107">
          <w:rPr>
            <w:noProof/>
          </w:rPr>
          <w:t>8</w:t>
        </w:r>
      </w:fldSimple>
      <w:r w:rsidR="008944FB">
        <w:t>.</w:t>
      </w:r>
      <w:fldSimple w:instr=" SEQ Table \* ARABIC \s 1 ">
        <w:r w:rsidR="00F32107">
          <w:rPr>
            <w:noProof/>
          </w:rPr>
          <w:t>15</w:t>
        </w:r>
      </w:fldSimple>
      <w:r>
        <w:t xml:space="preserve">. </w:t>
      </w:r>
      <w:r w:rsidR="004C18CD">
        <w:t xml:space="preserve">Summary of costs and benefits of </w:t>
      </w:r>
      <w:r w:rsidR="007237A5">
        <w:t>Option 7</w:t>
      </w:r>
      <w:r w:rsidR="00C6719D">
        <w:t xml:space="preserve"> relative to the </w:t>
      </w:r>
      <w:r w:rsidR="00A80F45">
        <w:t>Status Quo</w:t>
      </w:r>
      <w:r w:rsidR="004C18CD">
        <w:t xml:space="preserve"> </w:t>
      </w:r>
    </w:p>
    <w:tbl>
      <w:tblPr>
        <w:tblStyle w:val="BodyTable"/>
        <w:tblW w:w="9356" w:type="dxa"/>
        <w:tblLook w:val="04A0" w:firstRow="1" w:lastRow="0" w:firstColumn="1" w:lastColumn="0" w:noHBand="0" w:noVBand="1"/>
      </w:tblPr>
      <w:tblGrid>
        <w:gridCol w:w="2393"/>
        <w:gridCol w:w="1132"/>
        <w:gridCol w:w="5831"/>
      </w:tblGrid>
      <w:tr w:rsidR="00410D5C" w14:paraId="58262F54" w14:textId="77777777" w:rsidTr="00410D5C">
        <w:trPr>
          <w:cnfStyle w:val="100000000000" w:firstRow="1" w:lastRow="0" w:firstColumn="0" w:lastColumn="0" w:oddVBand="0" w:evenVBand="0" w:oddHBand="0" w:evenHBand="0" w:firstRowFirstColumn="0" w:firstRowLastColumn="0" w:lastRowFirstColumn="0" w:lastRowLastColumn="0"/>
          <w:tblHeader/>
        </w:trPr>
        <w:tc>
          <w:tcPr>
            <w:tcW w:w="2393" w:type="dxa"/>
          </w:tcPr>
          <w:p w14:paraId="30A4F97D" w14:textId="77777777" w:rsidR="00410D5C" w:rsidRPr="00715CC3" w:rsidRDefault="00410D5C">
            <w:pPr>
              <w:ind w:left="113" w:right="113"/>
              <w:rPr>
                <w:b/>
              </w:rPr>
            </w:pPr>
            <w:r w:rsidRPr="00715CC3">
              <w:rPr>
                <w:b/>
              </w:rPr>
              <w:t>Impact</w:t>
            </w:r>
          </w:p>
        </w:tc>
        <w:tc>
          <w:tcPr>
            <w:tcW w:w="1132" w:type="dxa"/>
          </w:tcPr>
          <w:p w14:paraId="4403ED54" w14:textId="77777777" w:rsidR="00410D5C" w:rsidRPr="00715CC3" w:rsidRDefault="00410D5C">
            <w:pPr>
              <w:ind w:left="113" w:right="113"/>
              <w:rPr>
                <w:b/>
              </w:rPr>
            </w:pPr>
            <w:r w:rsidRPr="00715CC3">
              <w:rPr>
                <w:b/>
                <w:bCs/>
              </w:rPr>
              <w:t xml:space="preserve">Benefit or </w:t>
            </w:r>
            <w:r>
              <w:rPr>
                <w:b/>
                <w:bCs/>
              </w:rPr>
              <w:t>c</w:t>
            </w:r>
            <w:r w:rsidRPr="00715CC3">
              <w:rPr>
                <w:b/>
                <w:bCs/>
              </w:rPr>
              <w:t>ost</w:t>
            </w:r>
          </w:p>
        </w:tc>
        <w:tc>
          <w:tcPr>
            <w:tcW w:w="5831" w:type="dxa"/>
          </w:tcPr>
          <w:p w14:paraId="65B47CD7" w14:textId="77777777" w:rsidR="00410D5C" w:rsidRPr="00715CC3" w:rsidRDefault="00410D5C">
            <w:pPr>
              <w:ind w:left="113" w:right="113"/>
              <w:rPr>
                <w:b/>
              </w:rPr>
            </w:pPr>
            <w:r w:rsidRPr="00715CC3">
              <w:rPr>
                <w:b/>
                <w:bCs/>
              </w:rPr>
              <w:t>Key takeaway</w:t>
            </w:r>
          </w:p>
        </w:tc>
      </w:tr>
      <w:tr w:rsidR="00410D5C" w14:paraId="313BB084" w14:textId="77777777" w:rsidTr="00410D5C">
        <w:tc>
          <w:tcPr>
            <w:tcW w:w="9356" w:type="dxa"/>
            <w:gridSpan w:val="3"/>
            <w:shd w:val="clear" w:color="auto" w:fill="F1F2F2" w:themeFill="background2"/>
          </w:tcPr>
          <w:p w14:paraId="4BF28095" w14:textId="5777A120" w:rsidR="00410D5C" w:rsidRDefault="00410D5C">
            <w:pPr>
              <w:ind w:left="113" w:right="113"/>
            </w:pPr>
            <w:r w:rsidRPr="00F811E2">
              <w:t xml:space="preserve">Economic </w:t>
            </w:r>
            <w:r w:rsidR="00BD6A6D">
              <w:t>and</w:t>
            </w:r>
            <w:r w:rsidRPr="00F811E2">
              <w:t xml:space="preserve"> social impact </w:t>
            </w:r>
            <w:r w:rsidR="00BD6A6D">
              <w:t>of harm minimisation</w:t>
            </w:r>
          </w:p>
        </w:tc>
      </w:tr>
      <w:tr w:rsidR="00BD6A6D" w14:paraId="4F0C2510" w14:textId="77777777" w:rsidTr="00BD6A6D">
        <w:tc>
          <w:tcPr>
            <w:tcW w:w="2393" w:type="dxa"/>
          </w:tcPr>
          <w:p w14:paraId="260CC98B" w14:textId="0FB94C87" w:rsidR="00BD6A6D" w:rsidRPr="009438D4" w:rsidRDefault="00BD6A6D" w:rsidP="00BD6A6D">
            <w:pPr>
              <w:ind w:left="113" w:right="113"/>
            </w:pPr>
            <w:r>
              <w:t xml:space="preserve">Change in social and economic outcomes with substandard care </w:t>
            </w:r>
          </w:p>
        </w:tc>
        <w:tc>
          <w:tcPr>
            <w:tcW w:w="1132" w:type="dxa"/>
            <w:shd w:val="clear" w:color="auto" w:fill="E6F3D9" w:themeFill="accent2" w:themeFillTint="33"/>
          </w:tcPr>
          <w:p w14:paraId="539CA9F8" w14:textId="1077C79F" w:rsidR="00BD6A6D" w:rsidRDefault="00BD6A6D" w:rsidP="00BD6A6D">
            <w:pPr>
              <w:ind w:left="113" w:right="113"/>
            </w:pPr>
            <w:r>
              <w:t>Benefit</w:t>
            </w:r>
          </w:p>
        </w:tc>
        <w:tc>
          <w:tcPr>
            <w:tcW w:w="5831" w:type="dxa"/>
          </w:tcPr>
          <w:p w14:paraId="3C316C15" w14:textId="52B98F17" w:rsidR="00BD6A6D" w:rsidRDefault="00BD6A6D" w:rsidP="00BD6A6D">
            <w:pPr>
              <w:ind w:left="113" w:right="113"/>
            </w:pPr>
            <w:r>
              <w:t xml:space="preserve">Relative to the </w:t>
            </w:r>
            <w:r w:rsidR="00A80F45">
              <w:t>Status Quo</w:t>
            </w:r>
            <w:r>
              <w:t xml:space="preserve">, </w:t>
            </w:r>
            <w:r w:rsidR="008358A9">
              <w:t>Option 7</w:t>
            </w:r>
            <w:r w:rsidRPr="00371510">
              <w:t xml:space="preserve"> is expected to </w:t>
            </w:r>
            <w:r>
              <w:t xml:space="preserve">reduce the incidence of substandard care and avoid the associated social and economic costs for patients, families/carers and government, such </w:t>
            </w:r>
            <w:r w:rsidR="003A19B9">
              <w:t>as</w:t>
            </w:r>
            <w:r>
              <w:t xml:space="preserve"> </w:t>
            </w:r>
            <w:r w:rsidR="003A19B9">
              <w:t>adverse</w:t>
            </w:r>
            <w:r>
              <w:t xml:space="preserve"> quality of life impacts, </w:t>
            </w:r>
            <w:r w:rsidR="003A19B9">
              <w:t xml:space="preserve">adverse </w:t>
            </w:r>
            <w:r>
              <w:t xml:space="preserve">productivity impacts, out of pocket costs and increased </w:t>
            </w:r>
            <w:r w:rsidR="006046ED">
              <w:t>utilisation</w:t>
            </w:r>
            <w:r>
              <w:t xml:space="preserve"> of health and social services.</w:t>
            </w:r>
          </w:p>
        </w:tc>
      </w:tr>
      <w:tr w:rsidR="00BD553F" w14:paraId="5A3E20C6" w14:textId="77777777" w:rsidTr="00BD6A6D">
        <w:tc>
          <w:tcPr>
            <w:tcW w:w="2393" w:type="dxa"/>
          </w:tcPr>
          <w:p w14:paraId="309ACA00" w14:textId="33B33A1A" w:rsidR="00BD553F" w:rsidRPr="004B465A" w:rsidRDefault="00BD553F" w:rsidP="00D912C5">
            <w:pPr>
              <w:ind w:left="113" w:right="113"/>
            </w:pPr>
            <w:r>
              <w:t xml:space="preserve">Change in consumer understanding of </w:t>
            </w:r>
            <w:r w:rsidR="000211F9">
              <w:t>audiologists and audiometrists</w:t>
            </w:r>
          </w:p>
        </w:tc>
        <w:tc>
          <w:tcPr>
            <w:tcW w:w="1132" w:type="dxa"/>
            <w:shd w:val="clear" w:color="auto" w:fill="E6F3D9" w:themeFill="accent2" w:themeFillTint="33"/>
          </w:tcPr>
          <w:p w14:paraId="3D443B17" w14:textId="4B298FCA" w:rsidR="00BD553F" w:rsidRDefault="00BD553F" w:rsidP="00D912C5">
            <w:pPr>
              <w:ind w:left="113" w:right="113"/>
            </w:pPr>
            <w:r>
              <w:t>Benefit</w:t>
            </w:r>
          </w:p>
        </w:tc>
        <w:tc>
          <w:tcPr>
            <w:tcW w:w="5831" w:type="dxa"/>
          </w:tcPr>
          <w:p w14:paraId="7D9BBA11" w14:textId="16FA3A76" w:rsidR="00BD553F" w:rsidRDefault="00092207" w:rsidP="00D912C5">
            <w:pPr>
              <w:ind w:left="113" w:right="113"/>
            </w:pPr>
            <w:r w:rsidRPr="00092207">
              <w:t>Protection of title for audiologists under National Law and a public register of registered practitioners is expected to raise consumer understanding of the qualifications of the person providing care</w:t>
            </w:r>
            <w:r w:rsidR="00E92AF5">
              <w:t>, reducing instances of substandard care attributable to market information asymmetries</w:t>
            </w:r>
            <w:r w:rsidRPr="00092207">
              <w:t>.</w:t>
            </w:r>
          </w:p>
        </w:tc>
      </w:tr>
      <w:tr w:rsidR="00BD553F" w14:paraId="02F2F810" w14:textId="77777777" w:rsidTr="00BD6A6D">
        <w:tc>
          <w:tcPr>
            <w:tcW w:w="2393" w:type="dxa"/>
          </w:tcPr>
          <w:p w14:paraId="374B5EE7" w14:textId="3D1E58F6" w:rsidR="00BD553F" w:rsidRPr="004B465A" w:rsidRDefault="00BD553F" w:rsidP="00D912C5">
            <w:pPr>
              <w:ind w:left="113" w:right="113"/>
            </w:pPr>
            <w:r>
              <w:t>Change in out-of-pocket costs associated with use of</w:t>
            </w:r>
            <w:r w:rsidR="00092207">
              <w:t xml:space="preserve"> private providers without </w:t>
            </w:r>
            <w:r w:rsidR="000211F9">
              <w:t xml:space="preserve">current clinical </w:t>
            </w:r>
            <w:r w:rsidR="00092207">
              <w:t>certification</w:t>
            </w:r>
            <w:r>
              <w:t xml:space="preserve"> </w:t>
            </w:r>
          </w:p>
        </w:tc>
        <w:tc>
          <w:tcPr>
            <w:tcW w:w="1132" w:type="dxa"/>
            <w:shd w:val="clear" w:color="auto" w:fill="E6F3D9" w:themeFill="accent2" w:themeFillTint="33"/>
          </w:tcPr>
          <w:p w14:paraId="6184852E" w14:textId="55A4D6C0" w:rsidR="00BD553F" w:rsidRDefault="00BD553F" w:rsidP="00D912C5">
            <w:pPr>
              <w:ind w:left="113" w:right="113"/>
            </w:pPr>
            <w:r>
              <w:t>Benefit</w:t>
            </w:r>
          </w:p>
        </w:tc>
        <w:tc>
          <w:tcPr>
            <w:tcW w:w="5831" w:type="dxa"/>
          </w:tcPr>
          <w:p w14:paraId="33F61791" w14:textId="6FFD39DC" w:rsidR="00BD553F" w:rsidRDefault="00711DD7" w:rsidP="00D912C5">
            <w:pPr>
              <w:ind w:left="113" w:right="113"/>
            </w:pPr>
            <w:r w:rsidRPr="00711DD7">
              <w:t>Given that registration will be mandatory to practice as an audiologist, Option 7 is expected to reduce Status Quo out-of-pocket costs incurred by patients and families/carers associated with provision of services by private sector audiologists, as audiologists will be more likely to meet the regulatory requirements to claim funding</w:t>
            </w:r>
            <w:r>
              <w:t>.</w:t>
            </w:r>
          </w:p>
        </w:tc>
      </w:tr>
      <w:tr w:rsidR="00F872C3" w14:paraId="1398621D" w14:textId="77777777" w:rsidTr="00BD6A6D">
        <w:tc>
          <w:tcPr>
            <w:tcW w:w="2393" w:type="dxa"/>
          </w:tcPr>
          <w:p w14:paraId="65B523D7" w14:textId="65974866" w:rsidR="00F872C3" w:rsidRDefault="00F872C3" w:rsidP="00F872C3">
            <w:pPr>
              <w:ind w:left="113" w:right="113"/>
            </w:pPr>
            <w:r w:rsidRPr="004B465A">
              <w:t>Change in compensation claims and reputational harm</w:t>
            </w:r>
          </w:p>
        </w:tc>
        <w:tc>
          <w:tcPr>
            <w:tcW w:w="1132" w:type="dxa"/>
            <w:shd w:val="clear" w:color="auto" w:fill="E6F3D9" w:themeFill="accent2" w:themeFillTint="33"/>
          </w:tcPr>
          <w:p w14:paraId="712CE231" w14:textId="77C15DFF" w:rsidR="00F872C3" w:rsidRDefault="00F872C3" w:rsidP="00F872C3">
            <w:pPr>
              <w:ind w:left="113" w:right="113"/>
            </w:pPr>
            <w:r>
              <w:t>Benefit</w:t>
            </w:r>
          </w:p>
        </w:tc>
        <w:tc>
          <w:tcPr>
            <w:tcW w:w="5831" w:type="dxa"/>
          </w:tcPr>
          <w:p w14:paraId="61EE7200" w14:textId="60A1AF4C" w:rsidR="00F872C3" w:rsidRDefault="007237A5" w:rsidP="00F872C3">
            <w:pPr>
              <w:ind w:left="113" w:right="113"/>
            </w:pPr>
            <w:r>
              <w:t>Option 7</w:t>
            </w:r>
            <w:r w:rsidR="00F872C3">
              <w:t xml:space="preserve"> is expected to minimise instances of</w:t>
            </w:r>
            <w:r w:rsidR="00F872C3" w:rsidRPr="00CD088A">
              <w:t xml:space="preserve"> substandard care </w:t>
            </w:r>
            <w:r w:rsidR="00F872C3">
              <w:t xml:space="preserve">that could result in compensation claims and reputation harm to the employer. </w:t>
            </w:r>
          </w:p>
        </w:tc>
      </w:tr>
      <w:tr w:rsidR="00BD6A6D" w14:paraId="31F7FD17" w14:textId="77777777" w:rsidTr="00BD6A6D">
        <w:tc>
          <w:tcPr>
            <w:tcW w:w="9356" w:type="dxa"/>
            <w:gridSpan w:val="3"/>
            <w:shd w:val="clear" w:color="auto" w:fill="F2F2F2" w:themeFill="background1" w:themeFillShade="F2"/>
          </w:tcPr>
          <w:p w14:paraId="08CCC040" w14:textId="484DD81F" w:rsidR="00BD6A6D" w:rsidRDefault="00BD6A6D">
            <w:pPr>
              <w:ind w:left="113" w:right="113"/>
            </w:pPr>
            <w:r w:rsidRPr="00F811E2">
              <w:t>Economic or social impact due to other regulatory function</w:t>
            </w:r>
          </w:p>
        </w:tc>
      </w:tr>
      <w:tr w:rsidR="00410D5C" w14:paraId="3168B8B7" w14:textId="77777777" w:rsidTr="008D346B">
        <w:tc>
          <w:tcPr>
            <w:tcW w:w="2393" w:type="dxa"/>
          </w:tcPr>
          <w:p w14:paraId="59EF905E" w14:textId="77777777" w:rsidR="00410D5C" w:rsidRPr="009438D4" w:rsidRDefault="00410D5C">
            <w:pPr>
              <w:ind w:left="113" w:right="113"/>
            </w:pPr>
            <w:r w:rsidRPr="009438D4">
              <w:t>Change in time costs associated with CPD</w:t>
            </w:r>
          </w:p>
        </w:tc>
        <w:tc>
          <w:tcPr>
            <w:tcW w:w="1132" w:type="dxa"/>
            <w:shd w:val="clear" w:color="auto" w:fill="FECECE"/>
          </w:tcPr>
          <w:p w14:paraId="56824CE0" w14:textId="77777777" w:rsidR="00410D5C" w:rsidRDefault="00410D5C">
            <w:pPr>
              <w:ind w:left="113" w:right="113"/>
            </w:pPr>
            <w:r>
              <w:t>Cost</w:t>
            </w:r>
          </w:p>
        </w:tc>
        <w:tc>
          <w:tcPr>
            <w:tcW w:w="5831" w:type="dxa"/>
          </w:tcPr>
          <w:p w14:paraId="5FCC0856" w14:textId="0532EB87" w:rsidR="00410D5C" w:rsidRDefault="00410D5C">
            <w:pPr>
              <w:ind w:left="113" w:right="113"/>
            </w:pPr>
            <w:r>
              <w:t>T</w:t>
            </w:r>
            <w:r w:rsidRPr="00327B69">
              <w:t xml:space="preserve">he increase in CPD time costs associated with </w:t>
            </w:r>
            <w:r w:rsidR="00FA1A6E">
              <w:t>Option 7</w:t>
            </w:r>
            <w:r w:rsidRPr="00327B69">
              <w:t xml:space="preserve"> is likely to be marginal for those with current clinical certification, at an increase of approximately </w:t>
            </w:r>
            <w:r>
              <w:t>five</w:t>
            </w:r>
            <w:r w:rsidRPr="00327B69">
              <w:t xml:space="preserve"> hours per annum</w:t>
            </w:r>
            <w:r>
              <w:t xml:space="preserve">. </w:t>
            </w:r>
            <w:r w:rsidR="00370623">
              <w:t xml:space="preserve">Overall, for the profession this </w:t>
            </w:r>
            <w:r>
              <w:t xml:space="preserve">equates to a ten-year annualised FY25 NPV </w:t>
            </w:r>
            <w:r w:rsidR="00AD319A">
              <w:t>cost</w:t>
            </w:r>
            <w:r>
              <w:t xml:space="preserve"> of </w:t>
            </w:r>
            <w:r w:rsidR="00370623" w:rsidRPr="00370623">
              <w:t xml:space="preserve">$871,739 </w:t>
            </w:r>
            <w:r>
              <w:t>across the profession</w:t>
            </w:r>
            <w:r w:rsidR="00AD319A">
              <w:t>, borne by employers</w:t>
            </w:r>
            <w:r>
              <w:t>.</w:t>
            </w:r>
          </w:p>
        </w:tc>
      </w:tr>
      <w:tr w:rsidR="00410D5C" w14:paraId="7EEAF284" w14:textId="77777777" w:rsidTr="00BB34E8">
        <w:tc>
          <w:tcPr>
            <w:tcW w:w="2393" w:type="dxa"/>
          </w:tcPr>
          <w:p w14:paraId="1983066C" w14:textId="5A27514C" w:rsidR="00410D5C" w:rsidRPr="009A06D7" w:rsidRDefault="00410D5C">
            <w:pPr>
              <w:ind w:left="113" w:right="113"/>
            </w:pPr>
            <w:r w:rsidRPr="009A06D7">
              <w:t xml:space="preserve">Change in </w:t>
            </w:r>
            <w:r w:rsidR="00955D03">
              <w:t xml:space="preserve">audiologist </w:t>
            </w:r>
            <w:r w:rsidRPr="009A06D7">
              <w:t>psychological harm from delivery of substandard care</w:t>
            </w:r>
          </w:p>
        </w:tc>
        <w:tc>
          <w:tcPr>
            <w:tcW w:w="1132" w:type="dxa"/>
            <w:shd w:val="clear" w:color="auto" w:fill="E6F3D9" w:themeFill="accent2" w:themeFillTint="33"/>
          </w:tcPr>
          <w:p w14:paraId="529A0AB7" w14:textId="20BF0763" w:rsidR="00410D5C" w:rsidRDefault="00BB34E8">
            <w:pPr>
              <w:ind w:left="113" w:right="113"/>
            </w:pPr>
            <w:r>
              <w:t>Benefit</w:t>
            </w:r>
          </w:p>
        </w:tc>
        <w:tc>
          <w:tcPr>
            <w:tcW w:w="5831" w:type="dxa"/>
          </w:tcPr>
          <w:p w14:paraId="7A99F222" w14:textId="0D824FEB" w:rsidR="00410D5C" w:rsidRDefault="00974A84">
            <w:pPr>
              <w:ind w:left="113"/>
            </w:pPr>
            <w:r>
              <w:t>Over</w:t>
            </w:r>
            <w:r w:rsidR="00410D5C">
              <w:t xml:space="preserve"> the </w:t>
            </w:r>
            <w:r>
              <w:t xml:space="preserve">ten-year </w:t>
            </w:r>
            <w:r w:rsidR="00410D5C">
              <w:t>evaluation period</w:t>
            </w:r>
            <w:r>
              <w:t>,</w:t>
            </w:r>
            <w:r w:rsidR="00410D5C">
              <w:t xml:space="preserve"> psychological harm to audiologists may increase due to increased notifications. However, over the long term there may be a reduction in outlier causes of audiologists providing multiple instances of substandard care over a prolonged period</w:t>
            </w:r>
            <w:r w:rsidR="0064367C">
              <w:t xml:space="preserve">, </w:t>
            </w:r>
            <w:r w:rsidR="001E6B5F">
              <w:t xml:space="preserve">reducing </w:t>
            </w:r>
            <w:r w:rsidR="001952CF">
              <w:t xml:space="preserve">audiologist </w:t>
            </w:r>
            <w:r w:rsidR="001E6B5F">
              <w:t xml:space="preserve">psychological harm and the associated </w:t>
            </w:r>
            <w:r w:rsidR="001952CF">
              <w:t>productivity impacts.</w:t>
            </w:r>
          </w:p>
        </w:tc>
      </w:tr>
      <w:tr w:rsidR="00410D5C" w14:paraId="1C1737C2" w14:textId="77777777" w:rsidTr="008D346B">
        <w:tc>
          <w:tcPr>
            <w:tcW w:w="2393" w:type="dxa"/>
          </w:tcPr>
          <w:p w14:paraId="1666AF03" w14:textId="77777777" w:rsidR="00410D5C" w:rsidRPr="00D9585F" w:rsidRDefault="00410D5C">
            <w:pPr>
              <w:ind w:left="113" w:right="113"/>
            </w:pPr>
            <w:r w:rsidRPr="00D9585F">
              <w:t xml:space="preserve">Change in </w:t>
            </w:r>
            <w:r>
              <w:t>audiologist concern associated with raising substandard care issues</w:t>
            </w:r>
          </w:p>
        </w:tc>
        <w:tc>
          <w:tcPr>
            <w:tcW w:w="1132" w:type="dxa"/>
            <w:shd w:val="clear" w:color="auto" w:fill="E6F3D9" w:themeFill="accent2" w:themeFillTint="33"/>
          </w:tcPr>
          <w:p w14:paraId="7C54BFB5" w14:textId="77777777" w:rsidR="00410D5C" w:rsidRDefault="00410D5C">
            <w:pPr>
              <w:ind w:left="113" w:right="113"/>
            </w:pPr>
            <w:r>
              <w:t>Benefit</w:t>
            </w:r>
          </w:p>
        </w:tc>
        <w:tc>
          <w:tcPr>
            <w:tcW w:w="5831" w:type="dxa"/>
          </w:tcPr>
          <w:p w14:paraId="5A4B76BE" w14:textId="5C66D7CD" w:rsidR="00410D5C" w:rsidRDefault="00410D5C">
            <w:pPr>
              <w:ind w:left="113" w:right="113"/>
            </w:pPr>
            <w:r>
              <w:t xml:space="preserve">Stakeholders raised concerns that under the </w:t>
            </w:r>
            <w:r w:rsidR="00A80F45">
              <w:t>Status Quo</w:t>
            </w:r>
            <w:r>
              <w:t xml:space="preserve"> there is witnessing of harms associated with financial conflicts of interest, perceived lack of ability for current regulatory mechanisms to address issues of business practice, and fear of financial harm associated with raising complaints of unsafe or unethical practice. </w:t>
            </w:r>
            <w:r w:rsidR="005B6BB7">
              <w:t xml:space="preserve">Option 7 </w:t>
            </w:r>
            <w:r>
              <w:t xml:space="preserve">is expected to </w:t>
            </w:r>
            <w:r w:rsidR="00CB31D9">
              <w:t>reduce</w:t>
            </w:r>
            <w:r>
              <w:t xml:space="preserve"> these concerns due to </w:t>
            </w:r>
            <w:r w:rsidR="00CB31D9">
              <w:t xml:space="preserve">powers of </w:t>
            </w:r>
            <w:r>
              <w:t>notifier protections</w:t>
            </w:r>
            <w:r w:rsidR="00CB31D9">
              <w:t xml:space="preserve"> and</w:t>
            </w:r>
            <w:r>
              <w:t xml:space="preserve"> mandatory notifications.</w:t>
            </w:r>
          </w:p>
        </w:tc>
      </w:tr>
      <w:tr w:rsidR="00410D5C" w14:paraId="07D98413" w14:textId="77777777" w:rsidTr="008D346B">
        <w:tc>
          <w:tcPr>
            <w:tcW w:w="2393" w:type="dxa"/>
          </w:tcPr>
          <w:p w14:paraId="41C2D40F" w14:textId="4824C04E" w:rsidR="00410D5C" w:rsidRPr="00D9585F" w:rsidRDefault="00410D5C">
            <w:pPr>
              <w:ind w:left="113" w:right="113"/>
            </w:pPr>
            <w:r w:rsidRPr="00CF20A5">
              <w:t xml:space="preserve">Change in </w:t>
            </w:r>
            <w:r w:rsidR="00047320">
              <w:t>eligibility assessment time</w:t>
            </w:r>
            <w:r w:rsidRPr="00CF20A5">
              <w:t xml:space="preserve"> costs</w:t>
            </w:r>
            <w:r w:rsidR="00DF0471">
              <w:t xml:space="preserve"> for public sector employers</w:t>
            </w:r>
          </w:p>
        </w:tc>
        <w:tc>
          <w:tcPr>
            <w:tcW w:w="1132" w:type="dxa"/>
            <w:shd w:val="clear" w:color="auto" w:fill="E6F3D9" w:themeFill="accent2" w:themeFillTint="33"/>
          </w:tcPr>
          <w:p w14:paraId="6A4E2155" w14:textId="77777777" w:rsidR="00410D5C" w:rsidRDefault="00410D5C">
            <w:pPr>
              <w:ind w:left="113" w:right="113"/>
            </w:pPr>
            <w:r>
              <w:t>Benefit</w:t>
            </w:r>
          </w:p>
        </w:tc>
        <w:tc>
          <w:tcPr>
            <w:tcW w:w="5831" w:type="dxa"/>
          </w:tcPr>
          <w:p w14:paraId="5261AA92" w14:textId="3616B991" w:rsidR="00410D5C" w:rsidRDefault="00410D5C">
            <w:pPr>
              <w:ind w:left="113"/>
            </w:pPr>
            <w:r>
              <w:t xml:space="preserve">Under the </w:t>
            </w:r>
            <w:r w:rsidR="00A80F45">
              <w:t>Status Quo</w:t>
            </w:r>
            <w:r>
              <w:t xml:space="preserve">, public sector audiology hiring managers face time costs associated with confirming audiologist eligibility. The avoided annualised ten-year FY25 NPV </w:t>
            </w:r>
            <w:r w:rsidR="00FB5CFF">
              <w:t xml:space="preserve">cost </w:t>
            </w:r>
            <w:r>
              <w:t xml:space="preserve">of employer eligibility assessment time costs associated with </w:t>
            </w:r>
            <w:r w:rsidR="00352FB2">
              <w:t>Option 7</w:t>
            </w:r>
            <w:r>
              <w:t xml:space="preserve"> is </w:t>
            </w:r>
            <w:r w:rsidR="00352FB2" w:rsidRPr="00352FB2">
              <w:t>$</w:t>
            </w:r>
            <w:r w:rsidR="001E1ADB" w:rsidRPr="001E1ADB">
              <w:t>14,267</w:t>
            </w:r>
            <w:r>
              <w:t>.</w:t>
            </w:r>
          </w:p>
        </w:tc>
      </w:tr>
      <w:tr w:rsidR="00410D5C" w14:paraId="2B128CD0" w14:textId="77777777" w:rsidTr="008D346B">
        <w:tc>
          <w:tcPr>
            <w:tcW w:w="2393" w:type="dxa"/>
          </w:tcPr>
          <w:p w14:paraId="3EAC88FF" w14:textId="77777777" w:rsidR="00410D5C" w:rsidRPr="00CF20A5" w:rsidRDefault="00410D5C">
            <w:pPr>
              <w:ind w:left="113" w:right="113"/>
            </w:pPr>
            <w:r w:rsidRPr="00391112">
              <w:t>Change in availability of workforce data</w:t>
            </w:r>
          </w:p>
        </w:tc>
        <w:tc>
          <w:tcPr>
            <w:tcW w:w="1132" w:type="dxa"/>
            <w:shd w:val="clear" w:color="auto" w:fill="E6F3D9" w:themeFill="accent2" w:themeFillTint="33"/>
          </w:tcPr>
          <w:p w14:paraId="7C106C09" w14:textId="77777777" w:rsidR="00410D5C" w:rsidRDefault="00410D5C">
            <w:pPr>
              <w:ind w:left="113" w:right="113"/>
            </w:pPr>
            <w:r>
              <w:t>Benefit</w:t>
            </w:r>
          </w:p>
        </w:tc>
        <w:tc>
          <w:tcPr>
            <w:tcW w:w="5831" w:type="dxa"/>
          </w:tcPr>
          <w:p w14:paraId="1D0D8776" w14:textId="5F88A6E0" w:rsidR="00410D5C" w:rsidRDefault="00410D5C" w:rsidP="00007DC6">
            <w:pPr>
              <w:ind w:left="113"/>
            </w:pPr>
            <w:r>
              <w:t xml:space="preserve">National </w:t>
            </w:r>
            <w:r w:rsidR="00AC1084">
              <w:t>Reg</w:t>
            </w:r>
            <w:r>
              <w:t>istration will increase the available of data about the audiology profession related to workforce</w:t>
            </w:r>
            <w:r w:rsidR="00875C6E">
              <w:t xml:space="preserve"> and</w:t>
            </w:r>
            <w:r>
              <w:t xml:space="preserve"> safety.</w:t>
            </w:r>
            <w:r w:rsidR="000A7055">
              <w:t xml:space="preserve"> This will benefit government policymakers, employers and consumers.</w:t>
            </w:r>
          </w:p>
        </w:tc>
      </w:tr>
      <w:tr w:rsidR="00B51DE5" w14:paraId="0E1ED8E0" w14:textId="77777777" w:rsidTr="00B51DE5">
        <w:tc>
          <w:tcPr>
            <w:tcW w:w="2393" w:type="dxa"/>
          </w:tcPr>
          <w:p w14:paraId="73A165CC" w14:textId="45EDAB1D" w:rsidR="00B51DE5" w:rsidRPr="00391112" w:rsidRDefault="00B51DE5">
            <w:pPr>
              <w:ind w:left="113" w:right="113"/>
            </w:pPr>
            <w:r>
              <w:t>Competition and labour market impacts</w:t>
            </w:r>
          </w:p>
        </w:tc>
        <w:tc>
          <w:tcPr>
            <w:tcW w:w="1132" w:type="dxa"/>
            <w:shd w:val="clear" w:color="auto" w:fill="FECECE"/>
          </w:tcPr>
          <w:p w14:paraId="11CB4736" w14:textId="5F1C42F9" w:rsidR="00B51DE5" w:rsidRDefault="00B51DE5">
            <w:pPr>
              <w:ind w:left="113" w:right="113"/>
            </w:pPr>
            <w:r>
              <w:t>Cost</w:t>
            </w:r>
          </w:p>
        </w:tc>
        <w:tc>
          <w:tcPr>
            <w:tcW w:w="5831" w:type="dxa"/>
          </w:tcPr>
          <w:p w14:paraId="3E779F16" w14:textId="3D87A1D4" w:rsidR="00B51DE5" w:rsidRDefault="00875C6E" w:rsidP="00007DC6">
            <w:pPr>
              <w:ind w:left="113"/>
            </w:pPr>
            <w:r>
              <w:t>Option 7</w:t>
            </w:r>
            <w:r w:rsidR="00B9615D" w:rsidRPr="00B9615D">
              <w:t xml:space="preserve"> may</w:t>
            </w:r>
            <w:r w:rsidR="00B9615D">
              <w:t xml:space="preserve"> have</w:t>
            </w:r>
            <w:r w:rsidR="00B9615D" w:rsidRPr="00B9615D">
              <w:t xml:space="preserve"> some </w:t>
            </w:r>
            <w:r w:rsidR="00B9615D">
              <w:t>effect</w:t>
            </w:r>
            <w:r w:rsidR="00B9615D" w:rsidRPr="00B9615D">
              <w:t xml:space="preserve"> on competition</w:t>
            </w:r>
            <w:r w:rsidR="00B9615D">
              <w:t xml:space="preserve"> </w:t>
            </w:r>
            <w:r>
              <w:t>and labour market impacts, however stakeholder</w:t>
            </w:r>
            <w:r w:rsidR="005A70A8">
              <w:t>s</w:t>
            </w:r>
            <w:r w:rsidR="006A66C4">
              <w:t xml:space="preserve"> had significant disagreement as to the direction of these impacts</w:t>
            </w:r>
            <w:r w:rsidR="008B5488">
              <w:t>, and raised factors under the Status Quo which are likely to contribute to competition and labour market impacts</w:t>
            </w:r>
            <w:r w:rsidR="00FE1D8D">
              <w:t>.</w:t>
            </w:r>
          </w:p>
        </w:tc>
      </w:tr>
      <w:tr w:rsidR="00410D5C" w14:paraId="7A34190B" w14:textId="77777777" w:rsidTr="00410D5C">
        <w:tc>
          <w:tcPr>
            <w:tcW w:w="9356" w:type="dxa"/>
            <w:gridSpan w:val="3"/>
            <w:shd w:val="clear" w:color="auto" w:fill="F1F2F2" w:themeFill="background2"/>
          </w:tcPr>
          <w:p w14:paraId="01B0E454" w14:textId="77777777" w:rsidR="00410D5C" w:rsidRDefault="00410D5C">
            <w:pPr>
              <w:ind w:left="113" w:right="113"/>
            </w:pPr>
            <w:r>
              <w:t>Financial cost impacts of regulatory burden</w:t>
            </w:r>
          </w:p>
        </w:tc>
      </w:tr>
      <w:tr w:rsidR="00410D5C" w14:paraId="73B97FC7" w14:textId="77777777" w:rsidTr="008D346B">
        <w:tc>
          <w:tcPr>
            <w:tcW w:w="2393" w:type="dxa"/>
          </w:tcPr>
          <w:p w14:paraId="3BB1B37C" w14:textId="51AB474A" w:rsidR="00410D5C" w:rsidRPr="00B97D78" w:rsidRDefault="00410D5C">
            <w:pPr>
              <w:ind w:left="113" w:right="113"/>
            </w:pPr>
            <w:r w:rsidRPr="008246CD">
              <w:t>Change in mandatory registered fees (i.e., registration</w:t>
            </w:r>
            <w:r w:rsidR="001B48A3">
              <w:t>, application</w:t>
            </w:r>
            <w:r w:rsidRPr="008246CD">
              <w:t xml:space="preserve"> and </w:t>
            </w:r>
            <w:r w:rsidR="001B48A3">
              <w:t xml:space="preserve">professional indemnity insurance </w:t>
            </w:r>
            <w:r>
              <w:t>fees</w:t>
            </w:r>
            <w:r w:rsidRPr="008246CD">
              <w:t>)</w:t>
            </w:r>
          </w:p>
        </w:tc>
        <w:tc>
          <w:tcPr>
            <w:tcW w:w="1132" w:type="dxa"/>
            <w:shd w:val="clear" w:color="auto" w:fill="FECECE"/>
          </w:tcPr>
          <w:p w14:paraId="2B3F6999" w14:textId="77777777" w:rsidR="00410D5C" w:rsidRDefault="00410D5C">
            <w:pPr>
              <w:ind w:left="113" w:right="113"/>
            </w:pPr>
            <w:r>
              <w:t>Cost</w:t>
            </w:r>
          </w:p>
        </w:tc>
        <w:tc>
          <w:tcPr>
            <w:tcW w:w="5831" w:type="dxa"/>
          </w:tcPr>
          <w:p w14:paraId="62F1DD09" w14:textId="0D57B724" w:rsidR="00410D5C" w:rsidRDefault="00DB0CB3" w:rsidP="00021414">
            <w:pPr>
              <w:ind w:left="113"/>
            </w:pPr>
            <w:r>
              <w:t xml:space="preserve">Ahpra estimates </w:t>
            </w:r>
            <w:r w:rsidR="00410D5C">
              <w:t>general registration fees for audiologists would be approximately $</w:t>
            </w:r>
            <w:r w:rsidR="00EC1F5F">
              <w:t>600-650, with</w:t>
            </w:r>
            <w:r w:rsidR="00410D5C">
              <w:t xml:space="preserve"> one-off application fee </w:t>
            </w:r>
            <w:r w:rsidR="00EC1F5F">
              <w:t>in the same estimate ran</w:t>
            </w:r>
            <w:r w:rsidR="001B48A3">
              <w:t>ge</w:t>
            </w:r>
            <w:r w:rsidR="00410D5C">
              <w:t xml:space="preserve">. </w:t>
            </w:r>
            <w:r w:rsidR="009C4981">
              <w:t xml:space="preserve">Collectively, this </w:t>
            </w:r>
            <w:r w:rsidR="00410D5C">
              <w:t>equates to a ten-year annualised FY25 NPV cost of $</w:t>
            </w:r>
            <w:r w:rsidR="002222C9">
              <w:t>1,366,784</w:t>
            </w:r>
            <w:r w:rsidR="009C4981">
              <w:t xml:space="preserve"> </w:t>
            </w:r>
            <w:r w:rsidR="00410D5C">
              <w:t xml:space="preserve">across the profession. It is estimated that the costs associated with both registration fees and application fees are reduced by approximately </w:t>
            </w:r>
            <w:r w:rsidR="002222C9">
              <w:t>8</w:t>
            </w:r>
            <w:r w:rsidR="00410D5C">
              <w:t xml:space="preserve">% if a </w:t>
            </w:r>
            <w:r w:rsidR="002222C9">
              <w:t>National Board with multiple professions</w:t>
            </w:r>
            <w:r w:rsidR="00410D5C">
              <w:t xml:space="preserve"> is established.</w:t>
            </w:r>
            <w:r w:rsidR="00021414">
              <w:t xml:space="preserve"> </w:t>
            </w:r>
            <w:r w:rsidR="00410D5C">
              <w:t xml:space="preserve">It is </w:t>
            </w:r>
            <w:r w:rsidR="00021414">
              <w:t xml:space="preserve">conservatively </w:t>
            </w:r>
            <w:r w:rsidR="00410D5C">
              <w:t xml:space="preserve">assumed </w:t>
            </w:r>
            <w:r w:rsidR="00021414">
              <w:t xml:space="preserve">that 10% of audiologists will </w:t>
            </w:r>
            <w:r w:rsidR="00410D5C">
              <w:t xml:space="preserve">newly purchase professional indemnity insurance under </w:t>
            </w:r>
            <w:r w:rsidR="00021414">
              <w:t>Option 7, however there will be no price increase</w:t>
            </w:r>
            <w:r w:rsidR="00A23539">
              <w:t xml:space="preserve"> </w:t>
            </w:r>
            <w:r w:rsidR="002D3AE2">
              <w:t>associated</w:t>
            </w:r>
            <w:r w:rsidR="003A337A">
              <w:t xml:space="preserve"> in real terms</w:t>
            </w:r>
            <w:r w:rsidR="00410D5C">
              <w:t xml:space="preserve">. This equates to a ten-year annualised FY25 NPV of </w:t>
            </w:r>
            <w:r w:rsidR="00A23539">
              <w:t>$</w:t>
            </w:r>
            <w:r w:rsidR="00A23539" w:rsidRPr="00A23539">
              <w:t xml:space="preserve">72,334 </w:t>
            </w:r>
            <w:r w:rsidR="00410D5C">
              <w:t>across the profession</w:t>
            </w:r>
            <w:r w:rsidR="004817EC">
              <w:t xml:space="preserve"> borne by audiologists</w:t>
            </w:r>
            <w:r w:rsidR="00410D5C">
              <w:t>.</w:t>
            </w:r>
          </w:p>
        </w:tc>
      </w:tr>
      <w:tr w:rsidR="00410D5C" w14:paraId="20418888" w14:textId="77777777" w:rsidTr="008D346B">
        <w:tc>
          <w:tcPr>
            <w:tcW w:w="2393" w:type="dxa"/>
          </w:tcPr>
          <w:p w14:paraId="2E67E982" w14:textId="77777777" w:rsidR="00410D5C" w:rsidRPr="00B97D78" w:rsidRDefault="00410D5C">
            <w:pPr>
              <w:ind w:left="113" w:right="113"/>
            </w:pPr>
            <w:r w:rsidRPr="008D506C">
              <w:t>Change in elective fees (i.e., PPB membership)</w:t>
            </w:r>
          </w:p>
        </w:tc>
        <w:tc>
          <w:tcPr>
            <w:tcW w:w="1132" w:type="dxa"/>
            <w:shd w:val="clear" w:color="auto" w:fill="E6F3D9" w:themeFill="accent2" w:themeFillTint="33"/>
          </w:tcPr>
          <w:p w14:paraId="6375EF93" w14:textId="77777777" w:rsidR="00410D5C" w:rsidRDefault="00410D5C">
            <w:pPr>
              <w:ind w:left="113" w:right="113"/>
            </w:pPr>
            <w:r>
              <w:t>Benefit</w:t>
            </w:r>
          </w:p>
        </w:tc>
        <w:tc>
          <w:tcPr>
            <w:tcW w:w="5831" w:type="dxa"/>
          </w:tcPr>
          <w:p w14:paraId="3E74C1F4" w14:textId="78734B88" w:rsidR="00410D5C" w:rsidRDefault="00410D5C">
            <w:pPr>
              <w:ind w:left="113"/>
            </w:pPr>
            <w:r>
              <w:t xml:space="preserve">It is conservatively assumed that annual membership fees are reduced by 10% under </w:t>
            </w:r>
            <w:r w:rsidR="002D3AE2">
              <w:t>Option 7</w:t>
            </w:r>
            <w:r>
              <w:t>, and that all current PPB members retain membership. This equates</w:t>
            </w:r>
            <w:r w:rsidRPr="00D1335D">
              <w:t xml:space="preserve"> to </w:t>
            </w:r>
            <w:r>
              <w:t xml:space="preserve">an avoided ten-year annualised FY25 NPV </w:t>
            </w:r>
            <w:r w:rsidR="00A4014B">
              <w:t>cost</w:t>
            </w:r>
            <w:r>
              <w:t xml:space="preserve"> of </w:t>
            </w:r>
            <w:r w:rsidR="002D3AE2" w:rsidRPr="002D3AE2">
              <w:t>$</w:t>
            </w:r>
            <w:r w:rsidR="00C862CF" w:rsidRPr="00C862CF">
              <w:t>150,051</w:t>
            </w:r>
            <w:r w:rsidR="00A4014B">
              <w:t xml:space="preserve"> accruing to audiologists</w:t>
            </w:r>
            <w:r>
              <w:t>.</w:t>
            </w:r>
          </w:p>
        </w:tc>
      </w:tr>
      <w:tr w:rsidR="00410D5C" w14:paraId="65022E48" w14:textId="77777777" w:rsidTr="008D346B">
        <w:tc>
          <w:tcPr>
            <w:tcW w:w="2393" w:type="dxa"/>
          </w:tcPr>
          <w:p w14:paraId="0D1F898C" w14:textId="77777777" w:rsidR="00410D5C" w:rsidRPr="00B97D78" w:rsidRDefault="00410D5C">
            <w:pPr>
              <w:ind w:left="113" w:right="113"/>
            </w:pPr>
            <w:r w:rsidRPr="00B97D78">
              <w:t>Change in</w:t>
            </w:r>
            <w:r>
              <w:t xml:space="preserve"> employer</w:t>
            </w:r>
            <w:r w:rsidRPr="00B97D78">
              <w:t xml:space="preserve"> compliance costs</w:t>
            </w:r>
          </w:p>
        </w:tc>
        <w:tc>
          <w:tcPr>
            <w:tcW w:w="1132" w:type="dxa"/>
            <w:shd w:val="clear" w:color="auto" w:fill="FECECE"/>
          </w:tcPr>
          <w:p w14:paraId="0DEC85EC" w14:textId="77777777" w:rsidR="00410D5C" w:rsidRDefault="00410D5C">
            <w:pPr>
              <w:ind w:left="113" w:right="113"/>
            </w:pPr>
            <w:r>
              <w:t>Cost</w:t>
            </w:r>
          </w:p>
        </w:tc>
        <w:tc>
          <w:tcPr>
            <w:tcW w:w="5831" w:type="dxa"/>
          </w:tcPr>
          <w:p w14:paraId="45DA5BD7" w14:textId="2FDD699F" w:rsidR="00410D5C" w:rsidRDefault="00410D5C">
            <w:pPr>
              <w:ind w:left="113" w:right="113"/>
            </w:pPr>
            <w:r>
              <w:t xml:space="preserve">Costs may be incurred by employers related to obligations under the National Law as they relate to </w:t>
            </w:r>
            <w:r w:rsidR="000D262B">
              <w:t xml:space="preserve">ensuring </w:t>
            </w:r>
            <w:r w:rsidR="00326386">
              <w:t>currency of</w:t>
            </w:r>
            <w:r w:rsidR="002D3AE2">
              <w:t xml:space="preserve"> registration, </w:t>
            </w:r>
            <w:r w:rsidR="00326386">
              <w:t xml:space="preserve">ensuring restrictions on registration are complied with, </w:t>
            </w:r>
            <w:r w:rsidR="00184B15">
              <w:t>mandatory notifications and business advertising</w:t>
            </w:r>
            <w:r>
              <w:t xml:space="preserve">. </w:t>
            </w:r>
            <w:r w:rsidR="00184B15">
              <w:t xml:space="preserve">Stakeholders noted that </w:t>
            </w:r>
            <w:r w:rsidR="00A50A78">
              <w:t>costs associated with business materials may be absorbed into general updates to business materials over the multi-year implementation timeframe.</w:t>
            </w:r>
            <w:r w:rsidR="00C21CCC">
              <w:t xml:space="preserve"> Nil costs have been estimated.</w:t>
            </w:r>
          </w:p>
        </w:tc>
      </w:tr>
      <w:tr w:rsidR="00410D5C" w14:paraId="556851F3" w14:textId="77777777" w:rsidTr="008D346B">
        <w:tc>
          <w:tcPr>
            <w:tcW w:w="2393" w:type="dxa"/>
          </w:tcPr>
          <w:p w14:paraId="1FB65E91" w14:textId="77777777" w:rsidR="00410D5C" w:rsidRPr="00310DA8" w:rsidRDefault="00410D5C">
            <w:pPr>
              <w:ind w:left="113" w:right="113"/>
            </w:pPr>
            <w:r w:rsidRPr="00310DA8">
              <w:t xml:space="preserve">Change in </w:t>
            </w:r>
            <w:r>
              <w:t>university</w:t>
            </w:r>
            <w:r w:rsidRPr="00310DA8">
              <w:t xml:space="preserve"> accreditation</w:t>
            </w:r>
            <w:r>
              <w:t xml:space="preserve"> fees</w:t>
            </w:r>
          </w:p>
        </w:tc>
        <w:tc>
          <w:tcPr>
            <w:tcW w:w="1132" w:type="dxa"/>
            <w:shd w:val="clear" w:color="auto" w:fill="FECECE"/>
          </w:tcPr>
          <w:p w14:paraId="3256B56C" w14:textId="77777777" w:rsidR="00410D5C" w:rsidRDefault="00410D5C">
            <w:pPr>
              <w:ind w:left="113" w:right="113"/>
            </w:pPr>
            <w:r>
              <w:t xml:space="preserve">Cost </w:t>
            </w:r>
          </w:p>
        </w:tc>
        <w:tc>
          <w:tcPr>
            <w:tcW w:w="5831" w:type="dxa"/>
          </w:tcPr>
          <w:p w14:paraId="437AB46B" w14:textId="2B2CD8BF" w:rsidR="00410D5C" w:rsidRDefault="00410D5C">
            <w:pPr>
              <w:ind w:left="113"/>
            </w:pPr>
            <w:r>
              <w:t xml:space="preserve">It is estimated that under </w:t>
            </w:r>
            <w:r w:rsidR="00C21CCC">
              <w:t>Option 7</w:t>
            </w:r>
            <w:r>
              <w:t xml:space="preserve"> the university programs</w:t>
            </w:r>
            <w:r w:rsidR="00C21CCC">
              <w:t xml:space="preserve"> collectively</w:t>
            </w:r>
            <w:r>
              <w:t xml:space="preserve"> will incur an incremental ten-year annualised FY25 NPV cost of </w:t>
            </w:r>
            <w:r w:rsidRPr="0024711A">
              <w:t>$</w:t>
            </w:r>
            <w:r w:rsidR="00264086" w:rsidRPr="00264086">
              <w:t xml:space="preserve"> $8,019</w:t>
            </w:r>
            <w:r w:rsidR="00264086">
              <w:t>.</w:t>
            </w:r>
          </w:p>
        </w:tc>
      </w:tr>
      <w:tr w:rsidR="00410D5C" w14:paraId="72E774A1" w14:textId="77777777" w:rsidTr="008D346B">
        <w:trPr>
          <w:trHeight w:val="1285"/>
        </w:trPr>
        <w:tc>
          <w:tcPr>
            <w:tcW w:w="2393" w:type="dxa"/>
          </w:tcPr>
          <w:p w14:paraId="1E1CB264" w14:textId="6D92286C" w:rsidR="00410D5C" w:rsidRPr="00310DA8" w:rsidRDefault="001358EA">
            <w:pPr>
              <w:ind w:left="113" w:right="113"/>
            </w:pPr>
            <w:r>
              <w:t>Ahpra</w:t>
            </w:r>
            <w:r w:rsidR="00410D5C" w:rsidRPr="00AA0D7E">
              <w:t xml:space="preserve"> </w:t>
            </w:r>
            <w:r w:rsidR="00264086">
              <w:t xml:space="preserve">and HPCA </w:t>
            </w:r>
            <w:r w:rsidR="00410D5C" w:rsidRPr="00AA0D7E">
              <w:t>establishment costs</w:t>
            </w:r>
          </w:p>
        </w:tc>
        <w:tc>
          <w:tcPr>
            <w:tcW w:w="1132" w:type="dxa"/>
            <w:shd w:val="clear" w:color="auto" w:fill="FECECE"/>
          </w:tcPr>
          <w:p w14:paraId="4DF47B5F" w14:textId="77777777" w:rsidR="00410D5C" w:rsidRDefault="00410D5C">
            <w:pPr>
              <w:ind w:left="113" w:right="113"/>
            </w:pPr>
            <w:r>
              <w:t>Cost</w:t>
            </w:r>
          </w:p>
        </w:tc>
        <w:tc>
          <w:tcPr>
            <w:tcW w:w="5831" w:type="dxa"/>
          </w:tcPr>
          <w:p w14:paraId="372DCB92" w14:textId="3ED25B3B" w:rsidR="00410D5C" w:rsidRDefault="00264086">
            <w:r>
              <w:t xml:space="preserve">Ahpra provided an establishment cost estimate range of </w:t>
            </w:r>
            <w:r w:rsidR="002A378E">
              <w:t xml:space="preserve">$4.3-$4.5 million which has been apportioned over FY27-FY28. NSW Ministry of Health provided a cost estimate for the HPCA of </w:t>
            </w:r>
            <w:r w:rsidR="00C879E7">
              <w:t>$100-$105,000, which has been apportioned to FY28.</w:t>
            </w:r>
            <w:r w:rsidR="00536EE2">
              <w:t xml:space="preserve"> Ten-year annuali</w:t>
            </w:r>
            <w:r w:rsidR="004E2284">
              <w:t>s</w:t>
            </w:r>
            <w:r w:rsidR="00536EE2">
              <w:t xml:space="preserve">ed FY25 NPV cost estimates are hence </w:t>
            </w:r>
            <w:r w:rsidR="004E2284" w:rsidRPr="004E2284">
              <w:t>$359,400</w:t>
            </w:r>
            <w:r w:rsidR="004E2284">
              <w:t xml:space="preserve"> and </w:t>
            </w:r>
            <w:r w:rsidR="004E2284" w:rsidRPr="004E2284">
              <w:t>$8,089</w:t>
            </w:r>
            <w:r w:rsidR="004E2284">
              <w:t>, respectively.</w:t>
            </w:r>
            <w:r w:rsidR="00F253E0">
              <w:t xml:space="preserve"> </w:t>
            </w:r>
            <w:r w:rsidR="00F253E0" w:rsidRPr="004E2284">
              <w:t>This cost would be borne by government.</w:t>
            </w:r>
          </w:p>
        </w:tc>
      </w:tr>
      <w:tr w:rsidR="00410D5C" w14:paraId="75466D3A" w14:textId="77777777" w:rsidTr="008D346B">
        <w:tc>
          <w:tcPr>
            <w:tcW w:w="2393" w:type="dxa"/>
          </w:tcPr>
          <w:p w14:paraId="6720BADA" w14:textId="1B1F40F0" w:rsidR="00410D5C" w:rsidRPr="00310DA8" w:rsidRDefault="00410D5C">
            <w:pPr>
              <w:ind w:left="113" w:right="113"/>
            </w:pPr>
            <w:r>
              <w:t>I</w:t>
            </w:r>
            <w:r w:rsidRPr="005415FF">
              <w:t xml:space="preserve">mplementation cost for </w:t>
            </w:r>
            <w:r w:rsidR="00264086">
              <w:t xml:space="preserve">policy work and </w:t>
            </w:r>
            <w:r w:rsidRPr="005415FF">
              <w:t>legislative change</w:t>
            </w:r>
          </w:p>
        </w:tc>
        <w:tc>
          <w:tcPr>
            <w:tcW w:w="1132" w:type="dxa"/>
            <w:shd w:val="clear" w:color="auto" w:fill="FECECE"/>
          </w:tcPr>
          <w:p w14:paraId="6DAD3467" w14:textId="77777777" w:rsidR="00410D5C" w:rsidRDefault="00410D5C">
            <w:pPr>
              <w:ind w:left="113" w:right="113"/>
            </w:pPr>
            <w:r>
              <w:t>Cost</w:t>
            </w:r>
          </w:p>
        </w:tc>
        <w:tc>
          <w:tcPr>
            <w:tcW w:w="5831" w:type="dxa"/>
          </w:tcPr>
          <w:p w14:paraId="28C0533F" w14:textId="14A11978" w:rsidR="00410D5C" w:rsidRPr="004343D1" w:rsidRDefault="004E2284" w:rsidP="004343D1">
            <w:pPr>
              <w:pStyle w:val="BodyText"/>
              <w:spacing w:before="0" w:after="0"/>
              <w:rPr>
                <w:kern w:val="0"/>
                <w:lang w:val="en-US"/>
                <w14:numSpacing w14:val="default"/>
              </w:rPr>
            </w:pPr>
            <w:r w:rsidRPr="004E2284">
              <w:rPr>
                <w:kern w:val="0"/>
                <w:lang w:val="en-US"/>
                <w14:numSpacing w14:val="default"/>
              </w:rPr>
              <w:t xml:space="preserve">There was considerable uncertainty regarding costs associated with policy work (including stakeholder views that policy work is considered part of business-as-usual costs), however an estimate of $1,000,000 occurring in FY2026 was utilised. Regarding legislative changes required to include the audiology profession in the National Law, the current NRAS Complexity Review is expected to result in changes to the National Law. Hence, </w:t>
            </w:r>
            <w:r w:rsidR="00F253E0">
              <w:rPr>
                <w:kern w:val="0"/>
                <w:lang w:val="en-US"/>
                <w14:numSpacing w14:val="default"/>
              </w:rPr>
              <w:t xml:space="preserve">legislative </w:t>
            </w:r>
            <w:r w:rsidRPr="004E2284">
              <w:rPr>
                <w:kern w:val="0"/>
                <w:lang w:val="en-US"/>
                <w14:numSpacing w14:val="default"/>
              </w:rPr>
              <w:t xml:space="preserve">changes </w:t>
            </w:r>
            <w:r w:rsidR="00F253E0">
              <w:rPr>
                <w:kern w:val="0"/>
                <w:lang w:val="en-US"/>
                <w14:numSpacing w14:val="default"/>
              </w:rPr>
              <w:t xml:space="preserve">under Option 7 </w:t>
            </w:r>
            <w:r w:rsidRPr="004E2284">
              <w:rPr>
                <w:kern w:val="0"/>
                <w:lang w:val="en-US"/>
                <w14:numSpacing w14:val="default"/>
              </w:rPr>
              <w:t>may be able to be packaged together in order to minimise costs. This cost would be borne by government.</w:t>
            </w:r>
            <w:r w:rsidR="00F253E0">
              <w:rPr>
                <w:kern w:val="0"/>
                <w:lang w:val="en-US"/>
                <w14:numSpacing w14:val="default"/>
              </w:rPr>
              <w:t xml:space="preserve"> </w:t>
            </w:r>
            <w:r w:rsidR="00F253E0">
              <w:rPr>
                <w:lang w:val="en-US"/>
              </w:rPr>
              <w:t>The t</w:t>
            </w:r>
            <w:r w:rsidR="00F253E0">
              <w:t xml:space="preserve">en-year annualised FY25 NPV cost estimate is </w:t>
            </w:r>
            <w:r w:rsidR="00954445" w:rsidRPr="00954445">
              <w:t>$90,353</w:t>
            </w:r>
            <w:r w:rsidR="00954445">
              <w:t>.</w:t>
            </w:r>
          </w:p>
        </w:tc>
      </w:tr>
    </w:tbl>
    <w:p w14:paraId="22ED9400" w14:textId="77777777" w:rsidR="00412172" w:rsidRDefault="00412172" w:rsidP="000B0D39">
      <w:pPr>
        <w:pStyle w:val="BodyText"/>
      </w:pPr>
    </w:p>
    <w:p w14:paraId="7481FF37" w14:textId="16384136" w:rsidR="00581145" w:rsidRDefault="00EF5564" w:rsidP="002724D2">
      <w:pPr>
        <w:pStyle w:val="BodyText"/>
      </w:pPr>
      <w:r>
        <w:t>The tables below</w:t>
      </w:r>
      <w:r w:rsidR="00694861">
        <w:t xml:space="preserve"> </w:t>
      </w:r>
      <w:r w:rsidR="00581145">
        <w:t xml:space="preserve">summarise the total estimated costs (less the costs offsets) associated with </w:t>
      </w:r>
      <w:r w:rsidR="00954445">
        <w:t>Option 7</w:t>
      </w:r>
      <w:r w:rsidR="00581145">
        <w:t xml:space="preserve"> relative to the </w:t>
      </w:r>
      <w:r w:rsidR="00A80F45">
        <w:t>Status Quo</w:t>
      </w:r>
      <w:r w:rsidR="00581145">
        <w:t>.</w:t>
      </w:r>
      <w:bookmarkStart w:id="266" w:name="_Hlk196742500"/>
      <w:r w:rsidR="005E35B3">
        <w:t xml:space="preserve"> Please note that these </w:t>
      </w:r>
      <w:r w:rsidR="007A1488">
        <w:t xml:space="preserve">tables </w:t>
      </w:r>
      <w:r w:rsidR="005E35B3">
        <w:t xml:space="preserve">describe costs by the stakeholder that initially experiences them. </w:t>
      </w:r>
      <w:bookmarkStart w:id="267" w:name="_Hlk196835706"/>
      <w:r w:rsidR="005E35B3">
        <w:t xml:space="preserve">It is acknowledged that stakeholders may seek to pass on costs to a different stakeholder (e.g., government or consumers), which would represent a transfer of costs rather than new costs. Hence, </w:t>
      </w:r>
      <w:r w:rsidR="00A118C5">
        <w:t xml:space="preserve">this </w:t>
      </w:r>
      <w:r w:rsidR="005E35B3">
        <w:t xml:space="preserve">analysis does not consider second-round </w:t>
      </w:r>
      <w:r w:rsidR="005D17CC">
        <w:t>impacts of costs passed through</w:t>
      </w:r>
      <w:r w:rsidR="005E35B3">
        <w:t xml:space="preserve">, however the extent to which costs may be subsequently passed on </w:t>
      </w:r>
      <w:r w:rsidR="001D6ACA">
        <w:t xml:space="preserve">to </w:t>
      </w:r>
      <w:r w:rsidR="005E35B3">
        <w:t xml:space="preserve">consumers is discussed for the preferred option in Section </w:t>
      </w:r>
      <w:r w:rsidR="005E35B3">
        <w:fldChar w:fldCharType="begin"/>
      </w:r>
      <w:r w:rsidR="005E35B3">
        <w:instrText xml:space="preserve"> REF _Ref196835419 \r \h </w:instrText>
      </w:r>
      <w:r w:rsidR="005E35B3">
        <w:fldChar w:fldCharType="separate"/>
      </w:r>
      <w:r w:rsidR="00F32107">
        <w:t>9.2.4.3</w:t>
      </w:r>
      <w:r w:rsidR="005E35B3">
        <w:fldChar w:fldCharType="end"/>
      </w:r>
      <w:r w:rsidR="005E35B3">
        <w:t>.</w:t>
      </w:r>
      <w:bookmarkEnd w:id="267"/>
    </w:p>
    <w:p w14:paraId="3A28D485" w14:textId="7C339548" w:rsidR="00581145" w:rsidRDefault="00FE3A33" w:rsidP="00694861">
      <w:pPr>
        <w:pStyle w:val="Caption"/>
        <w:keepNext/>
      </w:pPr>
      <w:bookmarkStart w:id="268" w:name="_Ref171287297"/>
      <w:bookmarkEnd w:id="266"/>
      <w:r>
        <w:t xml:space="preserve">Table </w:t>
      </w:r>
      <w:fldSimple w:instr=" STYLEREF 1 \s ">
        <w:r w:rsidR="00F32107">
          <w:rPr>
            <w:noProof/>
          </w:rPr>
          <w:t>8</w:t>
        </w:r>
      </w:fldSimple>
      <w:r w:rsidR="008944FB">
        <w:t>.</w:t>
      </w:r>
      <w:fldSimple w:instr=" SEQ Table \* ARABIC \s 1 ">
        <w:r w:rsidR="00F32107">
          <w:rPr>
            <w:noProof/>
          </w:rPr>
          <w:t>16</w:t>
        </w:r>
      </w:fldSimple>
      <w:r>
        <w:t xml:space="preserve">. </w:t>
      </w:r>
      <w:r w:rsidR="003F0CB0">
        <w:t xml:space="preserve">Estimated </w:t>
      </w:r>
      <w:r w:rsidR="00581145">
        <w:t xml:space="preserve">ten-year costs associated with </w:t>
      </w:r>
      <w:r w:rsidR="00954445">
        <w:t xml:space="preserve">Option 7 </w:t>
      </w:r>
      <w:r w:rsidR="00C6719D">
        <w:t>(</w:t>
      </w:r>
      <w:r w:rsidR="00581145">
        <w:t>Single National Board</w:t>
      </w:r>
      <w:bookmarkEnd w:id="268"/>
      <w:r w:rsidR="00C6719D">
        <w:t xml:space="preserve">) relative to the </w:t>
      </w:r>
      <w:r w:rsidR="00A80F45">
        <w:t>Status Quo</w:t>
      </w:r>
    </w:p>
    <w:tbl>
      <w:tblPr>
        <w:tblStyle w:val="BodyTable"/>
        <w:tblW w:w="9499" w:type="dxa"/>
        <w:tblInd w:w="1" w:type="dxa"/>
        <w:tblLayout w:type="fixed"/>
        <w:tblLook w:val="04A0" w:firstRow="1" w:lastRow="0" w:firstColumn="1" w:lastColumn="0" w:noHBand="0" w:noVBand="1"/>
      </w:tblPr>
      <w:tblGrid>
        <w:gridCol w:w="7"/>
        <w:gridCol w:w="1410"/>
        <w:gridCol w:w="6"/>
        <w:gridCol w:w="3520"/>
        <w:gridCol w:w="1139"/>
        <w:gridCol w:w="1139"/>
        <w:gridCol w:w="1139"/>
        <w:gridCol w:w="1139"/>
      </w:tblGrid>
      <w:tr w:rsidR="00177F5B" w:rsidRPr="00466057" w14:paraId="3F79BB82" w14:textId="77777777" w:rsidTr="00177F5B">
        <w:trPr>
          <w:gridBefore w:val="1"/>
          <w:cnfStyle w:val="100000000000" w:firstRow="1" w:lastRow="0" w:firstColumn="0" w:lastColumn="0" w:oddVBand="0" w:evenVBand="0" w:oddHBand="0" w:evenHBand="0" w:firstRowFirstColumn="0" w:firstRowLastColumn="0" w:lastRowFirstColumn="0" w:lastRowLastColumn="0"/>
          <w:wBefore w:w="7" w:type="dxa"/>
          <w:trHeight w:val="295"/>
        </w:trPr>
        <w:tc>
          <w:tcPr>
            <w:tcW w:w="1416" w:type="dxa"/>
            <w:gridSpan w:val="2"/>
          </w:tcPr>
          <w:p w14:paraId="145544EB" w14:textId="36418679" w:rsidR="00177F5B" w:rsidRPr="00096B1F" w:rsidRDefault="00177F5B" w:rsidP="00177F5B">
            <w:pPr>
              <w:keepNext/>
              <w:spacing w:line="240" w:lineRule="auto"/>
              <w:rPr>
                <w:b/>
              </w:rPr>
            </w:pPr>
            <w:r w:rsidRPr="00096B1F">
              <w:rPr>
                <w:b/>
              </w:rPr>
              <w:t>Stakeholder affected</w:t>
            </w:r>
          </w:p>
        </w:tc>
        <w:tc>
          <w:tcPr>
            <w:tcW w:w="3520" w:type="dxa"/>
            <w:noWrap/>
          </w:tcPr>
          <w:p w14:paraId="4B6DCFC0" w14:textId="78BC4121" w:rsidR="00177F5B" w:rsidRPr="00096B1F" w:rsidRDefault="00177F5B" w:rsidP="00177F5B">
            <w:pPr>
              <w:keepNext/>
              <w:spacing w:line="240" w:lineRule="auto"/>
              <w:rPr>
                <w:b/>
              </w:rPr>
            </w:pPr>
            <w:r w:rsidRPr="00096B1F">
              <w:rPr>
                <w:b/>
                <w:bCs/>
              </w:rPr>
              <w:t>Cost type</w:t>
            </w:r>
          </w:p>
        </w:tc>
        <w:tc>
          <w:tcPr>
            <w:tcW w:w="1139" w:type="dxa"/>
            <w:noWrap/>
          </w:tcPr>
          <w:p w14:paraId="55FBE0C2"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65CF3B08" w14:textId="32C7BC0F"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w:t>
            </w:r>
            <w:r w:rsidRPr="006A1D83">
              <w:rPr>
                <w:b/>
                <w:bCs/>
              </w:rPr>
              <w:t>2</w:t>
            </w:r>
            <w:r>
              <w:rPr>
                <w:b/>
                <w:bCs/>
              </w:rPr>
              <w:t>5-28</w:t>
            </w:r>
            <w:r w:rsidRPr="006A1D83">
              <w:rPr>
                <w:b/>
                <w:bCs/>
              </w:rPr>
              <w:t>)</w:t>
            </w:r>
          </w:p>
        </w:tc>
        <w:tc>
          <w:tcPr>
            <w:tcW w:w="1139" w:type="dxa"/>
            <w:noWrap/>
          </w:tcPr>
          <w:p w14:paraId="718BF675"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79447510" w14:textId="0D137BB5"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FY29-34</w:t>
            </w:r>
            <w:r w:rsidRPr="006A1D83">
              <w:rPr>
                <w:b/>
                <w:bCs/>
              </w:rPr>
              <w:t>)</w:t>
            </w:r>
          </w:p>
        </w:tc>
        <w:tc>
          <w:tcPr>
            <w:tcW w:w="1139" w:type="dxa"/>
            <w:noWrap/>
          </w:tcPr>
          <w:p w14:paraId="6D7F0780" w14:textId="77777777" w:rsidR="00177F5B" w:rsidRDefault="00177F5B" w:rsidP="00177F5B">
            <w:pPr>
              <w:keepNext/>
              <w:spacing w:line="240" w:lineRule="auto"/>
              <w:ind w:left="113" w:right="113"/>
              <w:jc w:val="right"/>
              <w:rPr>
                <w:b/>
                <w:bCs/>
              </w:rPr>
            </w:pPr>
            <w:r>
              <w:rPr>
                <w:b/>
                <w:bCs/>
              </w:rPr>
              <w:t>Total NPV cost over ten-year period</w:t>
            </w:r>
          </w:p>
          <w:p w14:paraId="44187FB7" w14:textId="0211DE75"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FY25-34</w:t>
            </w:r>
            <w:r w:rsidRPr="006A1D83">
              <w:rPr>
                <w:b/>
                <w:bCs/>
              </w:rPr>
              <w:t>)</w:t>
            </w:r>
          </w:p>
        </w:tc>
        <w:tc>
          <w:tcPr>
            <w:tcW w:w="1139" w:type="dxa"/>
          </w:tcPr>
          <w:p w14:paraId="235FDDFC"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4239D3A8" w14:textId="35628035" w:rsidR="00177F5B" w:rsidRPr="006A1D83" w:rsidRDefault="00177F5B" w:rsidP="00177F5B">
            <w:pPr>
              <w:keepNext/>
              <w:spacing w:line="240" w:lineRule="auto"/>
              <w:ind w:left="113" w:right="113"/>
              <w:jc w:val="right"/>
              <w:rPr>
                <w:b/>
              </w:rPr>
            </w:pPr>
            <w:r w:rsidRPr="006A1D83">
              <w:rPr>
                <w:b/>
                <w:bCs/>
              </w:rPr>
              <w:t>(</w:t>
            </w:r>
            <w:r>
              <w:rPr>
                <w:b/>
                <w:bCs/>
              </w:rPr>
              <w:t>FY25-34</w:t>
            </w:r>
            <w:r w:rsidRPr="006A1D83">
              <w:rPr>
                <w:b/>
                <w:bCs/>
              </w:rPr>
              <w:t>)</w:t>
            </w:r>
          </w:p>
        </w:tc>
      </w:tr>
      <w:tr w:rsidR="00DF508B" w:rsidRPr="00DF508B" w14:paraId="2222A2EB" w14:textId="77777777" w:rsidTr="00177F5B">
        <w:trPr>
          <w:trHeight w:val="295"/>
        </w:trPr>
        <w:tc>
          <w:tcPr>
            <w:tcW w:w="1417" w:type="dxa"/>
            <w:gridSpan w:val="2"/>
          </w:tcPr>
          <w:p w14:paraId="0387A6C4" w14:textId="0E84C226" w:rsidR="00DF508B" w:rsidRPr="00466057" w:rsidRDefault="00DF508B" w:rsidP="00DF508B">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526" w:type="dxa"/>
            <w:gridSpan w:val="2"/>
            <w:noWrap/>
          </w:tcPr>
          <w:p w14:paraId="3C1B3E26" w14:textId="1EDD3F68" w:rsidR="00DF508B" w:rsidRPr="00466057" w:rsidRDefault="00DF508B" w:rsidP="00DF508B">
            <w:pPr>
              <w:keepNext/>
              <w:spacing w:line="240" w:lineRule="auto"/>
              <w:ind w:left="0"/>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Policy and legislative</w:t>
            </w:r>
            <w:r w:rsidRPr="00466057">
              <w:rPr>
                <w:rFonts w:eastAsia="Times New Roman" w:cs="Calibri Light"/>
                <w:color w:val="808080" w:themeColor="background1" w:themeShade="80"/>
                <w:szCs w:val="20"/>
                <w:lang w:eastAsia="en-AU"/>
              </w:rPr>
              <w:t xml:space="preserve"> changes^</w:t>
            </w:r>
          </w:p>
        </w:tc>
        <w:tc>
          <w:tcPr>
            <w:tcW w:w="1139" w:type="dxa"/>
            <w:noWrap/>
          </w:tcPr>
          <w:p w14:paraId="7C2BFC10" w14:textId="6DBCB4DB" w:rsidR="00DF508B" w:rsidRPr="008B188E" w:rsidRDefault="005A665F"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$903,534 </w:t>
            </w:r>
          </w:p>
        </w:tc>
        <w:tc>
          <w:tcPr>
            <w:tcW w:w="1139" w:type="dxa"/>
            <w:noWrap/>
          </w:tcPr>
          <w:p w14:paraId="3E71DDDC" w14:textId="7B732C64" w:rsidR="00DF508B" w:rsidRPr="008B188E" w:rsidRDefault="005A665F" w:rsidP="00DF508B">
            <w:pPr>
              <w:keepNext/>
              <w:spacing w:line="240" w:lineRule="auto"/>
              <w:ind w:firstLineChars="100" w:firstLine="170"/>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   </w:t>
            </w:r>
          </w:p>
        </w:tc>
        <w:tc>
          <w:tcPr>
            <w:tcW w:w="1139" w:type="dxa"/>
            <w:noWrap/>
          </w:tcPr>
          <w:p w14:paraId="31591811" w14:textId="0C7AFBD5" w:rsidR="00DF508B" w:rsidRPr="008B188E" w:rsidRDefault="005A665F"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$903,534 </w:t>
            </w:r>
          </w:p>
        </w:tc>
        <w:tc>
          <w:tcPr>
            <w:tcW w:w="1139" w:type="dxa"/>
          </w:tcPr>
          <w:p w14:paraId="41FD012B" w14:textId="651BC576" w:rsidR="00DF508B" w:rsidRPr="008B188E" w:rsidRDefault="005A665F"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$90,353 </w:t>
            </w:r>
          </w:p>
        </w:tc>
      </w:tr>
      <w:tr w:rsidR="00DF508B" w:rsidRPr="00DF508B" w14:paraId="2363DBCE" w14:textId="77777777" w:rsidTr="00177F5B">
        <w:trPr>
          <w:gridBefore w:val="1"/>
          <w:wBefore w:w="7" w:type="dxa"/>
          <w:trHeight w:val="295"/>
        </w:trPr>
        <w:tc>
          <w:tcPr>
            <w:tcW w:w="1416" w:type="dxa"/>
            <w:gridSpan w:val="2"/>
          </w:tcPr>
          <w:p w14:paraId="5188E4E6" w14:textId="2D48C4A2" w:rsidR="00DF508B" w:rsidRPr="00466057" w:rsidRDefault="00DF508B" w:rsidP="00DF508B">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520" w:type="dxa"/>
            <w:noWrap/>
            <w:hideMark/>
          </w:tcPr>
          <w:p w14:paraId="25D0D21C" w14:textId="3D0C0A74" w:rsidR="00DF508B" w:rsidRPr="00466057" w:rsidRDefault="00DF508B" w:rsidP="00DF508B">
            <w:pPr>
              <w:keepNext/>
              <w:spacing w:line="240" w:lineRule="auto"/>
              <w:ind w:left="0"/>
              <w:rPr>
                <w:rFonts w:eastAsia="Times New Roman" w:cs="Calibri Light"/>
                <w:color w:val="000000"/>
                <w:szCs w:val="20"/>
                <w:lang w:eastAsia="en-AU"/>
              </w:rPr>
            </w:pPr>
            <w:r>
              <w:rPr>
                <w:rFonts w:eastAsia="Times New Roman" w:cs="Calibri Light"/>
                <w:color w:val="808080" w:themeColor="background1" w:themeShade="80"/>
                <w:szCs w:val="20"/>
                <w:lang w:eastAsia="en-AU"/>
              </w:rPr>
              <w:t>Ahpra</w:t>
            </w:r>
            <w:r w:rsidRPr="00466057">
              <w:rPr>
                <w:rFonts w:eastAsia="Times New Roman" w:cs="Calibri Light"/>
                <w:color w:val="808080" w:themeColor="background1" w:themeShade="80"/>
                <w:szCs w:val="20"/>
                <w:lang w:eastAsia="en-AU"/>
              </w:rPr>
              <w:t xml:space="preserve"> establishment costs^</w:t>
            </w:r>
          </w:p>
        </w:tc>
        <w:tc>
          <w:tcPr>
            <w:tcW w:w="1139" w:type="dxa"/>
            <w:noWrap/>
          </w:tcPr>
          <w:p w14:paraId="5719539D" w14:textId="75732AB6" w:rsidR="00DF508B" w:rsidRPr="00972F5E" w:rsidRDefault="005A665F"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$3,594,001 </w:t>
            </w:r>
          </w:p>
        </w:tc>
        <w:tc>
          <w:tcPr>
            <w:tcW w:w="1139" w:type="dxa"/>
            <w:noWrap/>
          </w:tcPr>
          <w:p w14:paraId="01A986E7" w14:textId="5E3A8911" w:rsidR="00DF508B" w:rsidRPr="00972F5E" w:rsidRDefault="005A665F" w:rsidP="00DF508B">
            <w:pPr>
              <w:keepNext/>
              <w:spacing w:line="240" w:lineRule="auto"/>
              <w:ind w:firstLineChars="100" w:firstLine="170"/>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   </w:t>
            </w:r>
          </w:p>
        </w:tc>
        <w:tc>
          <w:tcPr>
            <w:tcW w:w="1139" w:type="dxa"/>
            <w:noWrap/>
          </w:tcPr>
          <w:p w14:paraId="5FA90FBA" w14:textId="06A9423F" w:rsidR="00DF508B" w:rsidRPr="00972F5E" w:rsidRDefault="005A665F"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$3,594,001 </w:t>
            </w:r>
          </w:p>
        </w:tc>
        <w:tc>
          <w:tcPr>
            <w:tcW w:w="1139" w:type="dxa"/>
          </w:tcPr>
          <w:p w14:paraId="73CD3B2B" w14:textId="265F2209" w:rsidR="00DF508B" w:rsidRPr="00972F5E" w:rsidRDefault="005A665F"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$359,400 </w:t>
            </w:r>
          </w:p>
        </w:tc>
      </w:tr>
      <w:tr w:rsidR="00DF508B" w:rsidRPr="00DF508B" w14:paraId="4588C60E" w14:textId="77777777" w:rsidTr="00177F5B">
        <w:trPr>
          <w:gridBefore w:val="1"/>
          <w:wBefore w:w="7" w:type="dxa"/>
          <w:trHeight w:val="295"/>
        </w:trPr>
        <w:tc>
          <w:tcPr>
            <w:tcW w:w="1416" w:type="dxa"/>
            <w:gridSpan w:val="2"/>
          </w:tcPr>
          <w:p w14:paraId="7AD07ACB" w14:textId="7F272702" w:rsidR="00DF508B" w:rsidRDefault="00DF508B" w:rsidP="00DF508B">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520" w:type="dxa"/>
            <w:noWrap/>
          </w:tcPr>
          <w:p w14:paraId="2B03BE79" w14:textId="6DA67CFB" w:rsidR="00DF508B" w:rsidRDefault="00DF508B" w:rsidP="00DF508B">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HPCA</w:t>
            </w:r>
            <w:r w:rsidRPr="00466057">
              <w:rPr>
                <w:rFonts w:eastAsia="Times New Roman" w:cs="Calibri Light"/>
                <w:color w:val="808080" w:themeColor="background1" w:themeShade="80"/>
                <w:szCs w:val="20"/>
                <w:lang w:eastAsia="en-AU"/>
              </w:rPr>
              <w:t xml:space="preserve"> establishment costs^</w:t>
            </w:r>
          </w:p>
        </w:tc>
        <w:tc>
          <w:tcPr>
            <w:tcW w:w="1139" w:type="dxa"/>
            <w:noWrap/>
          </w:tcPr>
          <w:p w14:paraId="49AF0432" w14:textId="1A14E6E4" w:rsidR="00DF508B" w:rsidRPr="00972F5E" w:rsidDel="00E90A70" w:rsidRDefault="00DF508B"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$80,893 </w:t>
            </w:r>
          </w:p>
        </w:tc>
        <w:tc>
          <w:tcPr>
            <w:tcW w:w="1139" w:type="dxa"/>
            <w:noWrap/>
          </w:tcPr>
          <w:p w14:paraId="5A40BCA4" w14:textId="2EEA899A" w:rsidR="00DF508B" w:rsidRPr="00972F5E" w:rsidDel="00E90A70" w:rsidRDefault="00DF508B" w:rsidP="00DF508B">
            <w:pPr>
              <w:keepNext/>
              <w:spacing w:line="240" w:lineRule="auto"/>
              <w:ind w:firstLineChars="100" w:firstLine="170"/>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   </w:t>
            </w:r>
          </w:p>
        </w:tc>
        <w:tc>
          <w:tcPr>
            <w:tcW w:w="1139" w:type="dxa"/>
            <w:noWrap/>
          </w:tcPr>
          <w:p w14:paraId="0091CE8D" w14:textId="76ADAB70" w:rsidR="00DF508B" w:rsidRPr="00972F5E" w:rsidDel="00E90A70" w:rsidRDefault="00DF508B"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$80,893 </w:t>
            </w:r>
          </w:p>
        </w:tc>
        <w:tc>
          <w:tcPr>
            <w:tcW w:w="1139" w:type="dxa"/>
          </w:tcPr>
          <w:p w14:paraId="74ADAB12" w14:textId="7F96E75D" w:rsidR="00DF508B" w:rsidRPr="00972F5E" w:rsidDel="00E90A70" w:rsidRDefault="00DF508B" w:rsidP="00DF508B">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$8,089 </w:t>
            </w:r>
          </w:p>
        </w:tc>
      </w:tr>
      <w:tr w:rsidR="00623480" w:rsidRPr="00466057" w14:paraId="02702282" w14:textId="77777777" w:rsidTr="00177F5B">
        <w:trPr>
          <w:gridBefore w:val="1"/>
          <w:wBefore w:w="7" w:type="dxa"/>
          <w:trHeight w:val="295"/>
        </w:trPr>
        <w:tc>
          <w:tcPr>
            <w:tcW w:w="1416" w:type="dxa"/>
            <w:gridSpan w:val="2"/>
          </w:tcPr>
          <w:p w14:paraId="316B250B" w14:textId="32505153" w:rsidR="00623480" w:rsidRPr="0041341A" w:rsidRDefault="00623480" w:rsidP="00623480">
            <w:pPr>
              <w:keepNext/>
              <w:spacing w:line="240" w:lineRule="auto"/>
              <w:rPr>
                <w:rFonts w:cs="Calibri Light"/>
                <w:color w:val="000000"/>
                <w:szCs w:val="20"/>
              </w:rPr>
            </w:pPr>
            <w:r>
              <w:rPr>
                <w:rFonts w:cs="Calibri Light"/>
                <w:color w:val="000000"/>
                <w:szCs w:val="20"/>
              </w:rPr>
              <w:t>Employer</w:t>
            </w:r>
          </w:p>
        </w:tc>
        <w:tc>
          <w:tcPr>
            <w:tcW w:w="3520" w:type="dxa"/>
            <w:noWrap/>
          </w:tcPr>
          <w:p w14:paraId="48F438FD" w14:textId="074D0951" w:rsidR="00623480" w:rsidRPr="00466057" w:rsidRDefault="00623480" w:rsidP="00623480">
            <w:pPr>
              <w:keepNext/>
              <w:spacing w:line="240" w:lineRule="auto"/>
              <w:ind w:left="0"/>
              <w:rPr>
                <w:rFonts w:eastAsia="Times New Roman" w:cs="Calibri Light"/>
                <w:color w:val="000000"/>
                <w:szCs w:val="20"/>
                <w:lang w:eastAsia="en-AU"/>
              </w:rPr>
            </w:pPr>
            <w:r w:rsidRPr="0041341A">
              <w:rPr>
                <w:rFonts w:cs="Calibri Light"/>
                <w:color w:val="000000"/>
                <w:szCs w:val="20"/>
              </w:rPr>
              <w:t xml:space="preserve">Increase in CPD time costs </w:t>
            </w:r>
          </w:p>
        </w:tc>
        <w:tc>
          <w:tcPr>
            <w:tcW w:w="1139" w:type="dxa"/>
            <w:noWrap/>
          </w:tcPr>
          <w:p w14:paraId="5C3B22DE" w14:textId="737BC248" w:rsidR="00623480" w:rsidRPr="00F1400E" w:rsidRDefault="00623480" w:rsidP="00623480">
            <w:pPr>
              <w:keepNext/>
              <w:spacing w:line="240" w:lineRule="auto"/>
              <w:ind w:left="0"/>
              <w:jc w:val="right"/>
              <w:rPr>
                <w:rFonts w:cs="Calibri Light"/>
                <w:color w:val="000000"/>
                <w:szCs w:val="20"/>
              </w:rPr>
            </w:pPr>
            <w:r w:rsidRPr="00EE162E">
              <w:t xml:space="preserve"> $-   </w:t>
            </w:r>
          </w:p>
        </w:tc>
        <w:tc>
          <w:tcPr>
            <w:tcW w:w="1139" w:type="dxa"/>
            <w:noWrap/>
          </w:tcPr>
          <w:p w14:paraId="63B57A22" w14:textId="6DD93226" w:rsidR="00623480" w:rsidRPr="00F1400E" w:rsidRDefault="00623480" w:rsidP="00623480">
            <w:pPr>
              <w:keepNext/>
              <w:spacing w:line="240" w:lineRule="auto"/>
              <w:ind w:left="0" w:right="0" w:firstLineChars="100" w:firstLine="170"/>
              <w:jc w:val="right"/>
              <w:rPr>
                <w:rFonts w:cs="Calibri Light"/>
                <w:color w:val="000000"/>
                <w:szCs w:val="20"/>
              </w:rPr>
            </w:pPr>
            <w:r w:rsidRPr="00EE162E">
              <w:t xml:space="preserve"> $8,717,389 </w:t>
            </w:r>
          </w:p>
        </w:tc>
        <w:tc>
          <w:tcPr>
            <w:tcW w:w="1139" w:type="dxa"/>
            <w:noWrap/>
          </w:tcPr>
          <w:p w14:paraId="441B623D" w14:textId="4065CE85" w:rsidR="00623480" w:rsidRPr="00F1400E" w:rsidRDefault="00623480" w:rsidP="00623480">
            <w:pPr>
              <w:keepNext/>
              <w:spacing w:line="240" w:lineRule="auto"/>
              <w:ind w:left="0"/>
              <w:jc w:val="right"/>
              <w:rPr>
                <w:rFonts w:cs="Calibri Light"/>
                <w:color w:val="000000"/>
                <w:szCs w:val="20"/>
              </w:rPr>
            </w:pPr>
            <w:r w:rsidRPr="00EE162E">
              <w:t xml:space="preserve"> $8,717,389 </w:t>
            </w:r>
          </w:p>
        </w:tc>
        <w:tc>
          <w:tcPr>
            <w:tcW w:w="1139" w:type="dxa"/>
          </w:tcPr>
          <w:p w14:paraId="6994899C" w14:textId="1CB0A1C1" w:rsidR="00623480" w:rsidRPr="00F1400E" w:rsidRDefault="00623480" w:rsidP="00623480">
            <w:pPr>
              <w:keepNext/>
              <w:spacing w:line="240" w:lineRule="auto"/>
              <w:ind w:left="0"/>
              <w:jc w:val="right"/>
              <w:rPr>
                <w:rFonts w:cs="Calibri Light"/>
                <w:color w:val="000000"/>
                <w:szCs w:val="20"/>
              </w:rPr>
            </w:pPr>
            <w:r w:rsidRPr="00EE162E">
              <w:t xml:space="preserve"> $871,739 </w:t>
            </w:r>
          </w:p>
        </w:tc>
      </w:tr>
      <w:tr w:rsidR="00623480" w:rsidRPr="00466057" w14:paraId="06CB226C" w14:textId="77777777" w:rsidTr="00177F5B">
        <w:trPr>
          <w:gridBefore w:val="1"/>
          <w:wBefore w:w="7" w:type="dxa"/>
          <w:trHeight w:val="295"/>
        </w:trPr>
        <w:tc>
          <w:tcPr>
            <w:tcW w:w="1416" w:type="dxa"/>
            <w:gridSpan w:val="2"/>
          </w:tcPr>
          <w:p w14:paraId="52098A2D" w14:textId="05BA1FA7" w:rsidR="00623480" w:rsidRPr="0041341A" w:rsidRDefault="00623480" w:rsidP="00623480">
            <w:pPr>
              <w:keepNext/>
              <w:spacing w:line="240" w:lineRule="auto"/>
              <w:rPr>
                <w:rFonts w:cs="Calibri Light"/>
                <w:color w:val="000000"/>
                <w:szCs w:val="20"/>
              </w:rPr>
            </w:pPr>
            <w:r>
              <w:rPr>
                <w:rFonts w:cs="Calibri Light"/>
                <w:color w:val="000000"/>
                <w:szCs w:val="20"/>
              </w:rPr>
              <w:t>Employer</w:t>
            </w:r>
          </w:p>
        </w:tc>
        <w:tc>
          <w:tcPr>
            <w:tcW w:w="3520" w:type="dxa"/>
            <w:noWrap/>
          </w:tcPr>
          <w:p w14:paraId="22E879DE" w14:textId="60D477EC" w:rsidR="00623480" w:rsidRPr="00466057" w:rsidRDefault="00623480" w:rsidP="00623480">
            <w:pPr>
              <w:keepNext/>
              <w:spacing w:line="240" w:lineRule="auto"/>
              <w:ind w:left="0"/>
              <w:rPr>
                <w:rFonts w:eastAsia="Times New Roman" w:cs="Calibri Light"/>
                <w:color w:val="000000"/>
                <w:szCs w:val="20"/>
                <w:lang w:eastAsia="en-AU"/>
              </w:rPr>
            </w:pPr>
            <w:r w:rsidRPr="0041341A">
              <w:rPr>
                <w:rFonts w:cs="Calibri Light"/>
                <w:color w:val="000000"/>
                <w:szCs w:val="20"/>
              </w:rPr>
              <w:t>Avoided employer eligibility checking time costs</w:t>
            </w:r>
          </w:p>
        </w:tc>
        <w:tc>
          <w:tcPr>
            <w:tcW w:w="1139" w:type="dxa"/>
            <w:noWrap/>
          </w:tcPr>
          <w:p w14:paraId="4B980CAC" w14:textId="04C22032" w:rsidR="00623480" w:rsidRPr="00F1400E" w:rsidRDefault="0026449A" w:rsidP="00623480">
            <w:pPr>
              <w:keepNext/>
              <w:spacing w:line="240" w:lineRule="auto"/>
              <w:ind w:left="0"/>
              <w:jc w:val="right"/>
              <w:rPr>
                <w:rFonts w:cs="Calibri Light"/>
                <w:color w:val="000000"/>
                <w:szCs w:val="20"/>
              </w:rPr>
            </w:pPr>
            <w:r w:rsidRPr="003753A1">
              <w:t xml:space="preserve"> $-   </w:t>
            </w:r>
          </w:p>
        </w:tc>
        <w:tc>
          <w:tcPr>
            <w:tcW w:w="1139" w:type="dxa"/>
            <w:noWrap/>
          </w:tcPr>
          <w:p w14:paraId="232AF6DB" w14:textId="2659DFA7" w:rsidR="00623480" w:rsidRPr="00F1400E" w:rsidRDefault="0026449A" w:rsidP="00623480">
            <w:pPr>
              <w:keepNext/>
              <w:spacing w:line="240" w:lineRule="auto"/>
              <w:ind w:left="0"/>
              <w:jc w:val="right"/>
              <w:rPr>
                <w:rFonts w:cs="Calibri Light"/>
                <w:color w:val="000000"/>
                <w:szCs w:val="20"/>
              </w:rPr>
            </w:pPr>
            <w:r w:rsidRPr="003753A1">
              <w:t xml:space="preserve">-$142,671 </w:t>
            </w:r>
          </w:p>
        </w:tc>
        <w:tc>
          <w:tcPr>
            <w:tcW w:w="1139" w:type="dxa"/>
            <w:noWrap/>
          </w:tcPr>
          <w:p w14:paraId="424CF744" w14:textId="60E5DA10" w:rsidR="00623480" w:rsidRPr="00F1400E" w:rsidRDefault="0026449A" w:rsidP="00623480">
            <w:pPr>
              <w:keepNext/>
              <w:spacing w:line="240" w:lineRule="auto"/>
              <w:ind w:left="0"/>
              <w:jc w:val="right"/>
              <w:rPr>
                <w:rFonts w:cs="Calibri Light"/>
                <w:color w:val="000000"/>
                <w:szCs w:val="20"/>
              </w:rPr>
            </w:pPr>
            <w:r w:rsidRPr="003753A1">
              <w:t xml:space="preserve">-$142,671 </w:t>
            </w:r>
          </w:p>
        </w:tc>
        <w:tc>
          <w:tcPr>
            <w:tcW w:w="1139" w:type="dxa"/>
          </w:tcPr>
          <w:p w14:paraId="1DB6BF07" w14:textId="6CEB9431" w:rsidR="00623480" w:rsidRPr="00F1400E" w:rsidRDefault="0026449A" w:rsidP="00623480">
            <w:pPr>
              <w:keepNext/>
              <w:spacing w:line="240" w:lineRule="auto"/>
              <w:ind w:left="0"/>
              <w:jc w:val="right"/>
              <w:rPr>
                <w:rFonts w:cs="Calibri Light"/>
                <w:color w:val="000000"/>
                <w:szCs w:val="20"/>
              </w:rPr>
            </w:pPr>
            <w:r w:rsidRPr="003753A1">
              <w:t xml:space="preserve">-$14,267 </w:t>
            </w:r>
          </w:p>
        </w:tc>
      </w:tr>
      <w:tr w:rsidR="00D01D00" w:rsidRPr="00466057" w14:paraId="37108280" w14:textId="77777777" w:rsidTr="00177F5B">
        <w:trPr>
          <w:gridBefore w:val="1"/>
          <w:wBefore w:w="7" w:type="dxa"/>
          <w:trHeight w:val="295"/>
        </w:trPr>
        <w:tc>
          <w:tcPr>
            <w:tcW w:w="1416" w:type="dxa"/>
            <w:gridSpan w:val="2"/>
          </w:tcPr>
          <w:p w14:paraId="72ECFEF1" w14:textId="1C25BE98" w:rsidR="00D01D00" w:rsidRPr="0041341A" w:rsidRDefault="00D01D00" w:rsidP="00D01D00">
            <w:pPr>
              <w:keepNext/>
              <w:spacing w:line="240" w:lineRule="auto"/>
              <w:rPr>
                <w:rFonts w:cs="Calibri Light"/>
                <w:color w:val="000000"/>
                <w:szCs w:val="20"/>
              </w:rPr>
            </w:pPr>
            <w:r>
              <w:rPr>
                <w:rFonts w:cs="Calibri Light"/>
                <w:color w:val="000000"/>
                <w:szCs w:val="20"/>
              </w:rPr>
              <w:t>Audiologist</w:t>
            </w:r>
          </w:p>
        </w:tc>
        <w:tc>
          <w:tcPr>
            <w:tcW w:w="3520" w:type="dxa"/>
            <w:noWrap/>
          </w:tcPr>
          <w:p w14:paraId="39F44986" w14:textId="1578C086" w:rsidR="00D01D00" w:rsidRPr="00466057" w:rsidRDefault="00D01D00" w:rsidP="00D01D00">
            <w:pPr>
              <w:keepNext/>
              <w:spacing w:line="240" w:lineRule="auto"/>
              <w:ind w:left="0"/>
              <w:rPr>
                <w:rFonts w:eastAsia="Times New Roman" w:cs="Calibri Light"/>
                <w:color w:val="000000"/>
                <w:szCs w:val="20"/>
                <w:lang w:eastAsia="en-AU"/>
              </w:rPr>
            </w:pPr>
            <w:r w:rsidRPr="0041341A">
              <w:rPr>
                <w:rFonts w:cs="Calibri Light"/>
                <w:color w:val="000000"/>
                <w:szCs w:val="20"/>
              </w:rPr>
              <w:t>Registration fees</w:t>
            </w:r>
          </w:p>
        </w:tc>
        <w:tc>
          <w:tcPr>
            <w:tcW w:w="1139" w:type="dxa"/>
            <w:noWrap/>
          </w:tcPr>
          <w:p w14:paraId="6BB56DAC" w14:textId="547E890E" w:rsidR="00D01D00" w:rsidRPr="00972F5E" w:rsidRDefault="00D01D00" w:rsidP="00D01D00">
            <w:pPr>
              <w:keepNext/>
              <w:spacing w:line="240" w:lineRule="auto"/>
              <w:ind w:left="0"/>
              <w:jc w:val="right"/>
            </w:pPr>
            <w:r w:rsidRPr="00D01D00">
              <w:t xml:space="preserve"> $-   </w:t>
            </w:r>
          </w:p>
        </w:tc>
        <w:tc>
          <w:tcPr>
            <w:tcW w:w="1139" w:type="dxa"/>
            <w:noWrap/>
          </w:tcPr>
          <w:p w14:paraId="2A3D5114" w14:textId="155CB6A7" w:rsidR="00D01D00" w:rsidRPr="00972F5E" w:rsidRDefault="00D01D00" w:rsidP="00D01D00">
            <w:pPr>
              <w:keepNext/>
              <w:spacing w:line="240" w:lineRule="auto"/>
              <w:ind w:left="0"/>
              <w:jc w:val="right"/>
            </w:pPr>
            <w:r w:rsidRPr="00D01D00">
              <w:t xml:space="preserve"> $10,938,849 </w:t>
            </w:r>
          </w:p>
        </w:tc>
        <w:tc>
          <w:tcPr>
            <w:tcW w:w="1139" w:type="dxa"/>
            <w:noWrap/>
          </w:tcPr>
          <w:p w14:paraId="0D5C2DD5" w14:textId="20D7F2F8" w:rsidR="00D01D00" w:rsidRPr="00972F5E" w:rsidRDefault="00D01D00" w:rsidP="00D01D00">
            <w:pPr>
              <w:keepNext/>
              <w:spacing w:line="240" w:lineRule="auto"/>
              <w:ind w:left="0"/>
              <w:jc w:val="right"/>
            </w:pPr>
            <w:r w:rsidRPr="00D01D00">
              <w:t xml:space="preserve"> $10,938,849 </w:t>
            </w:r>
          </w:p>
        </w:tc>
        <w:tc>
          <w:tcPr>
            <w:tcW w:w="1139" w:type="dxa"/>
          </w:tcPr>
          <w:p w14:paraId="2456F562" w14:textId="1790E6D1" w:rsidR="00D01D00" w:rsidRPr="00972F5E" w:rsidRDefault="00D01D00" w:rsidP="00D01D00">
            <w:pPr>
              <w:keepNext/>
              <w:spacing w:line="240" w:lineRule="auto"/>
              <w:ind w:left="0"/>
              <w:jc w:val="right"/>
            </w:pPr>
            <w:r w:rsidRPr="00D01D00">
              <w:t xml:space="preserve"> $1,093,885 </w:t>
            </w:r>
          </w:p>
        </w:tc>
      </w:tr>
      <w:tr w:rsidR="00D01D00" w:rsidRPr="00466057" w14:paraId="7F09CCE8" w14:textId="77777777" w:rsidTr="00177F5B">
        <w:trPr>
          <w:gridBefore w:val="1"/>
          <w:wBefore w:w="7" w:type="dxa"/>
          <w:trHeight w:val="295"/>
        </w:trPr>
        <w:tc>
          <w:tcPr>
            <w:tcW w:w="1416" w:type="dxa"/>
            <w:gridSpan w:val="2"/>
          </w:tcPr>
          <w:p w14:paraId="09580715" w14:textId="12A81077" w:rsidR="00D01D00" w:rsidRPr="0041341A" w:rsidRDefault="00D01D00" w:rsidP="00D01D00">
            <w:pPr>
              <w:keepNext/>
              <w:spacing w:line="240" w:lineRule="auto"/>
              <w:rPr>
                <w:rFonts w:cs="Calibri Light"/>
                <w:color w:val="000000"/>
                <w:szCs w:val="20"/>
              </w:rPr>
            </w:pPr>
            <w:r>
              <w:rPr>
                <w:rFonts w:cs="Calibri Light"/>
                <w:color w:val="000000"/>
                <w:szCs w:val="20"/>
              </w:rPr>
              <w:t>Audiologist</w:t>
            </w:r>
          </w:p>
        </w:tc>
        <w:tc>
          <w:tcPr>
            <w:tcW w:w="3520" w:type="dxa"/>
            <w:noWrap/>
          </w:tcPr>
          <w:p w14:paraId="0F6B306F" w14:textId="2FDE971D" w:rsidR="00D01D00" w:rsidRPr="00466057" w:rsidRDefault="00D01D00" w:rsidP="00D01D00">
            <w:pPr>
              <w:keepNext/>
              <w:spacing w:line="240" w:lineRule="auto"/>
              <w:ind w:left="0"/>
              <w:rPr>
                <w:rFonts w:eastAsia="Times New Roman" w:cs="Calibri Light"/>
                <w:color w:val="000000"/>
                <w:szCs w:val="20"/>
                <w:lang w:eastAsia="en-AU"/>
              </w:rPr>
            </w:pPr>
            <w:r w:rsidRPr="0041341A">
              <w:rPr>
                <w:rFonts w:cs="Calibri Light"/>
                <w:color w:val="000000"/>
                <w:szCs w:val="20"/>
              </w:rPr>
              <w:t>Registration application fees</w:t>
            </w:r>
          </w:p>
        </w:tc>
        <w:tc>
          <w:tcPr>
            <w:tcW w:w="1139" w:type="dxa"/>
            <w:noWrap/>
          </w:tcPr>
          <w:p w14:paraId="1E2DD430" w14:textId="2CF3A7C9" w:rsidR="00D01D00" w:rsidRPr="00972F5E" w:rsidRDefault="00D01D00" w:rsidP="00D01D00">
            <w:pPr>
              <w:keepNext/>
              <w:spacing w:line="240" w:lineRule="auto"/>
              <w:ind w:left="0"/>
              <w:jc w:val="right"/>
            </w:pPr>
            <w:r w:rsidRPr="00D01D00">
              <w:t xml:space="preserve"> $2,078,080 </w:t>
            </w:r>
          </w:p>
        </w:tc>
        <w:tc>
          <w:tcPr>
            <w:tcW w:w="1139" w:type="dxa"/>
            <w:noWrap/>
          </w:tcPr>
          <w:p w14:paraId="5F320250" w14:textId="1A7884EA" w:rsidR="00D01D00" w:rsidRPr="00972F5E" w:rsidRDefault="00D01D00" w:rsidP="00D01D00">
            <w:pPr>
              <w:keepNext/>
              <w:spacing w:line="240" w:lineRule="auto"/>
              <w:ind w:left="0"/>
              <w:jc w:val="right"/>
            </w:pPr>
            <w:r w:rsidRPr="00D01D00">
              <w:t xml:space="preserve"> $650,907 </w:t>
            </w:r>
          </w:p>
        </w:tc>
        <w:tc>
          <w:tcPr>
            <w:tcW w:w="1139" w:type="dxa"/>
            <w:noWrap/>
          </w:tcPr>
          <w:p w14:paraId="1C8F9ED7" w14:textId="1C8FD602" w:rsidR="00D01D00" w:rsidRPr="00972F5E" w:rsidRDefault="00D01D00" w:rsidP="00D01D00">
            <w:pPr>
              <w:keepNext/>
              <w:spacing w:line="240" w:lineRule="auto"/>
              <w:ind w:left="0"/>
              <w:jc w:val="right"/>
            </w:pPr>
            <w:r w:rsidRPr="00D01D00">
              <w:t xml:space="preserve"> $2,728,987 </w:t>
            </w:r>
          </w:p>
        </w:tc>
        <w:tc>
          <w:tcPr>
            <w:tcW w:w="1139" w:type="dxa"/>
          </w:tcPr>
          <w:p w14:paraId="4CCD6789" w14:textId="5511CBC3" w:rsidR="00D01D00" w:rsidRPr="00972F5E" w:rsidRDefault="00D01D00" w:rsidP="00D01D00">
            <w:pPr>
              <w:keepNext/>
              <w:spacing w:line="240" w:lineRule="auto"/>
              <w:ind w:left="0"/>
              <w:jc w:val="right"/>
            </w:pPr>
            <w:r w:rsidRPr="00D01D00">
              <w:t xml:space="preserve"> $272,899 </w:t>
            </w:r>
          </w:p>
        </w:tc>
      </w:tr>
      <w:tr w:rsidR="00D01D00" w:rsidRPr="00466057" w14:paraId="20AA52B5" w14:textId="77777777" w:rsidTr="00177F5B">
        <w:trPr>
          <w:gridBefore w:val="1"/>
          <w:wBefore w:w="7" w:type="dxa"/>
          <w:trHeight w:val="295"/>
        </w:trPr>
        <w:tc>
          <w:tcPr>
            <w:tcW w:w="1416" w:type="dxa"/>
            <w:gridSpan w:val="2"/>
          </w:tcPr>
          <w:p w14:paraId="5DD22F13" w14:textId="4BB4E76E" w:rsidR="00D01D00" w:rsidRPr="0041341A" w:rsidRDefault="00D01D00" w:rsidP="00D01D00">
            <w:pPr>
              <w:keepNext/>
              <w:spacing w:line="240" w:lineRule="auto"/>
              <w:rPr>
                <w:rFonts w:cs="Calibri Light"/>
                <w:color w:val="000000"/>
                <w:szCs w:val="20"/>
              </w:rPr>
            </w:pPr>
            <w:r>
              <w:rPr>
                <w:rFonts w:cs="Calibri Light"/>
                <w:color w:val="000000"/>
                <w:szCs w:val="20"/>
              </w:rPr>
              <w:t>Audiologist</w:t>
            </w:r>
          </w:p>
        </w:tc>
        <w:tc>
          <w:tcPr>
            <w:tcW w:w="3520" w:type="dxa"/>
            <w:noWrap/>
          </w:tcPr>
          <w:p w14:paraId="3606CDD4" w14:textId="406E2D71" w:rsidR="00D01D00" w:rsidRPr="00466057" w:rsidRDefault="00D01D00" w:rsidP="00D01D00">
            <w:pPr>
              <w:keepNext/>
              <w:spacing w:line="240" w:lineRule="auto"/>
              <w:ind w:left="0"/>
              <w:rPr>
                <w:rFonts w:eastAsia="Times New Roman" w:cs="Calibri Light"/>
                <w:color w:val="000000"/>
                <w:szCs w:val="20"/>
                <w:lang w:eastAsia="en-AU"/>
              </w:rPr>
            </w:pPr>
            <w:r w:rsidRPr="0041341A">
              <w:rPr>
                <w:rFonts w:cs="Calibri Light"/>
                <w:color w:val="000000"/>
                <w:szCs w:val="20"/>
              </w:rPr>
              <w:t>Professional indemnity insurance fees</w:t>
            </w:r>
          </w:p>
        </w:tc>
        <w:tc>
          <w:tcPr>
            <w:tcW w:w="1139" w:type="dxa"/>
            <w:noWrap/>
          </w:tcPr>
          <w:p w14:paraId="3E130712" w14:textId="26C2EB28" w:rsidR="00D01D00" w:rsidRPr="00972F5E" w:rsidRDefault="00D01D00" w:rsidP="00D01D00">
            <w:pPr>
              <w:keepNext/>
              <w:spacing w:line="240" w:lineRule="auto"/>
              <w:ind w:left="0"/>
              <w:jc w:val="right"/>
            </w:pPr>
            <w:r w:rsidRPr="00D01D00">
              <w:t xml:space="preserve"> $112,356 </w:t>
            </w:r>
          </w:p>
        </w:tc>
        <w:tc>
          <w:tcPr>
            <w:tcW w:w="1139" w:type="dxa"/>
            <w:noWrap/>
          </w:tcPr>
          <w:p w14:paraId="7B031B32" w14:textId="1EC425EA" w:rsidR="00D01D00" w:rsidRPr="00972F5E" w:rsidRDefault="00D01D00" w:rsidP="00D01D00">
            <w:pPr>
              <w:keepNext/>
              <w:spacing w:line="240" w:lineRule="auto"/>
              <w:ind w:left="0"/>
              <w:jc w:val="right"/>
            </w:pPr>
            <w:r w:rsidRPr="00D01D00">
              <w:t xml:space="preserve"> $610,984 </w:t>
            </w:r>
          </w:p>
        </w:tc>
        <w:tc>
          <w:tcPr>
            <w:tcW w:w="1139" w:type="dxa"/>
            <w:noWrap/>
          </w:tcPr>
          <w:p w14:paraId="41374F51" w14:textId="65EF4751" w:rsidR="00D01D00" w:rsidRPr="00972F5E" w:rsidRDefault="00D01D00" w:rsidP="00D01D00">
            <w:pPr>
              <w:keepNext/>
              <w:spacing w:line="240" w:lineRule="auto"/>
              <w:ind w:left="0"/>
              <w:jc w:val="right"/>
            </w:pPr>
            <w:r w:rsidRPr="00D01D00">
              <w:t xml:space="preserve"> $723,340 </w:t>
            </w:r>
          </w:p>
        </w:tc>
        <w:tc>
          <w:tcPr>
            <w:tcW w:w="1139" w:type="dxa"/>
          </w:tcPr>
          <w:p w14:paraId="01EA9D89" w14:textId="278FC8F1" w:rsidR="00D01D00" w:rsidRPr="00972F5E" w:rsidRDefault="00D01D00" w:rsidP="00D01D00">
            <w:pPr>
              <w:keepNext/>
              <w:spacing w:line="240" w:lineRule="auto"/>
              <w:ind w:left="0"/>
              <w:jc w:val="right"/>
            </w:pPr>
            <w:r w:rsidRPr="00D01D00">
              <w:t xml:space="preserve"> $72,334 </w:t>
            </w:r>
          </w:p>
        </w:tc>
      </w:tr>
      <w:tr w:rsidR="00D01D00" w:rsidRPr="00466057" w14:paraId="1A29067E" w14:textId="77777777" w:rsidTr="00177F5B">
        <w:trPr>
          <w:gridBefore w:val="1"/>
          <w:wBefore w:w="7" w:type="dxa"/>
          <w:trHeight w:val="295"/>
        </w:trPr>
        <w:tc>
          <w:tcPr>
            <w:tcW w:w="1416" w:type="dxa"/>
            <w:gridSpan w:val="2"/>
          </w:tcPr>
          <w:p w14:paraId="6198C6C8" w14:textId="3846D114" w:rsidR="00D01D00" w:rsidRPr="0041341A" w:rsidRDefault="00D01D00" w:rsidP="00D01D00">
            <w:pPr>
              <w:keepNext/>
              <w:spacing w:line="240" w:lineRule="auto"/>
              <w:rPr>
                <w:rFonts w:cs="Calibri Light"/>
                <w:color w:val="000000"/>
                <w:szCs w:val="20"/>
              </w:rPr>
            </w:pPr>
            <w:r>
              <w:rPr>
                <w:rFonts w:cs="Calibri Light"/>
                <w:color w:val="000000"/>
                <w:szCs w:val="20"/>
              </w:rPr>
              <w:t>Audiologist</w:t>
            </w:r>
          </w:p>
        </w:tc>
        <w:tc>
          <w:tcPr>
            <w:tcW w:w="3520" w:type="dxa"/>
            <w:noWrap/>
          </w:tcPr>
          <w:p w14:paraId="4133BD9A" w14:textId="392528BE" w:rsidR="00D01D00" w:rsidRPr="00466057" w:rsidRDefault="00D01D00" w:rsidP="00D01D00">
            <w:pPr>
              <w:keepNext/>
              <w:spacing w:line="240" w:lineRule="auto"/>
              <w:ind w:left="0"/>
              <w:rPr>
                <w:rFonts w:eastAsia="Times New Roman" w:cs="Calibri Light"/>
                <w:color w:val="000000"/>
                <w:szCs w:val="20"/>
                <w:lang w:eastAsia="en-AU"/>
              </w:rPr>
            </w:pPr>
            <w:r w:rsidRPr="0041341A">
              <w:rPr>
                <w:rFonts w:cs="Calibri Light"/>
                <w:color w:val="000000"/>
                <w:szCs w:val="20"/>
              </w:rPr>
              <w:t>Reduction in elective fees</w:t>
            </w:r>
          </w:p>
        </w:tc>
        <w:tc>
          <w:tcPr>
            <w:tcW w:w="1139" w:type="dxa"/>
            <w:noWrap/>
          </w:tcPr>
          <w:p w14:paraId="78FD913D" w14:textId="24A109B9" w:rsidR="00D01D00" w:rsidRPr="00972F5E" w:rsidRDefault="00937648" w:rsidP="00D01D00">
            <w:pPr>
              <w:keepNext/>
              <w:spacing w:line="240" w:lineRule="auto"/>
              <w:ind w:left="0"/>
              <w:jc w:val="right"/>
            </w:pPr>
            <w:r w:rsidRPr="001F2606">
              <w:t xml:space="preserve">-$160,479 </w:t>
            </w:r>
          </w:p>
        </w:tc>
        <w:tc>
          <w:tcPr>
            <w:tcW w:w="1139" w:type="dxa"/>
            <w:noWrap/>
          </w:tcPr>
          <w:p w14:paraId="32B9B843" w14:textId="50FEC3AA" w:rsidR="00D01D00" w:rsidRPr="00972F5E" w:rsidRDefault="00937648" w:rsidP="00D01D00">
            <w:pPr>
              <w:keepNext/>
              <w:spacing w:line="240" w:lineRule="auto"/>
              <w:ind w:left="0"/>
              <w:jc w:val="right"/>
            </w:pPr>
            <w:r w:rsidRPr="001F2606">
              <w:t xml:space="preserve">-$1,340,035 </w:t>
            </w:r>
          </w:p>
        </w:tc>
        <w:tc>
          <w:tcPr>
            <w:tcW w:w="1139" w:type="dxa"/>
            <w:noWrap/>
          </w:tcPr>
          <w:p w14:paraId="19DEB9C9" w14:textId="58A53935" w:rsidR="00D01D00" w:rsidRPr="00972F5E" w:rsidRDefault="00937648" w:rsidP="00D01D00">
            <w:pPr>
              <w:keepNext/>
              <w:spacing w:line="240" w:lineRule="auto"/>
              <w:ind w:left="0"/>
              <w:jc w:val="right"/>
            </w:pPr>
            <w:r w:rsidRPr="001F2606">
              <w:t xml:space="preserve">-$1,500,513 </w:t>
            </w:r>
          </w:p>
        </w:tc>
        <w:tc>
          <w:tcPr>
            <w:tcW w:w="1139" w:type="dxa"/>
          </w:tcPr>
          <w:p w14:paraId="108A0686" w14:textId="55908809" w:rsidR="00D01D00" w:rsidRPr="00972F5E" w:rsidRDefault="00937648" w:rsidP="00D01D00">
            <w:pPr>
              <w:keepNext/>
              <w:spacing w:line="240" w:lineRule="auto"/>
              <w:ind w:left="0"/>
              <w:jc w:val="right"/>
            </w:pPr>
            <w:r w:rsidRPr="001F2606">
              <w:t xml:space="preserve">-$150,051 </w:t>
            </w:r>
          </w:p>
        </w:tc>
      </w:tr>
      <w:tr w:rsidR="00D01D00" w:rsidRPr="00466057" w14:paraId="70D6E779" w14:textId="77777777" w:rsidTr="00177F5B">
        <w:trPr>
          <w:gridBefore w:val="1"/>
          <w:wBefore w:w="7" w:type="dxa"/>
          <w:trHeight w:val="295"/>
        </w:trPr>
        <w:tc>
          <w:tcPr>
            <w:tcW w:w="1416" w:type="dxa"/>
            <w:gridSpan w:val="2"/>
          </w:tcPr>
          <w:p w14:paraId="5FEC713B" w14:textId="5A676C92" w:rsidR="00D01D00" w:rsidRPr="0041341A" w:rsidRDefault="00D01D00" w:rsidP="00D01D00">
            <w:pPr>
              <w:keepNext/>
              <w:spacing w:line="240" w:lineRule="auto"/>
              <w:rPr>
                <w:rFonts w:cs="Calibri Light"/>
                <w:color w:val="000000"/>
                <w:szCs w:val="20"/>
              </w:rPr>
            </w:pPr>
            <w:r>
              <w:rPr>
                <w:rFonts w:cs="Calibri Light"/>
                <w:color w:val="000000"/>
                <w:szCs w:val="20"/>
              </w:rPr>
              <w:t xml:space="preserve">Universities </w:t>
            </w:r>
          </w:p>
        </w:tc>
        <w:tc>
          <w:tcPr>
            <w:tcW w:w="3520" w:type="dxa"/>
            <w:noWrap/>
          </w:tcPr>
          <w:p w14:paraId="32EAD203" w14:textId="75693392" w:rsidR="00D01D00" w:rsidRPr="00466057" w:rsidRDefault="00D01D00" w:rsidP="00D01D00">
            <w:pPr>
              <w:keepNext/>
              <w:spacing w:line="240" w:lineRule="auto"/>
              <w:ind w:left="0"/>
              <w:rPr>
                <w:rFonts w:eastAsia="Times New Roman" w:cs="Calibri Light"/>
                <w:color w:val="000000"/>
                <w:szCs w:val="20"/>
                <w:lang w:eastAsia="en-AU"/>
              </w:rPr>
            </w:pPr>
            <w:r w:rsidRPr="0041341A">
              <w:rPr>
                <w:rFonts w:cs="Calibri Light"/>
                <w:color w:val="000000"/>
                <w:szCs w:val="20"/>
              </w:rPr>
              <w:t>Increase in accreditation fees</w:t>
            </w:r>
          </w:p>
        </w:tc>
        <w:tc>
          <w:tcPr>
            <w:tcW w:w="1139" w:type="dxa"/>
            <w:noWrap/>
          </w:tcPr>
          <w:p w14:paraId="75878671" w14:textId="025AA61F" w:rsidR="00D01D00" w:rsidRPr="008B188E" w:rsidRDefault="00D01D00" w:rsidP="00D01D00">
            <w:pPr>
              <w:keepNext/>
              <w:spacing w:line="240" w:lineRule="auto"/>
              <w:ind w:left="0"/>
              <w:jc w:val="right"/>
              <w:rPr>
                <w:rFonts w:cs="Calibri Light"/>
                <w:color w:val="000000"/>
                <w:szCs w:val="20"/>
              </w:rPr>
            </w:pPr>
            <w:r w:rsidRPr="00FD1D7F">
              <w:t xml:space="preserve"> $139,524 </w:t>
            </w:r>
          </w:p>
        </w:tc>
        <w:tc>
          <w:tcPr>
            <w:tcW w:w="1139" w:type="dxa"/>
            <w:noWrap/>
          </w:tcPr>
          <w:p w14:paraId="6B3D9695" w14:textId="6AA39846" w:rsidR="00D01D00" w:rsidRPr="008B188E" w:rsidRDefault="00D01D00" w:rsidP="00D01D00">
            <w:pPr>
              <w:keepNext/>
              <w:spacing w:line="240" w:lineRule="auto"/>
              <w:ind w:left="0"/>
              <w:jc w:val="right"/>
              <w:rPr>
                <w:rFonts w:cs="Calibri Light"/>
                <w:color w:val="000000"/>
                <w:szCs w:val="20"/>
              </w:rPr>
            </w:pPr>
            <w:r w:rsidRPr="00FD1D7F">
              <w:t xml:space="preserve">-$59,338 </w:t>
            </w:r>
          </w:p>
        </w:tc>
        <w:tc>
          <w:tcPr>
            <w:tcW w:w="1139" w:type="dxa"/>
            <w:noWrap/>
          </w:tcPr>
          <w:p w14:paraId="34C6C3F2" w14:textId="2115AB4C" w:rsidR="00D01D00" w:rsidRPr="008B188E" w:rsidRDefault="00D01D00" w:rsidP="00D01D00">
            <w:pPr>
              <w:keepNext/>
              <w:spacing w:line="240" w:lineRule="auto"/>
              <w:ind w:left="0"/>
              <w:jc w:val="right"/>
              <w:rPr>
                <w:rFonts w:cs="Calibri Light"/>
                <w:color w:val="000000"/>
                <w:szCs w:val="20"/>
              </w:rPr>
            </w:pPr>
            <w:r w:rsidRPr="00FD1D7F">
              <w:t xml:space="preserve"> $80,186 </w:t>
            </w:r>
          </w:p>
        </w:tc>
        <w:tc>
          <w:tcPr>
            <w:tcW w:w="1139" w:type="dxa"/>
          </w:tcPr>
          <w:p w14:paraId="4857F175" w14:textId="5759425F" w:rsidR="00D01D00" w:rsidRPr="008B188E" w:rsidRDefault="00D01D00" w:rsidP="00D01D00">
            <w:pPr>
              <w:keepNext/>
              <w:spacing w:line="240" w:lineRule="auto"/>
              <w:ind w:left="0"/>
              <w:jc w:val="right"/>
              <w:rPr>
                <w:rFonts w:cs="Calibri Light"/>
                <w:color w:val="000000"/>
                <w:szCs w:val="20"/>
              </w:rPr>
            </w:pPr>
            <w:r w:rsidRPr="00FD1D7F">
              <w:t xml:space="preserve"> $8,019 </w:t>
            </w:r>
          </w:p>
        </w:tc>
      </w:tr>
      <w:tr w:rsidR="008824C8" w:rsidRPr="00466057" w14:paraId="5A6A4AA8" w14:textId="77777777" w:rsidTr="00177F5B">
        <w:trPr>
          <w:trHeight w:val="295"/>
        </w:trPr>
        <w:tc>
          <w:tcPr>
            <w:tcW w:w="1417" w:type="dxa"/>
            <w:gridSpan w:val="2"/>
          </w:tcPr>
          <w:p w14:paraId="23B79FCD" w14:textId="77777777" w:rsidR="008824C8" w:rsidRPr="00AD1A49" w:rsidRDefault="008824C8" w:rsidP="008824C8">
            <w:pPr>
              <w:keepNext/>
              <w:spacing w:line="240" w:lineRule="auto"/>
              <w:rPr>
                <w:rFonts w:eastAsia="Times New Roman" w:cs="Calibri Light"/>
                <w:b/>
                <w:bCs/>
                <w:color w:val="000000"/>
                <w:szCs w:val="20"/>
                <w:shd w:val="clear" w:color="auto" w:fill="F2F2F2" w:themeFill="background1" w:themeFillShade="F2"/>
                <w:lang w:eastAsia="en-AU"/>
              </w:rPr>
            </w:pPr>
          </w:p>
        </w:tc>
        <w:tc>
          <w:tcPr>
            <w:tcW w:w="3526" w:type="dxa"/>
            <w:gridSpan w:val="2"/>
            <w:noWrap/>
            <w:hideMark/>
          </w:tcPr>
          <w:p w14:paraId="7F7B0237" w14:textId="3461B709" w:rsidR="008824C8" w:rsidRPr="00143CE7" w:rsidRDefault="008824C8" w:rsidP="008824C8">
            <w:pPr>
              <w:keepNext/>
              <w:spacing w:line="240" w:lineRule="auto"/>
              <w:rPr>
                <w:rFonts w:eastAsia="Times New Roman" w:cs="Calibri Light"/>
                <w:b/>
                <w:color w:val="000000"/>
                <w:szCs w:val="20"/>
                <w:shd w:val="clear" w:color="auto" w:fill="F2F2F2" w:themeFill="background1" w:themeFillShade="F2"/>
                <w:lang w:eastAsia="en-AU"/>
              </w:rPr>
            </w:pPr>
            <w:r w:rsidRPr="00AD1A49">
              <w:rPr>
                <w:rFonts w:eastAsia="Times New Roman" w:cs="Calibri Light"/>
                <w:b/>
                <w:bCs/>
                <w:color w:val="000000"/>
                <w:szCs w:val="20"/>
                <w:shd w:val="clear" w:color="auto" w:fill="F2F2F2" w:themeFill="background1" w:themeFillShade="F2"/>
                <w:lang w:eastAsia="en-AU"/>
              </w:rPr>
              <w:t>Total</w:t>
            </w:r>
            <w:r w:rsidRPr="00143CE7">
              <w:rPr>
                <w:rFonts w:eastAsia="Times New Roman" w:cs="Calibri Light"/>
                <w:b/>
                <w:color w:val="000000"/>
                <w:szCs w:val="20"/>
                <w:shd w:val="clear" w:color="auto" w:fill="F2F2F2" w:themeFill="background1" w:themeFillShade="F2"/>
                <w:lang w:eastAsia="en-AU"/>
              </w:rPr>
              <w:t xml:space="preserve"> costs</w:t>
            </w:r>
          </w:p>
        </w:tc>
        <w:tc>
          <w:tcPr>
            <w:tcW w:w="1139" w:type="dxa"/>
            <w:noWrap/>
          </w:tcPr>
          <w:p w14:paraId="2D110286" w14:textId="24BF9CAF" w:rsidR="008824C8" w:rsidRPr="008824C8" w:rsidRDefault="00500F59" w:rsidP="008824C8">
            <w:pPr>
              <w:keepNext/>
              <w:spacing w:line="240" w:lineRule="auto"/>
              <w:ind w:left="0"/>
              <w:jc w:val="right"/>
              <w:rPr>
                <w:rFonts w:cs="Calibri Light"/>
                <w:b/>
                <w:bCs/>
                <w:color w:val="000000"/>
                <w:szCs w:val="20"/>
              </w:rPr>
            </w:pPr>
            <w:r w:rsidRPr="00EE3AA4">
              <w:rPr>
                <w:b/>
                <w:bCs/>
              </w:rPr>
              <w:t xml:space="preserve"> $2,169,481 </w:t>
            </w:r>
          </w:p>
        </w:tc>
        <w:tc>
          <w:tcPr>
            <w:tcW w:w="1139" w:type="dxa"/>
            <w:noWrap/>
          </w:tcPr>
          <w:p w14:paraId="009AA2FA" w14:textId="65EAB020" w:rsidR="008824C8" w:rsidRPr="008824C8" w:rsidRDefault="00500F59" w:rsidP="008824C8">
            <w:pPr>
              <w:keepNext/>
              <w:spacing w:line="240" w:lineRule="auto"/>
              <w:ind w:left="0"/>
              <w:jc w:val="right"/>
              <w:rPr>
                <w:rFonts w:cs="Calibri Light"/>
                <w:b/>
                <w:bCs/>
                <w:color w:val="000000"/>
                <w:szCs w:val="20"/>
              </w:rPr>
            </w:pPr>
            <w:r w:rsidRPr="00EE3AA4">
              <w:rPr>
                <w:b/>
                <w:bCs/>
              </w:rPr>
              <w:t xml:space="preserve"> $19,376,086 </w:t>
            </w:r>
          </w:p>
        </w:tc>
        <w:tc>
          <w:tcPr>
            <w:tcW w:w="1139" w:type="dxa"/>
            <w:noWrap/>
          </w:tcPr>
          <w:p w14:paraId="476B118F" w14:textId="7773B18F" w:rsidR="008824C8" w:rsidRPr="008824C8" w:rsidRDefault="00500F59" w:rsidP="008824C8">
            <w:pPr>
              <w:keepNext/>
              <w:spacing w:line="240" w:lineRule="auto"/>
              <w:ind w:left="0"/>
              <w:jc w:val="right"/>
              <w:rPr>
                <w:rFonts w:cs="Calibri Light"/>
                <w:b/>
                <w:bCs/>
                <w:color w:val="000000"/>
                <w:szCs w:val="20"/>
              </w:rPr>
            </w:pPr>
            <w:r w:rsidRPr="00EE3AA4">
              <w:rPr>
                <w:b/>
                <w:bCs/>
              </w:rPr>
              <w:t xml:space="preserve"> $21,545,567 </w:t>
            </w:r>
          </w:p>
        </w:tc>
        <w:tc>
          <w:tcPr>
            <w:tcW w:w="1139" w:type="dxa"/>
          </w:tcPr>
          <w:p w14:paraId="718D7264" w14:textId="2C6FB768" w:rsidR="008824C8" w:rsidRPr="008824C8" w:rsidRDefault="00500F59" w:rsidP="008824C8">
            <w:pPr>
              <w:keepNext/>
              <w:spacing w:line="240" w:lineRule="auto"/>
              <w:ind w:left="0"/>
              <w:jc w:val="right"/>
              <w:rPr>
                <w:rFonts w:cs="Calibri Light"/>
                <w:b/>
                <w:bCs/>
                <w:color w:val="000000"/>
                <w:szCs w:val="20"/>
              </w:rPr>
            </w:pPr>
            <w:r w:rsidRPr="00EE3AA4">
              <w:rPr>
                <w:b/>
                <w:bCs/>
              </w:rPr>
              <w:t xml:space="preserve"> $2,154,557 </w:t>
            </w:r>
          </w:p>
        </w:tc>
      </w:tr>
    </w:tbl>
    <w:p w14:paraId="3ABEF143" w14:textId="77777777" w:rsidR="00581145" w:rsidRDefault="00581145" w:rsidP="00581145">
      <w:pPr>
        <w:rPr>
          <w:color w:val="808080" w:themeColor="background1" w:themeShade="80"/>
          <w:sz w:val="18"/>
        </w:rPr>
      </w:pPr>
      <w:r w:rsidRPr="00961B36">
        <w:rPr>
          <w:color w:val="808080" w:themeColor="background1" w:themeShade="80"/>
          <w:sz w:val="18"/>
        </w:rPr>
        <w:t>Note:</w:t>
      </w:r>
      <w:r>
        <w:rPr>
          <w:color w:val="808080" w:themeColor="background1" w:themeShade="80"/>
          <w:sz w:val="18"/>
        </w:rPr>
        <w:t xml:space="preserve"> ^</w:t>
      </w:r>
      <w:r w:rsidRPr="00961B36">
        <w:rPr>
          <w:color w:val="808080" w:themeColor="background1" w:themeShade="80"/>
          <w:sz w:val="18"/>
        </w:rPr>
        <w:t xml:space="preserve">As per OIA’s guidance on regulatory costs accruing to government under a regulatory change, these costs </w:t>
      </w:r>
      <w:r>
        <w:rPr>
          <w:color w:val="808080" w:themeColor="background1" w:themeShade="80"/>
          <w:sz w:val="18"/>
        </w:rPr>
        <w:t>are</w:t>
      </w:r>
      <w:r w:rsidRPr="00961B36">
        <w:rPr>
          <w:color w:val="808080" w:themeColor="background1" w:themeShade="80"/>
          <w:sz w:val="18"/>
        </w:rPr>
        <w:t xml:space="preserve"> excluded from the estimate of the cos</w:t>
      </w:r>
      <w:r>
        <w:rPr>
          <w:color w:val="808080" w:themeColor="background1" w:themeShade="80"/>
          <w:sz w:val="18"/>
        </w:rPr>
        <w:t>ts associated with regulatory burden</w:t>
      </w:r>
      <w:r w:rsidRPr="00961B36">
        <w:rPr>
          <w:color w:val="808080" w:themeColor="background1" w:themeShade="80"/>
          <w:sz w:val="18"/>
        </w:rPr>
        <w:t>.</w:t>
      </w:r>
    </w:p>
    <w:p w14:paraId="07CB623C" w14:textId="77777777" w:rsidR="00CE5C05" w:rsidRDefault="00CE5C05" w:rsidP="00581145">
      <w:pPr>
        <w:rPr>
          <w:color w:val="808080" w:themeColor="background1" w:themeShade="80"/>
          <w:sz w:val="18"/>
        </w:rPr>
      </w:pPr>
    </w:p>
    <w:p w14:paraId="5849D914" w14:textId="0EB46F10" w:rsidR="001C556E" w:rsidRDefault="00FE3A33" w:rsidP="001C556E">
      <w:pPr>
        <w:pStyle w:val="Caption"/>
        <w:keepNext/>
      </w:pPr>
      <w:r>
        <w:t xml:space="preserve">Table </w:t>
      </w:r>
      <w:fldSimple w:instr=" STYLEREF 1 \s ">
        <w:r w:rsidR="00F32107">
          <w:rPr>
            <w:noProof/>
          </w:rPr>
          <w:t>8</w:t>
        </w:r>
      </w:fldSimple>
      <w:r w:rsidR="008944FB">
        <w:t>.</w:t>
      </w:r>
      <w:fldSimple w:instr=" SEQ Table \* ARABIC \s 1 ">
        <w:r w:rsidR="00F32107">
          <w:rPr>
            <w:noProof/>
          </w:rPr>
          <w:t>17</w:t>
        </w:r>
      </w:fldSimple>
      <w:r>
        <w:t xml:space="preserve">. </w:t>
      </w:r>
      <w:r w:rsidR="001C556E">
        <w:t xml:space="preserve">Estimated ten-year costs associated with </w:t>
      </w:r>
      <w:r w:rsidR="00954445">
        <w:t>Option 7</w:t>
      </w:r>
      <w:r w:rsidR="001C556E">
        <w:t xml:space="preserve"> relative to the </w:t>
      </w:r>
      <w:r w:rsidR="00A80F45">
        <w:t>Status Quo</w:t>
      </w:r>
      <w:r w:rsidR="00AC696B">
        <w:t xml:space="preserve"> – distributional impacts by stakeholder</w:t>
      </w:r>
    </w:p>
    <w:tbl>
      <w:tblPr>
        <w:tblStyle w:val="BodyTable"/>
        <w:tblW w:w="0" w:type="auto"/>
        <w:tblLook w:val="04A0" w:firstRow="1" w:lastRow="0" w:firstColumn="1" w:lastColumn="0" w:noHBand="0" w:noVBand="1"/>
      </w:tblPr>
      <w:tblGrid>
        <w:gridCol w:w="1893"/>
        <w:gridCol w:w="1737"/>
        <w:gridCol w:w="1738"/>
        <w:gridCol w:w="1738"/>
        <w:gridCol w:w="1738"/>
      </w:tblGrid>
      <w:tr w:rsidR="00AC696B" w14:paraId="44697F1E" w14:textId="77777777" w:rsidTr="002A7BD4">
        <w:trPr>
          <w:cnfStyle w:val="100000000000" w:firstRow="1" w:lastRow="0" w:firstColumn="0" w:lastColumn="0" w:oddVBand="0" w:evenVBand="0" w:oddHBand="0" w:evenHBand="0" w:firstRowFirstColumn="0" w:firstRowLastColumn="0" w:lastRowFirstColumn="0" w:lastRowLastColumn="0"/>
        </w:trPr>
        <w:tc>
          <w:tcPr>
            <w:tcW w:w="1893" w:type="dxa"/>
          </w:tcPr>
          <w:p w14:paraId="609CBD5E" w14:textId="77777777" w:rsidR="00AC696B" w:rsidRDefault="00AC696B" w:rsidP="002A7BD4">
            <w:pPr>
              <w:pStyle w:val="BodyText"/>
              <w:spacing w:before="0" w:after="0"/>
            </w:pPr>
          </w:p>
        </w:tc>
        <w:tc>
          <w:tcPr>
            <w:tcW w:w="1737" w:type="dxa"/>
          </w:tcPr>
          <w:p w14:paraId="7819AA38" w14:textId="77777777" w:rsidR="00AC696B" w:rsidRPr="00AD1F2D" w:rsidRDefault="00AC696B" w:rsidP="002A7BD4">
            <w:pPr>
              <w:keepNext/>
              <w:spacing w:line="240" w:lineRule="auto"/>
              <w:ind w:left="113" w:right="113"/>
              <w:jc w:val="right"/>
              <w:rPr>
                <w:b/>
                <w:bCs/>
              </w:rPr>
            </w:pPr>
            <w:r w:rsidRPr="00AD1F2D">
              <w:rPr>
                <w:b/>
                <w:bCs/>
              </w:rPr>
              <w:t>Government</w:t>
            </w:r>
          </w:p>
        </w:tc>
        <w:tc>
          <w:tcPr>
            <w:tcW w:w="1738" w:type="dxa"/>
          </w:tcPr>
          <w:p w14:paraId="0BA415D7" w14:textId="77777777" w:rsidR="00AC696B" w:rsidRPr="00AD1F2D" w:rsidRDefault="00AC696B" w:rsidP="002A7BD4">
            <w:pPr>
              <w:keepNext/>
              <w:spacing w:line="240" w:lineRule="auto"/>
              <w:ind w:left="113" w:right="113"/>
              <w:jc w:val="right"/>
              <w:rPr>
                <w:b/>
                <w:bCs/>
              </w:rPr>
            </w:pPr>
            <w:r w:rsidRPr="00AD1F2D">
              <w:rPr>
                <w:b/>
                <w:bCs/>
              </w:rPr>
              <w:t>Employer</w:t>
            </w:r>
          </w:p>
        </w:tc>
        <w:tc>
          <w:tcPr>
            <w:tcW w:w="1738" w:type="dxa"/>
          </w:tcPr>
          <w:p w14:paraId="30E6975F" w14:textId="77777777" w:rsidR="00AC696B" w:rsidRPr="00AD1F2D" w:rsidRDefault="00AC696B" w:rsidP="002A7BD4">
            <w:pPr>
              <w:keepNext/>
              <w:spacing w:line="240" w:lineRule="auto"/>
              <w:ind w:left="113" w:right="113"/>
              <w:jc w:val="right"/>
              <w:rPr>
                <w:b/>
                <w:bCs/>
              </w:rPr>
            </w:pPr>
            <w:r w:rsidRPr="00AD1F2D">
              <w:rPr>
                <w:b/>
                <w:bCs/>
              </w:rPr>
              <w:t xml:space="preserve">Audiologists </w:t>
            </w:r>
          </w:p>
        </w:tc>
        <w:tc>
          <w:tcPr>
            <w:tcW w:w="1738" w:type="dxa"/>
          </w:tcPr>
          <w:p w14:paraId="1949EF2E" w14:textId="77777777" w:rsidR="00AC696B" w:rsidRPr="00AD1F2D" w:rsidRDefault="00AC696B" w:rsidP="002A7BD4">
            <w:pPr>
              <w:keepNext/>
              <w:spacing w:line="240" w:lineRule="auto"/>
              <w:ind w:left="113" w:right="113"/>
              <w:jc w:val="right"/>
              <w:rPr>
                <w:b/>
                <w:bCs/>
              </w:rPr>
            </w:pPr>
            <w:r w:rsidRPr="00AD1F2D">
              <w:rPr>
                <w:b/>
                <w:bCs/>
              </w:rPr>
              <w:t>Universities</w:t>
            </w:r>
          </w:p>
        </w:tc>
      </w:tr>
      <w:tr w:rsidR="00863A0F" w14:paraId="44F375E4" w14:textId="77777777" w:rsidTr="00EE3AA4">
        <w:tc>
          <w:tcPr>
            <w:tcW w:w="1893" w:type="dxa"/>
          </w:tcPr>
          <w:p w14:paraId="1E3E7FB6" w14:textId="77777777" w:rsidR="00863A0F" w:rsidRPr="00AD1F2D" w:rsidRDefault="00863A0F" w:rsidP="00863A0F">
            <w:pPr>
              <w:keepNext/>
              <w:spacing w:line="240" w:lineRule="auto"/>
              <w:ind w:left="0" w:right="113"/>
              <w:rPr>
                <w:rFonts w:cs="Calibri Light"/>
                <w:b/>
                <w:bCs/>
                <w:color w:val="000000"/>
                <w:szCs w:val="20"/>
              </w:rPr>
            </w:pPr>
            <w:r w:rsidRPr="00AD1F2D">
              <w:rPr>
                <w:rFonts w:cs="Calibri Light"/>
                <w:b/>
                <w:bCs/>
                <w:color w:val="000000"/>
                <w:szCs w:val="20"/>
              </w:rPr>
              <w:t>Total NPV cost over ten year period</w:t>
            </w:r>
          </w:p>
          <w:p w14:paraId="5EB62C7A" w14:textId="77777777" w:rsidR="00863A0F" w:rsidRPr="00AD1F2D" w:rsidRDefault="00863A0F" w:rsidP="00863A0F">
            <w:pPr>
              <w:pStyle w:val="BodyText"/>
              <w:spacing w:before="0" w:after="0"/>
              <w:ind w:left="0"/>
              <w:rPr>
                <w:rFonts w:cs="Calibri Light"/>
                <w:color w:val="000000"/>
                <w:kern w:val="0"/>
                <w:szCs w:val="20"/>
                <w:lang w:val="en-US"/>
                <w14:numSpacing w14:val="default"/>
              </w:rPr>
            </w:pPr>
            <w:r w:rsidRPr="00AD1F2D">
              <w:rPr>
                <w:rFonts w:cs="Calibri Light"/>
                <w:b/>
                <w:bCs/>
                <w:color w:val="000000"/>
                <w:kern w:val="0"/>
                <w:szCs w:val="20"/>
                <w:lang w:val="en-US"/>
                <w14:numSpacing w14:val="default"/>
              </w:rPr>
              <w:t>(FY25-34)</w:t>
            </w:r>
          </w:p>
        </w:tc>
        <w:tc>
          <w:tcPr>
            <w:tcW w:w="1737" w:type="dxa"/>
          </w:tcPr>
          <w:p w14:paraId="0DD5297A" w14:textId="54DBDF61" w:rsidR="00863A0F" w:rsidRPr="00D967B1" w:rsidRDefault="00937648" w:rsidP="00863A0F">
            <w:pPr>
              <w:pStyle w:val="BodyText"/>
              <w:spacing w:before="0" w:after="0"/>
              <w:jc w:val="right"/>
              <w:rPr>
                <w:rFonts w:cs="Calibri Light"/>
                <w:color w:val="000000"/>
                <w:kern w:val="0"/>
                <w:szCs w:val="17"/>
                <w:lang w:val="en-US"/>
                <w14:numSpacing w14:val="default"/>
              </w:rPr>
            </w:pPr>
            <w:r w:rsidRPr="00D967B1">
              <w:rPr>
                <w:szCs w:val="17"/>
              </w:rPr>
              <w:t xml:space="preserve"> </w:t>
            </w:r>
            <w:r w:rsidRPr="00EE3AA4">
              <w:rPr>
                <w:color w:val="808080" w:themeColor="background1" w:themeShade="80"/>
                <w:kern w:val="0"/>
                <w:szCs w:val="17"/>
                <w:lang w:val="en-US"/>
                <w14:numSpacing w14:val="default"/>
              </w:rPr>
              <w:t>$4,578,428</w:t>
            </w:r>
            <w:r w:rsidRPr="00D967B1">
              <w:rPr>
                <w:szCs w:val="17"/>
              </w:rPr>
              <w:t xml:space="preserve"> </w:t>
            </w:r>
          </w:p>
        </w:tc>
        <w:tc>
          <w:tcPr>
            <w:tcW w:w="1738" w:type="dxa"/>
          </w:tcPr>
          <w:p w14:paraId="45A4E90A" w14:textId="12157AD6" w:rsidR="00863A0F" w:rsidRPr="00AD1F2D" w:rsidRDefault="00937648" w:rsidP="00863A0F">
            <w:pPr>
              <w:pStyle w:val="BodyText"/>
              <w:spacing w:before="0" w:after="0"/>
              <w:jc w:val="right"/>
              <w:rPr>
                <w:rFonts w:cs="Calibri Light"/>
                <w:color w:val="000000"/>
                <w:kern w:val="0"/>
                <w:szCs w:val="20"/>
                <w:lang w:val="en-US"/>
                <w14:numSpacing w14:val="default"/>
              </w:rPr>
            </w:pPr>
            <w:r w:rsidRPr="00E76662">
              <w:t xml:space="preserve"> $8,574,719 </w:t>
            </w:r>
          </w:p>
        </w:tc>
        <w:tc>
          <w:tcPr>
            <w:tcW w:w="1738" w:type="dxa"/>
          </w:tcPr>
          <w:p w14:paraId="628CF58E" w14:textId="5D161B1D" w:rsidR="00863A0F" w:rsidRPr="00AD1F2D" w:rsidRDefault="00937648" w:rsidP="00863A0F">
            <w:pPr>
              <w:pStyle w:val="BodyText"/>
              <w:spacing w:before="0" w:after="0"/>
              <w:jc w:val="right"/>
              <w:rPr>
                <w:rFonts w:cs="Calibri Light"/>
                <w:color w:val="000000"/>
                <w:kern w:val="0"/>
                <w:szCs w:val="20"/>
                <w:lang w:val="en-US"/>
                <w14:numSpacing w14:val="default"/>
              </w:rPr>
            </w:pPr>
            <w:r w:rsidRPr="00E76662">
              <w:t xml:space="preserve"> $12,890,662 </w:t>
            </w:r>
          </w:p>
        </w:tc>
        <w:tc>
          <w:tcPr>
            <w:tcW w:w="1738" w:type="dxa"/>
          </w:tcPr>
          <w:p w14:paraId="54B52905" w14:textId="341B0A4B" w:rsidR="00863A0F" w:rsidRPr="00AD1F2D" w:rsidRDefault="00937648" w:rsidP="00863A0F">
            <w:pPr>
              <w:pStyle w:val="BodyText"/>
              <w:spacing w:before="0" w:after="0"/>
              <w:jc w:val="right"/>
              <w:rPr>
                <w:rFonts w:cs="Calibri Light"/>
                <w:color w:val="000000"/>
                <w:kern w:val="0"/>
                <w:szCs w:val="20"/>
                <w:lang w:val="en-US"/>
                <w14:numSpacing w14:val="default"/>
              </w:rPr>
            </w:pPr>
            <w:r w:rsidRPr="00E76662">
              <w:t xml:space="preserve"> $80,186 </w:t>
            </w:r>
          </w:p>
        </w:tc>
      </w:tr>
    </w:tbl>
    <w:p w14:paraId="1150AB30" w14:textId="77777777" w:rsidR="00CE5C05" w:rsidRDefault="00CE5C05" w:rsidP="00581145">
      <w:pPr>
        <w:rPr>
          <w:color w:val="808080" w:themeColor="background1" w:themeShade="80"/>
          <w:sz w:val="18"/>
        </w:rPr>
      </w:pPr>
    </w:p>
    <w:p w14:paraId="4A3A7633" w14:textId="18D2D933" w:rsidR="00581145" w:rsidRDefault="00FE3A33" w:rsidP="002724D2">
      <w:pPr>
        <w:pStyle w:val="Caption"/>
        <w:keepNext/>
      </w:pPr>
      <w:r>
        <w:t xml:space="preserve">Table </w:t>
      </w:r>
      <w:fldSimple w:instr=" STYLEREF 1 \s ">
        <w:r w:rsidR="00F32107">
          <w:rPr>
            <w:noProof/>
          </w:rPr>
          <w:t>8</w:t>
        </w:r>
      </w:fldSimple>
      <w:r w:rsidR="008944FB">
        <w:t>.</w:t>
      </w:r>
      <w:fldSimple w:instr=" SEQ Table \* ARABIC \s 1 ">
        <w:r w:rsidR="00F32107">
          <w:rPr>
            <w:noProof/>
          </w:rPr>
          <w:t>18</w:t>
        </w:r>
      </w:fldSimple>
      <w:r>
        <w:t xml:space="preserve">. </w:t>
      </w:r>
      <w:r w:rsidR="00E36890">
        <w:t>E</w:t>
      </w:r>
      <w:r w:rsidR="00581145">
        <w:t xml:space="preserve">stimated ten-year costs associated with </w:t>
      </w:r>
      <w:r w:rsidR="007F4C33">
        <w:t>Option 7</w:t>
      </w:r>
      <w:r w:rsidR="00581145">
        <w:t xml:space="preserve"> </w:t>
      </w:r>
      <w:r w:rsidR="00CA5F2D">
        <w:t>(</w:t>
      </w:r>
      <w:r w:rsidR="00581145">
        <w:t xml:space="preserve">National Board with </w:t>
      </w:r>
      <w:r w:rsidR="007F4C33">
        <w:t xml:space="preserve">multiple </w:t>
      </w:r>
      <w:r w:rsidR="00581145">
        <w:t>professions</w:t>
      </w:r>
      <w:r w:rsidR="00CA5F2D">
        <w:t xml:space="preserve">) relative to the </w:t>
      </w:r>
      <w:r w:rsidR="00A80F45">
        <w:t>Status Quo</w:t>
      </w:r>
    </w:p>
    <w:tbl>
      <w:tblPr>
        <w:tblStyle w:val="BodyTable"/>
        <w:tblW w:w="9458" w:type="dxa"/>
        <w:tblLayout w:type="fixed"/>
        <w:tblLook w:val="04A0" w:firstRow="1" w:lastRow="0" w:firstColumn="1" w:lastColumn="0" w:noHBand="0" w:noVBand="1"/>
      </w:tblPr>
      <w:tblGrid>
        <w:gridCol w:w="1418"/>
        <w:gridCol w:w="3492"/>
        <w:gridCol w:w="1137"/>
        <w:gridCol w:w="1137"/>
        <w:gridCol w:w="1137"/>
        <w:gridCol w:w="1137"/>
      </w:tblGrid>
      <w:tr w:rsidR="00177F5B" w:rsidRPr="00466057" w14:paraId="1C98A862" w14:textId="77777777" w:rsidTr="00096B1F">
        <w:trPr>
          <w:cnfStyle w:val="100000000000" w:firstRow="1" w:lastRow="0" w:firstColumn="0" w:lastColumn="0" w:oddVBand="0" w:evenVBand="0" w:oddHBand="0" w:evenHBand="0" w:firstRowFirstColumn="0" w:firstRowLastColumn="0" w:lastRowFirstColumn="0" w:lastRowLastColumn="0"/>
          <w:trHeight w:val="285"/>
        </w:trPr>
        <w:tc>
          <w:tcPr>
            <w:tcW w:w="1418" w:type="dxa"/>
          </w:tcPr>
          <w:p w14:paraId="7348CAEC" w14:textId="7E944834" w:rsidR="00177F5B" w:rsidRPr="00096B1F" w:rsidRDefault="00177F5B" w:rsidP="00177F5B">
            <w:pPr>
              <w:keepNext/>
              <w:spacing w:line="240" w:lineRule="auto"/>
              <w:rPr>
                <w:b/>
                <w:bCs/>
              </w:rPr>
            </w:pPr>
            <w:r w:rsidRPr="00096B1F">
              <w:rPr>
                <w:b/>
                <w:bCs/>
              </w:rPr>
              <w:t>Stakeholder affected</w:t>
            </w:r>
          </w:p>
        </w:tc>
        <w:tc>
          <w:tcPr>
            <w:tcW w:w="3492" w:type="dxa"/>
            <w:noWrap/>
          </w:tcPr>
          <w:p w14:paraId="3FD55AB8" w14:textId="1AA0D824" w:rsidR="00177F5B" w:rsidRPr="00096B1F" w:rsidRDefault="00177F5B" w:rsidP="00177F5B">
            <w:pPr>
              <w:keepNext/>
              <w:spacing w:line="240" w:lineRule="auto"/>
              <w:rPr>
                <w:b/>
              </w:rPr>
            </w:pPr>
            <w:r w:rsidRPr="00096B1F">
              <w:rPr>
                <w:b/>
                <w:bCs/>
              </w:rPr>
              <w:t>Cost type</w:t>
            </w:r>
          </w:p>
        </w:tc>
        <w:tc>
          <w:tcPr>
            <w:tcW w:w="1137" w:type="dxa"/>
            <w:noWrap/>
          </w:tcPr>
          <w:p w14:paraId="3BCD26C0"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3FA05F16" w14:textId="3B573ACA"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w:t>
            </w:r>
            <w:r w:rsidRPr="006A1D83">
              <w:rPr>
                <w:b/>
                <w:bCs/>
              </w:rPr>
              <w:t>2</w:t>
            </w:r>
            <w:r>
              <w:rPr>
                <w:b/>
                <w:bCs/>
              </w:rPr>
              <w:t>5-28</w:t>
            </w:r>
            <w:r w:rsidRPr="006A1D83">
              <w:rPr>
                <w:b/>
                <w:bCs/>
              </w:rPr>
              <w:t>)</w:t>
            </w:r>
          </w:p>
        </w:tc>
        <w:tc>
          <w:tcPr>
            <w:tcW w:w="1137" w:type="dxa"/>
            <w:noWrap/>
          </w:tcPr>
          <w:p w14:paraId="74D67CE1"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0E9EE732" w14:textId="09CD5CC7"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FY29-34</w:t>
            </w:r>
            <w:r w:rsidRPr="006A1D83">
              <w:rPr>
                <w:b/>
                <w:bCs/>
              </w:rPr>
              <w:t>)</w:t>
            </w:r>
          </w:p>
        </w:tc>
        <w:tc>
          <w:tcPr>
            <w:tcW w:w="1137" w:type="dxa"/>
            <w:noWrap/>
          </w:tcPr>
          <w:p w14:paraId="576B9BD7" w14:textId="77777777" w:rsidR="00177F5B" w:rsidRDefault="00177F5B" w:rsidP="00177F5B">
            <w:pPr>
              <w:keepNext/>
              <w:spacing w:line="240" w:lineRule="auto"/>
              <w:ind w:left="113" w:right="113"/>
              <w:jc w:val="right"/>
              <w:rPr>
                <w:b/>
                <w:bCs/>
              </w:rPr>
            </w:pPr>
            <w:r>
              <w:rPr>
                <w:b/>
                <w:bCs/>
              </w:rPr>
              <w:t>Total NPV cost over ten-year period</w:t>
            </w:r>
          </w:p>
          <w:p w14:paraId="170F3A3C" w14:textId="079A9C64"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FY25-34</w:t>
            </w:r>
            <w:r w:rsidRPr="006A1D83">
              <w:rPr>
                <w:b/>
                <w:bCs/>
              </w:rPr>
              <w:t>)</w:t>
            </w:r>
          </w:p>
        </w:tc>
        <w:tc>
          <w:tcPr>
            <w:tcW w:w="1137" w:type="dxa"/>
          </w:tcPr>
          <w:p w14:paraId="6E071004"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4841BA66" w14:textId="166D43F9" w:rsidR="00177F5B" w:rsidRPr="006A1D83" w:rsidRDefault="00177F5B" w:rsidP="00177F5B">
            <w:pPr>
              <w:keepNext/>
              <w:spacing w:line="240" w:lineRule="auto"/>
              <w:ind w:left="113" w:right="113"/>
              <w:jc w:val="right"/>
              <w:rPr>
                <w:b/>
              </w:rPr>
            </w:pPr>
            <w:r w:rsidRPr="006A1D83">
              <w:rPr>
                <w:b/>
                <w:bCs/>
              </w:rPr>
              <w:t>(</w:t>
            </w:r>
            <w:r>
              <w:rPr>
                <w:b/>
                <w:bCs/>
              </w:rPr>
              <w:t>FY25-34</w:t>
            </w:r>
            <w:r w:rsidRPr="006A1D83">
              <w:rPr>
                <w:b/>
                <w:bCs/>
              </w:rPr>
              <w:t>)</w:t>
            </w:r>
          </w:p>
        </w:tc>
      </w:tr>
      <w:tr w:rsidR="00614CA6" w:rsidRPr="00466057" w14:paraId="362668D1" w14:textId="77777777" w:rsidTr="00096B1F">
        <w:trPr>
          <w:trHeight w:val="285"/>
        </w:trPr>
        <w:tc>
          <w:tcPr>
            <w:tcW w:w="1418" w:type="dxa"/>
          </w:tcPr>
          <w:p w14:paraId="36F28A6A" w14:textId="7D5E2DB0" w:rsidR="00614CA6" w:rsidRPr="00466057" w:rsidRDefault="00614CA6" w:rsidP="00614CA6">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492" w:type="dxa"/>
            <w:noWrap/>
            <w:hideMark/>
          </w:tcPr>
          <w:p w14:paraId="27807C76" w14:textId="77777777" w:rsidR="00614CA6" w:rsidRPr="00466057" w:rsidRDefault="00614CA6" w:rsidP="00614CA6">
            <w:pPr>
              <w:keepNext/>
              <w:spacing w:line="240" w:lineRule="auto"/>
              <w:ind w:left="0"/>
              <w:rPr>
                <w:rFonts w:eastAsia="Times New Roman" w:cs="Calibri Light"/>
                <w:color w:val="000000"/>
                <w:szCs w:val="20"/>
                <w:lang w:eastAsia="en-AU"/>
              </w:rPr>
            </w:pPr>
            <w:r w:rsidRPr="00466057">
              <w:rPr>
                <w:rFonts w:eastAsia="Times New Roman" w:cs="Calibri Light"/>
                <w:color w:val="808080" w:themeColor="background1" w:themeShade="80"/>
                <w:szCs w:val="20"/>
                <w:lang w:eastAsia="en-AU"/>
              </w:rPr>
              <w:t>Legislative changes^</w:t>
            </w:r>
          </w:p>
        </w:tc>
        <w:tc>
          <w:tcPr>
            <w:tcW w:w="1137" w:type="dxa"/>
            <w:noWrap/>
          </w:tcPr>
          <w:p w14:paraId="073391F0" w14:textId="0C66A229"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$903,534 </w:t>
            </w:r>
          </w:p>
        </w:tc>
        <w:tc>
          <w:tcPr>
            <w:tcW w:w="1137" w:type="dxa"/>
            <w:noWrap/>
          </w:tcPr>
          <w:p w14:paraId="60725A36" w14:textId="5867BA3D"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   </w:t>
            </w:r>
          </w:p>
        </w:tc>
        <w:tc>
          <w:tcPr>
            <w:tcW w:w="1137" w:type="dxa"/>
            <w:noWrap/>
          </w:tcPr>
          <w:p w14:paraId="1DFBA209" w14:textId="1E608A9B"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$903,534 </w:t>
            </w:r>
          </w:p>
        </w:tc>
        <w:tc>
          <w:tcPr>
            <w:tcW w:w="1137" w:type="dxa"/>
          </w:tcPr>
          <w:p w14:paraId="5983F3A2" w14:textId="78B22AFB"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$90,353 </w:t>
            </w:r>
          </w:p>
        </w:tc>
      </w:tr>
      <w:tr w:rsidR="00614CA6" w:rsidRPr="00466057" w14:paraId="3945A4BD" w14:textId="77777777" w:rsidTr="00096B1F">
        <w:trPr>
          <w:trHeight w:val="285"/>
        </w:trPr>
        <w:tc>
          <w:tcPr>
            <w:tcW w:w="1418" w:type="dxa"/>
          </w:tcPr>
          <w:p w14:paraId="561B9266" w14:textId="210BA6D2" w:rsidR="00614CA6" w:rsidRPr="00466057" w:rsidRDefault="00614CA6" w:rsidP="00614CA6">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492" w:type="dxa"/>
            <w:noWrap/>
            <w:hideMark/>
          </w:tcPr>
          <w:p w14:paraId="7A8FE108" w14:textId="748455CC" w:rsidR="00614CA6" w:rsidRPr="00466057" w:rsidRDefault="00614CA6" w:rsidP="00972F5E">
            <w:pPr>
              <w:keepNext/>
              <w:spacing w:line="240" w:lineRule="auto"/>
              <w:ind w:left="0"/>
              <w:rPr>
                <w:rFonts w:eastAsia="Times New Roman" w:cs="Calibri Light"/>
                <w:color w:val="000000"/>
                <w:szCs w:val="20"/>
                <w:lang w:eastAsia="en-AU"/>
              </w:rPr>
            </w:pPr>
            <w:r>
              <w:rPr>
                <w:rFonts w:eastAsia="Times New Roman" w:cs="Calibri Light"/>
                <w:color w:val="808080" w:themeColor="background1" w:themeShade="80"/>
                <w:szCs w:val="20"/>
                <w:lang w:eastAsia="en-AU"/>
              </w:rPr>
              <w:t>Ahpra</w:t>
            </w:r>
            <w:r w:rsidRPr="00466057">
              <w:rPr>
                <w:rFonts w:eastAsia="Times New Roman" w:cs="Calibri Light"/>
                <w:color w:val="808080" w:themeColor="background1" w:themeShade="80"/>
                <w:szCs w:val="20"/>
                <w:lang w:eastAsia="en-AU"/>
              </w:rPr>
              <w:t xml:space="preserve"> establishment costs^</w:t>
            </w:r>
          </w:p>
        </w:tc>
        <w:tc>
          <w:tcPr>
            <w:tcW w:w="1137" w:type="dxa"/>
            <w:noWrap/>
          </w:tcPr>
          <w:p w14:paraId="7CB8D834" w14:textId="6627D4BE"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$3,594,001 </w:t>
            </w:r>
          </w:p>
        </w:tc>
        <w:tc>
          <w:tcPr>
            <w:tcW w:w="1137" w:type="dxa"/>
            <w:noWrap/>
          </w:tcPr>
          <w:p w14:paraId="5A4B3D19" w14:textId="21197D14" w:rsidR="00614CA6" w:rsidRPr="00AE1E1E" w:rsidRDefault="008F4395" w:rsidP="00614CA6">
            <w:pPr>
              <w:keepNext/>
              <w:spacing w:line="240" w:lineRule="auto"/>
              <w:ind w:firstLineChars="100" w:firstLine="170"/>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   </w:t>
            </w:r>
          </w:p>
        </w:tc>
        <w:tc>
          <w:tcPr>
            <w:tcW w:w="1137" w:type="dxa"/>
            <w:noWrap/>
          </w:tcPr>
          <w:p w14:paraId="1373CBD1" w14:textId="69E02C00"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$3,594,001 </w:t>
            </w:r>
          </w:p>
        </w:tc>
        <w:tc>
          <w:tcPr>
            <w:tcW w:w="1137" w:type="dxa"/>
          </w:tcPr>
          <w:p w14:paraId="5C5EBB55" w14:textId="5804DDA1" w:rsidR="00614CA6" w:rsidRPr="00AE1E1E" w:rsidRDefault="008F4395" w:rsidP="00614CA6">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$359,400 </w:t>
            </w:r>
          </w:p>
        </w:tc>
      </w:tr>
      <w:tr w:rsidR="002E6226" w:rsidRPr="00466057" w14:paraId="5F56E9BC" w14:textId="77777777" w:rsidTr="00096B1F">
        <w:trPr>
          <w:trHeight w:val="285"/>
        </w:trPr>
        <w:tc>
          <w:tcPr>
            <w:tcW w:w="1418" w:type="dxa"/>
          </w:tcPr>
          <w:p w14:paraId="0B71EB68" w14:textId="541D9FF0" w:rsidR="002E6226" w:rsidRDefault="002E6226" w:rsidP="002E6226">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492" w:type="dxa"/>
            <w:noWrap/>
          </w:tcPr>
          <w:p w14:paraId="2C609E25" w14:textId="0F8D8CD6" w:rsidR="002E6226" w:rsidRDefault="002E6226" w:rsidP="00972F5E">
            <w:pPr>
              <w:keepNext/>
              <w:spacing w:line="240" w:lineRule="auto"/>
              <w:ind w:left="0"/>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HPCA</w:t>
            </w:r>
            <w:r w:rsidRPr="00466057">
              <w:rPr>
                <w:rFonts w:eastAsia="Times New Roman" w:cs="Calibri Light"/>
                <w:color w:val="808080" w:themeColor="background1" w:themeShade="80"/>
                <w:szCs w:val="20"/>
                <w:lang w:eastAsia="en-AU"/>
              </w:rPr>
              <w:t xml:space="preserve"> establishment costs^</w:t>
            </w:r>
          </w:p>
        </w:tc>
        <w:tc>
          <w:tcPr>
            <w:tcW w:w="1137" w:type="dxa"/>
            <w:noWrap/>
          </w:tcPr>
          <w:p w14:paraId="119FAF1C" w14:textId="7A49D0DE" w:rsidR="002E6226" w:rsidRPr="00AE1E1E" w:rsidRDefault="002E6226" w:rsidP="002E6226">
            <w:pPr>
              <w:keepNext/>
              <w:spacing w:line="240" w:lineRule="auto"/>
              <w:jc w:val="right"/>
              <w:rPr>
                <w:rFonts w:eastAsia="Times New Roman" w:cs="Calibri Light"/>
                <w:color w:val="808080" w:themeColor="background1" w:themeShade="80"/>
                <w:szCs w:val="20"/>
                <w:lang w:eastAsia="en-AU"/>
              </w:rPr>
            </w:pPr>
            <w:r w:rsidRPr="00AE1E1E">
              <w:rPr>
                <w:rFonts w:eastAsia="Times New Roman" w:cs="Calibri Light"/>
                <w:color w:val="808080" w:themeColor="background1" w:themeShade="80"/>
                <w:szCs w:val="20"/>
                <w:lang w:eastAsia="en-AU"/>
              </w:rPr>
              <w:t xml:space="preserve"> $80,893 </w:t>
            </w:r>
          </w:p>
        </w:tc>
        <w:tc>
          <w:tcPr>
            <w:tcW w:w="1137" w:type="dxa"/>
            <w:noWrap/>
          </w:tcPr>
          <w:p w14:paraId="360D8B75" w14:textId="7CDEBE98" w:rsidR="002E6226" w:rsidRPr="00AE1E1E" w:rsidRDefault="002E6226" w:rsidP="002E6226">
            <w:pPr>
              <w:keepNext/>
              <w:spacing w:line="240" w:lineRule="auto"/>
              <w:ind w:firstLineChars="100" w:firstLine="170"/>
              <w:jc w:val="right"/>
              <w:rPr>
                <w:rFonts w:eastAsia="Times New Roman" w:cs="Calibri Light"/>
                <w:color w:val="808080" w:themeColor="background1" w:themeShade="80"/>
                <w:szCs w:val="20"/>
                <w:lang w:eastAsia="en-AU"/>
              </w:rPr>
            </w:pPr>
            <w:r w:rsidRPr="00AE1E1E">
              <w:rPr>
                <w:rFonts w:eastAsia="Times New Roman" w:cs="Calibri Light"/>
                <w:color w:val="808080" w:themeColor="background1" w:themeShade="80"/>
                <w:szCs w:val="20"/>
                <w:lang w:eastAsia="en-AU"/>
              </w:rPr>
              <w:t xml:space="preserve"> $-   </w:t>
            </w:r>
          </w:p>
        </w:tc>
        <w:tc>
          <w:tcPr>
            <w:tcW w:w="1137" w:type="dxa"/>
            <w:noWrap/>
          </w:tcPr>
          <w:p w14:paraId="40ABC984" w14:textId="0842C76E" w:rsidR="002E6226" w:rsidRPr="00AE1E1E" w:rsidRDefault="002E6226" w:rsidP="002E6226">
            <w:pPr>
              <w:keepNext/>
              <w:spacing w:line="240" w:lineRule="auto"/>
              <w:jc w:val="right"/>
              <w:rPr>
                <w:rFonts w:eastAsia="Times New Roman" w:cs="Calibri Light"/>
                <w:color w:val="808080" w:themeColor="background1" w:themeShade="80"/>
                <w:szCs w:val="20"/>
                <w:lang w:eastAsia="en-AU"/>
              </w:rPr>
            </w:pPr>
            <w:r w:rsidRPr="00AE1E1E">
              <w:rPr>
                <w:rFonts w:eastAsia="Times New Roman" w:cs="Calibri Light"/>
                <w:color w:val="808080" w:themeColor="background1" w:themeShade="80"/>
                <w:szCs w:val="20"/>
                <w:lang w:eastAsia="en-AU"/>
              </w:rPr>
              <w:t xml:space="preserve"> $80,893 </w:t>
            </w:r>
          </w:p>
        </w:tc>
        <w:tc>
          <w:tcPr>
            <w:tcW w:w="1137" w:type="dxa"/>
          </w:tcPr>
          <w:p w14:paraId="195EA7C5" w14:textId="04E98455" w:rsidR="002E6226" w:rsidRPr="00AE1E1E" w:rsidRDefault="002E6226" w:rsidP="002E6226">
            <w:pPr>
              <w:keepNext/>
              <w:spacing w:line="240" w:lineRule="auto"/>
              <w:jc w:val="right"/>
              <w:rPr>
                <w:rFonts w:eastAsia="Times New Roman" w:cs="Calibri Light"/>
                <w:color w:val="808080" w:themeColor="background1" w:themeShade="80"/>
                <w:szCs w:val="20"/>
                <w:lang w:eastAsia="en-AU"/>
              </w:rPr>
            </w:pPr>
            <w:r w:rsidRPr="00AE1E1E">
              <w:rPr>
                <w:rFonts w:eastAsia="Times New Roman" w:cs="Calibri Light"/>
                <w:color w:val="808080" w:themeColor="background1" w:themeShade="80"/>
                <w:szCs w:val="20"/>
                <w:lang w:eastAsia="en-AU"/>
              </w:rPr>
              <w:t xml:space="preserve"> $8,089 </w:t>
            </w:r>
          </w:p>
        </w:tc>
      </w:tr>
      <w:tr w:rsidR="002E6226" w:rsidRPr="00466057" w14:paraId="646C3707" w14:textId="77777777" w:rsidTr="00096B1F">
        <w:trPr>
          <w:trHeight w:val="285"/>
        </w:trPr>
        <w:tc>
          <w:tcPr>
            <w:tcW w:w="1418" w:type="dxa"/>
          </w:tcPr>
          <w:p w14:paraId="7B5EAC08" w14:textId="570B9B7B" w:rsidR="002E6226" w:rsidRPr="0041341A" w:rsidRDefault="002E6226" w:rsidP="002E6226">
            <w:pPr>
              <w:keepNext/>
              <w:spacing w:line="240" w:lineRule="auto"/>
              <w:rPr>
                <w:rFonts w:cs="Calibri Light"/>
                <w:color w:val="000000"/>
                <w:szCs w:val="20"/>
              </w:rPr>
            </w:pPr>
            <w:r>
              <w:rPr>
                <w:rFonts w:cs="Calibri Light"/>
                <w:color w:val="000000"/>
                <w:szCs w:val="20"/>
              </w:rPr>
              <w:t>Employer</w:t>
            </w:r>
          </w:p>
        </w:tc>
        <w:tc>
          <w:tcPr>
            <w:tcW w:w="3492" w:type="dxa"/>
            <w:noWrap/>
          </w:tcPr>
          <w:p w14:paraId="3FCDBFFA" w14:textId="77777777" w:rsidR="002E6226" w:rsidRPr="0041341A" w:rsidRDefault="002E6226" w:rsidP="002E6226">
            <w:pPr>
              <w:keepNext/>
              <w:spacing w:line="240" w:lineRule="auto"/>
              <w:ind w:left="0"/>
              <w:rPr>
                <w:rFonts w:eastAsia="Times New Roman" w:cs="Calibri Light"/>
                <w:color w:val="000000"/>
                <w:szCs w:val="20"/>
                <w:lang w:eastAsia="en-AU"/>
              </w:rPr>
            </w:pPr>
            <w:r w:rsidRPr="0041341A">
              <w:rPr>
                <w:rFonts w:cs="Calibri Light"/>
                <w:color w:val="000000"/>
                <w:szCs w:val="20"/>
              </w:rPr>
              <w:t xml:space="preserve">Increase in CPD time costs </w:t>
            </w:r>
          </w:p>
        </w:tc>
        <w:tc>
          <w:tcPr>
            <w:tcW w:w="1137" w:type="dxa"/>
            <w:noWrap/>
          </w:tcPr>
          <w:p w14:paraId="534AA114" w14:textId="7E47503D" w:rsidR="002E6226" w:rsidRPr="00F1400E" w:rsidRDefault="002E6226" w:rsidP="002E6226">
            <w:pPr>
              <w:keepNext/>
              <w:spacing w:line="240" w:lineRule="auto"/>
              <w:jc w:val="right"/>
              <w:rPr>
                <w:rFonts w:cs="Calibri Light"/>
                <w:color w:val="000000"/>
                <w:szCs w:val="20"/>
              </w:rPr>
            </w:pPr>
            <w:r w:rsidRPr="00EE162E">
              <w:t xml:space="preserve"> $-   </w:t>
            </w:r>
          </w:p>
        </w:tc>
        <w:tc>
          <w:tcPr>
            <w:tcW w:w="1137" w:type="dxa"/>
            <w:noWrap/>
          </w:tcPr>
          <w:p w14:paraId="71124C23" w14:textId="10DE2F58" w:rsidR="002E6226" w:rsidRPr="00F1400E" w:rsidRDefault="002E6226" w:rsidP="002E6226">
            <w:pPr>
              <w:keepNext/>
              <w:spacing w:line="240" w:lineRule="auto"/>
              <w:ind w:left="0" w:right="0" w:firstLineChars="100" w:firstLine="170"/>
              <w:jc w:val="right"/>
              <w:rPr>
                <w:rFonts w:cs="Calibri Light"/>
                <w:color w:val="000000"/>
                <w:szCs w:val="20"/>
              </w:rPr>
            </w:pPr>
            <w:r w:rsidRPr="00EE162E">
              <w:t xml:space="preserve"> $8,717,389 </w:t>
            </w:r>
          </w:p>
        </w:tc>
        <w:tc>
          <w:tcPr>
            <w:tcW w:w="1137" w:type="dxa"/>
            <w:noWrap/>
          </w:tcPr>
          <w:p w14:paraId="65FFCCAE" w14:textId="36CB0E1F" w:rsidR="002E6226" w:rsidRPr="00F1400E" w:rsidRDefault="002E6226" w:rsidP="002E6226">
            <w:pPr>
              <w:keepNext/>
              <w:spacing w:line="240" w:lineRule="auto"/>
              <w:jc w:val="right"/>
              <w:rPr>
                <w:rFonts w:cs="Calibri Light"/>
                <w:color w:val="000000"/>
                <w:szCs w:val="20"/>
              </w:rPr>
            </w:pPr>
            <w:r w:rsidRPr="00EE162E">
              <w:t xml:space="preserve"> $8,717,389 </w:t>
            </w:r>
          </w:p>
        </w:tc>
        <w:tc>
          <w:tcPr>
            <w:tcW w:w="1137" w:type="dxa"/>
          </w:tcPr>
          <w:p w14:paraId="215C13B1" w14:textId="26E99C39" w:rsidR="002E6226" w:rsidRPr="00F1400E" w:rsidRDefault="002E6226" w:rsidP="002E6226">
            <w:pPr>
              <w:keepNext/>
              <w:spacing w:line="240" w:lineRule="auto"/>
              <w:jc w:val="right"/>
              <w:rPr>
                <w:rFonts w:cs="Calibri Light"/>
                <w:color w:val="000000"/>
                <w:szCs w:val="20"/>
              </w:rPr>
            </w:pPr>
            <w:r w:rsidRPr="00EE162E">
              <w:t xml:space="preserve"> $871,739 </w:t>
            </w:r>
          </w:p>
        </w:tc>
      </w:tr>
      <w:tr w:rsidR="002E6226" w:rsidRPr="00466057" w14:paraId="3B79D9A1" w14:textId="77777777" w:rsidTr="00096B1F">
        <w:trPr>
          <w:trHeight w:val="285"/>
        </w:trPr>
        <w:tc>
          <w:tcPr>
            <w:tcW w:w="1418" w:type="dxa"/>
          </w:tcPr>
          <w:p w14:paraId="5556BBDB" w14:textId="7358ABAD" w:rsidR="002E6226" w:rsidRPr="0041341A" w:rsidRDefault="002E6226" w:rsidP="002E6226">
            <w:pPr>
              <w:keepNext/>
              <w:spacing w:line="240" w:lineRule="auto"/>
              <w:rPr>
                <w:rFonts w:cs="Calibri Light"/>
                <w:color w:val="000000"/>
                <w:szCs w:val="20"/>
              </w:rPr>
            </w:pPr>
            <w:r>
              <w:rPr>
                <w:rFonts w:cs="Calibri Light"/>
                <w:color w:val="000000"/>
                <w:szCs w:val="20"/>
              </w:rPr>
              <w:t>Employer</w:t>
            </w:r>
          </w:p>
        </w:tc>
        <w:tc>
          <w:tcPr>
            <w:tcW w:w="3492" w:type="dxa"/>
            <w:noWrap/>
          </w:tcPr>
          <w:p w14:paraId="2687FD8F" w14:textId="77777777" w:rsidR="002E6226" w:rsidRPr="0041341A" w:rsidRDefault="002E6226" w:rsidP="002E6226">
            <w:pPr>
              <w:keepNext/>
              <w:spacing w:line="240" w:lineRule="auto"/>
              <w:ind w:left="0"/>
              <w:rPr>
                <w:rFonts w:eastAsia="Times New Roman" w:cs="Calibri Light"/>
                <w:color w:val="000000"/>
                <w:szCs w:val="20"/>
                <w:lang w:eastAsia="en-AU"/>
              </w:rPr>
            </w:pPr>
            <w:r w:rsidRPr="0041341A">
              <w:rPr>
                <w:rFonts w:cs="Calibri Light"/>
                <w:color w:val="000000"/>
                <w:szCs w:val="20"/>
              </w:rPr>
              <w:t>Avoided employer eligibility checking time costs</w:t>
            </w:r>
          </w:p>
        </w:tc>
        <w:tc>
          <w:tcPr>
            <w:tcW w:w="1137" w:type="dxa"/>
            <w:noWrap/>
          </w:tcPr>
          <w:p w14:paraId="4A170DA6" w14:textId="4DB75D54" w:rsidR="002E6226" w:rsidRPr="00F1400E" w:rsidRDefault="007772D9" w:rsidP="002E6226">
            <w:pPr>
              <w:keepNext/>
              <w:spacing w:line="240" w:lineRule="auto"/>
              <w:jc w:val="right"/>
              <w:rPr>
                <w:rFonts w:cs="Calibri Light"/>
                <w:color w:val="000000"/>
                <w:szCs w:val="20"/>
              </w:rPr>
            </w:pPr>
            <w:r w:rsidRPr="00135359">
              <w:t xml:space="preserve"> $-   </w:t>
            </w:r>
          </w:p>
        </w:tc>
        <w:tc>
          <w:tcPr>
            <w:tcW w:w="1137" w:type="dxa"/>
            <w:noWrap/>
          </w:tcPr>
          <w:p w14:paraId="717363B5" w14:textId="0E843251" w:rsidR="002E6226" w:rsidRPr="00F1400E" w:rsidRDefault="007772D9" w:rsidP="002E6226">
            <w:pPr>
              <w:keepNext/>
              <w:spacing w:line="240" w:lineRule="auto"/>
              <w:jc w:val="right"/>
              <w:rPr>
                <w:rFonts w:cs="Calibri Light"/>
                <w:color w:val="000000"/>
                <w:szCs w:val="20"/>
              </w:rPr>
            </w:pPr>
            <w:r w:rsidRPr="00135359">
              <w:t xml:space="preserve">-$142,671 </w:t>
            </w:r>
          </w:p>
        </w:tc>
        <w:tc>
          <w:tcPr>
            <w:tcW w:w="1137" w:type="dxa"/>
            <w:noWrap/>
          </w:tcPr>
          <w:p w14:paraId="72C4FEC0" w14:textId="008AF5E4" w:rsidR="002E6226" w:rsidRPr="00F1400E" w:rsidRDefault="007772D9" w:rsidP="002E6226">
            <w:pPr>
              <w:keepNext/>
              <w:spacing w:line="240" w:lineRule="auto"/>
              <w:jc w:val="right"/>
              <w:rPr>
                <w:rFonts w:cs="Calibri Light"/>
                <w:color w:val="000000"/>
                <w:szCs w:val="20"/>
              </w:rPr>
            </w:pPr>
            <w:r w:rsidRPr="00135359">
              <w:t xml:space="preserve">-$142,671 </w:t>
            </w:r>
          </w:p>
        </w:tc>
        <w:tc>
          <w:tcPr>
            <w:tcW w:w="1137" w:type="dxa"/>
          </w:tcPr>
          <w:p w14:paraId="0A6E1074" w14:textId="6E07E299" w:rsidR="002E6226" w:rsidRPr="00F1400E" w:rsidRDefault="007772D9" w:rsidP="002E6226">
            <w:pPr>
              <w:keepNext/>
              <w:spacing w:line="240" w:lineRule="auto"/>
              <w:jc w:val="right"/>
              <w:rPr>
                <w:rFonts w:cs="Calibri Light"/>
                <w:color w:val="000000"/>
                <w:szCs w:val="20"/>
              </w:rPr>
            </w:pPr>
            <w:r w:rsidRPr="00135359">
              <w:t xml:space="preserve">-$14,267 </w:t>
            </w:r>
          </w:p>
        </w:tc>
      </w:tr>
      <w:tr w:rsidR="002B59F0" w:rsidRPr="00466057" w14:paraId="4EDB3442" w14:textId="77777777" w:rsidTr="008F4395">
        <w:trPr>
          <w:trHeight w:val="285"/>
        </w:trPr>
        <w:tc>
          <w:tcPr>
            <w:tcW w:w="1418" w:type="dxa"/>
          </w:tcPr>
          <w:p w14:paraId="5A596B5A" w14:textId="2BBEFE90" w:rsidR="002B59F0" w:rsidRPr="0041341A" w:rsidRDefault="002B59F0" w:rsidP="002B59F0">
            <w:pPr>
              <w:keepNext/>
              <w:spacing w:line="240" w:lineRule="auto"/>
              <w:rPr>
                <w:rFonts w:cs="Calibri Light"/>
                <w:color w:val="000000"/>
                <w:szCs w:val="20"/>
              </w:rPr>
            </w:pPr>
            <w:r>
              <w:rPr>
                <w:rFonts w:cs="Calibri Light"/>
                <w:color w:val="000000"/>
                <w:szCs w:val="20"/>
              </w:rPr>
              <w:t>Audiologist</w:t>
            </w:r>
          </w:p>
        </w:tc>
        <w:tc>
          <w:tcPr>
            <w:tcW w:w="3492" w:type="dxa"/>
            <w:noWrap/>
          </w:tcPr>
          <w:p w14:paraId="4C9EC4C3" w14:textId="77777777" w:rsidR="002B59F0" w:rsidRPr="0041341A" w:rsidRDefault="002B59F0" w:rsidP="002B59F0">
            <w:pPr>
              <w:keepNext/>
              <w:spacing w:line="240" w:lineRule="auto"/>
              <w:ind w:left="0"/>
              <w:rPr>
                <w:rFonts w:eastAsia="Times New Roman" w:cs="Calibri Light"/>
                <w:color w:val="000000"/>
                <w:szCs w:val="20"/>
                <w:lang w:eastAsia="en-AU"/>
              </w:rPr>
            </w:pPr>
            <w:r w:rsidRPr="0041341A">
              <w:rPr>
                <w:rFonts w:cs="Calibri Light"/>
                <w:color w:val="000000"/>
                <w:szCs w:val="20"/>
              </w:rPr>
              <w:t>Registration/renewal fees</w:t>
            </w:r>
          </w:p>
        </w:tc>
        <w:tc>
          <w:tcPr>
            <w:tcW w:w="1137" w:type="dxa"/>
            <w:noWrap/>
            <w:vAlign w:val="bottom"/>
          </w:tcPr>
          <w:p w14:paraId="01EF4D6D" w14:textId="76DC3EB2" w:rsidR="002B59F0" w:rsidRPr="00972F5E" w:rsidRDefault="002B59F0" w:rsidP="002B59F0">
            <w:pPr>
              <w:keepNext/>
              <w:spacing w:line="240" w:lineRule="auto"/>
              <w:jc w:val="right"/>
            </w:pPr>
            <w:r w:rsidRPr="00AE1E1E">
              <w:t xml:space="preserve"> $ -   </w:t>
            </w:r>
          </w:p>
        </w:tc>
        <w:tc>
          <w:tcPr>
            <w:tcW w:w="1137" w:type="dxa"/>
            <w:noWrap/>
            <w:vAlign w:val="bottom"/>
          </w:tcPr>
          <w:p w14:paraId="547A073E" w14:textId="7A5E2B72" w:rsidR="002B59F0" w:rsidRPr="00972F5E" w:rsidRDefault="002B59F0" w:rsidP="002B59F0">
            <w:pPr>
              <w:keepNext/>
              <w:spacing w:line="240" w:lineRule="auto"/>
              <w:jc w:val="right"/>
            </w:pPr>
            <w:r w:rsidRPr="00AE1E1E">
              <w:t xml:space="preserve"> $10,063,741 </w:t>
            </w:r>
          </w:p>
        </w:tc>
        <w:tc>
          <w:tcPr>
            <w:tcW w:w="1137" w:type="dxa"/>
            <w:noWrap/>
            <w:vAlign w:val="bottom"/>
          </w:tcPr>
          <w:p w14:paraId="6874BBA7" w14:textId="09B5AD21" w:rsidR="002B59F0" w:rsidRPr="00972F5E" w:rsidRDefault="002B59F0" w:rsidP="002B59F0">
            <w:pPr>
              <w:keepNext/>
              <w:spacing w:line="240" w:lineRule="auto"/>
              <w:jc w:val="right"/>
            </w:pPr>
            <w:r w:rsidRPr="00AE1E1E">
              <w:t xml:space="preserve"> $10,063,741 </w:t>
            </w:r>
          </w:p>
        </w:tc>
        <w:tc>
          <w:tcPr>
            <w:tcW w:w="1137" w:type="dxa"/>
            <w:vAlign w:val="bottom"/>
          </w:tcPr>
          <w:p w14:paraId="614FD640" w14:textId="19BF7015" w:rsidR="002B59F0" w:rsidRPr="00972F5E" w:rsidRDefault="002B59F0" w:rsidP="002B59F0">
            <w:pPr>
              <w:keepNext/>
              <w:spacing w:line="240" w:lineRule="auto"/>
              <w:jc w:val="right"/>
            </w:pPr>
            <w:r w:rsidRPr="00AE1E1E">
              <w:t xml:space="preserve"> $1,006,374 </w:t>
            </w:r>
          </w:p>
        </w:tc>
      </w:tr>
      <w:tr w:rsidR="002B59F0" w:rsidRPr="00466057" w14:paraId="6D081C26" w14:textId="77777777" w:rsidTr="008F4395">
        <w:trPr>
          <w:trHeight w:val="285"/>
        </w:trPr>
        <w:tc>
          <w:tcPr>
            <w:tcW w:w="1418" w:type="dxa"/>
          </w:tcPr>
          <w:p w14:paraId="6CD3C8D2" w14:textId="5938B7BF" w:rsidR="002B59F0" w:rsidRPr="0041341A" w:rsidRDefault="002B59F0" w:rsidP="002B59F0">
            <w:pPr>
              <w:keepNext/>
              <w:spacing w:line="240" w:lineRule="auto"/>
              <w:rPr>
                <w:rFonts w:cs="Calibri Light"/>
                <w:color w:val="000000"/>
                <w:szCs w:val="20"/>
              </w:rPr>
            </w:pPr>
            <w:r>
              <w:rPr>
                <w:rFonts w:cs="Calibri Light"/>
                <w:color w:val="000000"/>
                <w:szCs w:val="20"/>
              </w:rPr>
              <w:t>Audiologist</w:t>
            </w:r>
          </w:p>
        </w:tc>
        <w:tc>
          <w:tcPr>
            <w:tcW w:w="3492" w:type="dxa"/>
            <w:noWrap/>
          </w:tcPr>
          <w:p w14:paraId="4A70AE1A" w14:textId="77777777" w:rsidR="002B59F0" w:rsidRPr="0041341A" w:rsidRDefault="002B59F0" w:rsidP="002B59F0">
            <w:pPr>
              <w:keepNext/>
              <w:spacing w:line="240" w:lineRule="auto"/>
              <w:ind w:left="0"/>
              <w:rPr>
                <w:rFonts w:eastAsia="Times New Roman" w:cs="Calibri Light"/>
                <w:color w:val="000000"/>
                <w:szCs w:val="20"/>
                <w:lang w:eastAsia="en-AU"/>
              </w:rPr>
            </w:pPr>
            <w:r w:rsidRPr="0041341A">
              <w:rPr>
                <w:rFonts w:cs="Calibri Light"/>
                <w:color w:val="000000"/>
                <w:szCs w:val="20"/>
              </w:rPr>
              <w:t>Registration application fees</w:t>
            </w:r>
          </w:p>
        </w:tc>
        <w:tc>
          <w:tcPr>
            <w:tcW w:w="1137" w:type="dxa"/>
            <w:noWrap/>
            <w:vAlign w:val="bottom"/>
          </w:tcPr>
          <w:p w14:paraId="5FD40B63" w14:textId="603B85BB" w:rsidR="002B59F0" w:rsidRPr="00972F5E" w:rsidRDefault="002B59F0" w:rsidP="002B59F0">
            <w:pPr>
              <w:keepNext/>
              <w:spacing w:line="240" w:lineRule="auto"/>
              <w:jc w:val="right"/>
            </w:pPr>
            <w:r w:rsidRPr="00AE1E1E">
              <w:t xml:space="preserve"> $1,911,833 </w:t>
            </w:r>
          </w:p>
        </w:tc>
        <w:tc>
          <w:tcPr>
            <w:tcW w:w="1137" w:type="dxa"/>
            <w:noWrap/>
            <w:vAlign w:val="bottom"/>
          </w:tcPr>
          <w:p w14:paraId="64C5BD0A" w14:textId="6686484C" w:rsidR="002B59F0" w:rsidRPr="00972F5E" w:rsidRDefault="002B59F0" w:rsidP="002B59F0">
            <w:pPr>
              <w:keepNext/>
              <w:spacing w:line="240" w:lineRule="auto"/>
              <w:jc w:val="right"/>
            </w:pPr>
            <w:r w:rsidRPr="00AE1E1E">
              <w:t xml:space="preserve"> $598,834 </w:t>
            </w:r>
          </w:p>
        </w:tc>
        <w:tc>
          <w:tcPr>
            <w:tcW w:w="1137" w:type="dxa"/>
            <w:noWrap/>
            <w:vAlign w:val="bottom"/>
          </w:tcPr>
          <w:p w14:paraId="10F20DF0" w14:textId="489084FE" w:rsidR="002B59F0" w:rsidRPr="00972F5E" w:rsidRDefault="002B59F0" w:rsidP="002B59F0">
            <w:pPr>
              <w:keepNext/>
              <w:spacing w:line="240" w:lineRule="auto"/>
              <w:jc w:val="right"/>
            </w:pPr>
            <w:r w:rsidRPr="00AE1E1E">
              <w:t xml:space="preserve"> $2,510,668 </w:t>
            </w:r>
          </w:p>
        </w:tc>
        <w:tc>
          <w:tcPr>
            <w:tcW w:w="1137" w:type="dxa"/>
            <w:vAlign w:val="bottom"/>
          </w:tcPr>
          <w:p w14:paraId="310D79D8" w14:textId="6B4AE800" w:rsidR="002B59F0" w:rsidRPr="00972F5E" w:rsidRDefault="002B59F0" w:rsidP="002B59F0">
            <w:pPr>
              <w:keepNext/>
              <w:spacing w:line="240" w:lineRule="auto"/>
              <w:jc w:val="right"/>
            </w:pPr>
            <w:r w:rsidRPr="00AE1E1E">
              <w:t xml:space="preserve"> $251,067 </w:t>
            </w:r>
          </w:p>
        </w:tc>
      </w:tr>
      <w:tr w:rsidR="00C871D9" w:rsidRPr="00466057" w14:paraId="64D7E929" w14:textId="77777777" w:rsidTr="00096B1F">
        <w:trPr>
          <w:trHeight w:val="285"/>
        </w:trPr>
        <w:tc>
          <w:tcPr>
            <w:tcW w:w="1418" w:type="dxa"/>
          </w:tcPr>
          <w:p w14:paraId="40CF5ED9" w14:textId="6FEE07A1" w:rsidR="00C871D9" w:rsidRPr="0041341A" w:rsidRDefault="00C871D9" w:rsidP="00C871D9">
            <w:pPr>
              <w:keepNext/>
              <w:spacing w:line="240" w:lineRule="auto"/>
              <w:rPr>
                <w:rFonts w:cs="Calibri Light"/>
                <w:color w:val="000000"/>
                <w:szCs w:val="20"/>
              </w:rPr>
            </w:pPr>
            <w:r>
              <w:rPr>
                <w:rFonts w:cs="Calibri Light"/>
                <w:color w:val="000000"/>
                <w:szCs w:val="20"/>
              </w:rPr>
              <w:t>Audiologist</w:t>
            </w:r>
          </w:p>
        </w:tc>
        <w:tc>
          <w:tcPr>
            <w:tcW w:w="3492" w:type="dxa"/>
            <w:noWrap/>
          </w:tcPr>
          <w:p w14:paraId="6B2CBEFC" w14:textId="77777777" w:rsidR="00C871D9" w:rsidRPr="0041341A" w:rsidRDefault="00C871D9" w:rsidP="00C871D9">
            <w:pPr>
              <w:keepNext/>
              <w:spacing w:line="240" w:lineRule="auto"/>
              <w:ind w:left="0"/>
              <w:rPr>
                <w:rFonts w:eastAsia="Times New Roman" w:cs="Calibri Light"/>
                <w:color w:val="000000"/>
                <w:szCs w:val="20"/>
                <w:lang w:eastAsia="en-AU"/>
              </w:rPr>
            </w:pPr>
            <w:r w:rsidRPr="0041341A">
              <w:rPr>
                <w:rFonts w:cs="Calibri Light"/>
                <w:color w:val="000000"/>
                <w:szCs w:val="20"/>
              </w:rPr>
              <w:t>Professional indemnity insurance fees</w:t>
            </w:r>
          </w:p>
        </w:tc>
        <w:tc>
          <w:tcPr>
            <w:tcW w:w="1137" w:type="dxa"/>
            <w:noWrap/>
          </w:tcPr>
          <w:p w14:paraId="2EA7BA04" w14:textId="33B33F23" w:rsidR="00C871D9" w:rsidRPr="00F1400E" w:rsidRDefault="00C871D9" w:rsidP="00C871D9">
            <w:pPr>
              <w:keepNext/>
              <w:spacing w:line="240" w:lineRule="auto"/>
              <w:jc w:val="right"/>
              <w:rPr>
                <w:rFonts w:cs="Calibri Light"/>
                <w:color w:val="000000"/>
                <w:szCs w:val="20"/>
              </w:rPr>
            </w:pPr>
            <w:r w:rsidRPr="00763FAA">
              <w:t xml:space="preserve"> $112,356 </w:t>
            </w:r>
          </w:p>
        </w:tc>
        <w:tc>
          <w:tcPr>
            <w:tcW w:w="1137" w:type="dxa"/>
            <w:noWrap/>
          </w:tcPr>
          <w:p w14:paraId="7397F7A7" w14:textId="296D3004" w:rsidR="00C871D9" w:rsidRPr="00A14AB1" w:rsidRDefault="00C871D9" w:rsidP="00C871D9">
            <w:pPr>
              <w:keepNext/>
              <w:spacing w:line="240" w:lineRule="auto"/>
              <w:jc w:val="right"/>
              <w:rPr>
                <w:rFonts w:cs="Calibri Light"/>
                <w:color w:val="000000"/>
                <w:szCs w:val="20"/>
              </w:rPr>
            </w:pPr>
            <w:r w:rsidRPr="00763FAA">
              <w:t xml:space="preserve"> $610,984 </w:t>
            </w:r>
          </w:p>
        </w:tc>
        <w:tc>
          <w:tcPr>
            <w:tcW w:w="1137" w:type="dxa"/>
            <w:noWrap/>
          </w:tcPr>
          <w:p w14:paraId="2804B775" w14:textId="4099A8DA" w:rsidR="00C871D9" w:rsidRPr="00A14AB1" w:rsidRDefault="00C871D9" w:rsidP="00C871D9">
            <w:pPr>
              <w:keepNext/>
              <w:spacing w:line="240" w:lineRule="auto"/>
              <w:jc w:val="right"/>
              <w:rPr>
                <w:rFonts w:cs="Calibri Light"/>
                <w:color w:val="000000"/>
                <w:szCs w:val="20"/>
              </w:rPr>
            </w:pPr>
            <w:r w:rsidRPr="00763FAA">
              <w:t xml:space="preserve"> $723,340 </w:t>
            </w:r>
          </w:p>
        </w:tc>
        <w:tc>
          <w:tcPr>
            <w:tcW w:w="1137" w:type="dxa"/>
          </w:tcPr>
          <w:p w14:paraId="57FECBA9" w14:textId="68C31C72" w:rsidR="00C871D9" w:rsidRPr="00A14AB1" w:rsidRDefault="00C871D9" w:rsidP="00C871D9">
            <w:pPr>
              <w:keepNext/>
              <w:spacing w:line="240" w:lineRule="auto"/>
              <w:jc w:val="right"/>
              <w:rPr>
                <w:rFonts w:cs="Calibri Light"/>
                <w:color w:val="000000"/>
                <w:szCs w:val="20"/>
              </w:rPr>
            </w:pPr>
            <w:r w:rsidRPr="00763FAA">
              <w:t xml:space="preserve"> $72,334 </w:t>
            </w:r>
          </w:p>
        </w:tc>
      </w:tr>
      <w:tr w:rsidR="00C871D9" w:rsidRPr="00466057" w14:paraId="49B8D383" w14:textId="77777777" w:rsidTr="00096B1F">
        <w:trPr>
          <w:trHeight w:val="285"/>
        </w:trPr>
        <w:tc>
          <w:tcPr>
            <w:tcW w:w="1418" w:type="dxa"/>
          </w:tcPr>
          <w:p w14:paraId="5B318139" w14:textId="19A7A540" w:rsidR="00C871D9" w:rsidRPr="0041341A" w:rsidRDefault="00C871D9" w:rsidP="00C871D9">
            <w:pPr>
              <w:keepNext/>
              <w:spacing w:line="240" w:lineRule="auto"/>
              <w:rPr>
                <w:rFonts w:cs="Calibri Light"/>
                <w:color w:val="000000"/>
                <w:szCs w:val="20"/>
              </w:rPr>
            </w:pPr>
            <w:r>
              <w:rPr>
                <w:rFonts w:cs="Calibri Light"/>
                <w:color w:val="000000"/>
                <w:szCs w:val="20"/>
              </w:rPr>
              <w:t>Audiologist</w:t>
            </w:r>
          </w:p>
        </w:tc>
        <w:tc>
          <w:tcPr>
            <w:tcW w:w="3492" w:type="dxa"/>
            <w:noWrap/>
          </w:tcPr>
          <w:p w14:paraId="4A18B0C5" w14:textId="77777777" w:rsidR="00C871D9" w:rsidRPr="0041341A" w:rsidRDefault="00C871D9" w:rsidP="00C871D9">
            <w:pPr>
              <w:keepNext/>
              <w:spacing w:line="240" w:lineRule="auto"/>
              <w:ind w:left="0"/>
              <w:rPr>
                <w:rFonts w:eastAsia="Times New Roman" w:cs="Calibri Light"/>
                <w:color w:val="000000"/>
                <w:szCs w:val="20"/>
                <w:lang w:eastAsia="en-AU"/>
              </w:rPr>
            </w:pPr>
            <w:r w:rsidRPr="0041341A">
              <w:rPr>
                <w:rFonts w:cs="Calibri Light"/>
                <w:color w:val="000000"/>
                <w:szCs w:val="20"/>
              </w:rPr>
              <w:t>Reduction in elective fees</w:t>
            </w:r>
          </w:p>
        </w:tc>
        <w:tc>
          <w:tcPr>
            <w:tcW w:w="1137" w:type="dxa"/>
            <w:noWrap/>
          </w:tcPr>
          <w:p w14:paraId="30425E78" w14:textId="3F8CFF52" w:rsidR="00C871D9" w:rsidRPr="00A14AB1" w:rsidRDefault="00C67150" w:rsidP="00C871D9">
            <w:pPr>
              <w:keepNext/>
              <w:spacing w:line="240" w:lineRule="auto"/>
              <w:jc w:val="right"/>
              <w:rPr>
                <w:rFonts w:cs="Calibri Light"/>
                <w:color w:val="000000"/>
                <w:szCs w:val="20"/>
              </w:rPr>
            </w:pPr>
            <w:r w:rsidRPr="003A5EE3">
              <w:t xml:space="preserve">-$160,479 </w:t>
            </w:r>
          </w:p>
        </w:tc>
        <w:tc>
          <w:tcPr>
            <w:tcW w:w="1137" w:type="dxa"/>
            <w:noWrap/>
          </w:tcPr>
          <w:p w14:paraId="7D2EE075" w14:textId="1F2BB5D9" w:rsidR="00C871D9" w:rsidRPr="00A14AB1" w:rsidRDefault="00C67150" w:rsidP="00C871D9">
            <w:pPr>
              <w:keepNext/>
              <w:spacing w:line="240" w:lineRule="auto"/>
              <w:jc w:val="right"/>
              <w:rPr>
                <w:rFonts w:cs="Calibri Light"/>
                <w:color w:val="000000"/>
                <w:szCs w:val="20"/>
              </w:rPr>
            </w:pPr>
            <w:r w:rsidRPr="003A5EE3">
              <w:t xml:space="preserve">-$1,340,035 </w:t>
            </w:r>
          </w:p>
        </w:tc>
        <w:tc>
          <w:tcPr>
            <w:tcW w:w="1137" w:type="dxa"/>
            <w:noWrap/>
          </w:tcPr>
          <w:p w14:paraId="0A65D18F" w14:textId="6AEBFD20" w:rsidR="00C871D9" w:rsidRPr="00A14AB1" w:rsidRDefault="00C67150" w:rsidP="00C871D9">
            <w:pPr>
              <w:keepNext/>
              <w:spacing w:line="240" w:lineRule="auto"/>
              <w:jc w:val="right"/>
              <w:rPr>
                <w:rFonts w:cs="Calibri Light"/>
                <w:color w:val="000000"/>
                <w:szCs w:val="20"/>
              </w:rPr>
            </w:pPr>
            <w:r w:rsidRPr="003A5EE3">
              <w:t xml:space="preserve">-$1,500,513 </w:t>
            </w:r>
          </w:p>
        </w:tc>
        <w:tc>
          <w:tcPr>
            <w:tcW w:w="1137" w:type="dxa"/>
          </w:tcPr>
          <w:p w14:paraId="7F250189" w14:textId="7A5AB6C6" w:rsidR="00C871D9" w:rsidRPr="00A14AB1" w:rsidRDefault="00C67150" w:rsidP="00C871D9">
            <w:pPr>
              <w:keepNext/>
              <w:spacing w:line="240" w:lineRule="auto"/>
              <w:jc w:val="right"/>
              <w:rPr>
                <w:rFonts w:cs="Calibri Light"/>
                <w:color w:val="000000"/>
                <w:szCs w:val="20"/>
              </w:rPr>
            </w:pPr>
            <w:r w:rsidRPr="003A5EE3">
              <w:t xml:space="preserve">-$150,051 </w:t>
            </w:r>
          </w:p>
        </w:tc>
      </w:tr>
      <w:tr w:rsidR="00C871D9" w:rsidRPr="00466057" w14:paraId="05325664" w14:textId="77777777" w:rsidTr="00096B1F">
        <w:trPr>
          <w:trHeight w:val="285"/>
        </w:trPr>
        <w:tc>
          <w:tcPr>
            <w:tcW w:w="1418" w:type="dxa"/>
          </w:tcPr>
          <w:p w14:paraId="6475D817" w14:textId="0929BDF9" w:rsidR="00C871D9" w:rsidRPr="0041341A" w:rsidRDefault="00C871D9" w:rsidP="00C871D9">
            <w:pPr>
              <w:keepNext/>
              <w:spacing w:line="240" w:lineRule="auto"/>
              <w:rPr>
                <w:rFonts w:cs="Calibri Light"/>
                <w:color w:val="000000"/>
                <w:szCs w:val="20"/>
              </w:rPr>
            </w:pPr>
            <w:r>
              <w:rPr>
                <w:rFonts w:cs="Calibri Light"/>
                <w:color w:val="000000"/>
                <w:szCs w:val="20"/>
              </w:rPr>
              <w:t xml:space="preserve">Universities </w:t>
            </w:r>
          </w:p>
        </w:tc>
        <w:tc>
          <w:tcPr>
            <w:tcW w:w="3492" w:type="dxa"/>
            <w:noWrap/>
          </w:tcPr>
          <w:p w14:paraId="52973469" w14:textId="77777777" w:rsidR="00C871D9" w:rsidRPr="0041341A" w:rsidRDefault="00C871D9" w:rsidP="00C871D9">
            <w:pPr>
              <w:keepNext/>
              <w:spacing w:line="240" w:lineRule="auto"/>
              <w:ind w:left="0"/>
              <w:rPr>
                <w:rFonts w:eastAsia="Times New Roman" w:cs="Calibri Light"/>
                <w:color w:val="000000"/>
                <w:szCs w:val="20"/>
                <w:lang w:eastAsia="en-AU"/>
              </w:rPr>
            </w:pPr>
            <w:r w:rsidRPr="0041341A">
              <w:rPr>
                <w:rFonts w:cs="Calibri Light"/>
                <w:color w:val="000000"/>
                <w:szCs w:val="20"/>
              </w:rPr>
              <w:t>Increase in accreditation fees</w:t>
            </w:r>
          </w:p>
        </w:tc>
        <w:tc>
          <w:tcPr>
            <w:tcW w:w="1137" w:type="dxa"/>
            <w:noWrap/>
          </w:tcPr>
          <w:p w14:paraId="0DC28899" w14:textId="2E6899D8" w:rsidR="00C871D9" w:rsidRPr="00A14AB1" w:rsidRDefault="00C871D9" w:rsidP="00C871D9">
            <w:pPr>
              <w:keepNext/>
              <w:spacing w:line="240" w:lineRule="auto"/>
              <w:jc w:val="right"/>
              <w:rPr>
                <w:rFonts w:cs="Calibri Light"/>
                <w:color w:val="000000"/>
                <w:szCs w:val="20"/>
              </w:rPr>
            </w:pPr>
            <w:r w:rsidRPr="00763FAA">
              <w:t xml:space="preserve"> $139,524 </w:t>
            </w:r>
          </w:p>
        </w:tc>
        <w:tc>
          <w:tcPr>
            <w:tcW w:w="1137" w:type="dxa"/>
            <w:noWrap/>
          </w:tcPr>
          <w:p w14:paraId="7AFF10FF" w14:textId="7DE2AEBC" w:rsidR="00C871D9" w:rsidRPr="00A14AB1" w:rsidRDefault="00C871D9" w:rsidP="00C871D9">
            <w:pPr>
              <w:keepNext/>
              <w:spacing w:line="240" w:lineRule="auto"/>
              <w:jc w:val="right"/>
              <w:rPr>
                <w:rFonts w:cs="Calibri Light"/>
                <w:color w:val="000000"/>
                <w:szCs w:val="20"/>
              </w:rPr>
            </w:pPr>
            <w:r w:rsidRPr="00763FAA">
              <w:t xml:space="preserve">-$59,338 </w:t>
            </w:r>
          </w:p>
        </w:tc>
        <w:tc>
          <w:tcPr>
            <w:tcW w:w="1137" w:type="dxa"/>
            <w:noWrap/>
          </w:tcPr>
          <w:p w14:paraId="263C086A" w14:textId="7C565622" w:rsidR="00C871D9" w:rsidRPr="00A14AB1" w:rsidRDefault="00C871D9" w:rsidP="00C871D9">
            <w:pPr>
              <w:keepNext/>
              <w:spacing w:line="240" w:lineRule="auto"/>
              <w:jc w:val="right"/>
              <w:rPr>
                <w:rFonts w:cs="Calibri Light"/>
                <w:color w:val="000000"/>
                <w:szCs w:val="20"/>
              </w:rPr>
            </w:pPr>
            <w:r w:rsidRPr="00763FAA">
              <w:t xml:space="preserve"> $80,186 </w:t>
            </w:r>
          </w:p>
        </w:tc>
        <w:tc>
          <w:tcPr>
            <w:tcW w:w="1137" w:type="dxa"/>
          </w:tcPr>
          <w:p w14:paraId="681B950F" w14:textId="17334FAA" w:rsidR="00C871D9" w:rsidRPr="00A14AB1" w:rsidRDefault="00C871D9" w:rsidP="00C871D9">
            <w:pPr>
              <w:keepNext/>
              <w:spacing w:line="240" w:lineRule="auto"/>
              <w:jc w:val="right"/>
              <w:rPr>
                <w:rFonts w:cs="Calibri Light"/>
                <w:color w:val="000000"/>
                <w:szCs w:val="20"/>
              </w:rPr>
            </w:pPr>
            <w:r w:rsidRPr="00763FAA">
              <w:t xml:space="preserve"> </w:t>
            </w:r>
            <w:bookmarkStart w:id="269" w:name="_Hlk196747481"/>
            <w:r w:rsidRPr="00763FAA">
              <w:t xml:space="preserve">$8,019 </w:t>
            </w:r>
            <w:bookmarkEnd w:id="269"/>
          </w:p>
        </w:tc>
      </w:tr>
      <w:tr w:rsidR="007F4C33" w:rsidRPr="00466057" w14:paraId="7734BD48" w14:textId="77777777" w:rsidTr="00096B1F">
        <w:trPr>
          <w:trHeight w:val="285"/>
        </w:trPr>
        <w:tc>
          <w:tcPr>
            <w:tcW w:w="1418" w:type="dxa"/>
          </w:tcPr>
          <w:p w14:paraId="6CE3BC27" w14:textId="77777777" w:rsidR="007F4C33" w:rsidRPr="00AD1A49" w:rsidRDefault="007F4C33" w:rsidP="007F4C33">
            <w:pPr>
              <w:keepNext/>
              <w:spacing w:line="240" w:lineRule="auto"/>
              <w:rPr>
                <w:rFonts w:eastAsia="Times New Roman" w:cs="Calibri Light"/>
                <w:b/>
                <w:bCs/>
                <w:color w:val="000000"/>
                <w:szCs w:val="20"/>
                <w:shd w:val="clear" w:color="auto" w:fill="F2F2F2" w:themeFill="background1" w:themeFillShade="F2"/>
                <w:lang w:eastAsia="en-AU"/>
              </w:rPr>
            </w:pPr>
          </w:p>
        </w:tc>
        <w:tc>
          <w:tcPr>
            <w:tcW w:w="3492" w:type="dxa"/>
            <w:noWrap/>
            <w:hideMark/>
          </w:tcPr>
          <w:p w14:paraId="7728EA0E" w14:textId="77777777" w:rsidR="007F4C33" w:rsidRPr="00466057" w:rsidRDefault="007F4C33" w:rsidP="007F4C33">
            <w:pPr>
              <w:keepNext/>
              <w:spacing w:line="240" w:lineRule="auto"/>
              <w:rPr>
                <w:rFonts w:eastAsia="Times New Roman" w:cs="Calibri Light"/>
                <w:b/>
                <w:bCs/>
                <w:color w:val="000000"/>
                <w:szCs w:val="20"/>
                <w:lang w:eastAsia="en-AU"/>
              </w:rPr>
            </w:pPr>
            <w:r w:rsidRPr="00AD1A49">
              <w:rPr>
                <w:rFonts w:eastAsia="Times New Roman" w:cs="Calibri Light"/>
                <w:b/>
                <w:bCs/>
                <w:color w:val="000000"/>
                <w:szCs w:val="20"/>
                <w:shd w:val="clear" w:color="auto" w:fill="F2F2F2" w:themeFill="background1" w:themeFillShade="F2"/>
                <w:lang w:eastAsia="en-AU"/>
              </w:rPr>
              <w:t>Total</w:t>
            </w:r>
            <w:r w:rsidRPr="00AD1A49">
              <w:rPr>
                <w:rFonts w:eastAsia="Times New Roman" w:cs="Calibri Light"/>
                <w:b/>
                <w:bCs/>
                <w:color w:val="000000"/>
                <w:szCs w:val="20"/>
                <w:lang w:eastAsia="en-AU"/>
              </w:rPr>
              <w:t xml:space="preserve"> </w:t>
            </w:r>
            <w:r>
              <w:rPr>
                <w:rFonts w:eastAsia="Times New Roman" w:cs="Calibri Light"/>
                <w:b/>
                <w:bCs/>
                <w:color w:val="000000"/>
                <w:szCs w:val="20"/>
                <w:lang w:eastAsia="en-AU"/>
              </w:rPr>
              <w:t>costs</w:t>
            </w:r>
          </w:p>
        </w:tc>
        <w:tc>
          <w:tcPr>
            <w:tcW w:w="1137" w:type="dxa"/>
            <w:noWrap/>
          </w:tcPr>
          <w:p w14:paraId="77A80FF9" w14:textId="0522B767" w:rsidR="007F4C33" w:rsidRPr="007F4C33" w:rsidRDefault="004107F2" w:rsidP="007F4C33">
            <w:pPr>
              <w:keepNext/>
              <w:spacing w:line="240" w:lineRule="auto"/>
              <w:jc w:val="right"/>
              <w:rPr>
                <w:rFonts w:cs="Calibri Light"/>
                <w:b/>
                <w:bCs/>
                <w:color w:val="000000"/>
                <w:szCs w:val="20"/>
              </w:rPr>
            </w:pPr>
            <w:r w:rsidRPr="00EE3AA4">
              <w:rPr>
                <w:b/>
                <w:bCs/>
              </w:rPr>
              <w:t xml:space="preserve"> $2,003,235 </w:t>
            </w:r>
          </w:p>
        </w:tc>
        <w:tc>
          <w:tcPr>
            <w:tcW w:w="1137" w:type="dxa"/>
            <w:noWrap/>
          </w:tcPr>
          <w:p w14:paraId="0579AB16" w14:textId="1FE2AC6F" w:rsidR="007F4C33" w:rsidRPr="007F4C33" w:rsidRDefault="004107F2" w:rsidP="007F4C33">
            <w:pPr>
              <w:keepNext/>
              <w:spacing w:line="240" w:lineRule="auto"/>
              <w:ind w:left="0"/>
              <w:jc w:val="right"/>
              <w:rPr>
                <w:rFonts w:cs="Calibri Light"/>
                <w:b/>
                <w:bCs/>
                <w:color w:val="000000"/>
                <w:szCs w:val="20"/>
              </w:rPr>
            </w:pPr>
            <w:r w:rsidRPr="00EE3AA4">
              <w:rPr>
                <w:b/>
                <w:bCs/>
              </w:rPr>
              <w:t xml:space="preserve"> $18,448,905 </w:t>
            </w:r>
          </w:p>
        </w:tc>
        <w:tc>
          <w:tcPr>
            <w:tcW w:w="1137" w:type="dxa"/>
            <w:noWrap/>
          </w:tcPr>
          <w:p w14:paraId="27A52690" w14:textId="55FDD2C6" w:rsidR="007F4C33" w:rsidRPr="007F4C33" w:rsidRDefault="004107F2" w:rsidP="007F4C33">
            <w:pPr>
              <w:keepNext/>
              <w:spacing w:line="240" w:lineRule="auto"/>
              <w:jc w:val="right"/>
              <w:rPr>
                <w:rFonts w:cs="Calibri Light"/>
                <w:b/>
                <w:bCs/>
                <w:color w:val="000000"/>
                <w:szCs w:val="20"/>
              </w:rPr>
            </w:pPr>
            <w:r w:rsidRPr="00EE3AA4">
              <w:rPr>
                <w:b/>
                <w:bCs/>
              </w:rPr>
              <w:t xml:space="preserve"> $20,452,140 </w:t>
            </w:r>
          </w:p>
        </w:tc>
        <w:tc>
          <w:tcPr>
            <w:tcW w:w="1137" w:type="dxa"/>
          </w:tcPr>
          <w:p w14:paraId="05C5254D" w14:textId="058BD578" w:rsidR="007F4C33" w:rsidRPr="007F4C33" w:rsidRDefault="004107F2" w:rsidP="007F4C33">
            <w:pPr>
              <w:keepNext/>
              <w:spacing w:line="240" w:lineRule="auto"/>
              <w:jc w:val="right"/>
              <w:rPr>
                <w:rFonts w:cs="Calibri Light"/>
                <w:b/>
                <w:bCs/>
                <w:color w:val="000000"/>
                <w:szCs w:val="20"/>
              </w:rPr>
            </w:pPr>
            <w:r w:rsidRPr="00EE3AA4">
              <w:rPr>
                <w:b/>
                <w:bCs/>
              </w:rPr>
              <w:t xml:space="preserve"> $2,045,214 </w:t>
            </w:r>
          </w:p>
        </w:tc>
      </w:tr>
    </w:tbl>
    <w:p w14:paraId="3D4E69D8" w14:textId="77777777" w:rsidR="00581145" w:rsidRDefault="00581145" w:rsidP="00581145">
      <w:pPr>
        <w:rPr>
          <w:color w:val="808080" w:themeColor="background1" w:themeShade="80"/>
          <w:sz w:val="18"/>
        </w:rPr>
      </w:pPr>
      <w:r w:rsidRPr="00961B36">
        <w:rPr>
          <w:color w:val="808080" w:themeColor="background1" w:themeShade="80"/>
          <w:sz w:val="18"/>
        </w:rPr>
        <w:t>Note:</w:t>
      </w:r>
      <w:r>
        <w:rPr>
          <w:color w:val="808080" w:themeColor="background1" w:themeShade="80"/>
          <w:sz w:val="18"/>
        </w:rPr>
        <w:t xml:space="preserve"> ^</w:t>
      </w:r>
      <w:r w:rsidRPr="00961B36">
        <w:rPr>
          <w:color w:val="808080" w:themeColor="background1" w:themeShade="80"/>
          <w:sz w:val="18"/>
        </w:rPr>
        <w:t xml:space="preserve">As per OIA’s guidance on regulatory costs accruing to government under a regulatory change, these costs </w:t>
      </w:r>
      <w:r>
        <w:rPr>
          <w:color w:val="808080" w:themeColor="background1" w:themeShade="80"/>
          <w:sz w:val="18"/>
        </w:rPr>
        <w:t>are</w:t>
      </w:r>
      <w:r w:rsidRPr="00961B36">
        <w:rPr>
          <w:color w:val="808080" w:themeColor="background1" w:themeShade="80"/>
          <w:sz w:val="18"/>
        </w:rPr>
        <w:t xml:space="preserve"> excluded from the estimate of the cos</w:t>
      </w:r>
      <w:r>
        <w:rPr>
          <w:color w:val="808080" w:themeColor="background1" w:themeShade="80"/>
          <w:sz w:val="18"/>
        </w:rPr>
        <w:t>ts associated with regulatory burden</w:t>
      </w:r>
      <w:r w:rsidRPr="00961B36">
        <w:rPr>
          <w:color w:val="808080" w:themeColor="background1" w:themeShade="80"/>
          <w:sz w:val="18"/>
        </w:rPr>
        <w:t>.</w:t>
      </w:r>
    </w:p>
    <w:p w14:paraId="60082A33" w14:textId="77777777" w:rsidR="00AC696B" w:rsidRDefault="00AC696B" w:rsidP="00581145">
      <w:pPr>
        <w:rPr>
          <w:color w:val="808080" w:themeColor="background1" w:themeShade="80"/>
          <w:sz w:val="18"/>
        </w:rPr>
      </w:pPr>
    </w:p>
    <w:p w14:paraId="47DC860D" w14:textId="1050C0BE" w:rsidR="00AC696B" w:rsidRDefault="00FE3A33" w:rsidP="00AC696B">
      <w:pPr>
        <w:pStyle w:val="Caption"/>
        <w:keepNext/>
      </w:pPr>
      <w:r>
        <w:t xml:space="preserve">Table </w:t>
      </w:r>
      <w:fldSimple w:instr=" STYLEREF 1 \s ">
        <w:r w:rsidR="00F32107">
          <w:rPr>
            <w:noProof/>
          </w:rPr>
          <w:t>8</w:t>
        </w:r>
      </w:fldSimple>
      <w:r w:rsidR="008944FB">
        <w:t>.</w:t>
      </w:r>
      <w:fldSimple w:instr=" SEQ Table \* ARABIC \s 1 ">
        <w:r w:rsidR="00F32107">
          <w:rPr>
            <w:noProof/>
          </w:rPr>
          <w:t>19</w:t>
        </w:r>
      </w:fldSimple>
      <w:r>
        <w:t xml:space="preserve">. </w:t>
      </w:r>
      <w:r w:rsidR="00E36890">
        <w:t>E</w:t>
      </w:r>
      <w:r w:rsidR="00AC696B">
        <w:t xml:space="preserve">stimated ten-year costs associated with </w:t>
      </w:r>
      <w:r w:rsidR="00BC1C66">
        <w:t>Option 7</w:t>
      </w:r>
      <w:r w:rsidR="00AC696B">
        <w:t xml:space="preserve"> </w:t>
      </w:r>
      <w:r w:rsidR="00CA5F2D">
        <w:t>(</w:t>
      </w:r>
      <w:r w:rsidR="00AC696B">
        <w:t xml:space="preserve">National Board with </w:t>
      </w:r>
      <w:r w:rsidR="00BC1C66">
        <w:t xml:space="preserve">multiple </w:t>
      </w:r>
      <w:r w:rsidR="00AC696B">
        <w:t>professions</w:t>
      </w:r>
      <w:r w:rsidR="00CA5F2D">
        <w:t xml:space="preserve">) relative to the </w:t>
      </w:r>
      <w:r w:rsidR="00A80F45">
        <w:t>Status Quo</w:t>
      </w:r>
    </w:p>
    <w:tbl>
      <w:tblPr>
        <w:tblStyle w:val="BodyTable"/>
        <w:tblW w:w="0" w:type="auto"/>
        <w:tblLook w:val="04A0" w:firstRow="1" w:lastRow="0" w:firstColumn="1" w:lastColumn="0" w:noHBand="0" w:noVBand="1"/>
      </w:tblPr>
      <w:tblGrid>
        <w:gridCol w:w="1893"/>
        <w:gridCol w:w="1737"/>
        <w:gridCol w:w="1738"/>
        <w:gridCol w:w="1738"/>
        <w:gridCol w:w="1738"/>
      </w:tblGrid>
      <w:tr w:rsidR="00B0650C" w14:paraId="7D633320" w14:textId="77777777" w:rsidTr="002A7BD4">
        <w:trPr>
          <w:cnfStyle w:val="100000000000" w:firstRow="1" w:lastRow="0" w:firstColumn="0" w:lastColumn="0" w:oddVBand="0" w:evenVBand="0" w:oddHBand="0" w:evenHBand="0" w:firstRowFirstColumn="0" w:firstRowLastColumn="0" w:lastRowFirstColumn="0" w:lastRowLastColumn="0"/>
        </w:trPr>
        <w:tc>
          <w:tcPr>
            <w:tcW w:w="1893" w:type="dxa"/>
            <w:tcBorders>
              <w:bottom w:val="single" w:sz="4" w:space="0" w:color="000000" w:themeColor="text1"/>
            </w:tcBorders>
          </w:tcPr>
          <w:p w14:paraId="721A6220" w14:textId="77777777" w:rsidR="00B0650C" w:rsidRDefault="00B0650C" w:rsidP="002A7BD4">
            <w:pPr>
              <w:pStyle w:val="BodyText"/>
              <w:spacing w:before="0" w:after="0"/>
            </w:pPr>
          </w:p>
        </w:tc>
        <w:tc>
          <w:tcPr>
            <w:tcW w:w="1737" w:type="dxa"/>
            <w:tcBorders>
              <w:bottom w:val="single" w:sz="4" w:space="0" w:color="000000" w:themeColor="text1"/>
            </w:tcBorders>
          </w:tcPr>
          <w:p w14:paraId="79336AFF" w14:textId="77777777" w:rsidR="00B0650C" w:rsidRDefault="00B0650C" w:rsidP="002A7BD4">
            <w:pPr>
              <w:keepNext/>
              <w:spacing w:line="240" w:lineRule="auto"/>
              <w:ind w:left="113" w:right="113"/>
              <w:jc w:val="right"/>
            </w:pPr>
            <w:r w:rsidRPr="00AD1F2D">
              <w:rPr>
                <w:b/>
                <w:bCs/>
              </w:rPr>
              <w:t>Government</w:t>
            </w:r>
          </w:p>
        </w:tc>
        <w:tc>
          <w:tcPr>
            <w:tcW w:w="1738" w:type="dxa"/>
            <w:tcBorders>
              <w:bottom w:val="single" w:sz="4" w:space="0" w:color="000000" w:themeColor="text1"/>
            </w:tcBorders>
          </w:tcPr>
          <w:p w14:paraId="449C9EC4" w14:textId="77777777" w:rsidR="00B0650C" w:rsidRPr="00AD1F2D" w:rsidRDefault="00B0650C" w:rsidP="002A7BD4">
            <w:pPr>
              <w:keepNext/>
              <w:spacing w:line="240" w:lineRule="auto"/>
              <w:ind w:left="113" w:right="113"/>
              <w:jc w:val="right"/>
              <w:rPr>
                <w:b/>
                <w:bCs/>
              </w:rPr>
            </w:pPr>
            <w:r w:rsidRPr="00AD1F2D">
              <w:rPr>
                <w:b/>
                <w:bCs/>
              </w:rPr>
              <w:t>Employer</w:t>
            </w:r>
          </w:p>
        </w:tc>
        <w:tc>
          <w:tcPr>
            <w:tcW w:w="1738" w:type="dxa"/>
            <w:tcBorders>
              <w:bottom w:val="single" w:sz="4" w:space="0" w:color="000000" w:themeColor="text1"/>
            </w:tcBorders>
          </w:tcPr>
          <w:p w14:paraId="47838EDC" w14:textId="77777777" w:rsidR="00B0650C" w:rsidRPr="00AD1F2D" w:rsidRDefault="00B0650C" w:rsidP="002A7BD4">
            <w:pPr>
              <w:keepNext/>
              <w:spacing w:line="240" w:lineRule="auto"/>
              <w:ind w:left="113" w:right="113"/>
              <w:jc w:val="right"/>
              <w:rPr>
                <w:b/>
                <w:bCs/>
              </w:rPr>
            </w:pPr>
            <w:r w:rsidRPr="00AD1F2D">
              <w:rPr>
                <w:b/>
                <w:bCs/>
              </w:rPr>
              <w:t xml:space="preserve">Audiologists </w:t>
            </w:r>
          </w:p>
        </w:tc>
        <w:tc>
          <w:tcPr>
            <w:tcW w:w="1738" w:type="dxa"/>
            <w:tcBorders>
              <w:bottom w:val="single" w:sz="4" w:space="0" w:color="000000" w:themeColor="text1"/>
            </w:tcBorders>
          </w:tcPr>
          <w:p w14:paraId="1D0C569B" w14:textId="77777777" w:rsidR="00B0650C" w:rsidRPr="00AD1F2D" w:rsidRDefault="00B0650C" w:rsidP="002A7BD4">
            <w:pPr>
              <w:keepNext/>
              <w:spacing w:line="240" w:lineRule="auto"/>
              <w:ind w:left="113" w:right="113"/>
              <w:jc w:val="right"/>
              <w:rPr>
                <w:b/>
                <w:bCs/>
              </w:rPr>
            </w:pPr>
            <w:r w:rsidRPr="00AD1F2D">
              <w:rPr>
                <w:b/>
                <w:bCs/>
              </w:rPr>
              <w:t>Universities</w:t>
            </w:r>
          </w:p>
        </w:tc>
      </w:tr>
      <w:tr w:rsidR="00606242" w14:paraId="0F15FE5D" w14:textId="77777777" w:rsidTr="00EE3AA4">
        <w:tc>
          <w:tcPr>
            <w:tcW w:w="1893" w:type="dxa"/>
            <w:tcBorders>
              <w:top w:val="single" w:sz="4" w:space="0" w:color="000000" w:themeColor="text1"/>
              <w:bottom w:val="single" w:sz="4" w:space="0" w:color="auto"/>
            </w:tcBorders>
          </w:tcPr>
          <w:p w14:paraId="61AD4304" w14:textId="77777777" w:rsidR="00606242" w:rsidRPr="00AD1F2D" w:rsidRDefault="00606242" w:rsidP="00606242">
            <w:pPr>
              <w:keepNext/>
              <w:spacing w:line="240" w:lineRule="auto"/>
              <w:ind w:left="0" w:right="113"/>
              <w:rPr>
                <w:rFonts w:cs="Calibri Light"/>
                <w:b/>
                <w:bCs/>
                <w:color w:val="000000"/>
                <w:szCs w:val="20"/>
              </w:rPr>
            </w:pPr>
            <w:r w:rsidRPr="00AD1F2D">
              <w:rPr>
                <w:rFonts w:cs="Calibri Light"/>
                <w:b/>
                <w:bCs/>
                <w:color w:val="000000"/>
                <w:szCs w:val="20"/>
              </w:rPr>
              <w:t>Total NPV cost over ten year period</w:t>
            </w:r>
          </w:p>
          <w:p w14:paraId="4EF0DBFA" w14:textId="77777777" w:rsidR="00606242" w:rsidRPr="00AD1F2D" w:rsidRDefault="00606242" w:rsidP="00606242">
            <w:pPr>
              <w:pStyle w:val="BodyText"/>
              <w:spacing w:before="0" w:after="0"/>
              <w:ind w:left="0"/>
              <w:rPr>
                <w:rFonts w:cs="Calibri Light"/>
                <w:color w:val="000000"/>
                <w:kern w:val="0"/>
                <w:szCs w:val="20"/>
                <w:lang w:val="en-US"/>
                <w14:numSpacing w14:val="default"/>
              </w:rPr>
            </w:pPr>
            <w:r w:rsidRPr="00AD1F2D">
              <w:rPr>
                <w:rFonts w:cs="Calibri Light"/>
                <w:b/>
                <w:bCs/>
                <w:color w:val="000000"/>
                <w:kern w:val="0"/>
                <w:szCs w:val="20"/>
                <w:lang w:val="en-US"/>
                <w14:numSpacing w14:val="default"/>
              </w:rPr>
              <w:t>(FY25-34)</w:t>
            </w:r>
          </w:p>
        </w:tc>
        <w:tc>
          <w:tcPr>
            <w:tcW w:w="1737" w:type="dxa"/>
            <w:tcBorders>
              <w:top w:val="single" w:sz="4" w:space="0" w:color="000000" w:themeColor="text1"/>
              <w:left w:val="nil"/>
              <w:bottom w:val="single" w:sz="4" w:space="0" w:color="auto"/>
              <w:right w:val="nil"/>
            </w:tcBorders>
            <w:shd w:val="clear" w:color="000000" w:fill="FFFFFF"/>
          </w:tcPr>
          <w:p w14:paraId="0933D267" w14:textId="60890068" w:rsidR="00606242" w:rsidRPr="00AD1F2D" w:rsidRDefault="001043F1" w:rsidP="00606242">
            <w:pPr>
              <w:keepNext/>
              <w:spacing w:line="240" w:lineRule="auto"/>
              <w:jc w:val="right"/>
              <w:rPr>
                <w:rFonts w:cs="Calibri Light"/>
                <w:color w:val="000000"/>
                <w:szCs w:val="20"/>
              </w:rPr>
            </w:pPr>
            <w:r w:rsidRPr="00E16306">
              <w:t xml:space="preserve"> </w:t>
            </w:r>
            <w:r w:rsidRPr="00EE3AA4">
              <w:rPr>
                <w:rFonts w:eastAsia="Times New Roman" w:cs="Calibri Light"/>
                <w:color w:val="808080" w:themeColor="background1" w:themeShade="80"/>
                <w:szCs w:val="20"/>
                <w:lang w:eastAsia="en-AU"/>
              </w:rPr>
              <w:t>$4,578,428</w:t>
            </w:r>
            <w:r w:rsidRPr="00E16306">
              <w:t xml:space="preserve"> </w:t>
            </w:r>
          </w:p>
        </w:tc>
        <w:tc>
          <w:tcPr>
            <w:tcW w:w="1738" w:type="dxa"/>
            <w:tcBorders>
              <w:top w:val="single" w:sz="4" w:space="0" w:color="000000" w:themeColor="text1"/>
              <w:left w:val="nil"/>
              <w:bottom w:val="single" w:sz="4" w:space="0" w:color="auto"/>
              <w:right w:val="nil"/>
            </w:tcBorders>
            <w:shd w:val="clear" w:color="000000" w:fill="FFFFFF"/>
          </w:tcPr>
          <w:p w14:paraId="241B5EF6" w14:textId="02E18F3E" w:rsidR="00606242" w:rsidRPr="00AD1F2D" w:rsidRDefault="001043F1" w:rsidP="00606242">
            <w:pPr>
              <w:keepNext/>
              <w:spacing w:line="240" w:lineRule="auto"/>
              <w:jc w:val="right"/>
              <w:rPr>
                <w:rFonts w:cs="Calibri Light"/>
                <w:color w:val="000000"/>
                <w:szCs w:val="20"/>
              </w:rPr>
            </w:pPr>
            <w:r w:rsidRPr="00E16306">
              <w:t xml:space="preserve"> $8,574,719 </w:t>
            </w:r>
          </w:p>
        </w:tc>
        <w:tc>
          <w:tcPr>
            <w:tcW w:w="1738" w:type="dxa"/>
            <w:tcBorders>
              <w:top w:val="single" w:sz="4" w:space="0" w:color="000000" w:themeColor="text1"/>
              <w:left w:val="nil"/>
              <w:bottom w:val="single" w:sz="4" w:space="0" w:color="auto"/>
              <w:right w:val="nil"/>
            </w:tcBorders>
            <w:shd w:val="clear" w:color="000000" w:fill="FFFFFF"/>
          </w:tcPr>
          <w:p w14:paraId="4916B6EB" w14:textId="224101DC" w:rsidR="00606242" w:rsidRPr="00AD1F2D" w:rsidRDefault="001043F1" w:rsidP="00606242">
            <w:pPr>
              <w:keepNext/>
              <w:spacing w:line="240" w:lineRule="auto"/>
              <w:jc w:val="right"/>
              <w:rPr>
                <w:rFonts w:cs="Calibri Light"/>
                <w:color w:val="000000"/>
                <w:szCs w:val="20"/>
              </w:rPr>
            </w:pPr>
            <w:r w:rsidRPr="00E16306">
              <w:t xml:space="preserve"> $11,797,235 </w:t>
            </w:r>
          </w:p>
        </w:tc>
        <w:tc>
          <w:tcPr>
            <w:tcW w:w="1738" w:type="dxa"/>
            <w:tcBorders>
              <w:top w:val="single" w:sz="4" w:space="0" w:color="000000" w:themeColor="text1"/>
              <w:left w:val="nil"/>
              <w:bottom w:val="single" w:sz="4" w:space="0" w:color="auto"/>
              <w:right w:val="nil"/>
            </w:tcBorders>
            <w:shd w:val="clear" w:color="000000" w:fill="FFFFFF"/>
          </w:tcPr>
          <w:p w14:paraId="07742E04" w14:textId="32F12194" w:rsidR="00606242" w:rsidRPr="00AD1F2D" w:rsidRDefault="001043F1" w:rsidP="00606242">
            <w:pPr>
              <w:keepNext/>
              <w:spacing w:line="240" w:lineRule="auto"/>
              <w:jc w:val="right"/>
              <w:rPr>
                <w:rFonts w:cs="Calibri Light"/>
                <w:color w:val="000000"/>
                <w:szCs w:val="20"/>
              </w:rPr>
            </w:pPr>
            <w:r w:rsidRPr="00E16306">
              <w:t xml:space="preserve"> $80,186 </w:t>
            </w:r>
          </w:p>
        </w:tc>
      </w:tr>
    </w:tbl>
    <w:p w14:paraId="3F9A6899" w14:textId="77777777" w:rsidR="00AC696B" w:rsidRDefault="00AC696B" w:rsidP="00581145">
      <w:pPr>
        <w:rPr>
          <w:color w:val="808080" w:themeColor="background1" w:themeShade="80"/>
          <w:sz w:val="18"/>
        </w:rPr>
      </w:pPr>
    </w:p>
    <w:p w14:paraId="043F5286" w14:textId="2EC24B58" w:rsidR="00581145" w:rsidRDefault="00581145" w:rsidP="002724D2">
      <w:pPr>
        <w:pStyle w:val="BodyText"/>
      </w:pPr>
      <w:r>
        <w:t xml:space="preserve">To help inform an assessment of whether the incremental costs associated with </w:t>
      </w:r>
      <w:r w:rsidR="00442445">
        <w:t>Option 7</w:t>
      </w:r>
      <w:r>
        <w:t xml:space="preserve"> is a worthwhile investment, it is helpful to consider the number of cases of substandard care that would need to be avoided to offset the costs. </w:t>
      </w:r>
    </w:p>
    <w:p w14:paraId="6EE17761" w14:textId="4650134E" w:rsidR="00694861" w:rsidRDefault="00581145" w:rsidP="002724D2">
      <w:pPr>
        <w:pStyle w:val="BodyText"/>
      </w:pPr>
      <w:r>
        <w:t xml:space="preserve">In Section </w:t>
      </w:r>
      <w:r w:rsidR="005947FA">
        <w:fldChar w:fldCharType="begin"/>
      </w:r>
      <w:r w:rsidR="005947FA">
        <w:instrText xml:space="preserve"> REF _Ref170033230 \r \h </w:instrText>
      </w:r>
      <w:r w:rsidR="005947FA">
        <w:fldChar w:fldCharType="separate"/>
      </w:r>
      <w:r w:rsidR="00F32107">
        <w:t>7.6.2</w:t>
      </w:r>
      <w:r w:rsidR="005947FA">
        <w:fldChar w:fldCharType="end"/>
      </w:r>
      <w:r>
        <w:t>, it is estimated that the lifetime patient quality of life impact per case of incorrect infant cochlear mapping is valued at a FY25 NPV of $</w:t>
      </w:r>
      <w:r w:rsidR="006B0F71">
        <w:t>12</w:t>
      </w:r>
      <w:r w:rsidR="00813E19">
        <w:t>6,</w:t>
      </w:r>
      <w:r w:rsidR="0009228A">
        <w:t>797</w:t>
      </w:r>
      <w:r>
        <w:t>. In addition, using the ex</w:t>
      </w:r>
      <w:r w:rsidR="00FE5269">
        <w:t>-</w:t>
      </w:r>
      <w:r>
        <w:t>gratia payments administered following the public sector external review in South Australia as a benchmark, it is assumed th</w:t>
      </w:r>
      <w:r w:rsidR="00FE5269">
        <w:t>at the gratia-</w:t>
      </w:r>
      <w:r>
        <w:t xml:space="preserve">payment for each case is approximately $50,000. </w:t>
      </w:r>
    </w:p>
    <w:p w14:paraId="0C4D83FF" w14:textId="179EDA2D" w:rsidR="00581145" w:rsidRPr="00172D23" w:rsidRDefault="00EF5564" w:rsidP="002724D2">
      <w:pPr>
        <w:pStyle w:val="BodyText"/>
      </w:pPr>
      <w:r>
        <w:t xml:space="preserve">Drawing on the incremental costs </w:t>
      </w:r>
      <w:r w:rsidR="002B0E4E">
        <w:t xml:space="preserve">outlined </w:t>
      </w:r>
      <w:r w:rsidR="00763599">
        <w:t>above</w:t>
      </w:r>
      <w:r w:rsidR="002B0E4E">
        <w:t>, i</w:t>
      </w:r>
      <w:r w:rsidR="00581145">
        <w:t xml:space="preserve">f incorrect infant cochlear mapping was the only type of harm that occurred, a single Audiology National Board would need to avoid approximately </w:t>
      </w:r>
      <w:r w:rsidR="003236BD">
        <w:t>14</w:t>
      </w:r>
      <w:r w:rsidR="00581145">
        <w:t xml:space="preserve"> cases of incorrect infant cochlear mapping per annum to fully offset the annualised ten-year NPV cost. This figure is </w:t>
      </w:r>
      <w:r w:rsidR="007F7972">
        <w:t>reduced to 13</w:t>
      </w:r>
      <w:r w:rsidR="00581145">
        <w:t xml:space="preserve"> cases if a multi-profession National Board is established. These figures should be considered conservative as the monetary values cited only represent the loss of wellbeing to the patient and the </w:t>
      </w:r>
      <w:r w:rsidR="00FE5269">
        <w:t>ex-</w:t>
      </w:r>
      <w:r w:rsidR="00581145">
        <w:t xml:space="preserve">gratia payment, it does not include the broader economic impacts that accrue to families/carers and government </w:t>
      </w:r>
      <w:r w:rsidR="00C36B2C">
        <w:t xml:space="preserve">health and social </w:t>
      </w:r>
      <w:r w:rsidR="00581145">
        <w:t xml:space="preserve">services described in Section </w:t>
      </w:r>
      <w:r w:rsidR="00C36B2C">
        <w:fldChar w:fldCharType="begin"/>
      </w:r>
      <w:r w:rsidR="00C36B2C">
        <w:instrText xml:space="preserve"> REF _Ref170033230 \r \h </w:instrText>
      </w:r>
      <w:r w:rsidR="00C36B2C">
        <w:fldChar w:fldCharType="separate"/>
      </w:r>
      <w:r w:rsidR="00F32107">
        <w:t>7.6.2</w:t>
      </w:r>
      <w:r w:rsidR="00C36B2C">
        <w:fldChar w:fldCharType="end"/>
      </w:r>
      <w:r w:rsidR="00581145">
        <w:t xml:space="preserve">. </w:t>
      </w:r>
    </w:p>
    <w:p w14:paraId="14CD92A6" w14:textId="50457DF0" w:rsidR="00581145" w:rsidRPr="00973E44" w:rsidRDefault="00581145" w:rsidP="002724D2">
      <w:pPr>
        <w:pStyle w:val="BodyText"/>
      </w:pPr>
      <w:r>
        <w:t>In addition</w:t>
      </w:r>
      <w:r w:rsidR="003C70E6">
        <w:t>, stakeholders consultation feedback perceived</w:t>
      </w:r>
      <w:r>
        <w:t xml:space="preserve"> </w:t>
      </w:r>
      <w:r w:rsidR="003C70E6">
        <w:t>a series of</w:t>
      </w:r>
      <w:r>
        <w:t xml:space="preserve"> other patient harms that are occurring that can have profound social and economic impacts. For example, improper </w:t>
      </w:r>
      <w:r w:rsidR="00D42070">
        <w:t xml:space="preserve">diagnosis following </w:t>
      </w:r>
      <w:r>
        <w:t>infant hearing screening and misdiagnosis in people with tinnitus or vestibular disorders</w:t>
      </w:r>
      <w:r w:rsidR="005E5981">
        <w:t xml:space="preserve"> (see Section </w:t>
      </w:r>
      <w:r w:rsidR="005E5981">
        <w:fldChar w:fldCharType="begin"/>
      </w:r>
      <w:r w:rsidR="005E5981">
        <w:instrText xml:space="preserve"> REF _Ref171318838 \r \h </w:instrText>
      </w:r>
      <w:r w:rsidR="005E5981">
        <w:fldChar w:fldCharType="separate"/>
      </w:r>
      <w:r w:rsidR="00F32107">
        <w:t>7.6</w:t>
      </w:r>
      <w:r w:rsidR="005E5981">
        <w:fldChar w:fldCharType="end"/>
      </w:r>
      <w:r w:rsidR="005E5981">
        <w:t xml:space="preserve"> for</w:t>
      </w:r>
      <w:r>
        <w:t xml:space="preserve"> </w:t>
      </w:r>
      <w:r w:rsidR="00EB7AFE">
        <w:t xml:space="preserve">more detail). </w:t>
      </w:r>
      <w:r>
        <w:t xml:space="preserve">If improper </w:t>
      </w:r>
      <w:r w:rsidR="009C1154">
        <w:t xml:space="preserve">diagnosis following infant </w:t>
      </w:r>
      <w:r>
        <w:t xml:space="preserve">hearing screening </w:t>
      </w:r>
      <w:r w:rsidR="009C1154">
        <w:t>were occurring</w:t>
      </w:r>
      <w:r>
        <w:t xml:space="preserve"> at the same rate as incorrect infant cochlear mapping and </w:t>
      </w:r>
      <w:r w:rsidR="00FF0EAB">
        <w:t xml:space="preserve">having </w:t>
      </w:r>
      <w:r>
        <w:t xml:space="preserve">a similar patient quality of life impact, the avoided number of cases to offset costs cited above </w:t>
      </w:r>
      <w:r w:rsidR="008F6040">
        <w:t>would be</w:t>
      </w:r>
      <w:r>
        <w:t xml:space="preserve"> </w:t>
      </w:r>
      <w:r w:rsidR="007C7456">
        <w:t>reduced</w:t>
      </w:r>
      <w:r>
        <w:t xml:space="preserve">. </w:t>
      </w:r>
    </w:p>
    <w:p w14:paraId="2D7FA8F2" w14:textId="694B961F" w:rsidR="00581145" w:rsidRPr="00C53495" w:rsidRDefault="00581145" w:rsidP="002724D2">
      <w:pPr>
        <w:pStyle w:val="Heading3"/>
      </w:pPr>
      <w:bookmarkStart w:id="270" w:name="_Toc171324788"/>
      <w:bookmarkStart w:id="271" w:name="_Toc198138641"/>
      <w:r>
        <w:t xml:space="preserve">Multi-criteria </w:t>
      </w:r>
      <w:r w:rsidRPr="002724D2">
        <w:t>assessment</w:t>
      </w:r>
      <w:bookmarkEnd w:id="270"/>
      <w:bookmarkEnd w:id="271"/>
    </w:p>
    <w:p w14:paraId="15B7B89E" w14:textId="20DAB279" w:rsidR="00581145" w:rsidRDefault="00581145" w:rsidP="002724D2">
      <w:pPr>
        <w:pStyle w:val="BodyText"/>
      </w:pPr>
      <w:r>
        <w:t xml:space="preserve">The MCA provided in </w:t>
      </w:r>
      <w:r w:rsidR="00763599">
        <w:t>the table below</w:t>
      </w:r>
      <w:r>
        <w:t xml:space="preserve"> considers the extent to which </w:t>
      </w:r>
      <w:r w:rsidR="00D4156F">
        <w:t>Option 7</w:t>
      </w:r>
      <w:r>
        <w:t xml:space="preserve"> responds to the previously outlined objectives for action. To allow for comparison, the following scoring system was applied across each objective and option:</w:t>
      </w:r>
    </w:p>
    <w:p w14:paraId="44323EB8" w14:textId="77777777" w:rsidR="00581145" w:rsidRDefault="00581145" w:rsidP="002724D2">
      <w:pPr>
        <w:pStyle w:val="ListBullet"/>
      </w:pPr>
      <w:r>
        <w:t>Not at all (1)</w:t>
      </w:r>
    </w:p>
    <w:p w14:paraId="569CF0F5" w14:textId="77777777" w:rsidR="00581145" w:rsidRDefault="00581145" w:rsidP="002724D2">
      <w:pPr>
        <w:pStyle w:val="ListBullet"/>
      </w:pPr>
      <w:r>
        <w:t>Somewhat (2)</w:t>
      </w:r>
    </w:p>
    <w:p w14:paraId="5DD4D838" w14:textId="77777777" w:rsidR="00581145" w:rsidRDefault="00581145" w:rsidP="002724D2">
      <w:pPr>
        <w:pStyle w:val="ListBullet"/>
      </w:pPr>
      <w:r>
        <w:t>Mostly (3)</w:t>
      </w:r>
    </w:p>
    <w:p w14:paraId="0661BDB6" w14:textId="04BC0718" w:rsidR="002724D2" w:rsidRDefault="00581145" w:rsidP="002724D2">
      <w:pPr>
        <w:pStyle w:val="ListBullet"/>
      </w:pPr>
      <w:r>
        <w:t>Fully (4)</w:t>
      </w:r>
    </w:p>
    <w:p w14:paraId="172D2426" w14:textId="77777777" w:rsidR="002724D2" w:rsidRDefault="002724D2" w:rsidP="002724D2">
      <w:pPr>
        <w:pStyle w:val="ListBullet"/>
        <w:numPr>
          <w:ilvl w:val="0"/>
          <w:numId w:val="0"/>
        </w:numPr>
      </w:pPr>
    </w:p>
    <w:p w14:paraId="53A518D7" w14:textId="77777777" w:rsidR="002724D2" w:rsidRDefault="002724D2" w:rsidP="008451A1">
      <w:pPr>
        <w:pStyle w:val="BodyText"/>
        <w:sectPr w:rsidR="002724D2" w:rsidSect="007F4E7D">
          <w:pgSz w:w="11906" w:h="16838" w:code="9"/>
          <w:pgMar w:top="1531" w:right="1531" w:bottom="1531" w:left="1531" w:header="709" w:footer="709" w:gutter="0"/>
          <w:cols w:space="708"/>
          <w:docGrid w:linePitch="360"/>
        </w:sectPr>
      </w:pPr>
    </w:p>
    <w:p w14:paraId="4F9F439C" w14:textId="479DA1D9" w:rsidR="003805A7" w:rsidRDefault="00FE3A33" w:rsidP="00972F5E">
      <w:pPr>
        <w:pStyle w:val="Caption"/>
        <w:spacing w:after="0"/>
      </w:pPr>
      <w:bookmarkStart w:id="272" w:name="_Ref170032337"/>
      <w:r>
        <w:t xml:space="preserve">Table </w:t>
      </w:r>
      <w:fldSimple w:instr=" STYLEREF 1 \s ">
        <w:r w:rsidR="00F32107">
          <w:rPr>
            <w:noProof/>
          </w:rPr>
          <w:t>8</w:t>
        </w:r>
      </w:fldSimple>
      <w:r w:rsidR="008944FB">
        <w:t>.</w:t>
      </w:r>
      <w:fldSimple w:instr=" SEQ Table \* ARABIC \s 1 ">
        <w:r w:rsidR="00F32107">
          <w:rPr>
            <w:noProof/>
          </w:rPr>
          <w:t>20</w:t>
        </w:r>
      </w:fldSimple>
      <w:r>
        <w:t xml:space="preserve">. </w:t>
      </w:r>
      <w:r w:rsidR="00763599">
        <w:t>M</w:t>
      </w:r>
      <w:r w:rsidR="003805A7">
        <w:t xml:space="preserve">ulti-criteria assessment of </w:t>
      </w:r>
      <w:bookmarkEnd w:id="272"/>
      <w:r w:rsidR="005F179A">
        <w:t>Option 7</w:t>
      </w:r>
    </w:p>
    <w:tbl>
      <w:tblPr>
        <w:tblStyle w:val="BodyTable"/>
        <w:tblW w:w="14459" w:type="dxa"/>
        <w:tblLook w:val="04A0" w:firstRow="1" w:lastRow="0" w:firstColumn="1" w:lastColumn="0" w:noHBand="0" w:noVBand="1"/>
      </w:tblPr>
      <w:tblGrid>
        <w:gridCol w:w="2835"/>
        <w:gridCol w:w="4395"/>
        <w:gridCol w:w="7229"/>
      </w:tblGrid>
      <w:tr w:rsidR="003805A7" w:rsidRPr="003304D5" w14:paraId="1D50744A" w14:textId="77777777" w:rsidTr="00972F5E">
        <w:trPr>
          <w:cnfStyle w:val="100000000000" w:firstRow="1" w:lastRow="0" w:firstColumn="0" w:lastColumn="0" w:oddVBand="0" w:evenVBand="0" w:oddHBand="0" w:evenHBand="0" w:firstRowFirstColumn="0" w:firstRowLastColumn="0" w:lastRowFirstColumn="0" w:lastRowLastColumn="0"/>
          <w:tblHeader/>
        </w:trPr>
        <w:tc>
          <w:tcPr>
            <w:tcW w:w="2835" w:type="dxa"/>
          </w:tcPr>
          <w:p w14:paraId="2BF1A691" w14:textId="77777777" w:rsidR="003805A7" w:rsidRPr="00972F5E" w:rsidRDefault="003805A7">
            <w:pPr>
              <w:rPr>
                <w:b/>
                <w:sz w:val="15"/>
                <w:szCs w:val="15"/>
              </w:rPr>
            </w:pPr>
            <w:r w:rsidRPr="00972F5E">
              <w:rPr>
                <w:b/>
                <w:sz w:val="15"/>
                <w:szCs w:val="15"/>
              </w:rPr>
              <w:t>Objective</w:t>
            </w:r>
          </w:p>
        </w:tc>
        <w:tc>
          <w:tcPr>
            <w:tcW w:w="4395" w:type="dxa"/>
          </w:tcPr>
          <w:p w14:paraId="708FDBEB" w14:textId="77777777" w:rsidR="003805A7" w:rsidRPr="00972F5E" w:rsidRDefault="003805A7">
            <w:pPr>
              <w:rPr>
                <w:b/>
                <w:sz w:val="15"/>
                <w:szCs w:val="15"/>
              </w:rPr>
            </w:pPr>
            <w:r w:rsidRPr="00972F5E">
              <w:rPr>
                <w:b/>
                <w:sz w:val="15"/>
                <w:szCs w:val="15"/>
              </w:rPr>
              <w:t>Option: Status Quo</w:t>
            </w:r>
          </w:p>
        </w:tc>
        <w:tc>
          <w:tcPr>
            <w:tcW w:w="7229" w:type="dxa"/>
          </w:tcPr>
          <w:p w14:paraId="59F4BF01" w14:textId="4E818E26" w:rsidR="003805A7" w:rsidRPr="00972F5E" w:rsidRDefault="003805A7">
            <w:pPr>
              <w:rPr>
                <w:b/>
                <w:sz w:val="15"/>
                <w:szCs w:val="15"/>
              </w:rPr>
            </w:pPr>
            <w:r w:rsidRPr="00972F5E">
              <w:rPr>
                <w:b/>
                <w:sz w:val="15"/>
                <w:szCs w:val="15"/>
              </w:rPr>
              <w:t>Option</w:t>
            </w:r>
            <w:r w:rsidR="00AD43F1" w:rsidRPr="00972F5E">
              <w:rPr>
                <w:b/>
                <w:sz w:val="15"/>
                <w:szCs w:val="15"/>
              </w:rPr>
              <w:t xml:space="preserve"> 7</w:t>
            </w:r>
            <w:r w:rsidR="00A86133">
              <w:rPr>
                <w:b/>
                <w:sz w:val="15"/>
                <w:szCs w:val="15"/>
              </w:rPr>
              <w:t>: National</w:t>
            </w:r>
            <w:r w:rsidR="00A86133" w:rsidRPr="00A86133">
              <w:rPr>
                <w:b/>
                <w:sz w:val="15"/>
                <w:szCs w:val="15"/>
              </w:rPr>
              <w:t xml:space="preserve"> registration of the audiology profession</w:t>
            </w:r>
          </w:p>
        </w:tc>
      </w:tr>
      <w:tr w:rsidR="00D42A5A" w:rsidRPr="003304D5" w14:paraId="581B5F23" w14:textId="77777777" w:rsidTr="00972F5E">
        <w:tc>
          <w:tcPr>
            <w:tcW w:w="2835" w:type="dxa"/>
          </w:tcPr>
          <w:p w14:paraId="71B223C5" w14:textId="6BD635CC" w:rsidR="00D42A5A" w:rsidRPr="00972F5E" w:rsidRDefault="00D42A5A" w:rsidP="00D42A5A">
            <w:pPr>
              <w:rPr>
                <w:i/>
                <w:sz w:val="15"/>
                <w:szCs w:val="15"/>
              </w:rPr>
            </w:pPr>
            <w:r w:rsidRPr="00972F5E">
              <w:rPr>
                <w:b/>
                <w:sz w:val="15"/>
                <w:szCs w:val="15"/>
              </w:rPr>
              <w:t>Care quality assurance</w:t>
            </w:r>
            <w:r w:rsidRPr="00972F5E">
              <w:rPr>
                <w:b/>
                <w:bCs/>
                <w:sz w:val="15"/>
                <w:szCs w:val="15"/>
              </w:rPr>
              <w:t>.</w:t>
            </w:r>
            <w:r w:rsidRPr="00972F5E">
              <w:rPr>
                <w:sz w:val="15"/>
                <w:szCs w:val="15"/>
              </w:rPr>
              <w:t xml:space="preserve"> </w:t>
            </w:r>
            <w:r w:rsidRPr="00972F5E">
              <w:rPr>
                <w:i/>
                <w:sz w:val="15"/>
                <w:szCs w:val="15"/>
              </w:rPr>
              <w:t xml:space="preserve">Ensure audiology services </w:t>
            </w:r>
            <w:r w:rsidRPr="00972F5E">
              <w:rPr>
                <w:i/>
                <w:iCs/>
                <w:sz w:val="15"/>
                <w:szCs w:val="15"/>
              </w:rPr>
              <w:t>are</w:t>
            </w:r>
            <w:r w:rsidRPr="00972F5E">
              <w:rPr>
                <w:i/>
                <w:sz w:val="15"/>
                <w:szCs w:val="15"/>
              </w:rPr>
              <w:t xml:space="preserve"> delivered by practitioners who are </w:t>
            </w:r>
            <w:r w:rsidRPr="00972F5E">
              <w:rPr>
                <w:i/>
                <w:iCs/>
                <w:sz w:val="15"/>
                <w:szCs w:val="15"/>
              </w:rPr>
              <w:t>supported by a clear scope of practice</w:t>
            </w:r>
            <w:r w:rsidRPr="00972F5E">
              <w:rPr>
                <w:i/>
                <w:sz w:val="15"/>
                <w:szCs w:val="15"/>
              </w:rPr>
              <w:t xml:space="preserve"> and </w:t>
            </w:r>
            <w:r w:rsidRPr="00972F5E">
              <w:rPr>
                <w:i/>
                <w:iCs/>
                <w:sz w:val="15"/>
                <w:szCs w:val="15"/>
              </w:rPr>
              <w:t>profession-level goods.</w:t>
            </w:r>
            <w:r w:rsidRPr="00972F5E">
              <w:rPr>
                <w:sz w:val="15"/>
                <w:szCs w:val="15"/>
              </w:rPr>
              <w:t xml:space="preserve"> </w:t>
            </w:r>
          </w:p>
        </w:tc>
        <w:tc>
          <w:tcPr>
            <w:tcW w:w="4395" w:type="dxa"/>
          </w:tcPr>
          <w:p w14:paraId="43E6DD9B" w14:textId="77777777" w:rsidR="00D42A5A" w:rsidRPr="00972F5E" w:rsidRDefault="00D42A5A" w:rsidP="00D42A5A">
            <w:pPr>
              <w:rPr>
                <w:sz w:val="15"/>
                <w:szCs w:val="15"/>
              </w:rPr>
            </w:pPr>
            <w:r w:rsidRPr="00972F5E">
              <w:rPr>
                <w:sz w:val="15"/>
                <w:szCs w:val="15"/>
              </w:rPr>
              <w:t>Somewhat (2)</w:t>
            </w:r>
          </w:p>
          <w:p w14:paraId="2E9F0849" w14:textId="057DCD32" w:rsidR="00D42A5A" w:rsidRPr="00972F5E" w:rsidRDefault="00D42A5A" w:rsidP="00D42A5A">
            <w:pPr>
              <w:rPr>
                <w:sz w:val="15"/>
                <w:szCs w:val="15"/>
              </w:rPr>
            </w:pPr>
            <w:r w:rsidRPr="00972F5E">
              <w:rPr>
                <w:sz w:val="15"/>
                <w:szCs w:val="15"/>
              </w:rPr>
              <w:t>Clinical certification provided by the PPBs, university accreditation provided through the AAUACC, and HPCCB processes and outcomes provides some assurance of the quality and competence of the majority of current practicing audiologists.</w:t>
            </w:r>
          </w:p>
        </w:tc>
        <w:tc>
          <w:tcPr>
            <w:tcW w:w="7229" w:type="dxa"/>
          </w:tcPr>
          <w:p w14:paraId="260D92D1" w14:textId="77777777" w:rsidR="00D42A5A" w:rsidRPr="00972F5E" w:rsidRDefault="00D42A5A" w:rsidP="00D42A5A">
            <w:pPr>
              <w:rPr>
                <w:sz w:val="15"/>
                <w:szCs w:val="15"/>
              </w:rPr>
            </w:pPr>
            <w:r w:rsidRPr="00972F5E">
              <w:rPr>
                <w:sz w:val="15"/>
                <w:szCs w:val="15"/>
              </w:rPr>
              <w:t>Mostly (3)</w:t>
            </w:r>
          </w:p>
          <w:p w14:paraId="71C61B8A" w14:textId="77777777" w:rsidR="00D42A5A" w:rsidRPr="00972F5E" w:rsidRDefault="00D42A5A" w:rsidP="00D42A5A">
            <w:pPr>
              <w:rPr>
                <w:sz w:val="15"/>
                <w:szCs w:val="15"/>
              </w:rPr>
            </w:pPr>
            <w:r w:rsidRPr="00972F5E">
              <w:rPr>
                <w:sz w:val="15"/>
                <w:szCs w:val="15"/>
              </w:rPr>
              <w:t xml:space="preserve">Strengthened practitioner registration and university accreditation standards coupled with other regulatory functions such as mandatory protections and notifier protections and sanctions for all audiologists provides a higher level of assurance of the quality and competence of all practicing audiologists. </w:t>
            </w:r>
          </w:p>
        </w:tc>
      </w:tr>
      <w:tr w:rsidR="00D42A5A" w:rsidRPr="003304D5" w14:paraId="5731C773" w14:textId="77777777" w:rsidTr="00972F5E">
        <w:tc>
          <w:tcPr>
            <w:tcW w:w="2835" w:type="dxa"/>
          </w:tcPr>
          <w:p w14:paraId="6743C175" w14:textId="4B70E6AD" w:rsidR="00D42A5A" w:rsidRPr="00972F5E" w:rsidRDefault="00D42A5A" w:rsidP="00D42A5A">
            <w:pPr>
              <w:rPr>
                <w:i/>
                <w:sz w:val="15"/>
                <w:szCs w:val="15"/>
              </w:rPr>
            </w:pPr>
            <w:r w:rsidRPr="00972F5E">
              <w:rPr>
                <w:b/>
                <w:sz w:val="15"/>
                <w:szCs w:val="15"/>
              </w:rPr>
              <w:t>Regulatory consistency</w:t>
            </w:r>
            <w:r w:rsidRPr="00972F5E">
              <w:rPr>
                <w:b/>
                <w:bCs/>
                <w:sz w:val="15"/>
                <w:szCs w:val="15"/>
              </w:rPr>
              <w:t>.</w:t>
            </w:r>
            <w:r w:rsidRPr="00972F5E">
              <w:rPr>
                <w:sz w:val="15"/>
                <w:szCs w:val="15"/>
              </w:rPr>
              <w:t xml:space="preserve"> </w:t>
            </w:r>
            <w:r w:rsidRPr="00972F5E">
              <w:rPr>
                <w:i/>
                <w:sz w:val="15"/>
                <w:szCs w:val="15"/>
              </w:rPr>
              <w:t>A regulatory context that provides consistent oversight of the whole profession, regardless of jurisdiction</w:t>
            </w:r>
            <w:r w:rsidRPr="00972F5E">
              <w:rPr>
                <w:i/>
                <w:iCs/>
                <w:sz w:val="15"/>
                <w:szCs w:val="15"/>
              </w:rPr>
              <w:t>,</w:t>
            </w:r>
            <w:r w:rsidRPr="00972F5E">
              <w:rPr>
                <w:i/>
                <w:sz w:val="15"/>
                <w:szCs w:val="15"/>
              </w:rPr>
              <w:t xml:space="preserve"> elective membership</w:t>
            </w:r>
            <w:r w:rsidRPr="00972F5E">
              <w:rPr>
                <w:i/>
                <w:iCs/>
                <w:sz w:val="15"/>
                <w:szCs w:val="15"/>
              </w:rPr>
              <w:t xml:space="preserve"> or employment type</w:t>
            </w:r>
            <w:r w:rsidRPr="00972F5E">
              <w:rPr>
                <w:i/>
                <w:sz w:val="15"/>
                <w:szCs w:val="15"/>
              </w:rPr>
              <w:t>.</w:t>
            </w:r>
          </w:p>
        </w:tc>
        <w:tc>
          <w:tcPr>
            <w:tcW w:w="4395" w:type="dxa"/>
          </w:tcPr>
          <w:p w14:paraId="2101799D" w14:textId="77777777" w:rsidR="00D42A5A" w:rsidRPr="00972F5E" w:rsidRDefault="00D42A5A" w:rsidP="00D42A5A">
            <w:pPr>
              <w:rPr>
                <w:sz w:val="15"/>
                <w:szCs w:val="15"/>
              </w:rPr>
            </w:pPr>
            <w:r w:rsidRPr="00972F5E">
              <w:rPr>
                <w:sz w:val="15"/>
                <w:szCs w:val="15"/>
              </w:rPr>
              <w:t>Somewhat (2)</w:t>
            </w:r>
          </w:p>
          <w:p w14:paraId="14C03235" w14:textId="728ACBEF" w:rsidR="00D42A5A" w:rsidRPr="00972F5E" w:rsidRDefault="00D42A5A" w:rsidP="00D42A5A">
            <w:pPr>
              <w:rPr>
                <w:sz w:val="15"/>
                <w:szCs w:val="15"/>
              </w:rPr>
            </w:pPr>
            <w:r w:rsidRPr="00972F5E">
              <w:rPr>
                <w:sz w:val="15"/>
                <w:szCs w:val="15"/>
              </w:rPr>
              <w:t>Regulatory oversight provided by the PPBs covers most but not all audiologists. In addition, the National Code of Conduct provides mutual recognition of sanctions where it is in effect.</w:t>
            </w:r>
          </w:p>
        </w:tc>
        <w:tc>
          <w:tcPr>
            <w:tcW w:w="7229" w:type="dxa"/>
          </w:tcPr>
          <w:p w14:paraId="2C52D254" w14:textId="77777777" w:rsidR="00D42A5A" w:rsidRPr="00972F5E" w:rsidRDefault="00D42A5A" w:rsidP="00D42A5A">
            <w:pPr>
              <w:rPr>
                <w:sz w:val="15"/>
                <w:szCs w:val="15"/>
              </w:rPr>
            </w:pPr>
            <w:r w:rsidRPr="00972F5E">
              <w:rPr>
                <w:sz w:val="15"/>
                <w:szCs w:val="15"/>
              </w:rPr>
              <w:t>Mostly (3)</w:t>
            </w:r>
          </w:p>
          <w:p w14:paraId="005BA767" w14:textId="5FA7A86D" w:rsidR="00D42A5A" w:rsidRPr="00972F5E" w:rsidRDefault="00D42A5A" w:rsidP="00D42A5A">
            <w:pPr>
              <w:rPr>
                <w:sz w:val="15"/>
                <w:szCs w:val="15"/>
              </w:rPr>
            </w:pPr>
            <w:r w:rsidRPr="00972F5E">
              <w:rPr>
                <w:sz w:val="15"/>
                <w:szCs w:val="15"/>
              </w:rPr>
              <w:t>Regulatory oversight under National Registration applies equally to all audiologists. Regulatory oversight in relation to business practices under the National Code is still dependent on whether a jurisdiction has these in effect.</w:t>
            </w:r>
          </w:p>
        </w:tc>
      </w:tr>
      <w:tr w:rsidR="00D42A5A" w:rsidRPr="003304D5" w14:paraId="147DD2D8" w14:textId="77777777" w:rsidTr="00972F5E">
        <w:tc>
          <w:tcPr>
            <w:tcW w:w="2835" w:type="dxa"/>
          </w:tcPr>
          <w:p w14:paraId="1C24C277" w14:textId="696CD199" w:rsidR="00D42A5A" w:rsidRPr="00972F5E" w:rsidRDefault="00D42A5A" w:rsidP="00D42A5A">
            <w:pPr>
              <w:rPr>
                <w:i/>
                <w:sz w:val="15"/>
                <w:szCs w:val="15"/>
              </w:rPr>
            </w:pPr>
            <w:r w:rsidRPr="00972F5E">
              <w:rPr>
                <w:b/>
                <w:sz w:val="15"/>
                <w:szCs w:val="15"/>
              </w:rPr>
              <w:t>Escalation systems</w:t>
            </w:r>
            <w:r w:rsidRPr="00972F5E">
              <w:rPr>
                <w:sz w:val="15"/>
                <w:szCs w:val="15"/>
              </w:rPr>
              <w:t xml:space="preserve">. </w:t>
            </w:r>
            <w:r w:rsidRPr="00972F5E">
              <w:rPr>
                <w:i/>
                <w:sz w:val="15"/>
                <w:szCs w:val="15"/>
              </w:rPr>
              <w:t>Robust regulatory systems that maximise the identification of cases of substandard care</w:t>
            </w:r>
            <w:r w:rsidRPr="00972F5E">
              <w:rPr>
                <w:i/>
                <w:iCs/>
                <w:sz w:val="15"/>
                <w:szCs w:val="15"/>
              </w:rPr>
              <w:t xml:space="preserve"> and ensure they are appropriately treated.</w:t>
            </w:r>
            <w:r w:rsidRPr="00972F5E">
              <w:rPr>
                <w:sz w:val="15"/>
                <w:szCs w:val="15"/>
              </w:rPr>
              <w:t xml:space="preserve"> </w:t>
            </w:r>
          </w:p>
        </w:tc>
        <w:tc>
          <w:tcPr>
            <w:tcW w:w="4395" w:type="dxa"/>
          </w:tcPr>
          <w:p w14:paraId="250060C5" w14:textId="77777777" w:rsidR="00D42A5A" w:rsidRPr="00972F5E" w:rsidRDefault="00D42A5A" w:rsidP="00D42A5A">
            <w:pPr>
              <w:rPr>
                <w:sz w:val="15"/>
                <w:szCs w:val="15"/>
              </w:rPr>
            </w:pPr>
            <w:r w:rsidRPr="00972F5E">
              <w:rPr>
                <w:sz w:val="15"/>
                <w:szCs w:val="15"/>
              </w:rPr>
              <w:t>Somewhat (2)</w:t>
            </w:r>
          </w:p>
          <w:p w14:paraId="7BBB9AED" w14:textId="2A79D611" w:rsidR="00D42A5A" w:rsidRPr="00972F5E" w:rsidRDefault="00D42A5A" w:rsidP="00D42A5A">
            <w:pPr>
              <w:rPr>
                <w:sz w:val="15"/>
                <w:szCs w:val="15"/>
              </w:rPr>
            </w:pPr>
            <w:r w:rsidRPr="00972F5E">
              <w:rPr>
                <w:sz w:val="15"/>
                <w:szCs w:val="15"/>
              </w:rPr>
              <w:t xml:space="preserve">There was a disconnect seen in the consultation responses received from audiologists between the observation of harms occurring in practice and reporting of these issues to existing entities. Further, practitioners are able to work with private full-fee paying clients if they elect not to engage with the sectoral PPBs, removing them from the HPCCB remit. </w:t>
            </w:r>
          </w:p>
        </w:tc>
        <w:tc>
          <w:tcPr>
            <w:tcW w:w="7229" w:type="dxa"/>
          </w:tcPr>
          <w:p w14:paraId="67336AFC" w14:textId="77777777" w:rsidR="00D42A5A" w:rsidRPr="00972F5E" w:rsidRDefault="00D42A5A" w:rsidP="00D42A5A">
            <w:pPr>
              <w:rPr>
                <w:sz w:val="15"/>
                <w:szCs w:val="15"/>
              </w:rPr>
            </w:pPr>
            <w:r w:rsidRPr="00972F5E">
              <w:rPr>
                <w:sz w:val="15"/>
                <w:szCs w:val="15"/>
              </w:rPr>
              <w:t>Mostly (3)</w:t>
            </w:r>
          </w:p>
          <w:p w14:paraId="3A9C2D2C" w14:textId="2FD2F56B" w:rsidR="00D42A5A" w:rsidRPr="00972F5E" w:rsidRDefault="00D42A5A" w:rsidP="00D42A5A">
            <w:pPr>
              <w:rPr>
                <w:sz w:val="15"/>
                <w:szCs w:val="15"/>
              </w:rPr>
            </w:pPr>
            <w:r w:rsidRPr="00972F5E">
              <w:rPr>
                <w:sz w:val="15"/>
                <w:szCs w:val="15"/>
              </w:rPr>
              <w:t>Mandatory notifications and protected notifications under National Law are expected to increase the proportion of identified cases of substandard care. It is noted that fear of identification may remain due to the small size of the audiology profession.</w:t>
            </w:r>
          </w:p>
        </w:tc>
      </w:tr>
      <w:tr w:rsidR="00D42A5A" w:rsidRPr="003304D5" w14:paraId="4A730844" w14:textId="77777777" w:rsidTr="00972F5E">
        <w:tc>
          <w:tcPr>
            <w:tcW w:w="2835" w:type="dxa"/>
          </w:tcPr>
          <w:p w14:paraId="5531D5D7" w14:textId="562C1953" w:rsidR="00D42A5A" w:rsidRPr="00972F5E" w:rsidRDefault="00D42A5A" w:rsidP="00D42A5A">
            <w:pPr>
              <w:rPr>
                <w:i/>
                <w:sz w:val="15"/>
                <w:szCs w:val="15"/>
              </w:rPr>
            </w:pPr>
            <w:r w:rsidRPr="00972F5E">
              <w:rPr>
                <w:b/>
                <w:sz w:val="15"/>
                <w:szCs w:val="15"/>
              </w:rPr>
              <w:t>Market awareness</w:t>
            </w:r>
            <w:r w:rsidRPr="00972F5E">
              <w:rPr>
                <w:b/>
                <w:bCs/>
                <w:sz w:val="15"/>
                <w:szCs w:val="15"/>
              </w:rPr>
              <w:t xml:space="preserve">. </w:t>
            </w:r>
            <w:r w:rsidRPr="00972F5E">
              <w:rPr>
                <w:i/>
                <w:sz w:val="15"/>
                <w:szCs w:val="15"/>
              </w:rPr>
              <w:t xml:space="preserve">Mechanisms that </w:t>
            </w:r>
            <w:r w:rsidRPr="00972F5E">
              <w:rPr>
                <w:i/>
                <w:iCs/>
                <w:sz w:val="15"/>
                <w:szCs w:val="15"/>
              </w:rPr>
              <w:t>increase market</w:t>
            </w:r>
            <w:r w:rsidRPr="00972F5E">
              <w:rPr>
                <w:i/>
                <w:sz w:val="15"/>
                <w:szCs w:val="15"/>
              </w:rPr>
              <w:t xml:space="preserve"> signalling</w:t>
            </w:r>
            <w:r w:rsidRPr="00972F5E">
              <w:rPr>
                <w:i/>
                <w:iCs/>
                <w:sz w:val="15"/>
                <w:szCs w:val="15"/>
              </w:rPr>
              <w:t>, with a view</w:t>
            </w:r>
            <w:r w:rsidRPr="00972F5E">
              <w:rPr>
                <w:i/>
                <w:sz w:val="15"/>
                <w:szCs w:val="15"/>
              </w:rPr>
              <w:t xml:space="preserve"> to </w:t>
            </w:r>
            <w:r w:rsidRPr="00972F5E">
              <w:rPr>
                <w:i/>
                <w:iCs/>
                <w:sz w:val="15"/>
                <w:szCs w:val="15"/>
              </w:rPr>
              <w:t>raising consumer and employer understanding of</w:t>
            </w:r>
            <w:r w:rsidRPr="00972F5E">
              <w:rPr>
                <w:i/>
                <w:sz w:val="15"/>
                <w:szCs w:val="15"/>
              </w:rPr>
              <w:t xml:space="preserve"> who is fit and proper to deliver different types of </w:t>
            </w:r>
            <w:r w:rsidRPr="00972F5E">
              <w:rPr>
                <w:i/>
                <w:iCs/>
                <w:sz w:val="15"/>
                <w:szCs w:val="15"/>
              </w:rPr>
              <w:t>hearing health</w:t>
            </w:r>
            <w:r w:rsidRPr="00972F5E">
              <w:rPr>
                <w:i/>
                <w:sz w:val="15"/>
                <w:szCs w:val="15"/>
              </w:rPr>
              <w:t xml:space="preserve"> services.</w:t>
            </w:r>
          </w:p>
        </w:tc>
        <w:tc>
          <w:tcPr>
            <w:tcW w:w="4395" w:type="dxa"/>
          </w:tcPr>
          <w:p w14:paraId="7D918B66" w14:textId="77777777" w:rsidR="00D42A5A" w:rsidRPr="00972F5E" w:rsidRDefault="00D42A5A" w:rsidP="00D42A5A">
            <w:pPr>
              <w:rPr>
                <w:sz w:val="15"/>
                <w:szCs w:val="15"/>
              </w:rPr>
            </w:pPr>
            <w:r w:rsidRPr="00972F5E">
              <w:rPr>
                <w:sz w:val="15"/>
                <w:szCs w:val="15"/>
              </w:rPr>
              <w:t>Not at all (1)</w:t>
            </w:r>
          </w:p>
          <w:p w14:paraId="48BBCE71" w14:textId="31005DAF" w:rsidR="00D42A5A" w:rsidRPr="00972F5E" w:rsidRDefault="00D42A5A" w:rsidP="00D42A5A">
            <w:pPr>
              <w:rPr>
                <w:sz w:val="15"/>
                <w:szCs w:val="15"/>
              </w:rPr>
            </w:pPr>
            <w:r w:rsidRPr="00972F5E">
              <w:rPr>
                <w:sz w:val="15"/>
                <w:szCs w:val="15"/>
              </w:rPr>
              <w:t xml:space="preserve">There is currently a lack of protected title for audiologists, leading to stakeholder concerns of confusion for consumers. </w:t>
            </w:r>
          </w:p>
        </w:tc>
        <w:tc>
          <w:tcPr>
            <w:tcW w:w="7229" w:type="dxa"/>
          </w:tcPr>
          <w:p w14:paraId="67EBA57B" w14:textId="77777777" w:rsidR="00D42A5A" w:rsidRPr="00972F5E" w:rsidRDefault="00D42A5A" w:rsidP="00D42A5A">
            <w:pPr>
              <w:rPr>
                <w:sz w:val="15"/>
                <w:szCs w:val="15"/>
              </w:rPr>
            </w:pPr>
            <w:r w:rsidRPr="00972F5E">
              <w:rPr>
                <w:sz w:val="15"/>
                <w:szCs w:val="15"/>
              </w:rPr>
              <w:t>Somewhat (2)</w:t>
            </w:r>
          </w:p>
          <w:p w14:paraId="5638571E" w14:textId="77777777" w:rsidR="00D42A5A" w:rsidRPr="00972F5E" w:rsidRDefault="00D42A5A" w:rsidP="00D42A5A">
            <w:pPr>
              <w:rPr>
                <w:sz w:val="15"/>
                <w:szCs w:val="15"/>
              </w:rPr>
            </w:pPr>
            <w:r w:rsidRPr="00972F5E">
              <w:rPr>
                <w:sz w:val="15"/>
                <w:szCs w:val="15"/>
              </w:rPr>
              <w:t>Protection of title for audiologists (that occurs under National Law) and a public register of registered practitioners is expected to raise consumer and employer understanding of the qualifications of the person providing care. However, a series of decisions would need to be made regarding other language protections (e.g., audiology and hearing specialist), and whether certain activities would be designated a restricted act. As these decisions have not been made, a conservative rating of ‘Somewhat’ is given.</w:t>
            </w:r>
          </w:p>
        </w:tc>
      </w:tr>
      <w:tr w:rsidR="003805A7" w:rsidRPr="003304D5" w14:paraId="68DC93D6" w14:textId="77777777" w:rsidTr="00972F5E">
        <w:tc>
          <w:tcPr>
            <w:tcW w:w="2835" w:type="dxa"/>
          </w:tcPr>
          <w:p w14:paraId="3A68CB50" w14:textId="1113B60C" w:rsidR="003805A7" w:rsidRPr="00972F5E" w:rsidRDefault="003805A7">
            <w:pPr>
              <w:rPr>
                <w:b/>
                <w:i/>
                <w:sz w:val="15"/>
                <w:szCs w:val="15"/>
              </w:rPr>
            </w:pPr>
            <w:r w:rsidRPr="00972F5E">
              <w:rPr>
                <w:b/>
                <w:sz w:val="15"/>
                <w:szCs w:val="15"/>
              </w:rPr>
              <w:t>Ethical practice</w:t>
            </w:r>
            <w:r w:rsidR="00406DB5" w:rsidRPr="00972F5E">
              <w:rPr>
                <w:b/>
                <w:bCs/>
                <w:sz w:val="15"/>
                <w:szCs w:val="15"/>
              </w:rPr>
              <w:t xml:space="preserve">. </w:t>
            </w:r>
            <w:r w:rsidRPr="00972F5E">
              <w:rPr>
                <w:i/>
                <w:sz w:val="15"/>
                <w:szCs w:val="15"/>
              </w:rPr>
              <w:t xml:space="preserve">Mechanisms that </w:t>
            </w:r>
            <w:r w:rsidR="00406DB5" w:rsidRPr="00972F5E">
              <w:rPr>
                <w:i/>
                <w:iCs/>
                <w:sz w:val="15"/>
                <w:szCs w:val="15"/>
              </w:rPr>
              <w:t xml:space="preserve">seek to </w:t>
            </w:r>
            <w:r w:rsidRPr="00972F5E">
              <w:rPr>
                <w:i/>
                <w:sz w:val="15"/>
                <w:szCs w:val="15"/>
              </w:rPr>
              <w:t xml:space="preserve">minimise undue commercial influence on clinical practice, with the goal of </w:t>
            </w:r>
            <w:r w:rsidRPr="00972F5E">
              <w:rPr>
                <w:i/>
                <w:iCs/>
                <w:sz w:val="15"/>
                <w:szCs w:val="15"/>
              </w:rPr>
              <w:t>preventing</w:t>
            </w:r>
            <w:r w:rsidRPr="00972F5E">
              <w:rPr>
                <w:i/>
                <w:sz w:val="15"/>
                <w:szCs w:val="15"/>
              </w:rPr>
              <w:t xml:space="preserve"> practitioner behaviours that are unethical or unsafe.</w:t>
            </w:r>
            <w:r w:rsidR="00406DB5" w:rsidRPr="00972F5E">
              <w:rPr>
                <w:b/>
                <w:bCs/>
                <w:i/>
                <w:iCs/>
                <w:sz w:val="15"/>
                <w:szCs w:val="15"/>
              </w:rPr>
              <w:t xml:space="preserve"> </w:t>
            </w:r>
          </w:p>
        </w:tc>
        <w:tc>
          <w:tcPr>
            <w:tcW w:w="4395" w:type="dxa"/>
          </w:tcPr>
          <w:p w14:paraId="55661745" w14:textId="77777777" w:rsidR="00AD43F1" w:rsidRPr="00972F5E" w:rsidRDefault="00AD43F1" w:rsidP="00AD43F1">
            <w:pPr>
              <w:rPr>
                <w:sz w:val="15"/>
                <w:szCs w:val="15"/>
              </w:rPr>
            </w:pPr>
            <w:r w:rsidRPr="00972F5E">
              <w:rPr>
                <w:sz w:val="15"/>
                <w:szCs w:val="15"/>
              </w:rPr>
              <w:t>Somewhat (2)</w:t>
            </w:r>
          </w:p>
          <w:p w14:paraId="4E84DA1A" w14:textId="13BADB79" w:rsidR="003805A7" w:rsidRPr="00972F5E" w:rsidRDefault="00AD43F1">
            <w:pPr>
              <w:rPr>
                <w:sz w:val="15"/>
                <w:szCs w:val="15"/>
              </w:rPr>
            </w:pPr>
            <w:r w:rsidRPr="00972F5E">
              <w:rPr>
                <w:sz w:val="15"/>
                <w:szCs w:val="15"/>
              </w:rPr>
              <w:t>HCEs are the most appropriate entity to investigate concerns about health systems or health service providers. At present, there is limited practitioner awareness about these powers, and there are some jurisdictions without the National Code.</w:t>
            </w:r>
          </w:p>
        </w:tc>
        <w:tc>
          <w:tcPr>
            <w:tcW w:w="7229" w:type="dxa"/>
          </w:tcPr>
          <w:p w14:paraId="59B00357" w14:textId="77777777" w:rsidR="003805A7" w:rsidRPr="00972F5E" w:rsidRDefault="003805A7">
            <w:pPr>
              <w:rPr>
                <w:sz w:val="15"/>
                <w:szCs w:val="15"/>
              </w:rPr>
            </w:pPr>
            <w:r w:rsidRPr="00972F5E">
              <w:rPr>
                <w:sz w:val="15"/>
                <w:szCs w:val="15"/>
              </w:rPr>
              <w:t>Somewhat (2)</w:t>
            </w:r>
          </w:p>
          <w:p w14:paraId="507D1006" w14:textId="13DC62D5" w:rsidR="003805A7" w:rsidRPr="00972F5E" w:rsidRDefault="001358EA">
            <w:pPr>
              <w:rPr>
                <w:sz w:val="15"/>
                <w:szCs w:val="15"/>
              </w:rPr>
            </w:pPr>
            <w:r w:rsidRPr="00972F5E">
              <w:rPr>
                <w:sz w:val="15"/>
                <w:szCs w:val="15"/>
              </w:rPr>
              <w:t>Ahpra</w:t>
            </w:r>
            <w:r w:rsidR="003805A7" w:rsidRPr="00972F5E">
              <w:rPr>
                <w:sz w:val="15"/>
                <w:szCs w:val="15"/>
              </w:rPr>
              <w:t xml:space="preserve"> has powers to take disciplinary action against practitioners, not organisations.</w:t>
            </w:r>
            <w:r w:rsidR="003A0844" w:rsidRPr="00972F5E">
              <w:rPr>
                <w:sz w:val="15"/>
                <w:szCs w:val="15"/>
              </w:rPr>
              <w:t xml:space="preserve"> The inclusion of audiology into the National Scheme may change the </w:t>
            </w:r>
            <w:r w:rsidR="00F4257E" w:rsidRPr="00972F5E">
              <w:rPr>
                <w:sz w:val="15"/>
                <w:szCs w:val="15"/>
              </w:rPr>
              <w:t xml:space="preserve">view of the risk profile to the profession, leading to improved organisational behaviour. However, stakeholders raised a view that </w:t>
            </w:r>
            <w:r w:rsidR="00750D23" w:rsidRPr="00972F5E">
              <w:rPr>
                <w:sz w:val="15"/>
                <w:szCs w:val="15"/>
              </w:rPr>
              <w:t xml:space="preserve">organisations may also seek to avoid regulation through the employment of audiometrists instead. </w:t>
            </w:r>
            <w:r w:rsidR="00275A0A" w:rsidRPr="00972F5E">
              <w:rPr>
                <w:sz w:val="15"/>
                <w:szCs w:val="15"/>
              </w:rPr>
              <w:t xml:space="preserve">Hence, this </w:t>
            </w:r>
            <w:r w:rsidR="003805A7" w:rsidRPr="00972F5E">
              <w:rPr>
                <w:sz w:val="15"/>
                <w:szCs w:val="15"/>
              </w:rPr>
              <w:t>rating is retained at ‘Somewhat’.</w:t>
            </w:r>
          </w:p>
        </w:tc>
      </w:tr>
      <w:tr w:rsidR="003805A7" w:rsidRPr="003304D5" w14:paraId="4782CD99" w14:textId="77777777" w:rsidTr="00972F5E">
        <w:trPr>
          <w:trHeight w:val="31"/>
        </w:trPr>
        <w:tc>
          <w:tcPr>
            <w:tcW w:w="2835" w:type="dxa"/>
          </w:tcPr>
          <w:p w14:paraId="71207AE4" w14:textId="77777777" w:rsidR="003805A7" w:rsidRPr="00972F5E" w:rsidRDefault="003805A7">
            <w:pPr>
              <w:rPr>
                <w:b/>
                <w:sz w:val="15"/>
                <w:szCs w:val="15"/>
              </w:rPr>
            </w:pPr>
            <w:r w:rsidRPr="00972F5E">
              <w:rPr>
                <w:b/>
                <w:sz w:val="15"/>
                <w:szCs w:val="15"/>
              </w:rPr>
              <w:t>Total score (20 max)</w:t>
            </w:r>
          </w:p>
        </w:tc>
        <w:tc>
          <w:tcPr>
            <w:tcW w:w="4395" w:type="dxa"/>
          </w:tcPr>
          <w:p w14:paraId="06176A3A" w14:textId="77777777" w:rsidR="003805A7" w:rsidRPr="00972F5E" w:rsidRDefault="003805A7">
            <w:pPr>
              <w:rPr>
                <w:b/>
                <w:sz w:val="15"/>
                <w:szCs w:val="15"/>
              </w:rPr>
            </w:pPr>
            <w:r w:rsidRPr="00972F5E">
              <w:rPr>
                <w:b/>
                <w:sz w:val="15"/>
                <w:szCs w:val="15"/>
              </w:rPr>
              <w:t>9</w:t>
            </w:r>
          </w:p>
        </w:tc>
        <w:tc>
          <w:tcPr>
            <w:tcW w:w="7229" w:type="dxa"/>
          </w:tcPr>
          <w:p w14:paraId="4B52EE0A" w14:textId="77777777" w:rsidR="003805A7" w:rsidRPr="00972F5E" w:rsidRDefault="003805A7">
            <w:pPr>
              <w:rPr>
                <w:b/>
                <w:sz w:val="15"/>
                <w:szCs w:val="15"/>
              </w:rPr>
            </w:pPr>
            <w:r w:rsidRPr="00972F5E">
              <w:rPr>
                <w:b/>
                <w:sz w:val="15"/>
                <w:szCs w:val="15"/>
              </w:rPr>
              <w:t>13</w:t>
            </w:r>
          </w:p>
        </w:tc>
      </w:tr>
    </w:tbl>
    <w:p w14:paraId="44FE15EA" w14:textId="77777777" w:rsidR="002724D2" w:rsidRDefault="002724D2" w:rsidP="008451A1">
      <w:pPr>
        <w:pStyle w:val="BodyText"/>
        <w:sectPr w:rsidR="002724D2" w:rsidSect="002724D2">
          <w:pgSz w:w="16838" w:h="11906" w:orient="landscape" w:code="9"/>
          <w:pgMar w:top="1531" w:right="1531" w:bottom="1531" w:left="1531" w:header="709" w:footer="709" w:gutter="0"/>
          <w:cols w:space="708"/>
          <w:docGrid w:linePitch="360"/>
        </w:sectPr>
      </w:pPr>
    </w:p>
    <w:p w14:paraId="27813EA7" w14:textId="0EF7ACFC" w:rsidR="00623382" w:rsidRPr="005511C7" w:rsidRDefault="00623382" w:rsidP="00623382">
      <w:pPr>
        <w:pStyle w:val="Heading2"/>
      </w:pPr>
      <w:bookmarkStart w:id="273" w:name="_Ref170993983"/>
      <w:bookmarkStart w:id="274" w:name="_Toc171324789"/>
      <w:bookmarkStart w:id="275" w:name="_Toc198138642"/>
      <w:r w:rsidRPr="00623382">
        <w:t>Jurisdictional</w:t>
      </w:r>
      <w:r>
        <w:t xml:space="preserve"> </w:t>
      </w:r>
      <w:r w:rsidR="00251754">
        <w:t>R</w:t>
      </w:r>
      <w:r w:rsidR="00F725F7">
        <w:t xml:space="preserve">egistration </w:t>
      </w:r>
      <w:r>
        <w:t>of the audiology profession</w:t>
      </w:r>
      <w:bookmarkEnd w:id="273"/>
      <w:bookmarkEnd w:id="274"/>
      <w:r w:rsidR="00F725F7">
        <w:t xml:space="preserve"> (Option 6)</w:t>
      </w:r>
      <w:bookmarkEnd w:id="275"/>
    </w:p>
    <w:p w14:paraId="244D5EDE" w14:textId="7D6A3A96" w:rsidR="00623382" w:rsidRDefault="00623382" w:rsidP="00623382">
      <w:pPr>
        <w:pStyle w:val="BodyText"/>
      </w:pPr>
      <w:r>
        <w:t xml:space="preserve">It is expected that jurisdictional regulators would have similar powers and functions as a National Board under the </w:t>
      </w:r>
      <w:r w:rsidR="00D870A4">
        <w:t>National Scheme</w:t>
      </w:r>
      <w:r>
        <w:t>.</w:t>
      </w:r>
      <w:r w:rsidRPr="00353041">
        <w:t xml:space="preserve"> </w:t>
      </w:r>
      <w:r>
        <w:t xml:space="preserve">Subsequently, it is anticipated </w:t>
      </w:r>
      <w:r w:rsidR="00D870A4">
        <w:t xml:space="preserve">Option 6 </w:t>
      </w:r>
      <w:r>
        <w:t xml:space="preserve">would share a number of impacts as </w:t>
      </w:r>
      <w:r w:rsidR="00360275">
        <w:t>Option 7</w:t>
      </w:r>
      <w:r>
        <w:t xml:space="preserve"> compared to the current state, notwithstanding the key differences noted </w:t>
      </w:r>
      <w:r w:rsidR="00360275">
        <w:t>below</w:t>
      </w:r>
      <w:r>
        <w:t>.</w:t>
      </w:r>
    </w:p>
    <w:p w14:paraId="473D2817" w14:textId="77777777" w:rsidR="00623382" w:rsidRDefault="00623382" w:rsidP="00623382">
      <w:pPr>
        <w:pStyle w:val="BodyText"/>
      </w:pPr>
      <w:r>
        <w:t xml:space="preserve">The functions of jurisdictional Boards for registration of audiologists are expected to mimic those as outlined per the </w:t>
      </w:r>
      <w:r w:rsidRPr="00605400">
        <w:t>Social Workers Registration</w:t>
      </w:r>
      <w:r>
        <w:t xml:space="preserve"> Board </w:t>
      </w:r>
      <w:r w:rsidRPr="00605400">
        <w:t>of South Australia</w:t>
      </w:r>
      <w:r>
        <w:t>.</w:t>
      </w:r>
      <w:r>
        <w:rPr>
          <w:rStyle w:val="FootnoteReference"/>
        </w:rPr>
        <w:footnoteReference w:id="271"/>
      </w:r>
      <w:r>
        <w:t xml:space="preserve"> Specifically, these functions include: </w:t>
      </w:r>
    </w:p>
    <w:p w14:paraId="1037D21A" w14:textId="77777777" w:rsidR="00623382" w:rsidRDefault="00623382" w:rsidP="00623382">
      <w:pPr>
        <w:pStyle w:val="ListBullet"/>
      </w:pPr>
      <w:r>
        <w:t xml:space="preserve">to administer the provisions for the regulation of the practice of audiology; </w:t>
      </w:r>
    </w:p>
    <w:p w14:paraId="4883D775" w14:textId="77777777" w:rsidR="00623382" w:rsidRDefault="00623382" w:rsidP="00623382">
      <w:pPr>
        <w:pStyle w:val="ListBullet"/>
      </w:pPr>
      <w:r>
        <w:t xml:space="preserve">to provide a definition of audiology services; </w:t>
      </w:r>
    </w:p>
    <w:p w14:paraId="04ED7D32" w14:textId="77777777" w:rsidR="00623382" w:rsidRDefault="00623382" w:rsidP="00623382">
      <w:pPr>
        <w:pStyle w:val="ListBullet"/>
      </w:pPr>
      <w:r>
        <w:t xml:space="preserve">to establish and maintain a register of audiologists; </w:t>
      </w:r>
    </w:p>
    <w:p w14:paraId="25E8AAE7" w14:textId="77777777" w:rsidR="00623382" w:rsidRDefault="00623382" w:rsidP="00623382">
      <w:pPr>
        <w:pStyle w:val="ListBullet"/>
      </w:pPr>
      <w:r>
        <w:t xml:space="preserve">to prepare or endorse codes of conduct, professional standards and ethical guidelines for registered audiologists; </w:t>
      </w:r>
    </w:p>
    <w:p w14:paraId="69F11B2F" w14:textId="77777777" w:rsidR="00623382" w:rsidRDefault="00623382" w:rsidP="00623382">
      <w:pPr>
        <w:pStyle w:val="ListBullet"/>
      </w:pPr>
      <w:r>
        <w:t xml:space="preserve">to determine the qualifications and other requirements appropriate for registration; </w:t>
      </w:r>
    </w:p>
    <w:p w14:paraId="61ACCDE9" w14:textId="77777777" w:rsidR="00623382" w:rsidRDefault="00623382" w:rsidP="00623382">
      <w:pPr>
        <w:pStyle w:val="ListBullet"/>
      </w:pPr>
      <w:r>
        <w:t xml:space="preserve">to receive and determine applications for registration of audiologists; </w:t>
      </w:r>
    </w:p>
    <w:p w14:paraId="3D645CCE" w14:textId="77777777" w:rsidR="00623382" w:rsidRDefault="00623382" w:rsidP="00623382">
      <w:pPr>
        <w:pStyle w:val="ListBullet"/>
      </w:pPr>
      <w:r>
        <w:t xml:space="preserve">to establish processes for handling complaints relating to the practice of audiology; </w:t>
      </w:r>
    </w:p>
    <w:p w14:paraId="4E4919A9" w14:textId="77777777" w:rsidR="00623382" w:rsidRDefault="00623382" w:rsidP="00623382">
      <w:pPr>
        <w:pStyle w:val="ListBullet"/>
      </w:pPr>
      <w:r>
        <w:t xml:space="preserve">to hear and make determinations in disciplinary proceedings against a person; </w:t>
      </w:r>
    </w:p>
    <w:p w14:paraId="656A4587" w14:textId="77777777" w:rsidR="00623382" w:rsidRDefault="00623382" w:rsidP="00623382">
      <w:pPr>
        <w:pStyle w:val="ListBullet"/>
      </w:pPr>
      <w:r>
        <w:t>to carry out other functions assigned to the Board or by the Minister.</w:t>
      </w:r>
    </w:p>
    <w:p w14:paraId="38FA43C7" w14:textId="77777777" w:rsidR="00623382" w:rsidRDefault="00623382" w:rsidP="00623382">
      <w:pPr>
        <w:pStyle w:val="BodyText"/>
      </w:pPr>
      <w:r>
        <w:t>It is acknowledged that j</w:t>
      </w:r>
      <w:r w:rsidRPr="00647A61">
        <w:t xml:space="preserve">urisdictions face an immediate question </w:t>
      </w:r>
      <w:r>
        <w:t>regarding</w:t>
      </w:r>
      <w:r w:rsidRPr="00647A61">
        <w:t xml:space="preserve"> the economies of scale</w:t>
      </w:r>
      <w:r>
        <w:t xml:space="preserve"> to support sustainable </w:t>
      </w:r>
      <w:r w:rsidRPr="00647A61">
        <w:t>registration in their jurisdiction.</w:t>
      </w:r>
      <w:r>
        <w:t xml:space="preserve"> Given the high representation of audiologists practicing in certain states (i.e., New South Wales, Queensland and Victoria comprise 77% of practicing audiologists per the ABS 2021 census) the magnitude of impacts and the number of audiologists and businesses affected will be determined by which states, if any, chose to enact registration. </w:t>
      </w:r>
    </w:p>
    <w:p w14:paraId="74070D2B" w14:textId="5F02AB63" w:rsidR="00623382" w:rsidRDefault="00623382" w:rsidP="00623382">
      <w:pPr>
        <w:pStyle w:val="BodyText"/>
      </w:pPr>
      <w:r>
        <w:t xml:space="preserve">For the purpose of the impact analysis and to aid comparison across options, it is assumed that all jurisdictions would establish a separate </w:t>
      </w:r>
      <w:r w:rsidR="00347463">
        <w:t>S</w:t>
      </w:r>
      <w:r>
        <w:t xml:space="preserve">tate and </w:t>
      </w:r>
      <w:r w:rsidR="00347463">
        <w:t>T</w:t>
      </w:r>
      <w:r>
        <w:t xml:space="preserve">erritory Board. However, in reality, it is acknowledged that only some states and territories would adopt </w:t>
      </w:r>
      <w:r w:rsidR="009D65B6">
        <w:t>Jurisdictional Registration</w:t>
      </w:r>
      <w:r>
        <w:t xml:space="preserve">. This may occur in some jurisdictions if </w:t>
      </w:r>
      <w:r w:rsidR="009D65B6">
        <w:t>National Registration</w:t>
      </w:r>
      <w:r>
        <w:t xml:space="preserve"> is not selected as the preferred option. If only some jurisdictions establish a Board, any national fixed costs would be shared across fewer jurisdictions, and thus the cost borne by each individual jurisdiction would be higher than if all eight states and territories established a Board.</w:t>
      </w:r>
    </w:p>
    <w:p w14:paraId="4D912FB1" w14:textId="10C2BD5B" w:rsidR="00623382" w:rsidRPr="00647A61" w:rsidRDefault="00623382" w:rsidP="00623382">
      <w:pPr>
        <w:pStyle w:val="BodyText"/>
      </w:pPr>
      <w:r>
        <w:t xml:space="preserve">It is assumed that registration under separately constituted </w:t>
      </w:r>
      <w:r w:rsidR="00347463">
        <w:t>S</w:t>
      </w:r>
      <w:r>
        <w:t xml:space="preserve">tate and </w:t>
      </w:r>
      <w:r w:rsidR="00347463">
        <w:t>T</w:t>
      </w:r>
      <w:r>
        <w:t xml:space="preserve">erritory-based regimes would be more costly than a national scheme because economies of scale and coordinated resourcing are likely to be less. It is assumed that for audiologists who practice in more than one jurisdiction, dual registration would be facilitated under the </w:t>
      </w:r>
      <w:r w:rsidRPr="00240261">
        <w:rPr>
          <w:i/>
          <w:iCs/>
        </w:rPr>
        <w:t>Mutual Recognition Act 1992</w:t>
      </w:r>
      <w:r>
        <w:t>, provided audiology is registered in both jurisdictions. That is, an audiologist could apply for recognition of their existing registration and pay an appliable fee.</w:t>
      </w:r>
    </w:p>
    <w:p w14:paraId="55DF89EB" w14:textId="77777777" w:rsidR="00623382" w:rsidRDefault="00623382" w:rsidP="00623382">
      <w:pPr>
        <w:pStyle w:val="Heading3"/>
      </w:pPr>
      <w:bookmarkStart w:id="276" w:name="_Toc171324790"/>
      <w:bookmarkStart w:id="277" w:name="_Toc198138643"/>
      <w:r>
        <w:t>Theory of change</w:t>
      </w:r>
      <w:bookmarkEnd w:id="276"/>
      <w:bookmarkEnd w:id="277"/>
    </w:p>
    <w:p w14:paraId="7644B5C4" w14:textId="2636ADDA" w:rsidR="002724D2" w:rsidRDefault="00262274" w:rsidP="00623382">
      <w:pPr>
        <w:pStyle w:val="BodyText"/>
      </w:pPr>
      <w:r>
        <w:fldChar w:fldCharType="begin"/>
      </w:r>
      <w:r>
        <w:instrText xml:space="preserve"> REF _Ref172048935 \h </w:instrText>
      </w:r>
      <w:r>
        <w:fldChar w:fldCharType="separate"/>
      </w:r>
      <w:r w:rsidR="00F32107">
        <w:t xml:space="preserve">Figure </w:t>
      </w:r>
      <w:r w:rsidR="00F32107">
        <w:rPr>
          <w:noProof/>
        </w:rPr>
        <w:t>8</w:t>
      </w:r>
      <w:r w:rsidR="00F32107">
        <w:t>.</w:t>
      </w:r>
      <w:r w:rsidR="00F32107">
        <w:rPr>
          <w:noProof/>
        </w:rPr>
        <w:t>4</w:t>
      </w:r>
      <w:r>
        <w:fldChar w:fldCharType="end"/>
      </w:r>
      <w:r w:rsidR="00623382" w:rsidRPr="00623382">
        <w:t xml:space="preserve"> provides a theory of change for </w:t>
      </w:r>
      <w:r w:rsidR="00C24A10">
        <w:t>Option 6</w:t>
      </w:r>
      <w:r w:rsidR="00623382" w:rsidRPr="00623382">
        <w:t xml:space="preserve"> relative to the </w:t>
      </w:r>
      <w:r w:rsidR="00A80F45">
        <w:t>Status Quo</w:t>
      </w:r>
      <w:r w:rsidR="00623382" w:rsidRPr="00623382">
        <w:t xml:space="preserve">. This theory of change is based on the legislative structure of the </w:t>
      </w:r>
      <w:r w:rsidR="00623382" w:rsidRPr="00AA36F2">
        <w:rPr>
          <w:i/>
          <w:iCs/>
        </w:rPr>
        <w:t>Social Workers Registration Act 2021</w:t>
      </w:r>
      <w:r w:rsidR="00623382" w:rsidRPr="00623382">
        <w:t xml:space="preserve"> and associated explanatory material,</w:t>
      </w:r>
      <w:r w:rsidR="00623382" w:rsidRPr="00AA36F2">
        <w:rPr>
          <w:rStyle w:val="FootnoteReference"/>
          <w:sz w:val="21"/>
        </w:rPr>
        <w:footnoteReference w:id="272"/>
      </w:r>
      <w:r w:rsidR="00623382" w:rsidRPr="00AA36F2">
        <w:rPr>
          <w:vertAlign w:val="superscript"/>
        </w:rPr>
        <w:t xml:space="preserve"> </w:t>
      </w:r>
      <w:r w:rsidR="00623382" w:rsidRPr="00623382">
        <w:t>amended where necessary</w:t>
      </w:r>
      <w:r w:rsidR="00AA36F2">
        <w:t>.</w:t>
      </w:r>
    </w:p>
    <w:p w14:paraId="428174DA" w14:textId="68796B32" w:rsidR="001F74DB" w:rsidRDefault="00262274" w:rsidP="00262274">
      <w:pPr>
        <w:pStyle w:val="Caption"/>
      </w:pPr>
      <w:bookmarkStart w:id="278" w:name="_Ref172048935"/>
      <w:r>
        <w:t xml:space="preserve">Figure </w:t>
      </w:r>
      <w:fldSimple w:instr=" STYLEREF 1 \s ">
        <w:r w:rsidR="00F32107">
          <w:rPr>
            <w:noProof/>
          </w:rPr>
          <w:t>8</w:t>
        </w:r>
      </w:fldSimple>
      <w:r w:rsidR="00222D06">
        <w:t>.</w:t>
      </w:r>
      <w:fldSimple w:instr=" SEQ Figure \* ARABIC \s 1 ">
        <w:r w:rsidR="00F32107">
          <w:rPr>
            <w:noProof/>
          </w:rPr>
          <w:t>4</w:t>
        </w:r>
      </w:fldSimple>
      <w:bookmarkEnd w:id="278"/>
      <w:r>
        <w:t xml:space="preserve"> </w:t>
      </w:r>
      <w:r w:rsidR="00F02C60">
        <w:t xml:space="preserve">Theory of change for </w:t>
      </w:r>
      <w:r w:rsidR="002512AC">
        <w:t>Option 6</w:t>
      </w:r>
    </w:p>
    <w:p w14:paraId="23FB63CE" w14:textId="39546542" w:rsidR="00AA36F2" w:rsidRDefault="00834136" w:rsidP="00623382">
      <w:pPr>
        <w:pStyle w:val="BodyText"/>
      </w:pPr>
      <w:r w:rsidRPr="00834136">
        <w:rPr>
          <w:noProof/>
          <w:lang w:eastAsia="en-AU"/>
        </w:rPr>
        <w:drawing>
          <wp:inline distT="0" distB="0" distL="0" distR="0" wp14:anchorId="61FCDC81" wp14:editId="77B95621">
            <wp:extent cx="5615940" cy="2439670"/>
            <wp:effectExtent l="0" t="0" r="3810" b="0"/>
            <wp:docPr id="1175566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5940" cy="2439670"/>
                    </a:xfrm>
                    <a:prstGeom prst="rect">
                      <a:avLst/>
                    </a:prstGeom>
                    <a:noFill/>
                    <a:ln>
                      <a:noFill/>
                    </a:ln>
                  </pic:spPr>
                </pic:pic>
              </a:graphicData>
            </a:graphic>
          </wp:inline>
        </w:drawing>
      </w:r>
    </w:p>
    <w:p w14:paraId="51016B2D" w14:textId="3F526AF1" w:rsidR="00254CD6" w:rsidRDefault="00254CD6" w:rsidP="00254CD6">
      <w:pPr>
        <w:pStyle w:val="BodyText"/>
      </w:pPr>
      <w:r>
        <w:t xml:space="preserve">While this theory of change is similar to </w:t>
      </w:r>
      <w:r w:rsidR="00A3020B">
        <w:t>Option 7</w:t>
      </w:r>
      <w:r>
        <w:t>, the following key differences are noted for the legislative and regulatory change column:</w:t>
      </w:r>
    </w:p>
    <w:p w14:paraId="3E7981C1" w14:textId="3A515B0E" w:rsidR="00254CD6" w:rsidRDefault="009D65B6" w:rsidP="00254CD6">
      <w:pPr>
        <w:pStyle w:val="ListBullet"/>
      </w:pPr>
      <w:r>
        <w:t>Jurisdictional Registration</w:t>
      </w:r>
      <w:r w:rsidR="00254CD6">
        <w:t xml:space="preserve"> does not have mandatory notifications </w:t>
      </w:r>
    </w:p>
    <w:p w14:paraId="56738BE0" w14:textId="65FE79C0" w:rsidR="00254CD6" w:rsidRDefault="009D65B6" w:rsidP="00254CD6">
      <w:pPr>
        <w:pStyle w:val="ListBullet"/>
      </w:pPr>
      <w:r>
        <w:t>Jurisdictional Registration</w:t>
      </w:r>
      <w:r w:rsidR="00254CD6">
        <w:t xml:space="preserve"> does not have notifier protections to the extent granted by </w:t>
      </w:r>
      <w:r w:rsidR="001358EA">
        <w:t>Ahpra</w:t>
      </w:r>
    </w:p>
    <w:p w14:paraId="29C9E426" w14:textId="66878247" w:rsidR="00254CD6" w:rsidRDefault="009D65B6" w:rsidP="00254CD6">
      <w:pPr>
        <w:pStyle w:val="ListBullet"/>
      </w:pPr>
      <w:r>
        <w:t>Jurisdictional Registration</w:t>
      </w:r>
      <w:r w:rsidR="00254CD6">
        <w:t xml:space="preserve"> would, by notice in a Gazette, describe the services that are performed by the audiology profession in one or more scopes of practice and have the ability to authorise the applicant to practise within a scope of practice.</w:t>
      </w:r>
    </w:p>
    <w:p w14:paraId="41423C21" w14:textId="77777777" w:rsidR="00254CD6" w:rsidRDefault="00254CD6" w:rsidP="00254CD6">
      <w:pPr>
        <w:pStyle w:val="Heading3"/>
      </w:pPr>
      <w:bookmarkStart w:id="279" w:name="_Toc171324791"/>
      <w:bookmarkStart w:id="280" w:name="_Toc198138644"/>
      <w:r>
        <w:t xml:space="preserve">Impact assessment </w:t>
      </w:r>
      <w:r w:rsidRPr="00254CD6">
        <w:t>framework</w:t>
      </w:r>
      <w:bookmarkEnd w:id="279"/>
      <w:bookmarkEnd w:id="280"/>
    </w:p>
    <w:p w14:paraId="25098BEA" w14:textId="6F23FB91" w:rsidR="00254CD6" w:rsidRDefault="00254CD6" w:rsidP="00254CD6">
      <w:pPr>
        <w:pStyle w:val="BodyText"/>
      </w:pPr>
      <w:r w:rsidRPr="007C59B2">
        <w:t xml:space="preserve">The identified impact streams associated with </w:t>
      </w:r>
      <w:r w:rsidR="001150C4">
        <w:t>Option 6</w:t>
      </w:r>
      <w:r w:rsidRPr="007C59B2">
        <w:t xml:space="preserve"> are outlined in </w:t>
      </w:r>
      <w:r w:rsidR="008A57B0">
        <w:fldChar w:fldCharType="begin"/>
      </w:r>
      <w:r w:rsidR="008A57B0">
        <w:instrText xml:space="preserve"> REF _Ref172796099 \h </w:instrText>
      </w:r>
      <w:r w:rsidR="008A57B0">
        <w:fldChar w:fldCharType="separate"/>
      </w:r>
      <w:r w:rsidR="00F32107">
        <w:t xml:space="preserve">Figure </w:t>
      </w:r>
      <w:r w:rsidR="00F32107">
        <w:rPr>
          <w:noProof/>
        </w:rPr>
        <w:t>8</w:t>
      </w:r>
      <w:r w:rsidR="00F32107">
        <w:t>.</w:t>
      </w:r>
      <w:r w:rsidR="00F32107">
        <w:rPr>
          <w:noProof/>
        </w:rPr>
        <w:t>5</w:t>
      </w:r>
      <w:r w:rsidR="008A57B0">
        <w:fldChar w:fldCharType="end"/>
      </w:r>
      <w:r w:rsidR="003A07AA">
        <w:t xml:space="preserve"> </w:t>
      </w:r>
      <w:r w:rsidRPr="007C59B2">
        <w:t>by stakeholder group</w:t>
      </w:r>
      <w:r>
        <w:t>.</w:t>
      </w:r>
    </w:p>
    <w:p w14:paraId="4409D5F8" w14:textId="16105762" w:rsidR="00882239" w:rsidRDefault="00882239" w:rsidP="00882239">
      <w:pPr>
        <w:pStyle w:val="Caption"/>
        <w:keepNext/>
      </w:pPr>
      <w:bookmarkStart w:id="281" w:name="_Ref172796099"/>
      <w:r>
        <w:t xml:space="preserve">Figure </w:t>
      </w:r>
      <w:fldSimple w:instr=" STYLEREF 1 \s ">
        <w:r w:rsidR="00F32107">
          <w:rPr>
            <w:noProof/>
          </w:rPr>
          <w:t>8</w:t>
        </w:r>
      </w:fldSimple>
      <w:r w:rsidR="00222D06">
        <w:t>.</w:t>
      </w:r>
      <w:fldSimple w:instr=" SEQ Figure \* ARABIC \s 1 ">
        <w:r w:rsidR="00F32107">
          <w:rPr>
            <w:noProof/>
          </w:rPr>
          <w:t>5</w:t>
        </w:r>
      </w:fldSimple>
      <w:bookmarkEnd w:id="281"/>
      <w:r>
        <w:t xml:space="preserve"> </w:t>
      </w:r>
      <w:r w:rsidR="006437F8">
        <w:t xml:space="preserve">Impact assessment </w:t>
      </w:r>
      <w:r w:rsidR="003B3959">
        <w:t>Option 6</w:t>
      </w:r>
      <w:r w:rsidR="00A25C6D">
        <w:t xml:space="preserve"> relative to the </w:t>
      </w:r>
      <w:r w:rsidR="00A80F45">
        <w:t>Status Quo</w:t>
      </w:r>
    </w:p>
    <w:p w14:paraId="263A2866" w14:textId="68E864B1" w:rsidR="00262274" w:rsidRPr="00061A7C" w:rsidRDefault="00834136" w:rsidP="00623382">
      <w:pPr>
        <w:pStyle w:val="BodyText"/>
        <w:rPr>
          <w:color w:val="7F7F7F" w:themeColor="text1" w:themeTint="80"/>
        </w:rPr>
      </w:pPr>
      <w:r w:rsidRPr="00834136">
        <w:rPr>
          <w:color w:val="7F7F7F" w:themeColor="text1" w:themeTint="80"/>
        </w:rPr>
        <w:t xml:space="preserve"> </w:t>
      </w:r>
      <w:r w:rsidRPr="00834136">
        <w:rPr>
          <w:noProof/>
          <w:lang w:eastAsia="en-AU"/>
        </w:rPr>
        <w:drawing>
          <wp:inline distT="0" distB="0" distL="0" distR="0" wp14:anchorId="3E2002B4" wp14:editId="12C697FC">
            <wp:extent cx="5615940" cy="2945130"/>
            <wp:effectExtent l="0" t="0" r="3810" b="0"/>
            <wp:docPr id="1781193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5940" cy="2945130"/>
                    </a:xfrm>
                    <a:prstGeom prst="rect">
                      <a:avLst/>
                    </a:prstGeom>
                    <a:noFill/>
                    <a:ln>
                      <a:noFill/>
                    </a:ln>
                  </pic:spPr>
                </pic:pic>
              </a:graphicData>
            </a:graphic>
          </wp:inline>
        </w:drawing>
      </w:r>
    </w:p>
    <w:p w14:paraId="48076213" w14:textId="3E60E224" w:rsidR="00061A7C" w:rsidRPr="00061A7C" w:rsidRDefault="00061A7C" w:rsidP="00061A7C">
      <w:pPr>
        <w:pStyle w:val="Source"/>
      </w:pPr>
      <w:r w:rsidRPr="00061A7C">
        <w:t xml:space="preserve">*Note: For illustration purposes, </w:t>
      </w:r>
      <w:r w:rsidR="003B3959">
        <w:t>asterisked</w:t>
      </w:r>
      <w:r w:rsidR="003B3959" w:rsidRPr="00061A7C">
        <w:t xml:space="preserve"> </w:t>
      </w:r>
      <w:r w:rsidRPr="00061A7C">
        <w:t>government impacts are categorised as a ‘financial cost impact of regulatory burden’</w:t>
      </w:r>
      <w:r w:rsidR="001504F2">
        <w:t>. H</w:t>
      </w:r>
      <w:r w:rsidRPr="00061A7C">
        <w:t xml:space="preserve">owever, to align with OIA’s guidance on regulatory costs accruing to government under a regulatory change, these cost categories are excluded from </w:t>
      </w:r>
      <w:r w:rsidR="00304431">
        <w:t xml:space="preserve">the conclusion </w:t>
      </w:r>
      <w:r w:rsidRPr="00061A7C">
        <w:t xml:space="preserve">table summarising the annual costs of </w:t>
      </w:r>
      <w:r w:rsidR="00304431">
        <w:t>the</w:t>
      </w:r>
      <w:r w:rsidRPr="00061A7C">
        <w:t xml:space="preserve"> option.</w:t>
      </w:r>
    </w:p>
    <w:p w14:paraId="4674D6DC" w14:textId="77777777" w:rsidR="00B322FD" w:rsidRDefault="00B322FD" w:rsidP="00B322FD">
      <w:pPr>
        <w:pStyle w:val="Heading3"/>
      </w:pPr>
      <w:bookmarkStart w:id="282" w:name="_Toc171324792"/>
      <w:bookmarkStart w:id="283" w:name="_Toc198138645"/>
      <w:r>
        <w:t xml:space="preserve">Incremental </w:t>
      </w:r>
      <w:r w:rsidRPr="00B322FD">
        <w:t>impact</w:t>
      </w:r>
      <w:r>
        <w:t xml:space="preserve"> analysis</w:t>
      </w:r>
      <w:bookmarkEnd w:id="282"/>
      <w:bookmarkEnd w:id="283"/>
    </w:p>
    <w:p w14:paraId="0A5991AF" w14:textId="77777777" w:rsidR="00FC3921" w:rsidRDefault="00FC3921" w:rsidP="00FC3921">
      <w:pPr>
        <w:pStyle w:val="Heading4"/>
      </w:pPr>
      <w:r>
        <w:t>Change in social and economic outcomes associated with substandard care – for patients, families/carers and government services</w:t>
      </w:r>
    </w:p>
    <w:p w14:paraId="399CAF3D" w14:textId="562D6C71" w:rsidR="00DB2823" w:rsidRPr="00404203" w:rsidRDefault="00DB2823" w:rsidP="00DB2823">
      <w:pPr>
        <w:pStyle w:val="BodyText"/>
      </w:pPr>
      <w:r>
        <w:t xml:space="preserve">Relative to the </w:t>
      </w:r>
      <w:r w:rsidR="00A80F45">
        <w:t>Status Quo</w:t>
      </w:r>
      <w:r>
        <w:t xml:space="preserve">, </w:t>
      </w:r>
      <w:r w:rsidR="001504F2">
        <w:t>Option 6</w:t>
      </w:r>
      <w:r w:rsidRPr="00371510">
        <w:t xml:space="preserve"> is expected to </w:t>
      </w:r>
      <w:r>
        <w:t>reduce the incidence of substandard care and avoid the associated social and economic costs for patients, families/carers and government</w:t>
      </w:r>
      <w:r w:rsidR="00D76858">
        <w:t xml:space="preserve"> (these impacts are summarised in </w:t>
      </w:r>
      <w:r w:rsidR="00E41209">
        <w:t>summarised in</w:t>
      </w:r>
      <w:r w:rsidR="00D76858">
        <w:t xml:space="preserve"> </w:t>
      </w:r>
      <w:r w:rsidR="00E41209">
        <w:fldChar w:fldCharType="begin"/>
      </w:r>
      <w:r w:rsidR="00E41209">
        <w:instrText xml:space="preserve"> REF _Ref172874370 \h </w:instrText>
      </w:r>
      <w:r w:rsidR="00E41209">
        <w:fldChar w:fldCharType="separate"/>
      </w:r>
      <w:r w:rsidR="00F32107">
        <w:t xml:space="preserve">Figure </w:t>
      </w:r>
      <w:r w:rsidR="00F32107">
        <w:rPr>
          <w:noProof/>
        </w:rPr>
        <w:t>7</w:t>
      </w:r>
      <w:r w:rsidR="00F32107">
        <w:t>.</w:t>
      </w:r>
      <w:r w:rsidR="00F32107">
        <w:rPr>
          <w:noProof/>
        </w:rPr>
        <w:t>3</w:t>
      </w:r>
      <w:r w:rsidR="00E41209">
        <w:fldChar w:fldCharType="end"/>
      </w:r>
      <w:r w:rsidR="00E41209">
        <w:t xml:space="preserve"> and in Sections </w:t>
      </w:r>
      <w:r w:rsidR="00E41209">
        <w:fldChar w:fldCharType="begin"/>
      </w:r>
      <w:r w:rsidR="00E41209">
        <w:instrText xml:space="preserve"> REF _Ref172538825 \r \h </w:instrText>
      </w:r>
      <w:r w:rsidR="00E41209">
        <w:fldChar w:fldCharType="separate"/>
      </w:r>
      <w:r w:rsidR="00F32107">
        <w:t>7.6.1</w:t>
      </w:r>
      <w:r w:rsidR="00E41209">
        <w:fldChar w:fldCharType="end"/>
      </w:r>
      <w:r w:rsidR="00E41209">
        <w:t xml:space="preserve"> and </w:t>
      </w:r>
      <w:r w:rsidR="00E41209">
        <w:fldChar w:fldCharType="begin"/>
      </w:r>
      <w:r w:rsidR="00E41209">
        <w:instrText xml:space="preserve"> REF _Ref170033230 \r \h </w:instrText>
      </w:r>
      <w:r w:rsidR="00E41209">
        <w:fldChar w:fldCharType="separate"/>
      </w:r>
      <w:r w:rsidR="00F32107">
        <w:t>7.6.2</w:t>
      </w:r>
      <w:r w:rsidR="00E41209">
        <w:fldChar w:fldCharType="end"/>
      </w:r>
      <w:r w:rsidR="00E41209">
        <w:t>.</w:t>
      </w:r>
      <w:r w:rsidR="00A748A8">
        <w:t>)</w:t>
      </w:r>
      <w:r>
        <w:t xml:space="preserve"> However,</w:t>
      </w:r>
      <w:r w:rsidR="00F558D0">
        <w:t xml:space="preserve"> due to </w:t>
      </w:r>
      <w:r w:rsidR="009C371A">
        <w:t>uncertainty</w:t>
      </w:r>
      <w:r w:rsidR="00F558D0">
        <w:t xml:space="preserve"> </w:t>
      </w:r>
      <w:r w:rsidR="009C371A">
        <w:t xml:space="preserve">relating to the level of harms occurring under the </w:t>
      </w:r>
      <w:r w:rsidR="00A80F45">
        <w:t>Status Quo</w:t>
      </w:r>
      <w:r w:rsidR="009C371A">
        <w:t xml:space="preserve"> and the efficacy of </w:t>
      </w:r>
      <w:r w:rsidR="009D65B6">
        <w:t>Jurisdictional Registration</w:t>
      </w:r>
      <w:r w:rsidR="009C371A">
        <w:t xml:space="preserve"> on harm minimisation,</w:t>
      </w:r>
      <w:r>
        <w:t xml:space="preserve"> it was not possible to estimate the volume and value of harms that could be avoided under </w:t>
      </w:r>
      <w:r w:rsidR="001504F2">
        <w:t>Option 6.</w:t>
      </w:r>
    </w:p>
    <w:p w14:paraId="0AECA904" w14:textId="219DF195" w:rsidR="005833A5" w:rsidRDefault="005833A5" w:rsidP="00972F5E">
      <w:pPr>
        <w:pStyle w:val="Heading4"/>
      </w:pPr>
      <w:r>
        <w:t>Change in consumer understanding of audiolog</w:t>
      </w:r>
      <w:r w:rsidR="001504F2">
        <w:t>ists and audiometrists</w:t>
      </w:r>
    </w:p>
    <w:p w14:paraId="341CC676" w14:textId="7DD8D64C" w:rsidR="005833A5" w:rsidRDefault="005833A5" w:rsidP="005833A5">
      <w:pPr>
        <w:pStyle w:val="BodyText"/>
      </w:pPr>
      <w:r w:rsidRPr="00584875">
        <w:t xml:space="preserve">Protection of title for audiologists under </w:t>
      </w:r>
      <w:r w:rsidR="00367DD1">
        <w:t xml:space="preserve">State and Territory </w:t>
      </w:r>
      <w:r w:rsidRPr="00584875">
        <w:t>Law and a public register of registered practitioners is expected to raise consumer understanding of the qualifications of the person providing care</w:t>
      </w:r>
      <w:r w:rsidR="008F2826">
        <w:t>, and thereby</w:t>
      </w:r>
      <w:r w:rsidRPr="00584875">
        <w:t xml:space="preserve"> </w:t>
      </w:r>
      <w:r>
        <w:t xml:space="preserve">reduce </w:t>
      </w:r>
      <w:r w:rsidR="006E398F">
        <w:t>instances of</w:t>
      </w:r>
      <w:r>
        <w:t xml:space="preserve"> substandard care attributable to market information asymmetry occurring under the Status Quo.</w:t>
      </w:r>
    </w:p>
    <w:p w14:paraId="1A64B749" w14:textId="1E656DAB" w:rsidR="00367DD1" w:rsidRDefault="00367DD1" w:rsidP="005833A5">
      <w:pPr>
        <w:pStyle w:val="BodyText"/>
      </w:pPr>
      <w:r>
        <w:t xml:space="preserve">However, it is acknowledged that where only some jurisdictions elect to enact a Board, this </w:t>
      </w:r>
      <w:r w:rsidR="00122E04">
        <w:t xml:space="preserve">will </w:t>
      </w:r>
      <w:r w:rsidR="00340163">
        <w:t>leave</w:t>
      </w:r>
      <w:r>
        <w:t xml:space="preserve"> patients and families/carers who seek services in </w:t>
      </w:r>
      <w:r w:rsidR="00122E04">
        <w:t xml:space="preserve">other </w:t>
      </w:r>
      <w:r>
        <w:t>jurisdictions</w:t>
      </w:r>
      <w:r w:rsidR="00340163">
        <w:t xml:space="preserve"> vulnerable </w:t>
      </w:r>
      <w:r w:rsidR="001D6BCB">
        <w:t xml:space="preserve">to </w:t>
      </w:r>
      <w:r w:rsidR="00EB331D">
        <w:t>reduced understanding of the qualifications of the treating practitioner</w:t>
      </w:r>
      <w:r w:rsidR="00326C37">
        <w:t>.</w:t>
      </w:r>
    </w:p>
    <w:p w14:paraId="4EF665B2" w14:textId="198361DC" w:rsidR="005833A5" w:rsidRDefault="005833A5" w:rsidP="005833A5">
      <w:pPr>
        <w:pStyle w:val="Heading4"/>
      </w:pPr>
      <w:r>
        <w:t xml:space="preserve">Change in out-of-pocket costs associated with use of private practitioners without </w:t>
      </w:r>
      <w:r w:rsidR="00EB331D">
        <w:t xml:space="preserve">current clinical </w:t>
      </w:r>
      <w:r>
        <w:t>certification</w:t>
      </w:r>
    </w:p>
    <w:p w14:paraId="73413E72" w14:textId="7A5CE413" w:rsidR="00322864" w:rsidRDefault="005833A5" w:rsidP="00DB2823">
      <w:pPr>
        <w:pStyle w:val="BodyText"/>
      </w:pPr>
      <w:r>
        <w:t xml:space="preserve">Under </w:t>
      </w:r>
      <w:r w:rsidR="00007FD2">
        <w:t>Option 6</w:t>
      </w:r>
      <w:r>
        <w:t>, it</w:t>
      </w:r>
      <w:r w:rsidR="00322864" w:rsidRPr="00322864">
        <w:t xml:space="preserve"> is anticipated that the rules associated with claiming funding from major service delivery programs will be changed </w:t>
      </w:r>
      <w:r w:rsidR="00322864">
        <w:t>to require statutory registration with the relevant State and Territory Board</w:t>
      </w:r>
      <w:r w:rsidR="00322864" w:rsidRPr="00322864">
        <w:t>. Given that registration will be mandatory to practice</w:t>
      </w:r>
      <w:r w:rsidR="00FE4B6F">
        <w:t xml:space="preserve"> in jurisdictions that elect to enact a Board</w:t>
      </w:r>
      <w:r w:rsidR="00322864" w:rsidRPr="00322864">
        <w:t xml:space="preserve">, Option </w:t>
      </w:r>
      <w:r w:rsidR="00FE4B6F">
        <w:t>6</w:t>
      </w:r>
      <w:r w:rsidR="00322864" w:rsidRPr="00322864">
        <w:t xml:space="preserve"> is expected to reduce Status Quo out-of-pocket costs incurred by patients and families/carers associated with provision of services by private sector audiologists, as audiologists will be more likely to meet the regulatory requirements to claim funding. This cost impact is likely to be marginal, as stakeholder estimates suggest that only a small percentage of the profession is currently practicing in the private sector without current clinical certification</w:t>
      </w:r>
      <w:r w:rsidR="00215C8E">
        <w:t>.</w:t>
      </w:r>
    </w:p>
    <w:p w14:paraId="0B6392E9" w14:textId="77777777" w:rsidR="00B322FD" w:rsidRPr="000A4E62" w:rsidRDefault="00B322FD" w:rsidP="00B322FD">
      <w:pPr>
        <w:pStyle w:val="Heading4"/>
      </w:pPr>
      <w:r w:rsidRPr="000A4E62">
        <w:t xml:space="preserve">Change in </w:t>
      </w:r>
      <w:r w:rsidRPr="00B322FD">
        <w:t>audiologist</w:t>
      </w:r>
      <w:r w:rsidRPr="000A4E62">
        <w:t xml:space="preserve"> time costs associated with CPD</w:t>
      </w:r>
    </w:p>
    <w:p w14:paraId="0607B815" w14:textId="295B1661" w:rsidR="00B322FD" w:rsidRDefault="00B322FD" w:rsidP="00296E3F">
      <w:pPr>
        <w:pStyle w:val="BodyText"/>
      </w:pPr>
      <w:r>
        <w:t>Jurisdictional</w:t>
      </w:r>
      <w:r w:rsidRPr="004B761D">
        <w:t xml:space="preserve"> </w:t>
      </w:r>
      <w:r w:rsidR="00215C8E">
        <w:t>r</w:t>
      </w:r>
      <w:r w:rsidR="00791E1D">
        <w:t>egistration</w:t>
      </w:r>
      <w:r w:rsidRPr="004B761D">
        <w:t xml:space="preserve"> of audiologists allows </w:t>
      </w:r>
      <w:r w:rsidR="00347463">
        <w:t>S</w:t>
      </w:r>
      <w:r w:rsidRPr="004B761D">
        <w:t xml:space="preserve">tate </w:t>
      </w:r>
      <w:r>
        <w:t xml:space="preserve">and </w:t>
      </w:r>
      <w:r w:rsidR="00347463">
        <w:t>T</w:t>
      </w:r>
      <w:r>
        <w:t xml:space="preserve">erritory </w:t>
      </w:r>
      <w:r w:rsidRPr="004B761D">
        <w:t xml:space="preserve">Boards to determine </w:t>
      </w:r>
      <w:r>
        <w:t xml:space="preserve">annual practitioner </w:t>
      </w:r>
      <w:r w:rsidRPr="004B761D">
        <w:t xml:space="preserve">CPD requirements. It is </w:t>
      </w:r>
      <w:r>
        <w:t xml:space="preserve">assumed that the required CPD hours per registered practitioner under separate </w:t>
      </w:r>
      <w:r w:rsidR="00347463">
        <w:t>S</w:t>
      </w:r>
      <w:r>
        <w:t xml:space="preserve">tate and </w:t>
      </w:r>
      <w:r w:rsidR="00347463">
        <w:t>T</w:t>
      </w:r>
      <w:r>
        <w:t xml:space="preserve">erritory regulatory schemes is equivalent to the CPD hours required under </w:t>
      </w:r>
      <w:r w:rsidR="007E3C67">
        <w:t>Option 7</w:t>
      </w:r>
      <w:r>
        <w:t xml:space="preserve"> (25 hours). Using the assumptions outlined in Section </w:t>
      </w:r>
      <w:r>
        <w:fldChar w:fldCharType="begin"/>
      </w:r>
      <w:r>
        <w:instrText xml:space="preserve"> REF _Ref171151459 \r \h </w:instrText>
      </w:r>
      <w:r w:rsidR="00296E3F">
        <w:instrText xml:space="preserve"> \* MERGEFORMAT </w:instrText>
      </w:r>
      <w:r>
        <w:fldChar w:fldCharType="separate"/>
      </w:r>
      <w:r w:rsidR="00F32107">
        <w:t>8.2.3.4</w:t>
      </w:r>
      <w:r>
        <w:fldChar w:fldCharType="end"/>
      </w:r>
      <w:r>
        <w:t xml:space="preserve">, it is estimated that the incremental time costs associated with CPD hours under </w:t>
      </w:r>
      <w:r w:rsidR="007E3C67">
        <w:t>Option 6</w:t>
      </w:r>
      <w:r>
        <w:t xml:space="preserve"> equates to an annualised ten-year FY25 NPV cost of $</w:t>
      </w:r>
      <w:r w:rsidR="00272C6F">
        <w:t>87</w:t>
      </w:r>
      <w:r w:rsidR="00782D32">
        <w:t xml:space="preserve">1,739 </w:t>
      </w:r>
      <w:r>
        <w:t>across the profession.</w:t>
      </w:r>
      <w:r w:rsidR="00786073">
        <w:t xml:space="preserve"> This cost would be born</w:t>
      </w:r>
      <w:r w:rsidR="00A047B3">
        <w:t>e</w:t>
      </w:r>
      <w:r w:rsidR="00786073">
        <w:t xml:space="preserve"> by </w:t>
      </w:r>
      <w:r w:rsidR="00583C54">
        <w:t>employer</w:t>
      </w:r>
      <w:r w:rsidR="00A047B3">
        <w:t>s</w:t>
      </w:r>
      <w:r w:rsidR="00786073">
        <w:t xml:space="preserve"> </w:t>
      </w:r>
      <w:r w:rsidR="00583C54">
        <w:t>assuming</w:t>
      </w:r>
      <w:r w:rsidR="00786073">
        <w:t xml:space="preserve"> </w:t>
      </w:r>
      <w:r w:rsidR="00583C54">
        <w:t xml:space="preserve">CPD is </w:t>
      </w:r>
      <w:r w:rsidR="00A047B3">
        <w:t>completed</w:t>
      </w:r>
      <w:r w:rsidR="00737399">
        <w:t xml:space="preserve"> during work hours.</w:t>
      </w:r>
    </w:p>
    <w:p w14:paraId="712DC362" w14:textId="066F6294" w:rsidR="00B322FD" w:rsidRDefault="008525CF" w:rsidP="00296E3F">
      <w:pPr>
        <w:pStyle w:val="Caption"/>
      </w:pPr>
      <w:r>
        <w:t xml:space="preserve">Table </w:t>
      </w:r>
      <w:fldSimple w:instr=" STYLEREF 1 \s ">
        <w:r w:rsidR="00F32107">
          <w:rPr>
            <w:noProof/>
          </w:rPr>
          <w:t>8</w:t>
        </w:r>
      </w:fldSimple>
      <w:r w:rsidR="008944FB">
        <w:t>.</w:t>
      </w:r>
      <w:fldSimple w:instr=" SEQ Table \* ARABIC \s 1 ">
        <w:r w:rsidR="00F32107">
          <w:rPr>
            <w:noProof/>
          </w:rPr>
          <w:t>21</w:t>
        </w:r>
      </w:fldSimple>
      <w:r>
        <w:t xml:space="preserve">. </w:t>
      </w:r>
      <w:r w:rsidR="00B322FD">
        <w:t xml:space="preserve">Ten-year NPV of increase in CPD time costs to audiologists under </w:t>
      </w:r>
      <w:r w:rsidR="003D22C3">
        <w:t>Option 6</w:t>
      </w:r>
    </w:p>
    <w:tbl>
      <w:tblPr>
        <w:tblStyle w:val="BodyTable"/>
        <w:tblW w:w="0" w:type="auto"/>
        <w:tblLook w:val="04A0" w:firstRow="1" w:lastRow="0" w:firstColumn="1" w:lastColumn="0" w:noHBand="0" w:noVBand="1"/>
      </w:tblPr>
      <w:tblGrid>
        <w:gridCol w:w="1677"/>
        <w:gridCol w:w="1898"/>
        <w:gridCol w:w="1844"/>
        <w:gridCol w:w="1830"/>
        <w:gridCol w:w="1595"/>
      </w:tblGrid>
      <w:tr w:rsidR="00177F5B" w14:paraId="2D7C8136" w14:textId="77777777" w:rsidTr="00177F5B">
        <w:trPr>
          <w:cnfStyle w:val="100000000000" w:firstRow="1" w:lastRow="0" w:firstColumn="0" w:lastColumn="0" w:oddVBand="0" w:evenVBand="0" w:oddHBand="0" w:evenHBand="0" w:firstRowFirstColumn="0" w:firstRowLastColumn="0" w:lastRowFirstColumn="0" w:lastRowLastColumn="0"/>
          <w:trHeight w:val="699"/>
        </w:trPr>
        <w:tc>
          <w:tcPr>
            <w:tcW w:w="1677" w:type="dxa"/>
          </w:tcPr>
          <w:p w14:paraId="03AD8AEE" w14:textId="77777777" w:rsidR="00177F5B" w:rsidRDefault="00177F5B" w:rsidP="00177F5B">
            <w:pPr>
              <w:spacing w:line="240" w:lineRule="auto"/>
            </w:pPr>
          </w:p>
        </w:tc>
        <w:tc>
          <w:tcPr>
            <w:tcW w:w="1898" w:type="dxa"/>
          </w:tcPr>
          <w:p w14:paraId="22B1BDEB"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2071FA59" w14:textId="47286D25"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4" w:type="dxa"/>
          </w:tcPr>
          <w:p w14:paraId="68424F30"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76232493" w14:textId="587D8AE2"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30" w:type="dxa"/>
          </w:tcPr>
          <w:p w14:paraId="75EA2E27" w14:textId="77777777" w:rsidR="00177F5B" w:rsidRDefault="00177F5B" w:rsidP="00177F5B">
            <w:pPr>
              <w:keepNext/>
              <w:spacing w:line="240" w:lineRule="auto"/>
              <w:ind w:left="113" w:right="113"/>
              <w:jc w:val="right"/>
              <w:rPr>
                <w:b/>
                <w:bCs/>
              </w:rPr>
            </w:pPr>
            <w:r>
              <w:rPr>
                <w:b/>
                <w:bCs/>
              </w:rPr>
              <w:t>Total NPV cost over ten-year period</w:t>
            </w:r>
          </w:p>
          <w:p w14:paraId="389460BF" w14:textId="5B33251B"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5" w:type="dxa"/>
          </w:tcPr>
          <w:p w14:paraId="599024A3"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37E37E99" w14:textId="16239261"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B322FD" w14:paraId="7ACA3E9D" w14:textId="77777777" w:rsidTr="00177F5B">
        <w:trPr>
          <w:trHeight w:val="232"/>
        </w:trPr>
        <w:tc>
          <w:tcPr>
            <w:tcW w:w="1677" w:type="dxa"/>
          </w:tcPr>
          <w:p w14:paraId="1C75AEFD" w14:textId="77777777" w:rsidR="00B322FD" w:rsidRDefault="00B322FD">
            <w:pPr>
              <w:spacing w:line="240" w:lineRule="auto"/>
            </w:pPr>
            <w:r>
              <w:t>FY25 NPV cost</w:t>
            </w:r>
          </w:p>
        </w:tc>
        <w:tc>
          <w:tcPr>
            <w:tcW w:w="1898" w:type="dxa"/>
          </w:tcPr>
          <w:p w14:paraId="69C6E67E" w14:textId="71112160" w:rsidR="00B322FD" w:rsidRPr="009E67F2" w:rsidRDefault="00272C6F">
            <w:pPr>
              <w:spacing w:line="240" w:lineRule="auto"/>
              <w:ind w:left="113" w:right="113"/>
              <w:jc w:val="right"/>
            </w:pPr>
            <w:r w:rsidRPr="00387182">
              <w:t xml:space="preserve"> $-   </w:t>
            </w:r>
          </w:p>
        </w:tc>
        <w:tc>
          <w:tcPr>
            <w:tcW w:w="1844" w:type="dxa"/>
          </w:tcPr>
          <w:p w14:paraId="0E854DA9" w14:textId="393A4687" w:rsidR="00B322FD" w:rsidRPr="009E67F2" w:rsidRDefault="00272C6F">
            <w:pPr>
              <w:spacing w:line="240" w:lineRule="auto"/>
              <w:ind w:left="113" w:right="113"/>
              <w:jc w:val="right"/>
            </w:pPr>
            <w:r w:rsidRPr="00387182">
              <w:t xml:space="preserve"> $8,717,389 </w:t>
            </w:r>
          </w:p>
        </w:tc>
        <w:tc>
          <w:tcPr>
            <w:tcW w:w="1830" w:type="dxa"/>
          </w:tcPr>
          <w:p w14:paraId="2B0116BA" w14:textId="0BB07D31" w:rsidR="00B322FD" w:rsidRPr="009E67F2" w:rsidRDefault="00272C6F">
            <w:pPr>
              <w:spacing w:line="240" w:lineRule="auto"/>
              <w:ind w:left="113" w:right="113"/>
              <w:jc w:val="right"/>
            </w:pPr>
            <w:r w:rsidRPr="00387182">
              <w:t xml:space="preserve"> $8,717,389 </w:t>
            </w:r>
          </w:p>
        </w:tc>
        <w:tc>
          <w:tcPr>
            <w:tcW w:w="1595" w:type="dxa"/>
          </w:tcPr>
          <w:p w14:paraId="63D1983D" w14:textId="0CBF739B" w:rsidR="00B322FD" w:rsidRPr="009E67F2" w:rsidRDefault="00272C6F">
            <w:pPr>
              <w:spacing w:line="240" w:lineRule="auto"/>
              <w:ind w:left="113" w:right="113"/>
              <w:jc w:val="right"/>
            </w:pPr>
            <w:r w:rsidRPr="00387182">
              <w:t xml:space="preserve"> $871,739 </w:t>
            </w:r>
          </w:p>
        </w:tc>
      </w:tr>
    </w:tbl>
    <w:p w14:paraId="3BD100CD" w14:textId="77777777" w:rsidR="00B322FD" w:rsidRDefault="00B322FD" w:rsidP="00B322FD"/>
    <w:p w14:paraId="5C188460" w14:textId="77777777" w:rsidR="00B322FD" w:rsidRPr="000A4E62" w:rsidRDefault="00B322FD" w:rsidP="00296E3F">
      <w:pPr>
        <w:pStyle w:val="Heading4"/>
      </w:pPr>
      <w:r w:rsidRPr="009C6587">
        <w:t>Change in eligibility assessment time costs for public-sector employers</w:t>
      </w:r>
    </w:p>
    <w:p w14:paraId="339B30CA" w14:textId="29233B6B" w:rsidR="00B322FD" w:rsidRDefault="00B322FD" w:rsidP="00296E3F">
      <w:pPr>
        <w:pStyle w:val="BodyText"/>
      </w:pPr>
      <w:r>
        <w:t xml:space="preserve">In line with </w:t>
      </w:r>
      <w:r w:rsidR="00CB07D4">
        <w:t>j</w:t>
      </w:r>
      <w:r w:rsidR="00A2137D">
        <w:t xml:space="preserve">urisdictional </w:t>
      </w:r>
      <w:r w:rsidR="00CB07D4">
        <w:t>r</w:t>
      </w:r>
      <w:r w:rsidR="00A2137D">
        <w:t>egistration</w:t>
      </w:r>
      <w:r w:rsidR="00A92FC1">
        <w:t xml:space="preserve"> arrangements</w:t>
      </w:r>
      <w:r>
        <w:t xml:space="preserve"> in place prior to the establishment of the </w:t>
      </w:r>
      <w:r w:rsidR="00A92FC1">
        <w:t>National Scheme</w:t>
      </w:r>
      <w:r>
        <w:t xml:space="preserve">, it is expected that a public register of audiologists would be administered by individual Boards in each </w:t>
      </w:r>
      <w:r w:rsidR="007F156C">
        <w:t>S</w:t>
      </w:r>
      <w:r>
        <w:t xml:space="preserve">tate and </w:t>
      </w:r>
      <w:r w:rsidR="00446FE4">
        <w:t>T</w:t>
      </w:r>
      <w:r>
        <w:t xml:space="preserve">erritory. Similar to the </w:t>
      </w:r>
      <w:r w:rsidR="00AA6B85">
        <w:t>National Scheme</w:t>
      </w:r>
      <w:r>
        <w:t xml:space="preserve">, each </w:t>
      </w:r>
      <w:r w:rsidR="00446FE4">
        <w:t>S</w:t>
      </w:r>
      <w:r>
        <w:t xml:space="preserve">tate and </w:t>
      </w:r>
      <w:r w:rsidR="00446FE4">
        <w:t>T</w:t>
      </w:r>
      <w:r>
        <w:t xml:space="preserve">erritory Board would assume responsibility for assessing suitability to practice against standards and requirements. Once determined suitable for registration, the audiologist’s name would be added to a register available online. It is anticipated that there would be streamlined registration checking process for employers who wish to undertake annual checks on large numbers of employees. This function is expected to eliminate the current PPB eligibility checking time costs for public sector hiring managers. Given no Hospital and Health Service/Local Health District operates across jurisdictional boundaries, public sector hiring managers would only need to check the public register within the state of employment. </w:t>
      </w:r>
    </w:p>
    <w:p w14:paraId="674F7638" w14:textId="28456E5A" w:rsidR="00F53573" w:rsidRDefault="00B322FD" w:rsidP="00F53573">
      <w:pPr>
        <w:pStyle w:val="BodyText"/>
      </w:pPr>
      <w:r>
        <w:t xml:space="preserve">It is assumed that this same function would be deployed under individual Boards in each </w:t>
      </w:r>
      <w:r w:rsidR="00446FE4">
        <w:t>S</w:t>
      </w:r>
      <w:r>
        <w:t xml:space="preserve">tate and </w:t>
      </w:r>
      <w:r w:rsidR="00446FE4">
        <w:t>T</w:t>
      </w:r>
      <w:r>
        <w:t xml:space="preserve">erritory, and thus the avoided PPB eligibility checking time costs are equivalent to the time costs avoided under </w:t>
      </w:r>
      <w:r w:rsidR="009D65B6">
        <w:t>National Registration</w:t>
      </w:r>
      <w:r>
        <w:t xml:space="preserve">. It is thus estimated that the avoided annualised ten-year FY25 NPV </w:t>
      </w:r>
      <w:r w:rsidR="000C1BA5">
        <w:t xml:space="preserve">cost </w:t>
      </w:r>
      <w:r>
        <w:t xml:space="preserve">of employee eligibility assessment time costs associated with </w:t>
      </w:r>
      <w:r w:rsidR="008A3D51">
        <w:t>Option 6</w:t>
      </w:r>
      <w:r>
        <w:t xml:space="preserve"> is approximately </w:t>
      </w:r>
      <w:r w:rsidRPr="0003539F">
        <w:t>$</w:t>
      </w:r>
      <w:r w:rsidR="00A873D7" w:rsidRPr="00A873D7">
        <w:t>14,267</w:t>
      </w:r>
      <w:r>
        <w:t xml:space="preserve">. </w:t>
      </w:r>
      <w:r w:rsidR="00F53573">
        <w:t>These avoided costs accrue to public sector employers.</w:t>
      </w:r>
    </w:p>
    <w:p w14:paraId="47745173" w14:textId="5E9777C1" w:rsidR="00B322FD" w:rsidRDefault="00124066" w:rsidP="00296E3F">
      <w:pPr>
        <w:pStyle w:val="Caption"/>
      </w:pPr>
      <w:r>
        <w:t xml:space="preserve">Table </w:t>
      </w:r>
      <w:fldSimple w:instr=" STYLEREF 1 \s ">
        <w:r w:rsidR="00F32107">
          <w:rPr>
            <w:noProof/>
          </w:rPr>
          <w:t>8</w:t>
        </w:r>
      </w:fldSimple>
      <w:r w:rsidR="008944FB">
        <w:t>.</w:t>
      </w:r>
      <w:fldSimple w:instr=" SEQ Table \* ARABIC \s 1 ">
        <w:r w:rsidR="00F32107">
          <w:rPr>
            <w:noProof/>
          </w:rPr>
          <w:t>22</w:t>
        </w:r>
      </w:fldSimple>
      <w:r>
        <w:t>.</w:t>
      </w:r>
      <w:r w:rsidR="00296E3F">
        <w:t xml:space="preserve"> </w:t>
      </w:r>
      <w:r w:rsidR="00B322FD">
        <w:t xml:space="preserve">Ten-year NPV of reduced public sector employer eligibility checking time costs under </w:t>
      </w:r>
      <w:r w:rsidR="008A3D51">
        <w:t>Option 6</w:t>
      </w:r>
    </w:p>
    <w:tbl>
      <w:tblPr>
        <w:tblStyle w:val="BodyTable"/>
        <w:tblW w:w="0" w:type="auto"/>
        <w:tblLook w:val="04A0" w:firstRow="1" w:lastRow="0" w:firstColumn="1" w:lastColumn="0" w:noHBand="0" w:noVBand="1"/>
      </w:tblPr>
      <w:tblGrid>
        <w:gridCol w:w="1679"/>
        <w:gridCol w:w="1899"/>
        <w:gridCol w:w="1845"/>
        <w:gridCol w:w="1825"/>
        <w:gridCol w:w="1596"/>
      </w:tblGrid>
      <w:tr w:rsidR="00177F5B" w14:paraId="0276C9E7" w14:textId="77777777" w:rsidTr="00177F5B">
        <w:trPr>
          <w:cnfStyle w:val="100000000000" w:firstRow="1" w:lastRow="0" w:firstColumn="0" w:lastColumn="0" w:oddVBand="0" w:evenVBand="0" w:oddHBand="0" w:evenHBand="0" w:firstRowFirstColumn="0" w:firstRowLastColumn="0" w:lastRowFirstColumn="0" w:lastRowLastColumn="0"/>
          <w:trHeight w:val="699"/>
        </w:trPr>
        <w:tc>
          <w:tcPr>
            <w:tcW w:w="1679" w:type="dxa"/>
          </w:tcPr>
          <w:p w14:paraId="54657760" w14:textId="77777777" w:rsidR="00177F5B" w:rsidRDefault="00177F5B" w:rsidP="00177F5B">
            <w:pPr>
              <w:spacing w:line="240" w:lineRule="auto"/>
            </w:pPr>
          </w:p>
        </w:tc>
        <w:tc>
          <w:tcPr>
            <w:tcW w:w="1899" w:type="dxa"/>
          </w:tcPr>
          <w:p w14:paraId="424CC778"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7796B553" w14:textId="6E66144F"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5" w:type="dxa"/>
          </w:tcPr>
          <w:p w14:paraId="2FD85443"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6F43527D" w14:textId="374E7A59"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25" w:type="dxa"/>
          </w:tcPr>
          <w:p w14:paraId="4D7D83D5" w14:textId="77777777" w:rsidR="00177F5B" w:rsidRDefault="00177F5B" w:rsidP="00177F5B">
            <w:pPr>
              <w:keepNext/>
              <w:spacing w:line="240" w:lineRule="auto"/>
              <w:ind w:left="113" w:right="113"/>
              <w:jc w:val="right"/>
              <w:rPr>
                <w:b/>
                <w:bCs/>
              </w:rPr>
            </w:pPr>
            <w:r>
              <w:rPr>
                <w:b/>
                <w:bCs/>
              </w:rPr>
              <w:t>Total NPV cost over ten-year period</w:t>
            </w:r>
          </w:p>
          <w:p w14:paraId="665A463B" w14:textId="66BF62BD"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6" w:type="dxa"/>
          </w:tcPr>
          <w:p w14:paraId="258C179E"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6B6AFCF2" w14:textId="0A79BF87"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B322FD" w14:paraId="06E59C9C" w14:textId="77777777" w:rsidTr="00177F5B">
        <w:trPr>
          <w:trHeight w:val="232"/>
        </w:trPr>
        <w:tc>
          <w:tcPr>
            <w:tcW w:w="1679" w:type="dxa"/>
          </w:tcPr>
          <w:p w14:paraId="222C4B4E" w14:textId="77777777" w:rsidR="00B322FD" w:rsidRDefault="00B322FD">
            <w:pPr>
              <w:spacing w:line="240" w:lineRule="auto"/>
            </w:pPr>
            <w:r>
              <w:t>FY25 NPV cost</w:t>
            </w:r>
          </w:p>
        </w:tc>
        <w:tc>
          <w:tcPr>
            <w:tcW w:w="1899" w:type="dxa"/>
          </w:tcPr>
          <w:p w14:paraId="1851C582" w14:textId="37F8000F" w:rsidR="00B322FD" w:rsidRPr="009E67F2" w:rsidRDefault="005A0736">
            <w:pPr>
              <w:spacing w:line="240" w:lineRule="auto"/>
              <w:ind w:left="113" w:right="113"/>
              <w:jc w:val="right"/>
            </w:pPr>
            <w:r w:rsidRPr="00C17642">
              <w:t xml:space="preserve"> $-   </w:t>
            </w:r>
          </w:p>
        </w:tc>
        <w:tc>
          <w:tcPr>
            <w:tcW w:w="1845" w:type="dxa"/>
          </w:tcPr>
          <w:p w14:paraId="1412D25D" w14:textId="64070665" w:rsidR="00B322FD" w:rsidRPr="009E67F2" w:rsidRDefault="005A0736">
            <w:pPr>
              <w:spacing w:line="240" w:lineRule="auto"/>
              <w:ind w:left="113" w:right="113"/>
              <w:jc w:val="right"/>
            </w:pPr>
            <w:r w:rsidRPr="00C17642">
              <w:t xml:space="preserve">-$142,671 </w:t>
            </w:r>
          </w:p>
        </w:tc>
        <w:tc>
          <w:tcPr>
            <w:tcW w:w="1825" w:type="dxa"/>
          </w:tcPr>
          <w:p w14:paraId="311CEDDD" w14:textId="31AFBDDF" w:rsidR="00B322FD" w:rsidRPr="009E67F2" w:rsidRDefault="005A0736">
            <w:pPr>
              <w:spacing w:line="240" w:lineRule="auto"/>
              <w:ind w:left="113" w:right="113"/>
              <w:jc w:val="right"/>
            </w:pPr>
            <w:r w:rsidRPr="00C17642">
              <w:t xml:space="preserve">-$142,671 </w:t>
            </w:r>
          </w:p>
        </w:tc>
        <w:tc>
          <w:tcPr>
            <w:tcW w:w="1596" w:type="dxa"/>
          </w:tcPr>
          <w:p w14:paraId="3DDDF3FA" w14:textId="75D1BB4E" w:rsidR="00B322FD" w:rsidRPr="009E67F2" w:rsidRDefault="005A0736">
            <w:pPr>
              <w:spacing w:line="240" w:lineRule="auto"/>
              <w:ind w:left="113" w:right="113"/>
              <w:jc w:val="right"/>
            </w:pPr>
            <w:r w:rsidRPr="00C17642">
              <w:t xml:space="preserve">-$14,267 </w:t>
            </w:r>
          </w:p>
        </w:tc>
      </w:tr>
    </w:tbl>
    <w:p w14:paraId="31B5B788" w14:textId="77777777" w:rsidR="00B322FD" w:rsidRDefault="00B322FD" w:rsidP="00B322FD"/>
    <w:p w14:paraId="234EB25A" w14:textId="77777777" w:rsidR="00B322FD" w:rsidRPr="000A4E62" w:rsidRDefault="00B322FD" w:rsidP="00C90EF3">
      <w:pPr>
        <w:pStyle w:val="Heading4"/>
      </w:pPr>
      <w:r w:rsidRPr="000A4E62">
        <w:t xml:space="preserve">Change in </w:t>
      </w:r>
      <w:r w:rsidRPr="00C90EF3">
        <w:t>availability</w:t>
      </w:r>
      <w:r w:rsidRPr="000A4E62">
        <w:t xml:space="preserve"> of data</w:t>
      </w:r>
      <w:r w:rsidRPr="00976298">
        <w:t xml:space="preserve"> about the profession</w:t>
      </w:r>
    </w:p>
    <w:p w14:paraId="1D1CE749" w14:textId="5CF845D0" w:rsidR="00B322FD" w:rsidRDefault="00B322FD" w:rsidP="00C90EF3">
      <w:pPr>
        <w:pStyle w:val="BodyText"/>
      </w:pPr>
      <w:r>
        <w:t xml:space="preserve">Jurisdictional </w:t>
      </w:r>
      <w:r w:rsidR="003B7CF3">
        <w:t>r</w:t>
      </w:r>
      <w:r w:rsidR="00791E1D">
        <w:t>egistration</w:t>
      </w:r>
      <w:r>
        <w:t xml:space="preserve"> of </w:t>
      </w:r>
      <w:r w:rsidRPr="004B761D">
        <w:t xml:space="preserve">audiologists </w:t>
      </w:r>
      <w:r>
        <w:t xml:space="preserve">with separate Boards in each </w:t>
      </w:r>
      <w:r w:rsidR="00446FE4">
        <w:t>S</w:t>
      </w:r>
      <w:r>
        <w:t xml:space="preserve">tate and </w:t>
      </w:r>
      <w:r w:rsidR="00446FE4">
        <w:t>T</w:t>
      </w:r>
      <w:r>
        <w:t xml:space="preserve">erritory is expected to increase availability of data about the profession relative to the </w:t>
      </w:r>
      <w:r w:rsidR="00A80F45">
        <w:t>Status Quo</w:t>
      </w:r>
      <w:r>
        <w:t xml:space="preserve">, including statistics on workforce and safety. However, unlike the availability of national data under </w:t>
      </w:r>
      <w:r w:rsidR="00F75B4C">
        <w:t>Option 7</w:t>
      </w:r>
      <w:r>
        <w:t>, this data would only be available at the jurisdictional level and the ability to aggregate data at a national level is contingent on the extent to which the data is collected, reported and published in a uniform manner across jurisdictions. Further, the estimated 4% of practitioners operating in multiple jurisdictions may compromise the validity of aggregated statistics.</w:t>
      </w:r>
      <w:r>
        <w:rPr>
          <w:rStyle w:val="FootnoteReference"/>
        </w:rPr>
        <w:footnoteReference w:id="273"/>
      </w:r>
      <w:r>
        <w:t xml:space="preserve"> In addition, without powers for mandatory notifications and notifier protections, relative to </w:t>
      </w:r>
      <w:r w:rsidR="00C15552">
        <w:t>Option 7</w:t>
      </w:r>
      <w:r>
        <w:t xml:space="preserve">, the complaints and sanctions statistics made available by individual </w:t>
      </w:r>
      <w:r w:rsidR="00446FE4">
        <w:t>S</w:t>
      </w:r>
      <w:r>
        <w:t xml:space="preserve">tate and </w:t>
      </w:r>
      <w:r w:rsidR="00446FE4">
        <w:t>T</w:t>
      </w:r>
      <w:r>
        <w:t>erritory Boards is less likely to provide an accurate reflection of the level of harm occurring across the profession.</w:t>
      </w:r>
    </w:p>
    <w:p w14:paraId="78E1A505" w14:textId="77777777" w:rsidR="00B322FD" w:rsidRDefault="00B322FD" w:rsidP="00C90EF3">
      <w:pPr>
        <w:pStyle w:val="Heading4"/>
      </w:pPr>
      <w:r w:rsidRPr="0093641B">
        <w:t xml:space="preserve">Change in </w:t>
      </w:r>
      <w:r w:rsidRPr="00C90EF3">
        <w:t>mandatory</w:t>
      </w:r>
      <w:r w:rsidRPr="0093641B">
        <w:t xml:space="preserve"> fees </w:t>
      </w:r>
      <w:r w:rsidRPr="00C26ED9">
        <w:t>(i.e., registration)</w:t>
      </w:r>
    </w:p>
    <w:p w14:paraId="0384B84A" w14:textId="40E35F39" w:rsidR="00B322FD" w:rsidRDefault="00B322FD" w:rsidP="00C90EF3">
      <w:pPr>
        <w:pStyle w:val="BodyText"/>
      </w:pPr>
      <w:r>
        <w:t xml:space="preserve">Similar to </w:t>
      </w:r>
      <w:r w:rsidR="00C15552">
        <w:t>Option 7</w:t>
      </w:r>
      <w:r>
        <w:t xml:space="preserve">, the administrative costs associated with </w:t>
      </w:r>
      <w:r w:rsidR="009D65B6">
        <w:t>Jurisdictional Registration</w:t>
      </w:r>
      <w:r>
        <w:t xml:space="preserve"> of the audiology profession under separate </w:t>
      </w:r>
      <w:r w:rsidR="00D55509">
        <w:t>State and Territory</w:t>
      </w:r>
      <w:r>
        <w:t xml:space="preserve"> Boards would be funded on a cost-recovery basis through fees paid by individual practitioners. This includes an initial application fee as well as the annual registration/renewal fee. These fees cover the cost of the functions of the Board as well as administrative costs such as assessing applications, undertaking investigations of notifications, and prosecution of serious cases of misconduct. </w:t>
      </w:r>
    </w:p>
    <w:p w14:paraId="159EB1F2" w14:textId="001D917B" w:rsidR="00B322FD" w:rsidRPr="00B25637" w:rsidRDefault="00B322FD" w:rsidP="00C90EF3">
      <w:pPr>
        <w:pStyle w:val="BodyText"/>
      </w:pPr>
      <w:r>
        <w:t xml:space="preserve">It is assumed that the registration fees under separately constituted </w:t>
      </w:r>
      <w:r w:rsidR="00446FE4">
        <w:t>S</w:t>
      </w:r>
      <w:r>
        <w:t xml:space="preserve">tate and </w:t>
      </w:r>
      <w:r w:rsidR="00446FE4">
        <w:t>T</w:t>
      </w:r>
      <w:r>
        <w:t xml:space="preserve">erritory-based regimes would be more costly than a national scheme because economies of scale and coordinated resourcing are likely to be diminished. </w:t>
      </w:r>
      <w:r w:rsidR="007001F0">
        <w:t>It</w:t>
      </w:r>
      <w:r>
        <w:t xml:space="preserve"> is expected that each </w:t>
      </w:r>
      <w:r w:rsidR="00D55509">
        <w:t>State and Territory</w:t>
      </w:r>
      <w:r>
        <w:t xml:space="preserve"> Board would have a similar range of powers and functions as a National Board under </w:t>
      </w:r>
      <w:r w:rsidR="006A7D07">
        <w:t>the National Scheme</w:t>
      </w:r>
      <w:r>
        <w:t xml:space="preserve">. The nature of these powers and functions is assumed to be the same across all </w:t>
      </w:r>
      <w:r w:rsidR="00446FE4">
        <w:t>S</w:t>
      </w:r>
      <w:r>
        <w:t xml:space="preserve">tate and </w:t>
      </w:r>
      <w:r w:rsidR="00446FE4">
        <w:t>T</w:t>
      </w:r>
      <w:r>
        <w:t xml:space="preserve">erritory Boards, regardless of the number of practitioners in each jurisdiction. The operating cost of each separate </w:t>
      </w:r>
      <w:r w:rsidR="00446FE4">
        <w:t>S</w:t>
      </w:r>
      <w:r>
        <w:t xml:space="preserve">tate and </w:t>
      </w:r>
      <w:r w:rsidR="00446FE4">
        <w:t>T</w:t>
      </w:r>
      <w:r>
        <w:t xml:space="preserve">erritory Board is thus assumed to be fixed and therefore equal across all jurisdictions. To this end, to recover the operating cost of each </w:t>
      </w:r>
      <w:r w:rsidR="00446FE4">
        <w:t>S</w:t>
      </w:r>
      <w:r>
        <w:t xml:space="preserve">tate and </w:t>
      </w:r>
      <w:r w:rsidR="00446FE4">
        <w:t>T</w:t>
      </w:r>
      <w:r>
        <w:t>erritory Board, the initial application fee and the annual registration/renewal fee will vary across jurisdictions in line with the number of practitioners.</w:t>
      </w:r>
    </w:p>
    <w:p w14:paraId="041D5A33" w14:textId="77777777" w:rsidR="00B322FD" w:rsidRPr="00CF59AD" w:rsidRDefault="00B322FD" w:rsidP="00C90EF3">
      <w:pPr>
        <w:pStyle w:val="BodyText"/>
        <w:rPr>
          <w:u w:val="single"/>
        </w:rPr>
      </w:pPr>
      <w:r w:rsidRPr="00CF59AD">
        <w:rPr>
          <w:u w:val="single"/>
        </w:rPr>
        <w:t>Registration/renewal fees</w:t>
      </w:r>
    </w:p>
    <w:p w14:paraId="7519FC5D" w14:textId="0FE74559" w:rsidR="00B322FD" w:rsidRDefault="00B322FD" w:rsidP="00C90EF3">
      <w:pPr>
        <w:pStyle w:val="BodyText"/>
      </w:pPr>
      <w:r>
        <w:t xml:space="preserve">As outlined in Section </w:t>
      </w:r>
      <w:r>
        <w:fldChar w:fldCharType="begin"/>
      </w:r>
      <w:r>
        <w:instrText xml:space="preserve"> REF _Ref171071508 \r \h </w:instrText>
      </w:r>
      <w:r w:rsidR="00C90EF3">
        <w:instrText xml:space="preserve"> \* MERGEFORMAT </w:instrText>
      </w:r>
      <w:r>
        <w:fldChar w:fldCharType="separate"/>
      </w:r>
      <w:r w:rsidR="00F32107">
        <w:t>8.2.3.9</w:t>
      </w:r>
      <w:r>
        <w:fldChar w:fldCharType="end"/>
      </w:r>
      <w:r>
        <w:t xml:space="preserve"> for </w:t>
      </w:r>
      <w:r w:rsidR="006600AC">
        <w:t>Option 7</w:t>
      </w:r>
      <w:r>
        <w:t xml:space="preserve">, it is assumed that </w:t>
      </w:r>
      <w:r w:rsidR="00A054BB">
        <w:t xml:space="preserve">national registration </w:t>
      </w:r>
      <w:r>
        <w:t>fees would be approximately $</w:t>
      </w:r>
      <w:r w:rsidR="00A054BB">
        <w:t xml:space="preserve">625 </w:t>
      </w:r>
      <w:r>
        <w:t>per annum for practicing audiologists</w:t>
      </w:r>
      <w:r w:rsidR="006F1903">
        <w:t xml:space="preserve"> and $125 for audiologists holding non-practising registration</w:t>
      </w:r>
      <w:r>
        <w:t xml:space="preserve">. If statutory registration of the audiology profession under separate </w:t>
      </w:r>
      <w:r w:rsidR="00D55509">
        <w:t>State and Territory</w:t>
      </w:r>
      <w:r>
        <w:t xml:space="preserve"> regulatory schemes is established, it is assumed that registration fees would be </w:t>
      </w:r>
      <w:r w:rsidRPr="00522973">
        <w:t>approximately $</w:t>
      </w:r>
      <w:r w:rsidR="006F1903">
        <w:t>750</w:t>
      </w:r>
      <w:r w:rsidR="006F1903" w:rsidRPr="00522973">
        <w:t xml:space="preserve"> </w:t>
      </w:r>
      <w:r w:rsidRPr="00522973">
        <w:t>per annum for practicing audiologists and $</w:t>
      </w:r>
      <w:r w:rsidR="00A160C7" w:rsidRPr="00522973">
        <w:t>1</w:t>
      </w:r>
      <w:r w:rsidR="00A160C7">
        <w:t>5</w:t>
      </w:r>
      <w:r w:rsidR="00A160C7" w:rsidRPr="00522973">
        <w:t xml:space="preserve">0 </w:t>
      </w:r>
      <w:r w:rsidRPr="00522973">
        <w:t>per annum for non-practicing audiologists to cove</w:t>
      </w:r>
      <w:r>
        <w:t xml:space="preserve">r the operating cost of eight separate Boards that provide a similar range of powers and functions for the same size of workforce. The 1.2 multiplier increase in costs relative to </w:t>
      </w:r>
      <w:r w:rsidR="009D65B6">
        <w:t>National Registration</w:t>
      </w:r>
      <w:r w:rsidR="00D47933">
        <w:t xml:space="preserve"> </w:t>
      </w:r>
      <w:r>
        <w:t xml:space="preserve">covers the cost of lost economies of scale associated with the administration of eight separate Boards for the same work. </w:t>
      </w:r>
    </w:p>
    <w:p w14:paraId="00F37194" w14:textId="0C77C91F" w:rsidR="00B322FD" w:rsidRDefault="00B322FD" w:rsidP="00C90EF3">
      <w:pPr>
        <w:pStyle w:val="BodyText"/>
      </w:pPr>
      <w:r>
        <w:t>As shown in</w:t>
      </w:r>
      <w:r w:rsidR="00124066">
        <w:t xml:space="preserve"> </w:t>
      </w:r>
      <w:r w:rsidR="00FD13D8">
        <w:fldChar w:fldCharType="begin"/>
      </w:r>
      <w:r w:rsidR="00FD13D8">
        <w:instrText xml:space="preserve"> REF _Ref172809662 \h </w:instrText>
      </w:r>
      <w:r w:rsidR="00FD13D8">
        <w:fldChar w:fldCharType="separate"/>
      </w:r>
      <w:r w:rsidR="00F32107">
        <w:t xml:space="preserve">Table </w:t>
      </w:r>
      <w:r w:rsidR="00F32107">
        <w:rPr>
          <w:noProof/>
        </w:rPr>
        <w:t>8</w:t>
      </w:r>
      <w:r w:rsidR="00F32107">
        <w:t>.</w:t>
      </w:r>
      <w:r w:rsidR="00F32107">
        <w:rPr>
          <w:noProof/>
        </w:rPr>
        <w:t>23</w:t>
      </w:r>
      <w:r w:rsidR="00FD13D8">
        <w:fldChar w:fldCharType="end"/>
      </w:r>
      <w:r>
        <w:t>, to recover the $</w:t>
      </w:r>
      <w:r w:rsidR="00E952F1">
        <w:t>3</w:t>
      </w:r>
      <w:r w:rsidR="00A57CDD">
        <w:t>94,340</w:t>
      </w:r>
      <w:r>
        <w:t xml:space="preserve"> Board cost, the registration/renewal fee will vary across jurisdictions in line with the number of practitioners. On this basis, </w:t>
      </w:r>
      <w:r w:rsidR="00CA5F87">
        <w:t>Option 6</w:t>
      </w:r>
      <w:r>
        <w:t xml:space="preserve"> may be considered unsustainable in some jurisdictions. It may also create labour market supply frictions, where some practitioners could seek to register in jurisdictions with lower registration fees.</w:t>
      </w:r>
      <w:r w:rsidR="004E7304">
        <w:t xml:space="preserve"> This is discussed further in Section </w:t>
      </w:r>
      <w:r w:rsidR="008A6D5D">
        <w:fldChar w:fldCharType="begin"/>
      </w:r>
      <w:r w:rsidR="008A6D5D">
        <w:instrText xml:space="preserve"> REF _Ref172728067 \r \h </w:instrText>
      </w:r>
      <w:r w:rsidR="008A6D5D">
        <w:fldChar w:fldCharType="separate"/>
      </w:r>
      <w:r w:rsidR="00F32107">
        <w:t>8.3.3.14</w:t>
      </w:r>
      <w:r w:rsidR="008A6D5D">
        <w:fldChar w:fldCharType="end"/>
      </w:r>
      <w:r w:rsidR="008A6D5D">
        <w:t>.</w:t>
      </w:r>
    </w:p>
    <w:p w14:paraId="1658DC90" w14:textId="0D0C0BEE" w:rsidR="00B322FD" w:rsidRDefault="00B322FD" w:rsidP="00C90EF3">
      <w:pPr>
        <w:pStyle w:val="BodyText"/>
      </w:pPr>
      <w:r w:rsidRPr="002A1A5D">
        <w:t xml:space="preserve">Audiologists who </w:t>
      </w:r>
      <w:r>
        <w:t xml:space="preserve">practice in more than one jurisdiction would be required to hold dual registration, estimated at 4% of the workforce based on the 2021 Hearing Health Workforce Audit. Facilitated by the </w:t>
      </w:r>
      <w:r w:rsidRPr="00240261">
        <w:rPr>
          <w:i/>
          <w:iCs/>
        </w:rPr>
        <w:t>Mutual Recognition Act 1992</w:t>
      </w:r>
      <w:r>
        <w:t xml:space="preserve">, it is assumed that </w:t>
      </w:r>
      <w:r w:rsidR="00D55509">
        <w:t>State and Territory</w:t>
      </w:r>
      <w:r>
        <w:t xml:space="preserve"> Boards would agree to a reduced annual registration fee of $200 per annum for a second registration for practitioners operating in two jurisdictions. </w:t>
      </w:r>
    </w:p>
    <w:p w14:paraId="6A1230B7" w14:textId="4D634EC1" w:rsidR="00B322FD" w:rsidRDefault="00B322FD" w:rsidP="00C90EF3">
      <w:pPr>
        <w:pStyle w:val="BodyText"/>
      </w:pPr>
      <w:r>
        <w:t xml:space="preserve">Using these assumptions, the ten-year annualised FY25 NPV cost of registration/renewal fees (for both annual registration/renewal fees and annual dual registration/renewal fees) is estimated at </w:t>
      </w:r>
      <w:r w:rsidRPr="002A3798">
        <w:t>$</w:t>
      </w:r>
      <w:r w:rsidRPr="003F5F88">
        <w:t>1,</w:t>
      </w:r>
      <w:r w:rsidR="00BC524E">
        <w:t>326,</w:t>
      </w:r>
      <w:r w:rsidR="009B5C37">
        <w:t xml:space="preserve">548 </w:t>
      </w:r>
      <w:r>
        <w:t xml:space="preserve">per annum across the profession. </w:t>
      </w:r>
    </w:p>
    <w:p w14:paraId="607D2462" w14:textId="6DA16202" w:rsidR="00B322FD" w:rsidRDefault="00A87150" w:rsidP="00B93319">
      <w:pPr>
        <w:pStyle w:val="Caption"/>
        <w:keepNext/>
      </w:pPr>
      <w:bookmarkStart w:id="284" w:name="_Ref172049400"/>
      <w:bookmarkStart w:id="285" w:name="_Ref172809662"/>
      <w:bookmarkStart w:id="286" w:name="_Ref171076135"/>
      <w:bookmarkStart w:id="287" w:name="_Ref172806146"/>
      <w:r>
        <w:t xml:space="preserve">Table </w:t>
      </w:r>
      <w:fldSimple w:instr=" STYLEREF 1 \s ">
        <w:r w:rsidR="00F32107">
          <w:rPr>
            <w:noProof/>
          </w:rPr>
          <w:t>8</w:t>
        </w:r>
      </w:fldSimple>
      <w:r w:rsidR="008944FB">
        <w:t>.</w:t>
      </w:r>
      <w:fldSimple w:instr=" SEQ Table \* ARABIC \s 1 ">
        <w:r w:rsidR="00F32107">
          <w:rPr>
            <w:noProof/>
          </w:rPr>
          <w:t>23</w:t>
        </w:r>
      </w:fldSimple>
      <w:bookmarkEnd w:id="284"/>
      <w:bookmarkEnd w:id="285"/>
      <w:r w:rsidR="00E36FED">
        <w:t>.</w:t>
      </w:r>
      <w:r w:rsidR="00C90EF3">
        <w:t xml:space="preserve"> </w:t>
      </w:r>
      <w:r w:rsidR="00B322FD">
        <w:t xml:space="preserve">Indicative estimates of registration fees to recover the ongoing operating costs of separate </w:t>
      </w:r>
      <w:r w:rsidR="00D55509">
        <w:t>State and Territory</w:t>
      </w:r>
      <w:r w:rsidR="00B322FD">
        <w:t xml:space="preserve"> </w:t>
      </w:r>
      <w:bookmarkEnd w:id="286"/>
      <w:r w:rsidR="00B322FD">
        <w:t>Boards</w:t>
      </w:r>
      <w:bookmarkEnd w:id="287"/>
    </w:p>
    <w:tbl>
      <w:tblPr>
        <w:tblStyle w:val="Deloittetable"/>
        <w:tblW w:w="0" w:type="auto"/>
        <w:tblLook w:val="04A0" w:firstRow="1" w:lastRow="0" w:firstColumn="1" w:lastColumn="0" w:noHBand="0" w:noVBand="1"/>
      </w:tblPr>
      <w:tblGrid>
        <w:gridCol w:w="1889"/>
        <w:gridCol w:w="1741"/>
        <w:gridCol w:w="1741"/>
        <w:gridCol w:w="1736"/>
        <w:gridCol w:w="1737"/>
      </w:tblGrid>
      <w:tr w:rsidR="00B322FD" w14:paraId="5E5DB226" w14:textId="77777777" w:rsidTr="00170D74">
        <w:trPr>
          <w:cnfStyle w:val="100000000000" w:firstRow="1" w:lastRow="0" w:firstColumn="0" w:lastColumn="0" w:oddVBand="0" w:evenVBand="0" w:oddHBand="0" w:evenHBand="0" w:firstRowFirstColumn="0" w:firstRowLastColumn="0" w:lastRowFirstColumn="0" w:lastRowLastColumn="0"/>
          <w:trHeight w:val="260"/>
        </w:trPr>
        <w:tc>
          <w:tcPr>
            <w:tcW w:w="1889" w:type="dxa"/>
            <w:tcBorders>
              <w:bottom w:val="single" w:sz="4" w:space="0" w:color="000000" w:themeColor="text1"/>
            </w:tcBorders>
          </w:tcPr>
          <w:p w14:paraId="3BE9AAA1" w14:textId="77777777" w:rsidR="00B322FD" w:rsidRPr="008A6D5D" w:rsidRDefault="00B322FD" w:rsidP="0077180B">
            <w:pPr>
              <w:keepNext/>
              <w:spacing w:line="240" w:lineRule="auto"/>
              <w:rPr>
                <w:rFonts w:ascii="Fira Sans" w:hAnsi="Fira Sans"/>
                <w:b/>
              </w:rPr>
            </w:pPr>
            <w:r w:rsidRPr="008A6D5D">
              <w:rPr>
                <w:rFonts w:ascii="Fira Sans" w:hAnsi="Fira Sans"/>
                <w:b/>
              </w:rPr>
              <w:t>State</w:t>
            </w:r>
          </w:p>
        </w:tc>
        <w:tc>
          <w:tcPr>
            <w:tcW w:w="1741" w:type="dxa"/>
            <w:tcBorders>
              <w:bottom w:val="single" w:sz="4" w:space="0" w:color="000000" w:themeColor="text1"/>
            </w:tcBorders>
          </w:tcPr>
          <w:p w14:paraId="0E43B2F7" w14:textId="7AF78D06" w:rsidR="00B322FD" w:rsidRPr="008A6D5D" w:rsidRDefault="00B322FD" w:rsidP="0077180B">
            <w:pPr>
              <w:keepNext/>
              <w:spacing w:line="240" w:lineRule="auto"/>
              <w:jc w:val="right"/>
              <w:rPr>
                <w:rFonts w:ascii="Fira Sans" w:hAnsi="Fira Sans"/>
                <w:b/>
              </w:rPr>
            </w:pPr>
            <w:r w:rsidRPr="008A6D5D">
              <w:rPr>
                <w:rFonts w:ascii="Fira Sans" w:hAnsi="Fira Sans"/>
                <w:b/>
              </w:rPr>
              <w:t>Practitioners seeking general registration in FY2</w:t>
            </w:r>
            <w:r w:rsidR="00170D74">
              <w:rPr>
                <w:rFonts w:ascii="Fira Sans" w:hAnsi="Fira Sans"/>
                <w:b/>
              </w:rPr>
              <w:t>9</w:t>
            </w:r>
          </w:p>
        </w:tc>
        <w:tc>
          <w:tcPr>
            <w:tcW w:w="1741" w:type="dxa"/>
            <w:tcBorders>
              <w:bottom w:val="single" w:sz="4" w:space="0" w:color="000000" w:themeColor="text1"/>
            </w:tcBorders>
          </w:tcPr>
          <w:p w14:paraId="5635645A" w14:textId="05EA2023" w:rsidR="00B322FD" w:rsidRPr="008A6D5D" w:rsidRDefault="00B322FD" w:rsidP="0077180B">
            <w:pPr>
              <w:keepNext/>
              <w:spacing w:line="240" w:lineRule="auto"/>
              <w:jc w:val="right"/>
              <w:rPr>
                <w:rFonts w:ascii="Fira Sans" w:hAnsi="Fira Sans"/>
                <w:b/>
              </w:rPr>
            </w:pPr>
            <w:r w:rsidRPr="008A6D5D">
              <w:rPr>
                <w:rFonts w:ascii="Fira Sans" w:hAnsi="Fira Sans"/>
                <w:b/>
              </w:rPr>
              <w:t>Practitioners seeking non-practicing registration in FY2</w:t>
            </w:r>
            <w:r w:rsidR="00170D74">
              <w:rPr>
                <w:rFonts w:ascii="Fira Sans" w:hAnsi="Fira Sans"/>
                <w:b/>
              </w:rPr>
              <w:t>9</w:t>
            </w:r>
          </w:p>
        </w:tc>
        <w:tc>
          <w:tcPr>
            <w:tcW w:w="1736" w:type="dxa"/>
            <w:tcBorders>
              <w:bottom w:val="single" w:sz="4" w:space="0" w:color="000000" w:themeColor="text1"/>
            </w:tcBorders>
          </w:tcPr>
          <w:p w14:paraId="5957BA7E" w14:textId="77777777" w:rsidR="00B322FD" w:rsidRPr="008A6D5D" w:rsidRDefault="00B322FD" w:rsidP="0077180B">
            <w:pPr>
              <w:keepNext/>
              <w:spacing w:line="240" w:lineRule="auto"/>
              <w:jc w:val="right"/>
              <w:rPr>
                <w:rFonts w:ascii="Fira Sans" w:hAnsi="Fira Sans"/>
                <w:b/>
              </w:rPr>
            </w:pPr>
            <w:r w:rsidRPr="008A6D5D">
              <w:rPr>
                <w:rFonts w:ascii="Fira Sans" w:hAnsi="Fira Sans"/>
                <w:b/>
              </w:rPr>
              <w:t>Indicative registration fees for cost recovery – general registration</w:t>
            </w:r>
          </w:p>
        </w:tc>
        <w:tc>
          <w:tcPr>
            <w:tcW w:w="1737" w:type="dxa"/>
            <w:tcBorders>
              <w:bottom w:val="single" w:sz="4" w:space="0" w:color="000000" w:themeColor="text1"/>
            </w:tcBorders>
          </w:tcPr>
          <w:p w14:paraId="159A5FE6" w14:textId="77777777" w:rsidR="00B322FD" w:rsidRPr="008A6D5D" w:rsidRDefault="00B322FD" w:rsidP="0077180B">
            <w:pPr>
              <w:keepNext/>
              <w:spacing w:line="240" w:lineRule="auto"/>
              <w:jc w:val="right"/>
              <w:rPr>
                <w:rFonts w:ascii="Fira Sans" w:hAnsi="Fira Sans"/>
                <w:b/>
              </w:rPr>
            </w:pPr>
            <w:r w:rsidRPr="008A6D5D">
              <w:rPr>
                <w:rFonts w:ascii="Fira Sans" w:hAnsi="Fira Sans"/>
                <w:b/>
              </w:rPr>
              <w:t>Indicative registration fees for cost recovery – non-practicing registration</w:t>
            </w:r>
          </w:p>
        </w:tc>
      </w:tr>
      <w:tr w:rsidR="00B322FD" w14:paraId="3BFCCF86" w14:textId="77777777" w:rsidTr="003653E4">
        <w:trPr>
          <w:trHeight w:val="260"/>
        </w:trPr>
        <w:tc>
          <w:tcPr>
            <w:tcW w:w="1889" w:type="dxa"/>
            <w:tcBorders>
              <w:top w:val="single" w:sz="4" w:space="0" w:color="000000" w:themeColor="text1"/>
              <w:bottom w:val="single" w:sz="4" w:space="0" w:color="auto"/>
            </w:tcBorders>
          </w:tcPr>
          <w:p w14:paraId="4B885377" w14:textId="77777777" w:rsidR="00B322FD" w:rsidRPr="008A6D5D" w:rsidRDefault="00B322FD" w:rsidP="0077180B">
            <w:pPr>
              <w:keepNext/>
              <w:spacing w:line="240" w:lineRule="auto"/>
              <w:rPr>
                <w:rFonts w:ascii="Fira Sans" w:hAnsi="Fira Sans"/>
              </w:rPr>
            </w:pPr>
            <w:r w:rsidRPr="008A6D5D">
              <w:rPr>
                <w:rFonts w:ascii="Fira Sans" w:hAnsi="Fira Sans"/>
              </w:rPr>
              <w:t>New South Wales</w:t>
            </w:r>
          </w:p>
        </w:tc>
        <w:tc>
          <w:tcPr>
            <w:tcW w:w="1741" w:type="dxa"/>
            <w:tcBorders>
              <w:top w:val="single" w:sz="4" w:space="0" w:color="000000" w:themeColor="text1"/>
              <w:left w:val="nil"/>
              <w:bottom w:val="single" w:sz="4" w:space="0" w:color="auto"/>
              <w:right w:val="nil"/>
            </w:tcBorders>
            <w:shd w:val="clear" w:color="auto" w:fill="auto"/>
          </w:tcPr>
          <w:p w14:paraId="47F6D924" w14:textId="01DF830F" w:rsidR="00B322FD" w:rsidRPr="008A6D5D" w:rsidRDefault="00B322FD" w:rsidP="0077180B">
            <w:pPr>
              <w:keepNext/>
              <w:spacing w:line="240" w:lineRule="auto"/>
              <w:jc w:val="right"/>
              <w:rPr>
                <w:rFonts w:ascii="Fira Sans" w:hAnsi="Fira Sans"/>
              </w:rPr>
            </w:pPr>
            <w:r w:rsidRPr="008A6D5D">
              <w:rPr>
                <w:rFonts w:ascii="Fira Sans" w:hAnsi="Fira Sans"/>
              </w:rPr>
              <w:t xml:space="preserve"> 1,</w:t>
            </w:r>
            <w:r w:rsidR="00CA3C11" w:rsidRPr="003653E4">
              <w:rPr>
                <w:rFonts w:ascii="Fira Sans" w:hAnsi="Fira Sans"/>
              </w:rPr>
              <w:t>146</w:t>
            </w:r>
            <w:r w:rsidRPr="008A6D5D">
              <w:rPr>
                <w:rFonts w:ascii="Fira Sans" w:hAnsi="Fira Sans"/>
              </w:rPr>
              <w:t xml:space="preserve"> </w:t>
            </w:r>
          </w:p>
        </w:tc>
        <w:tc>
          <w:tcPr>
            <w:tcW w:w="1741" w:type="dxa"/>
            <w:tcBorders>
              <w:top w:val="single" w:sz="4" w:space="0" w:color="000000" w:themeColor="text1"/>
              <w:left w:val="nil"/>
              <w:bottom w:val="single" w:sz="4" w:space="0" w:color="auto"/>
              <w:right w:val="nil"/>
            </w:tcBorders>
            <w:shd w:val="clear" w:color="auto" w:fill="auto"/>
          </w:tcPr>
          <w:p w14:paraId="63F51CE8" w14:textId="75D70A8E" w:rsidR="00B322FD" w:rsidRPr="008A6D5D" w:rsidRDefault="00CA3C11" w:rsidP="0077180B">
            <w:pPr>
              <w:keepNext/>
              <w:spacing w:line="240" w:lineRule="auto"/>
              <w:jc w:val="right"/>
              <w:rPr>
                <w:rFonts w:ascii="Fira Sans" w:hAnsi="Fira Sans"/>
              </w:rPr>
            </w:pPr>
            <w:r w:rsidRPr="003653E4">
              <w:rPr>
                <w:rFonts w:ascii="Fira Sans" w:hAnsi="Fira Sans"/>
              </w:rPr>
              <w:t xml:space="preserve"> 4</w:t>
            </w:r>
            <w:r>
              <w:rPr>
                <w:rFonts w:ascii="Fira Sans" w:hAnsi="Fira Sans"/>
              </w:rPr>
              <w:t>8</w:t>
            </w:r>
            <w:r w:rsidRPr="003653E4">
              <w:rPr>
                <w:rFonts w:ascii="Fira Sans" w:hAnsi="Fira Sans"/>
              </w:rPr>
              <w:t xml:space="preserve"> </w:t>
            </w:r>
          </w:p>
        </w:tc>
        <w:tc>
          <w:tcPr>
            <w:tcW w:w="1736" w:type="dxa"/>
            <w:tcBorders>
              <w:top w:val="single" w:sz="4" w:space="0" w:color="000000" w:themeColor="text1"/>
              <w:left w:val="nil"/>
              <w:bottom w:val="single" w:sz="4" w:space="0" w:color="auto"/>
              <w:right w:val="nil"/>
            </w:tcBorders>
            <w:shd w:val="clear" w:color="auto" w:fill="auto"/>
          </w:tcPr>
          <w:p w14:paraId="4D62E086" w14:textId="614BF46F"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344</w:t>
            </w:r>
            <w:r w:rsidRPr="008A6D5D">
              <w:rPr>
                <w:rFonts w:ascii="Fira Sans" w:hAnsi="Fira Sans"/>
              </w:rPr>
              <w:t xml:space="preserve"> </w:t>
            </w:r>
          </w:p>
        </w:tc>
        <w:tc>
          <w:tcPr>
            <w:tcW w:w="1737" w:type="dxa"/>
            <w:tcBorders>
              <w:top w:val="single" w:sz="4" w:space="0" w:color="000000" w:themeColor="text1"/>
              <w:left w:val="nil"/>
              <w:bottom w:val="single" w:sz="4" w:space="0" w:color="auto"/>
              <w:right w:val="nil"/>
            </w:tcBorders>
            <w:shd w:val="clear" w:color="auto" w:fill="auto"/>
          </w:tcPr>
          <w:p w14:paraId="654C5243" w14:textId="4A1CEAD1" w:rsidR="00B322FD" w:rsidRPr="008A6D5D" w:rsidRDefault="00CA3C11" w:rsidP="0077180B">
            <w:pPr>
              <w:keepNext/>
              <w:spacing w:line="240" w:lineRule="auto"/>
              <w:jc w:val="right"/>
              <w:rPr>
                <w:rFonts w:ascii="Fira Sans" w:hAnsi="Fira Sans"/>
              </w:rPr>
            </w:pPr>
            <w:r w:rsidRPr="00EE3AA4">
              <w:rPr>
                <w:rFonts w:ascii="Fira Sans" w:hAnsi="Fira Sans"/>
              </w:rPr>
              <w:t xml:space="preserve"> $69 </w:t>
            </w:r>
          </w:p>
        </w:tc>
      </w:tr>
      <w:tr w:rsidR="00B322FD" w14:paraId="74960FF3" w14:textId="77777777" w:rsidTr="003653E4">
        <w:trPr>
          <w:trHeight w:val="260"/>
        </w:trPr>
        <w:tc>
          <w:tcPr>
            <w:tcW w:w="1889" w:type="dxa"/>
            <w:tcBorders>
              <w:top w:val="single" w:sz="4" w:space="0" w:color="auto"/>
              <w:bottom w:val="single" w:sz="4" w:space="0" w:color="auto"/>
            </w:tcBorders>
          </w:tcPr>
          <w:p w14:paraId="6CB212D5" w14:textId="77777777" w:rsidR="00B322FD" w:rsidRPr="008A6D5D" w:rsidRDefault="00B322FD" w:rsidP="0077180B">
            <w:pPr>
              <w:keepNext/>
              <w:spacing w:line="240" w:lineRule="auto"/>
              <w:rPr>
                <w:rFonts w:ascii="Fira Sans" w:hAnsi="Fira Sans"/>
              </w:rPr>
            </w:pPr>
            <w:r w:rsidRPr="008A6D5D">
              <w:rPr>
                <w:rFonts w:ascii="Fira Sans" w:hAnsi="Fira Sans"/>
              </w:rPr>
              <w:t>Victoria</w:t>
            </w:r>
          </w:p>
        </w:tc>
        <w:tc>
          <w:tcPr>
            <w:tcW w:w="1741" w:type="dxa"/>
            <w:tcBorders>
              <w:top w:val="single" w:sz="4" w:space="0" w:color="auto"/>
              <w:left w:val="nil"/>
              <w:bottom w:val="single" w:sz="4" w:space="0" w:color="auto"/>
              <w:right w:val="nil"/>
            </w:tcBorders>
            <w:shd w:val="clear" w:color="auto" w:fill="auto"/>
          </w:tcPr>
          <w:p w14:paraId="06895657" w14:textId="5AD4E776" w:rsidR="00B322FD" w:rsidRPr="008A6D5D" w:rsidRDefault="00B322FD" w:rsidP="0077180B">
            <w:pPr>
              <w:keepNext/>
              <w:spacing w:line="240" w:lineRule="auto"/>
              <w:jc w:val="right"/>
              <w:rPr>
                <w:rFonts w:ascii="Fira Sans" w:hAnsi="Fira Sans"/>
              </w:rPr>
            </w:pPr>
            <w:r w:rsidRPr="008A6D5D">
              <w:rPr>
                <w:rFonts w:ascii="Fira Sans" w:hAnsi="Fira Sans"/>
              </w:rPr>
              <w:t xml:space="preserve"> 1,</w:t>
            </w:r>
            <w:r w:rsidR="00CA3C11" w:rsidRPr="003653E4">
              <w:rPr>
                <w:rFonts w:ascii="Fira Sans" w:hAnsi="Fira Sans"/>
              </w:rPr>
              <w:t>219</w:t>
            </w:r>
            <w:r w:rsidRPr="008A6D5D">
              <w:rPr>
                <w:rFonts w:ascii="Fira Sans" w:hAnsi="Fira Sans"/>
              </w:rPr>
              <w:t xml:space="preserve"> </w:t>
            </w:r>
          </w:p>
        </w:tc>
        <w:tc>
          <w:tcPr>
            <w:tcW w:w="1741" w:type="dxa"/>
            <w:tcBorders>
              <w:top w:val="single" w:sz="4" w:space="0" w:color="auto"/>
              <w:left w:val="nil"/>
              <w:bottom w:val="single" w:sz="4" w:space="0" w:color="auto"/>
              <w:right w:val="nil"/>
            </w:tcBorders>
            <w:shd w:val="clear" w:color="auto" w:fill="auto"/>
          </w:tcPr>
          <w:p w14:paraId="5DC1FCE1" w14:textId="52694092" w:rsidR="00B322FD" w:rsidRPr="008A6D5D" w:rsidRDefault="00CA3C11" w:rsidP="0077180B">
            <w:pPr>
              <w:keepNext/>
              <w:spacing w:line="240" w:lineRule="auto"/>
              <w:jc w:val="right"/>
              <w:rPr>
                <w:rFonts w:ascii="Fira Sans" w:hAnsi="Fira Sans"/>
              </w:rPr>
            </w:pPr>
            <w:r w:rsidRPr="003653E4">
              <w:rPr>
                <w:rFonts w:ascii="Fira Sans" w:hAnsi="Fira Sans"/>
              </w:rPr>
              <w:t xml:space="preserve"> </w:t>
            </w:r>
            <w:r>
              <w:rPr>
                <w:rFonts w:ascii="Fira Sans" w:hAnsi="Fira Sans"/>
              </w:rPr>
              <w:t>51</w:t>
            </w:r>
            <w:r w:rsidRPr="003653E4">
              <w:rPr>
                <w:rFonts w:ascii="Fira Sans" w:hAnsi="Fira Sans"/>
              </w:rPr>
              <w:t xml:space="preserve"> </w:t>
            </w:r>
          </w:p>
        </w:tc>
        <w:tc>
          <w:tcPr>
            <w:tcW w:w="1736" w:type="dxa"/>
            <w:tcBorders>
              <w:top w:val="single" w:sz="4" w:space="0" w:color="auto"/>
              <w:left w:val="nil"/>
              <w:bottom w:val="single" w:sz="4" w:space="0" w:color="auto"/>
              <w:right w:val="nil"/>
            </w:tcBorders>
            <w:shd w:val="clear" w:color="auto" w:fill="auto"/>
          </w:tcPr>
          <w:p w14:paraId="760F2332" w14:textId="5709AE14"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323</w:t>
            </w:r>
            <w:r w:rsidRPr="008A6D5D">
              <w:rPr>
                <w:rFonts w:ascii="Fira Sans" w:hAnsi="Fira Sans"/>
              </w:rPr>
              <w:t xml:space="preserve"> </w:t>
            </w:r>
          </w:p>
        </w:tc>
        <w:tc>
          <w:tcPr>
            <w:tcW w:w="1737" w:type="dxa"/>
            <w:tcBorders>
              <w:top w:val="single" w:sz="4" w:space="0" w:color="auto"/>
              <w:left w:val="nil"/>
              <w:bottom w:val="single" w:sz="4" w:space="0" w:color="auto"/>
              <w:right w:val="nil"/>
            </w:tcBorders>
            <w:shd w:val="clear" w:color="auto" w:fill="auto"/>
          </w:tcPr>
          <w:p w14:paraId="3DC61EBD" w14:textId="2ADF096A" w:rsidR="00B322FD" w:rsidRPr="008A6D5D" w:rsidRDefault="00CA3C11" w:rsidP="0077180B">
            <w:pPr>
              <w:keepNext/>
              <w:spacing w:line="240" w:lineRule="auto"/>
              <w:jc w:val="right"/>
              <w:rPr>
                <w:rFonts w:ascii="Fira Sans" w:hAnsi="Fira Sans"/>
              </w:rPr>
            </w:pPr>
            <w:r w:rsidRPr="00EE3AA4">
              <w:rPr>
                <w:rFonts w:ascii="Fira Sans" w:hAnsi="Fira Sans"/>
              </w:rPr>
              <w:t xml:space="preserve"> $65 </w:t>
            </w:r>
          </w:p>
        </w:tc>
      </w:tr>
      <w:tr w:rsidR="00B322FD" w14:paraId="4141517F" w14:textId="77777777" w:rsidTr="003653E4">
        <w:trPr>
          <w:trHeight w:val="260"/>
        </w:trPr>
        <w:tc>
          <w:tcPr>
            <w:tcW w:w="1889" w:type="dxa"/>
            <w:tcBorders>
              <w:top w:val="single" w:sz="4" w:space="0" w:color="auto"/>
              <w:bottom w:val="single" w:sz="4" w:space="0" w:color="auto"/>
            </w:tcBorders>
          </w:tcPr>
          <w:p w14:paraId="3BEECE92" w14:textId="77777777" w:rsidR="00B322FD" w:rsidRPr="008A6D5D" w:rsidRDefault="00B322FD" w:rsidP="0077180B">
            <w:pPr>
              <w:keepNext/>
              <w:spacing w:line="240" w:lineRule="auto"/>
              <w:rPr>
                <w:rFonts w:ascii="Fira Sans" w:hAnsi="Fira Sans"/>
              </w:rPr>
            </w:pPr>
            <w:r w:rsidRPr="008A6D5D">
              <w:rPr>
                <w:rFonts w:ascii="Fira Sans" w:hAnsi="Fira Sans"/>
              </w:rPr>
              <w:t>Queensland</w:t>
            </w:r>
          </w:p>
        </w:tc>
        <w:tc>
          <w:tcPr>
            <w:tcW w:w="1741" w:type="dxa"/>
            <w:tcBorders>
              <w:top w:val="single" w:sz="4" w:space="0" w:color="auto"/>
              <w:left w:val="nil"/>
              <w:bottom w:val="single" w:sz="4" w:space="0" w:color="auto"/>
              <w:right w:val="nil"/>
            </w:tcBorders>
            <w:shd w:val="clear" w:color="auto" w:fill="auto"/>
          </w:tcPr>
          <w:p w14:paraId="53778317" w14:textId="1A5CF65C" w:rsidR="00B322FD" w:rsidRPr="008A6D5D" w:rsidRDefault="00CA3C11" w:rsidP="0077180B">
            <w:pPr>
              <w:keepNext/>
              <w:spacing w:line="240" w:lineRule="auto"/>
              <w:jc w:val="right"/>
              <w:rPr>
                <w:rFonts w:ascii="Fira Sans" w:hAnsi="Fira Sans"/>
              </w:rPr>
            </w:pPr>
            <w:r w:rsidRPr="003653E4">
              <w:rPr>
                <w:rFonts w:ascii="Fira Sans" w:hAnsi="Fira Sans"/>
              </w:rPr>
              <w:t xml:space="preserve"> 875 </w:t>
            </w:r>
          </w:p>
        </w:tc>
        <w:tc>
          <w:tcPr>
            <w:tcW w:w="1741" w:type="dxa"/>
            <w:tcBorders>
              <w:top w:val="single" w:sz="4" w:space="0" w:color="auto"/>
              <w:left w:val="nil"/>
              <w:bottom w:val="single" w:sz="4" w:space="0" w:color="auto"/>
              <w:right w:val="nil"/>
            </w:tcBorders>
            <w:shd w:val="clear" w:color="auto" w:fill="auto"/>
          </w:tcPr>
          <w:p w14:paraId="2AECF135" w14:textId="49790252" w:rsidR="00B322FD" w:rsidRPr="008A6D5D" w:rsidRDefault="00CA3C11" w:rsidP="0077180B">
            <w:pPr>
              <w:keepNext/>
              <w:spacing w:line="240" w:lineRule="auto"/>
              <w:jc w:val="right"/>
              <w:rPr>
                <w:rFonts w:ascii="Fira Sans" w:hAnsi="Fira Sans"/>
              </w:rPr>
            </w:pPr>
            <w:r w:rsidRPr="003653E4">
              <w:rPr>
                <w:rFonts w:ascii="Fira Sans" w:hAnsi="Fira Sans"/>
              </w:rPr>
              <w:t xml:space="preserve"> 3</w:t>
            </w:r>
            <w:r>
              <w:rPr>
                <w:rFonts w:ascii="Fira Sans" w:hAnsi="Fira Sans"/>
              </w:rPr>
              <w:t>6</w:t>
            </w:r>
            <w:r w:rsidRPr="003653E4">
              <w:rPr>
                <w:rFonts w:ascii="Fira Sans" w:hAnsi="Fira Sans"/>
              </w:rPr>
              <w:t xml:space="preserve"> </w:t>
            </w:r>
          </w:p>
        </w:tc>
        <w:tc>
          <w:tcPr>
            <w:tcW w:w="1736" w:type="dxa"/>
            <w:tcBorders>
              <w:top w:val="single" w:sz="4" w:space="0" w:color="auto"/>
              <w:left w:val="nil"/>
              <w:bottom w:val="single" w:sz="4" w:space="0" w:color="auto"/>
              <w:right w:val="nil"/>
            </w:tcBorders>
            <w:shd w:val="clear" w:color="auto" w:fill="auto"/>
          </w:tcPr>
          <w:p w14:paraId="5EEE4EA7" w14:textId="427AE816"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451</w:t>
            </w:r>
            <w:r w:rsidRPr="008A6D5D">
              <w:rPr>
                <w:rFonts w:ascii="Fira Sans" w:hAnsi="Fira Sans"/>
              </w:rPr>
              <w:t xml:space="preserve"> </w:t>
            </w:r>
          </w:p>
        </w:tc>
        <w:tc>
          <w:tcPr>
            <w:tcW w:w="1737" w:type="dxa"/>
            <w:tcBorders>
              <w:top w:val="single" w:sz="4" w:space="0" w:color="auto"/>
              <w:left w:val="nil"/>
              <w:bottom w:val="single" w:sz="4" w:space="0" w:color="auto"/>
              <w:right w:val="nil"/>
            </w:tcBorders>
            <w:shd w:val="clear" w:color="auto" w:fill="auto"/>
          </w:tcPr>
          <w:p w14:paraId="774C32AF" w14:textId="425AE353" w:rsidR="00B322FD" w:rsidRPr="008A6D5D" w:rsidRDefault="00CA3C11" w:rsidP="0077180B">
            <w:pPr>
              <w:keepNext/>
              <w:spacing w:line="240" w:lineRule="auto"/>
              <w:jc w:val="right"/>
              <w:rPr>
                <w:rFonts w:ascii="Fira Sans" w:hAnsi="Fira Sans"/>
              </w:rPr>
            </w:pPr>
            <w:r w:rsidRPr="00EE3AA4">
              <w:rPr>
                <w:rFonts w:ascii="Fira Sans" w:hAnsi="Fira Sans"/>
              </w:rPr>
              <w:t xml:space="preserve"> $90 </w:t>
            </w:r>
          </w:p>
        </w:tc>
      </w:tr>
      <w:tr w:rsidR="00B322FD" w14:paraId="4DBA907B" w14:textId="77777777" w:rsidTr="003653E4">
        <w:trPr>
          <w:trHeight w:val="260"/>
        </w:trPr>
        <w:tc>
          <w:tcPr>
            <w:tcW w:w="1889" w:type="dxa"/>
            <w:tcBorders>
              <w:top w:val="single" w:sz="4" w:space="0" w:color="auto"/>
              <w:bottom w:val="single" w:sz="4" w:space="0" w:color="auto"/>
            </w:tcBorders>
          </w:tcPr>
          <w:p w14:paraId="01E03A99" w14:textId="77777777" w:rsidR="00B322FD" w:rsidRPr="008A6D5D" w:rsidRDefault="00B322FD" w:rsidP="0077180B">
            <w:pPr>
              <w:keepNext/>
              <w:spacing w:line="240" w:lineRule="auto"/>
              <w:rPr>
                <w:rFonts w:ascii="Fira Sans" w:hAnsi="Fira Sans"/>
              </w:rPr>
            </w:pPr>
            <w:r w:rsidRPr="008A6D5D">
              <w:rPr>
                <w:rFonts w:ascii="Fira Sans" w:hAnsi="Fira Sans"/>
              </w:rPr>
              <w:t>South Australia</w:t>
            </w:r>
          </w:p>
        </w:tc>
        <w:tc>
          <w:tcPr>
            <w:tcW w:w="1741" w:type="dxa"/>
            <w:tcBorders>
              <w:top w:val="single" w:sz="4" w:space="0" w:color="auto"/>
              <w:left w:val="nil"/>
              <w:bottom w:val="single" w:sz="4" w:space="0" w:color="auto"/>
              <w:right w:val="nil"/>
            </w:tcBorders>
            <w:shd w:val="clear" w:color="auto" w:fill="auto"/>
          </w:tcPr>
          <w:p w14:paraId="1234C1AC" w14:textId="569A0B76" w:rsidR="00B322FD" w:rsidRPr="008A6D5D" w:rsidRDefault="00CA3C11" w:rsidP="0077180B">
            <w:pPr>
              <w:keepNext/>
              <w:spacing w:line="240" w:lineRule="auto"/>
              <w:jc w:val="right"/>
              <w:rPr>
                <w:rFonts w:ascii="Fira Sans" w:hAnsi="Fira Sans"/>
              </w:rPr>
            </w:pPr>
            <w:r w:rsidRPr="003653E4">
              <w:rPr>
                <w:rFonts w:ascii="Fira Sans" w:hAnsi="Fira Sans"/>
              </w:rPr>
              <w:t xml:space="preserve"> 298 </w:t>
            </w:r>
          </w:p>
        </w:tc>
        <w:tc>
          <w:tcPr>
            <w:tcW w:w="1741" w:type="dxa"/>
            <w:tcBorders>
              <w:top w:val="single" w:sz="4" w:space="0" w:color="auto"/>
              <w:left w:val="nil"/>
              <w:bottom w:val="single" w:sz="4" w:space="0" w:color="auto"/>
              <w:right w:val="nil"/>
            </w:tcBorders>
            <w:shd w:val="clear" w:color="auto" w:fill="auto"/>
          </w:tcPr>
          <w:p w14:paraId="0CF69EE9" w14:textId="6EB69C9C" w:rsidR="00B322FD" w:rsidRPr="008A6D5D" w:rsidRDefault="00CA3C11" w:rsidP="0077180B">
            <w:pPr>
              <w:keepNext/>
              <w:spacing w:line="240" w:lineRule="auto"/>
              <w:jc w:val="right"/>
              <w:rPr>
                <w:rFonts w:ascii="Fira Sans" w:hAnsi="Fira Sans"/>
              </w:rPr>
            </w:pPr>
            <w:r w:rsidRPr="003653E4">
              <w:rPr>
                <w:rFonts w:ascii="Fira Sans" w:hAnsi="Fira Sans"/>
              </w:rPr>
              <w:t xml:space="preserve"> </w:t>
            </w:r>
            <w:r w:rsidR="00B322FD" w:rsidRPr="008A6D5D">
              <w:rPr>
                <w:rFonts w:ascii="Fira Sans" w:hAnsi="Fira Sans"/>
              </w:rPr>
              <w:t xml:space="preserve">12 </w:t>
            </w:r>
          </w:p>
        </w:tc>
        <w:tc>
          <w:tcPr>
            <w:tcW w:w="1736" w:type="dxa"/>
            <w:tcBorders>
              <w:top w:val="single" w:sz="4" w:space="0" w:color="auto"/>
              <w:left w:val="nil"/>
              <w:bottom w:val="single" w:sz="4" w:space="0" w:color="auto"/>
              <w:right w:val="nil"/>
            </w:tcBorders>
            <w:shd w:val="clear" w:color="auto" w:fill="auto"/>
          </w:tcPr>
          <w:p w14:paraId="6C3AF655" w14:textId="6EA2F857" w:rsidR="00B322FD" w:rsidRPr="008A6D5D" w:rsidRDefault="00B322FD" w:rsidP="0077180B">
            <w:pPr>
              <w:keepNext/>
              <w:spacing w:line="240" w:lineRule="auto"/>
              <w:jc w:val="right"/>
              <w:rPr>
                <w:rFonts w:ascii="Fira Sans" w:hAnsi="Fira Sans"/>
              </w:rPr>
            </w:pPr>
            <w:r w:rsidRPr="008A6D5D">
              <w:rPr>
                <w:rFonts w:ascii="Fira Sans" w:hAnsi="Fira Sans"/>
              </w:rPr>
              <w:t xml:space="preserve"> &gt;$1,000 </w:t>
            </w:r>
          </w:p>
        </w:tc>
        <w:tc>
          <w:tcPr>
            <w:tcW w:w="1737" w:type="dxa"/>
            <w:tcBorders>
              <w:top w:val="single" w:sz="4" w:space="0" w:color="auto"/>
              <w:left w:val="nil"/>
              <w:bottom w:val="single" w:sz="4" w:space="0" w:color="auto"/>
              <w:right w:val="nil"/>
            </w:tcBorders>
            <w:shd w:val="clear" w:color="auto" w:fill="auto"/>
          </w:tcPr>
          <w:p w14:paraId="2D0902BB" w14:textId="33CFB155" w:rsidR="00B322FD" w:rsidRPr="008A6D5D" w:rsidRDefault="00CA3C11" w:rsidP="0077180B">
            <w:pPr>
              <w:keepNext/>
              <w:spacing w:line="240" w:lineRule="auto"/>
              <w:jc w:val="right"/>
              <w:rPr>
                <w:rFonts w:ascii="Fira Sans" w:hAnsi="Fira Sans"/>
              </w:rPr>
            </w:pPr>
            <w:r w:rsidRPr="00EE3AA4">
              <w:rPr>
                <w:rFonts w:ascii="Fira Sans" w:hAnsi="Fira Sans"/>
              </w:rPr>
              <w:t xml:space="preserve"> &gt;$200 </w:t>
            </w:r>
          </w:p>
        </w:tc>
      </w:tr>
      <w:tr w:rsidR="00B322FD" w14:paraId="6DCDD96D" w14:textId="77777777" w:rsidTr="003653E4">
        <w:trPr>
          <w:trHeight w:val="260"/>
        </w:trPr>
        <w:tc>
          <w:tcPr>
            <w:tcW w:w="1889" w:type="dxa"/>
            <w:tcBorders>
              <w:top w:val="single" w:sz="4" w:space="0" w:color="auto"/>
              <w:bottom w:val="single" w:sz="4" w:space="0" w:color="auto"/>
            </w:tcBorders>
          </w:tcPr>
          <w:p w14:paraId="0945A2A4" w14:textId="77777777" w:rsidR="00B322FD" w:rsidRPr="008A6D5D" w:rsidRDefault="00B322FD" w:rsidP="0077180B">
            <w:pPr>
              <w:keepNext/>
              <w:spacing w:line="240" w:lineRule="auto"/>
              <w:rPr>
                <w:rFonts w:ascii="Fira Sans" w:hAnsi="Fira Sans"/>
              </w:rPr>
            </w:pPr>
            <w:r w:rsidRPr="008A6D5D">
              <w:rPr>
                <w:rFonts w:ascii="Fira Sans" w:hAnsi="Fira Sans"/>
              </w:rPr>
              <w:t>Western Australia</w:t>
            </w:r>
          </w:p>
        </w:tc>
        <w:tc>
          <w:tcPr>
            <w:tcW w:w="1741" w:type="dxa"/>
            <w:tcBorders>
              <w:top w:val="single" w:sz="4" w:space="0" w:color="auto"/>
              <w:left w:val="nil"/>
              <w:bottom w:val="single" w:sz="4" w:space="0" w:color="auto"/>
              <w:right w:val="nil"/>
            </w:tcBorders>
            <w:shd w:val="clear" w:color="auto" w:fill="auto"/>
          </w:tcPr>
          <w:p w14:paraId="4F7D2CE4" w14:textId="082092A8" w:rsidR="00B322FD" w:rsidRPr="008A6D5D" w:rsidRDefault="00CA3C11" w:rsidP="0077180B">
            <w:pPr>
              <w:keepNext/>
              <w:spacing w:line="240" w:lineRule="auto"/>
              <w:jc w:val="right"/>
              <w:rPr>
                <w:rFonts w:ascii="Fira Sans" w:hAnsi="Fira Sans"/>
              </w:rPr>
            </w:pPr>
            <w:r w:rsidRPr="003653E4">
              <w:rPr>
                <w:rFonts w:ascii="Fira Sans" w:hAnsi="Fira Sans"/>
              </w:rPr>
              <w:t xml:space="preserve"> 451 </w:t>
            </w:r>
          </w:p>
        </w:tc>
        <w:tc>
          <w:tcPr>
            <w:tcW w:w="1741" w:type="dxa"/>
            <w:tcBorders>
              <w:top w:val="single" w:sz="4" w:space="0" w:color="auto"/>
              <w:left w:val="nil"/>
              <w:bottom w:val="single" w:sz="4" w:space="0" w:color="auto"/>
              <w:right w:val="nil"/>
            </w:tcBorders>
            <w:shd w:val="clear" w:color="auto" w:fill="auto"/>
          </w:tcPr>
          <w:p w14:paraId="10301354" w14:textId="41D2DCF9" w:rsidR="00B322FD" w:rsidRPr="008A6D5D" w:rsidRDefault="00CA3C11" w:rsidP="0077180B">
            <w:pPr>
              <w:keepNext/>
              <w:spacing w:line="240" w:lineRule="auto"/>
              <w:jc w:val="right"/>
              <w:rPr>
                <w:rFonts w:ascii="Fira Sans" w:hAnsi="Fira Sans"/>
              </w:rPr>
            </w:pPr>
            <w:r w:rsidRPr="003653E4">
              <w:rPr>
                <w:rFonts w:ascii="Fira Sans" w:hAnsi="Fira Sans"/>
              </w:rPr>
              <w:t xml:space="preserve"> 1</w:t>
            </w:r>
            <w:r>
              <w:rPr>
                <w:rFonts w:ascii="Fira Sans" w:hAnsi="Fira Sans"/>
              </w:rPr>
              <w:t>9</w:t>
            </w:r>
            <w:r w:rsidRPr="003653E4">
              <w:rPr>
                <w:rFonts w:ascii="Fira Sans" w:hAnsi="Fira Sans"/>
              </w:rPr>
              <w:t xml:space="preserve"> </w:t>
            </w:r>
          </w:p>
        </w:tc>
        <w:tc>
          <w:tcPr>
            <w:tcW w:w="1736" w:type="dxa"/>
            <w:tcBorders>
              <w:top w:val="single" w:sz="4" w:space="0" w:color="auto"/>
              <w:left w:val="nil"/>
              <w:bottom w:val="single" w:sz="4" w:space="0" w:color="auto"/>
              <w:right w:val="nil"/>
            </w:tcBorders>
            <w:shd w:val="clear" w:color="auto" w:fill="auto"/>
          </w:tcPr>
          <w:p w14:paraId="1F623198" w14:textId="730F086E"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874</w:t>
            </w:r>
            <w:r w:rsidRPr="008A6D5D">
              <w:rPr>
                <w:rFonts w:ascii="Fira Sans" w:hAnsi="Fira Sans"/>
              </w:rPr>
              <w:t xml:space="preserve"> </w:t>
            </w:r>
          </w:p>
        </w:tc>
        <w:tc>
          <w:tcPr>
            <w:tcW w:w="1737" w:type="dxa"/>
            <w:tcBorders>
              <w:top w:val="single" w:sz="4" w:space="0" w:color="auto"/>
              <w:left w:val="nil"/>
              <w:bottom w:val="single" w:sz="4" w:space="0" w:color="auto"/>
              <w:right w:val="nil"/>
            </w:tcBorders>
            <w:shd w:val="clear" w:color="auto" w:fill="auto"/>
          </w:tcPr>
          <w:p w14:paraId="151550EA" w14:textId="51742727" w:rsidR="00B322FD" w:rsidRPr="008A6D5D" w:rsidRDefault="00CA3C11" w:rsidP="0077180B">
            <w:pPr>
              <w:keepNext/>
              <w:spacing w:line="240" w:lineRule="auto"/>
              <w:jc w:val="right"/>
              <w:rPr>
                <w:rFonts w:ascii="Fira Sans" w:hAnsi="Fira Sans"/>
              </w:rPr>
            </w:pPr>
            <w:r w:rsidRPr="00EE3AA4">
              <w:rPr>
                <w:rFonts w:ascii="Fira Sans" w:hAnsi="Fira Sans"/>
              </w:rPr>
              <w:t xml:space="preserve"> $175 </w:t>
            </w:r>
          </w:p>
        </w:tc>
      </w:tr>
      <w:tr w:rsidR="00B322FD" w14:paraId="1157128D" w14:textId="77777777" w:rsidTr="003653E4">
        <w:trPr>
          <w:trHeight w:val="260"/>
        </w:trPr>
        <w:tc>
          <w:tcPr>
            <w:tcW w:w="1889" w:type="dxa"/>
            <w:tcBorders>
              <w:top w:val="single" w:sz="4" w:space="0" w:color="auto"/>
              <w:bottom w:val="single" w:sz="4" w:space="0" w:color="auto"/>
            </w:tcBorders>
          </w:tcPr>
          <w:p w14:paraId="0D1B2230" w14:textId="77777777" w:rsidR="00B322FD" w:rsidRPr="008A6D5D" w:rsidRDefault="00B322FD" w:rsidP="0077180B">
            <w:pPr>
              <w:keepNext/>
              <w:spacing w:line="240" w:lineRule="auto"/>
              <w:rPr>
                <w:rFonts w:ascii="Fira Sans" w:hAnsi="Fira Sans"/>
              </w:rPr>
            </w:pPr>
            <w:r w:rsidRPr="008A6D5D">
              <w:rPr>
                <w:rFonts w:ascii="Fira Sans" w:hAnsi="Fira Sans"/>
              </w:rPr>
              <w:t>Tasmania</w:t>
            </w:r>
          </w:p>
        </w:tc>
        <w:tc>
          <w:tcPr>
            <w:tcW w:w="1741" w:type="dxa"/>
            <w:tcBorders>
              <w:top w:val="single" w:sz="4" w:space="0" w:color="auto"/>
              <w:left w:val="nil"/>
              <w:bottom w:val="single" w:sz="4" w:space="0" w:color="auto"/>
              <w:right w:val="nil"/>
            </w:tcBorders>
            <w:shd w:val="clear" w:color="auto" w:fill="auto"/>
          </w:tcPr>
          <w:p w14:paraId="64FB3B04" w14:textId="3AB30A5A"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92</w:t>
            </w:r>
            <w:r w:rsidRPr="008A6D5D">
              <w:rPr>
                <w:rFonts w:ascii="Fira Sans" w:hAnsi="Fira Sans"/>
              </w:rPr>
              <w:t xml:space="preserve"> </w:t>
            </w:r>
          </w:p>
        </w:tc>
        <w:tc>
          <w:tcPr>
            <w:tcW w:w="1741" w:type="dxa"/>
            <w:tcBorders>
              <w:top w:val="single" w:sz="4" w:space="0" w:color="auto"/>
              <w:left w:val="nil"/>
              <w:bottom w:val="single" w:sz="4" w:space="0" w:color="auto"/>
              <w:right w:val="nil"/>
            </w:tcBorders>
            <w:shd w:val="clear" w:color="auto" w:fill="auto"/>
          </w:tcPr>
          <w:p w14:paraId="1513EF68" w14:textId="01A10128" w:rsidR="00B322FD" w:rsidRPr="008A6D5D" w:rsidRDefault="00CA3C11" w:rsidP="0077180B">
            <w:pPr>
              <w:keepNext/>
              <w:spacing w:line="240" w:lineRule="auto"/>
              <w:jc w:val="right"/>
              <w:rPr>
                <w:rFonts w:ascii="Fira Sans" w:hAnsi="Fira Sans"/>
              </w:rPr>
            </w:pPr>
            <w:r w:rsidRPr="003653E4">
              <w:rPr>
                <w:rFonts w:ascii="Fira Sans" w:hAnsi="Fira Sans"/>
              </w:rPr>
              <w:t xml:space="preserve"> </w:t>
            </w:r>
            <w:r w:rsidR="00B322FD" w:rsidRPr="008A6D5D">
              <w:rPr>
                <w:rFonts w:ascii="Fira Sans" w:hAnsi="Fira Sans"/>
              </w:rPr>
              <w:t xml:space="preserve">4 </w:t>
            </w:r>
          </w:p>
        </w:tc>
        <w:tc>
          <w:tcPr>
            <w:tcW w:w="1736" w:type="dxa"/>
            <w:tcBorders>
              <w:top w:val="single" w:sz="4" w:space="0" w:color="auto"/>
              <w:left w:val="nil"/>
              <w:bottom w:val="single" w:sz="4" w:space="0" w:color="auto"/>
              <w:right w:val="nil"/>
            </w:tcBorders>
            <w:shd w:val="clear" w:color="auto" w:fill="auto"/>
          </w:tcPr>
          <w:p w14:paraId="38D43249" w14:textId="18B60292" w:rsidR="00B322FD" w:rsidRPr="008A6D5D" w:rsidRDefault="00B322FD" w:rsidP="0077180B">
            <w:pPr>
              <w:keepNext/>
              <w:spacing w:line="240" w:lineRule="auto"/>
              <w:jc w:val="right"/>
              <w:rPr>
                <w:rFonts w:ascii="Fira Sans" w:hAnsi="Fira Sans"/>
              </w:rPr>
            </w:pPr>
            <w:r w:rsidRPr="008A6D5D">
              <w:rPr>
                <w:rFonts w:ascii="Fira Sans" w:hAnsi="Fira Sans"/>
              </w:rPr>
              <w:t xml:space="preserve"> &gt;$1,000 </w:t>
            </w:r>
          </w:p>
        </w:tc>
        <w:tc>
          <w:tcPr>
            <w:tcW w:w="1737" w:type="dxa"/>
            <w:tcBorders>
              <w:top w:val="single" w:sz="4" w:space="0" w:color="auto"/>
              <w:left w:val="nil"/>
              <w:bottom w:val="single" w:sz="4" w:space="0" w:color="auto"/>
              <w:right w:val="nil"/>
            </w:tcBorders>
            <w:shd w:val="clear" w:color="auto" w:fill="auto"/>
          </w:tcPr>
          <w:p w14:paraId="3F99FBA0" w14:textId="700EF62E" w:rsidR="00B322FD" w:rsidRPr="008A6D5D" w:rsidRDefault="00CA3C11" w:rsidP="0077180B">
            <w:pPr>
              <w:keepNext/>
              <w:spacing w:line="240" w:lineRule="auto"/>
              <w:jc w:val="right"/>
              <w:rPr>
                <w:rFonts w:ascii="Fira Sans" w:hAnsi="Fira Sans"/>
              </w:rPr>
            </w:pPr>
            <w:r w:rsidRPr="00EE3AA4">
              <w:rPr>
                <w:rFonts w:ascii="Fira Sans" w:hAnsi="Fira Sans"/>
              </w:rPr>
              <w:t xml:space="preserve"> &gt;$200 </w:t>
            </w:r>
          </w:p>
        </w:tc>
      </w:tr>
      <w:tr w:rsidR="00B322FD" w14:paraId="6EEA227E" w14:textId="77777777" w:rsidTr="003653E4">
        <w:trPr>
          <w:trHeight w:val="260"/>
        </w:trPr>
        <w:tc>
          <w:tcPr>
            <w:tcW w:w="1889" w:type="dxa"/>
            <w:tcBorders>
              <w:top w:val="single" w:sz="4" w:space="0" w:color="auto"/>
              <w:bottom w:val="single" w:sz="4" w:space="0" w:color="auto"/>
            </w:tcBorders>
          </w:tcPr>
          <w:p w14:paraId="546F7480" w14:textId="77777777" w:rsidR="00B322FD" w:rsidRPr="008A6D5D" w:rsidRDefault="00B322FD" w:rsidP="0077180B">
            <w:pPr>
              <w:keepNext/>
              <w:spacing w:line="240" w:lineRule="auto"/>
              <w:rPr>
                <w:rFonts w:ascii="Fira Sans" w:hAnsi="Fira Sans"/>
              </w:rPr>
            </w:pPr>
            <w:r w:rsidRPr="008A6D5D">
              <w:rPr>
                <w:rFonts w:ascii="Fira Sans" w:hAnsi="Fira Sans"/>
              </w:rPr>
              <w:t>Northern Territory</w:t>
            </w:r>
          </w:p>
        </w:tc>
        <w:tc>
          <w:tcPr>
            <w:tcW w:w="1741" w:type="dxa"/>
            <w:tcBorders>
              <w:top w:val="single" w:sz="4" w:space="0" w:color="auto"/>
              <w:left w:val="nil"/>
              <w:bottom w:val="single" w:sz="4" w:space="0" w:color="auto"/>
              <w:right w:val="nil"/>
            </w:tcBorders>
            <w:shd w:val="clear" w:color="auto" w:fill="auto"/>
          </w:tcPr>
          <w:p w14:paraId="52D54511" w14:textId="60B03118"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48</w:t>
            </w:r>
            <w:r w:rsidRPr="008A6D5D">
              <w:rPr>
                <w:rFonts w:ascii="Fira Sans" w:hAnsi="Fira Sans"/>
              </w:rPr>
              <w:t xml:space="preserve"> </w:t>
            </w:r>
          </w:p>
        </w:tc>
        <w:tc>
          <w:tcPr>
            <w:tcW w:w="1741" w:type="dxa"/>
            <w:tcBorders>
              <w:top w:val="single" w:sz="4" w:space="0" w:color="auto"/>
              <w:left w:val="nil"/>
              <w:bottom w:val="single" w:sz="4" w:space="0" w:color="auto"/>
              <w:right w:val="nil"/>
            </w:tcBorders>
            <w:shd w:val="clear" w:color="auto" w:fill="auto"/>
          </w:tcPr>
          <w:p w14:paraId="5AC76C99" w14:textId="62585120" w:rsidR="00B322FD" w:rsidRPr="008A6D5D" w:rsidRDefault="00CA3C11" w:rsidP="0077180B">
            <w:pPr>
              <w:keepNext/>
              <w:spacing w:line="240" w:lineRule="auto"/>
              <w:jc w:val="right"/>
              <w:rPr>
                <w:rFonts w:ascii="Fira Sans" w:hAnsi="Fira Sans"/>
              </w:rPr>
            </w:pPr>
            <w:r w:rsidRPr="003653E4">
              <w:rPr>
                <w:rFonts w:ascii="Fira Sans" w:hAnsi="Fira Sans"/>
              </w:rPr>
              <w:t xml:space="preserve"> </w:t>
            </w:r>
            <w:r w:rsidR="00B322FD" w:rsidRPr="008A6D5D">
              <w:rPr>
                <w:rFonts w:ascii="Fira Sans" w:hAnsi="Fira Sans"/>
              </w:rPr>
              <w:t xml:space="preserve">2 </w:t>
            </w:r>
          </w:p>
        </w:tc>
        <w:tc>
          <w:tcPr>
            <w:tcW w:w="1736" w:type="dxa"/>
            <w:tcBorders>
              <w:top w:val="single" w:sz="4" w:space="0" w:color="auto"/>
              <w:left w:val="nil"/>
              <w:bottom w:val="single" w:sz="4" w:space="0" w:color="auto"/>
              <w:right w:val="nil"/>
            </w:tcBorders>
            <w:shd w:val="clear" w:color="auto" w:fill="auto"/>
          </w:tcPr>
          <w:p w14:paraId="2F9E181A" w14:textId="712D3441" w:rsidR="00B322FD" w:rsidRPr="008A6D5D" w:rsidRDefault="00B322FD" w:rsidP="0077180B">
            <w:pPr>
              <w:keepNext/>
              <w:spacing w:line="240" w:lineRule="auto"/>
              <w:jc w:val="right"/>
              <w:rPr>
                <w:rFonts w:ascii="Fira Sans" w:hAnsi="Fira Sans"/>
              </w:rPr>
            </w:pPr>
            <w:r w:rsidRPr="008A6D5D">
              <w:rPr>
                <w:rFonts w:ascii="Fira Sans" w:hAnsi="Fira Sans"/>
              </w:rPr>
              <w:t xml:space="preserve"> &gt;$1,000 </w:t>
            </w:r>
          </w:p>
        </w:tc>
        <w:tc>
          <w:tcPr>
            <w:tcW w:w="1737" w:type="dxa"/>
            <w:tcBorders>
              <w:top w:val="single" w:sz="4" w:space="0" w:color="auto"/>
              <w:left w:val="nil"/>
              <w:bottom w:val="single" w:sz="4" w:space="0" w:color="auto"/>
              <w:right w:val="nil"/>
            </w:tcBorders>
            <w:shd w:val="clear" w:color="auto" w:fill="auto"/>
          </w:tcPr>
          <w:p w14:paraId="5F0F7436" w14:textId="09073BF3" w:rsidR="00B322FD" w:rsidRPr="008A6D5D" w:rsidRDefault="00CA3C11" w:rsidP="0077180B">
            <w:pPr>
              <w:keepNext/>
              <w:spacing w:line="240" w:lineRule="auto"/>
              <w:jc w:val="right"/>
              <w:rPr>
                <w:rFonts w:ascii="Fira Sans" w:hAnsi="Fira Sans"/>
              </w:rPr>
            </w:pPr>
            <w:r w:rsidRPr="00EE3AA4">
              <w:rPr>
                <w:rFonts w:ascii="Fira Sans" w:hAnsi="Fira Sans"/>
              </w:rPr>
              <w:t xml:space="preserve"> &gt;$200 </w:t>
            </w:r>
          </w:p>
        </w:tc>
      </w:tr>
      <w:tr w:rsidR="00B322FD" w14:paraId="188E9F55" w14:textId="77777777" w:rsidTr="003653E4">
        <w:trPr>
          <w:trHeight w:val="260"/>
        </w:trPr>
        <w:tc>
          <w:tcPr>
            <w:tcW w:w="1889" w:type="dxa"/>
            <w:tcBorders>
              <w:top w:val="single" w:sz="4" w:space="0" w:color="auto"/>
              <w:bottom w:val="single" w:sz="4" w:space="0" w:color="auto"/>
            </w:tcBorders>
          </w:tcPr>
          <w:p w14:paraId="273A24AD" w14:textId="77777777" w:rsidR="00B322FD" w:rsidRPr="008A6D5D" w:rsidRDefault="00B322FD" w:rsidP="0077180B">
            <w:pPr>
              <w:keepNext/>
              <w:spacing w:line="240" w:lineRule="auto"/>
              <w:rPr>
                <w:rFonts w:ascii="Fira Sans" w:hAnsi="Fira Sans"/>
              </w:rPr>
            </w:pPr>
            <w:r w:rsidRPr="008A6D5D">
              <w:rPr>
                <w:rFonts w:ascii="Fira Sans" w:hAnsi="Fira Sans"/>
              </w:rPr>
              <w:t>Australian Capital Territory</w:t>
            </w:r>
          </w:p>
        </w:tc>
        <w:tc>
          <w:tcPr>
            <w:tcW w:w="1741" w:type="dxa"/>
            <w:tcBorders>
              <w:top w:val="single" w:sz="4" w:space="0" w:color="auto"/>
              <w:left w:val="nil"/>
              <w:bottom w:val="single" w:sz="4" w:space="0" w:color="auto"/>
              <w:right w:val="nil"/>
            </w:tcBorders>
            <w:shd w:val="clear" w:color="auto" w:fill="auto"/>
          </w:tcPr>
          <w:p w14:paraId="7C9DBFB6" w14:textId="58AF7412" w:rsidR="00B322FD" w:rsidRPr="008A6D5D" w:rsidRDefault="00B322FD" w:rsidP="0077180B">
            <w:pPr>
              <w:keepNext/>
              <w:spacing w:line="240" w:lineRule="auto"/>
              <w:jc w:val="right"/>
              <w:rPr>
                <w:rFonts w:ascii="Fira Sans" w:hAnsi="Fira Sans"/>
              </w:rPr>
            </w:pPr>
            <w:r w:rsidRPr="008A6D5D">
              <w:rPr>
                <w:rFonts w:ascii="Fira Sans" w:hAnsi="Fira Sans"/>
              </w:rPr>
              <w:t xml:space="preserve"> </w:t>
            </w:r>
            <w:r w:rsidR="00CA3C11" w:rsidRPr="003653E4">
              <w:rPr>
                <w:rFonts w:ascii="Fira Sans" w:hAnsi="Fira Sans"/>
              </w:rPr>
              <w:t>77</w:t>
            </w:r>
            <w:r w:rsidRPr="008A6D5D">
              <w:rPr>
                <w:rFonts w:ascii="Fira Sans" w:hAnsi="Fira Sans"/>
              </w:rPr>
              <w:t xml:space="preserve"> </w:t>
            </w:r>
          </w:p>
        </w:tc>
        <w:tc>
          <w:tcPr>
            <w:tcW w:w="1741" w:type="dxa"/>
            <w:tcBorders>
              <w:top w:val="single" w:sz="4" w:space="0" w:color="auto"/>
              <w:left w:val="nil"/>
              <w:bottom w:val="single" w:sz="4" w:space="0" w:color="auto"/>
              <w:right w:val="nil"/>
            </w:tcBorders>
            <w:shd w:val="clear" w:color="auto" w:fill="auto"/>
          </w:tcPr>
          <w:p w14:paraId="4AD0922B" w14:textId="5E04BB51" w:rsidR="00B322FD" w:rsidRPr="008A6D5D" w:rsidRDefault="00CA3C11" w:rsidP="0077180B">
            <w:pPr>
              <w:keepNext/>
              <w:spacing w:line="240" w:lineRule="auto"/>
              <w:jc w:val="right"/>
              <w:rPr>
                <w:rFonts w:ascii="Fira Sans" w:hAnsi="Fira Sans"/>
              </w:rPr>
            </w:pPr>
            <w:r w:rsidRPr="003653E4">
              <w:rPr>
                <w:rFonts w:ascii="Fira Sans" w:hAnsi="Fira Sans"/>
              </w:rPr>
              <w:t xml:space="preserve"> </w:t>
            </w:r>
            <w:r w:rsidR="00B322FD" w:rsidRPr="008A6D5D">
              <w:rPr>
                <w:rFonts w:ascii="Fira Sans" w:hAnsi="Fira Sans"/>
              </w:rPr>
              <w:t xml:space="preserve">3 </w:t>
            </w:r>
          </w:p>
        </w:tc>
        <w:tc>
          <w:tcPr>
            <w:tcW w:w="1736" w:type="dxa"/>
            <w:tcBorders>
              <w:top w:val="single" w:sz="4" w:space="0" w:color="auto"/>
              <w:left w:val="nil"/>
              <w:bottom w:val="single" w:sz="4" w:space="0" w:color="auto"/>
              <w:right w:val="nil"/>
            </w:tcBorders>
            <w:shd w:val="clear" w:color="auto" w:fill="auto"/>
          </w:tcPr>
          <w:p w14:paraId="3E844893" w14:textId="7692F807" w:rsidR="00B322FD" w:rsidRPr="008A6D5D" w:rsidRDefault="00B322FD" w:rsidP="0077180B">
            <w:pPr>
              <w:keepNext/>
              <w:spacing w:line="240" w:lineRule="auto"/>
              <w:jc w:val="right"/>
              <w:rPr>
                <w:rFonts w:ascii="Fira Sans" w:hAnsi="Fira Sans"/>
              </w:rPr>
            </w:pPr>
            <w:r w:rsidRPr="008A6D5D">
              <w:rPr>
                <w:rFonts w:ascii="Fira Sans" w:hAnsi="Fira Sans"/>
              </w:rPr>
              <w:t xml:space="preserve"> &gt;$1,000 </w:t>
            </w:r>
          </w:p>
        </w:tc>
        <w:tc>
          <w:tcPr>
            <w:tcW w:w="1737" w:type="dxa"/>
            <w:tcBorders>
              <w:top w:val="single" w:sz="4" w:space="0" w:color="auto"/>
              <w:left w:val="nil"/>
              <w:bottom w:val="single" w:sz="4" w:space="0" w:color="auto"/>
              <w:right w:val="nil"/>
            </w:tcBorders>
            <w:shd w:val="clear" w:color="auto" w:fill="auto"/>
          </w:tcPr>
          <w:p w14:paraId="73E0F7C8" w14:textId="759388DB" w:rsidR="00B322FD" w:rsidRPr="008A6D5D" w:rsidRDefault="00CA3C11" w:rsidP="0077180B">
            <w:pPr>
              <w:keepNext/>
              <w:spacing w:line="240" w:lineRule="auto"/>
              <w:jc w:val="right"/>
              <w:rPr>
                <w:rFonts w:ascii="Fira Sans" w:hAnsi="Fira Sans"/>
              </w:rPr>
            </w:pPr>
            <w:r w:rsidRPr="00EE3AA4">
              <w:rPr>
                <w:rFonts w:ascii="Fira Sans" w:hAnsi="Fira Sans"/>
              </w:rPr>
              <w:t xml:space="preserve"> &gt;$200 </w:t>
            </w:r>
          </w:p>
        </w:tc>
      </w:tr>
      <w:tr w:rsidR="00B322FD" w14:paraId="3FA85B35" w14:textId="77777777" w:rsidTr="003653E4">
        <w:trPr>
          <w:trHeight w:val="260"/>
        </w:trPr>
        <w:tc>
          <w:tcPr>
            <w:tcW w:w="1889" w:type="dxa"/>
            <w:tcBorders>
              <w:top w:val="single" w:sz="4" w:space="0" w:color="auto"/>
              <w:bottom w:val="single" w:sz="4" w:space="0" w:color="auto"/>
            </w:tcBorders>
          </w:tcPr>
          <w:p w14:paraId="3283341B" w14:textId="77777777" w:rsidR="00B322FD" w:rsidRPr="008A6D5D" w:rsidRDefault="00B322FD" w:rsidP="0077180B">
            <w:pPr>
              <w:keepNext/>
              <w:spacing w:line="240" w:lineRule="auto"/>
              <w:rPr>
                <w:rFonts w:ascii="Fira Sans" w:hAnsi="Fira Sans"/>
                <w:b/>
              </w:rPr>
            </w:pPr>
            <w:r w:rsidRPr="008A6D5D">
              <w:rPr>
                <w:rFonts w:ascii="Fira Sans" w:hAnsi="Fira Sans"/>
                <w:b/>
              </w:rPr>
              <w:t>Total</w:t>
            </w:r>
          </w:p>
        </w:tc>
        <w:tc>
          <w:tcPr>
            <w:tcW w:w="1741" w:type="dxa"/>
            <w:tcBorders>
              <w:top w:val="single" w:sz="4" w:space="0" w:color="auto"/>
              <w:left w:val="nil"/>
              <w:bottom w:val="single" w:sz="4" w:space="0" w:color="auto"/>
              <w:right w:val="nil"/>
            </w:tcBorders>
            <w:shd w:val="clear" w:color="auto" w:fill="auto"/>
          </w:tcPr>
          <w:p w14:paraId="6E72BA6F" w14:textId="2389332D" w:rsidR="00B322FD" w:rsidRPr="003653E4" w:rsidRDefault="00B322FD" w:rsidP="0077180B">
            <w:pPr>
              <w:keepNext/>
              <w:spacing w:line="240" w:lineRule="auto"/>
              <w:jc w:val="right"/>
              <w:rPr>
                <w:rFonts w:ascii="Fira Sans" w:hAnsi="Fira Sans"/>
              </w:rPr>
            </w:pPr>
            <w:r w:rsidRPr="003653E4">
              <w:rPr>
                <w:rFonts w:ascii="Fira Sans" w:hAnsi="Fira Sans"/>
              </w:rPr>
              <w:t xml:space="preserve"> 4,</w:t>
            </w:r>
            <w:r w:rsidR="00CA3C11" w:rsidRPr="003653E4">
              <w:rPr>
                <w:rFonts w:ascii="Fira Sans" w:hAnsi="Fira Sans"/>
              </w:rPr>
              <w:t>206</w:t>
            </w:r>
            <w:r w:rsidRPr="003653E4">
              <w:rPr>
                <w:rFonts w:ascii="Fira Sans" w:hAnsi="Fira Sans"/>
              </w:rPr>
              <w:t xml:space="preserve"> </w:t>
            </w:r>
          </w:p>
        </w:tc>
        <w:tc>
          <w:tcPr>
            <w:tcW w:w="1741" w:type="dxa"/>
            <w:tcBorders>
              <w:top w:val="single" w:sz="4" w:space="0" w:color="auto"/>
              <w:left w:val="nil"/>
              <w:bottom w:val="single" w:sz="4" w:space="0" w:color="auto"/>
              <w:right w:val="nil"/>
            </w:tcBorders>
            <w:shd w:val="clear" w:color="auto" w:fill="auto"/>
          </w:tcPr>
          <w:p w14:paraId="4267313B" w14:textId="37F62083" w:rsidR="00B322FD" w:rsidRPr="003653E4" w:rsidRDefault="00CA3C11" w:rsidP="0077180B">
            <w:pPr>
              <w:keepNext/>
              <w:spacing w:line="240" w:lineRule="auto"/>
              <w:jc w:val="right"/>
              <w:rPr>
                <w:rFonts w:ascii="Fira Sans" w:hAnsi="Fira Sans"/>
              </w:rPr>
            </w:pPr>
            <w:r w:rsidRPr="003653E4">
              <w:rPr>
                <w:rFonts w:ascii="Fira Sans" w:hAnsi="Fira Sans"/>
              </w:rPr>
              <w:t xml:space="preserve"> 1</w:t>
            </w:r>
            <w:r>
              <w:rPr>
                <w:rFonts w:ascii="Fira Sans" w:hAnsi="Fira Sans"/>
              </w:rPr>
              <w:t>75</w:t>
            </w:r>
            <w:r w:rsidRPr="003653E4">
              <w:rPr>
                <w:rFonts w:ascii="Fira Sans" w:hAnsi="Fira Sans"/>
              </w:rPr>
              <w:t xml:space="preserve"> </w:t>
            </w:r>
          </w:p>
        </w:tc>
        <w:tc>
          <w:tcPr>
            <w:tcW w:w="1736" w:type="dxa"/>
            <w:tcBorders>
              <w:top w:val="single" w:sz="4" w:space="0" w:color="auto"/>
              <w:left w:val="nil"/>
              <w:bottom w:val="single" w:sz="4" w:space="0" w:color="auto"/>
              <w:right w:val="nil"/>
            </w:tcBorders>
            <w:shd w:val="clear" w:color="auto" w:fill="auto"/>
          </w:tcPr>
          <w:p w14:paraId="0BD8767C" w14:textId="14C3ECE9" w:rsidR="00B322FD" w:rsidRPr="008A6D5D" w:rsidRDefault="00B322FD" w:rsidP="0077180B">
            <w:pPr>
              <w:keepNext/>
              <w:spacing w:line="240" w:lineRule="auto"/>
              <w:jc w:val="right"/>
              <w:rPr>
                <w:rFonts w:ascii="Fira Sans" w:hAnsi="Fira Sans"/>
                <w:b/>
              </w:rPr>
            </w:pPr>
            <w:r w:rsidRPr="008A6D5D">
              <w:rPr>
                <w:rFonts w:ascii="Fira Sans" w:hAnsi="Fira Sans"/>
                <w:b/>
              </w:rPr>
              <w:t xml:space="preserve"> $</w:t>
            </w:r>
            <w:r w:rsidR="00CA3C11" w:rsidRPr="003653E4">
              <w:rPr>
                <w:rFonts w:ascii="Fira Sans" w:hAnsi="Fira Sans"/>
                <w:b/>
                <w:bCs/>
              </w:rPr>
              <w:t>750</w:t>
            </w:r>
            <w:r w:rsidRPr="008A6D5D">
              <w:rPr>
                <w:rFonts w:ascii="Fira Sans" w:hAnsi="Fira Sans"/>
                <w:b/>
              </w:rPr>
              <w:t xml:space="preserve"> </w:t>
            </w:r>
          </w:p>
        </w:tc>
        <w:tc>
          <w:tcPr>
            <w:tcW w:w="1737" w:type="dxa"/>
            <w:tcBorders>
              <w:top w:val="single" w:sz="4" w:space="0" w:color="auto"/>
              <w:left w:val="nil"/>
              <w:bottom w:val="single" w:sz="4" w:space="0" w:color="auto"/>
              <w:right w:val="nil"/>
            </w:tcBorders>
            <w:shd w:val="clear" w:color="auto" w:fill="auto"/>
          </w:tcPr>
          <w:p w14:paraId="0A46228E" w14:textId="784A0B3E" w:rsidR="00B322FD" w:rsidRPr="001B0434" w:rsidRDefault="00CA3C11" w:rsidP="0077180B">
            <w:pPr>
              <w:keepNext/>
              <w:spacing w:line="240" w:lineRule="auto"/>
              <w:jc w:val="right"/>
              <w:rPr>
                <w:rFonts w:ascii="Fira Sans" w:hAnsi="Fira Sans"/>
                <w:b/>
                <w:bCs/>
              </w:rPr>
            </w:pPr>
            <w:r w:rsidRPr="00EE3AA4">
              <w:rPr>
                <w:rFonts w:ascii="Fira Sans" w:hAnsi="Fira Sans"/>
              </w:rPr>
              <w:t xml:space="preserve"> </w:t>
            </w:r>
            <w:r w:rsidRPr="00EE3AA4">
              <w:rPr>
                <w:rFonts w:ascii="Fira Sans" w:hAnsi="Fira Sans"/>
                <w:b/>
                <w:bCs/>
              </w:rPr>
              <w:t xml:space="preserve">$150 </w:t>
            </w:r>
          </w:p>
        </w:tc>
      </w:tr>
    </w:tbl>
    <w:p w14:paraId="38BFCDE1" w14:textId="4B9E3891" w:rsidR="00B322FD" w:rsidRPr="00894CBC" w:rsidRDefault="00B322FD" w:rsidP="00B322FD">
      <w:pPr>
        <w:pStyle w:val="Source"/>
      </w:pPr>
      <w:r w:rsidRPr="00894CBC">
        <w:t>Source: Practitioner numbers were calculated using ABS 2021 Census audiology figures by jurisdiction applied to estimates of practitioners seeking registration in FY2</w:t>
      </w:r>
      <w:r w:rsidR="00500994">
        <w:t>9</w:t>
      </w:r>
      <w:r w:rsidRPr="00894CBC">
        <w:t>.</w:t>
      </w:r>
    </w:p>
    <w:p w14:paraId="314A1179" w14:textId="77777777" w:rsidR="00B322FD" w:rsidRPr="00707E6B" w:rsidRDefault="00B322FD" w:rsidP="00894CBC">
      <w:pPr>
        <w:pStyle w:val="BodyText"/>
        <w:rPr>
          <w:u w:val="single"/>
        </w:rPr>
      </w:pPr>
      <w:r w:rsidRPr="00707E6B">
        <w:rPr>
          <w:u w:val="single"/>
        </w:rPr>
        <w:t>Application fees</w:t>
      </w:r>
    </w:p>
    <w:p w14:paraId="018D158B" w14:textId="09DE2530" w:rsidR="00B322FD" w:rsidRDefault="00B322FD" w:rsidP="00894CBC">
      <w:pPr>
        <w:pStyle w:val="BodyText"/>
      </w:pPr>
      <w:r>
        <w:t xml:space="preserve">Similar to </w:t>
      </w:r>
      <w:r w:rsidR="009D65B6">
        <w:t>National Registration</w:t>
      </w:r>
      <w:r>
        <w:t>, a one-off application fee covering assessment of suitability to practise would be charged for first-time registrants. I</w:t>
      </w:r>
      <w:r w:rsidRPr="001D627F">
        <w:t>t is assumed that the one-off application fe</w:t>
      </w:r>
      <w:r>
        <w:t xml:space="preserve">e would be equivalent to the annual registration fee. It is assumed that dual registrants would only incur a </w:t>
      </w:r>
      <w:r w:rsidR="00967492">
        <w:t>application</w:t>
      </w:r>
      <w:r>
        <w:t xml:space="preserve"> fee in their </w:t>
      </w:r>
      <w:r w:rsidR="008C457C">
        <w:t xml:space="preserve">first </w:t>
      </w:r>
      <w:r>
        <w:t xml:space="preserve">jurisdiction of operation (i.e., they would not pay the application fee twice). Using these assumptions, the ten-year annualised FY25 NPV cost of registration application fees is estimated at </w:t>
      </w:r>
      <w:r w:rsidRPr="002A3798">
        <w:t>$</w:t>
      </w:r>
      <w:r w:rsidR="009F7EFE" w:rsidRPr="009F7EFE">
        <w:t xml:space="preserve">327,478 </w:t>
      </w:r>
      <w:r>
        <w:t xml:space="preserve">per annum across the profession. </w:t>
      </w:r>
    </w:p>
    <w:p w14:paraId="1C802D05" w14:textId="77777777" w:rsidR="00B322FD" w:rsidRPr="00707E6B" w:rsidRDefault="00B322FD" w:rsidP="00894CBC">
      <w:pPr>
        <w:pStyle w:val="BodyText"/>
        <w:rPr>
          <w:u w:val="single"/>
        </w:rPr>
      </w:pPr>
      <w:r w:rsidRPr="00707E6B">
        <w:rPr>
          <w:u w:val="single"/>
        </w:rPr>
        <w:t>Professional indemnity insurance</w:t>
      </w:r>
    </w:p>
    <w:p w14:paraId="7C4BE325" w14:textId="6FC5C4CD" w:rsidR="00B322FD" w:rsidRDefault="00B322FD" w:rsidP="00894CBC">
      <w:pPr>
        <w:pStyle w:val="BodyText"/>
      </w:pPr>
      <w:r>
        <w:t xml:space="preserve">The South Australia </w:t>
      </w:r>
      <w:r w:rsidRPr="006C21F0">
        <w:rPr>
          <w:i/>
          <w:iCs/>
        </w:rPr>
        <w:t>Social Workers Registration Act 2021</w:t>
      </w:r>
      <w:r>
        <w:t xml:space="preserve"> does not require mandatory professional indemnity insurance for registered practitioners. It is therefore assumed that there would be no difference in professional indemnity insurance fees incurred across the profession relative to the </w:t>
      </w:r>
      <w:r w:rsidR="00A80F45">
        <w:t>Status Quo</w:t>
      </w:r>
      <w:r>
        <w:t>.</w:t>
      </w:r>
    </w:p>
    <w:p w14:paraId="0655EEFB" w14:textId="0011F005" w:rsidR="00B322FD" w:rsidRDefault="00707E6B" w:rsidP="00707E6B">
      <w:pPr>
        <w:pStyle w:val="Caption"/>
      </w:pPr>
      <w:r>
        <w:t xml:space="preserve">Table </w:t>
      </w:r>
      <w:fldSimple w:instr=" STYLEREF 1 \s ">
        <w:r w:rsidR="00F32107">
          <w:rPr>
            <w:noProof/>
          </w:rPr>
          <w:t>8</w:t>
        </w:r>
      </w:fldSimple>
      <w:r w:rsidR="008944FB">
        <w:t>.</w:t>
      </w:r>
      <w:fldSimple w:instr=" SEQ Table \* ARABIC \s 1 ">
        <w:r w:rsidR="00F32107">
          <w:rPr>
            <w:noProof/>
          </w:rPr>
          <w:t>24</w:t>
        </w:r>
      </w:fldSimple>
      <w:r>
        <w:t xml:space="preserve"> </w:t>
      </w:r>
      <w:r w:rsidR="00B322FD">
        <w:t>Ten-year NPV of registration fees and applications fees</w:t>
      </w:r>
      <w:r w:rsidR="00EB3B28">
        <w:t xml:space="preserve"> for Option 6</w:t>
      </w:r>
    </w:p>
    <w:tbl>
      <w:tblPr>
        <w:tblStyle w:val="BodyTable"/>
        <w:tblW w:w="8915" w:type="dxa"/>
        <w:tblLayout w:type="fixed"/>
        <w:tblLook w:val="04A0" w:firstRow="1" w:lastRow="0" w:firstColumn="1" w:lastColumn="0" w:noHBand="0" w:noVBand="1"/>
      </w:tblPr>
      <w:tblGrid>
        <w:gridCol w:w="993"/>
        <w:gridCol w:w="1842"/>
        <w:gridCol w:w="1520"/>
        <w:gridCol w:w="1520"/>
        <w:gridCol w:w="1520"/>
        <w:gridCol w:w="1520"/>
      </w:tblGrid>
      <w:tr w:rsidR="00177F5B" w14:paraId="0D5654DA" w14:textId="77777777" w:rsidTr="00BB77A8">
        <w:trPr>
          <w:cnfStyle w:val="100000000000" w:firstRow="1" w:lastRow="0" w:firstColumn="0" w:lastColumn="0" w:oddVBand="0" w:evenVBand="0" w:oddHBand="0" w:evenHBand="0" w:firstRowFirstColumn="0" w:firstRowLastColumn="0" w:lastRowFirstColumn="0" w:lastRowLastColumn="0"/>
          <w:trHeight w:val="672"/>
        </w:trPr>
        <w:tc>
          <w:tcPr>
            <w:tcW w:w="993" w:type="dxa"/>
          </w:tcPr>
          <w:p w14:paraId="29BDB7AD" w14:textId="77777777" w:rsidR="00177F5B" w:rsidRDefault="00177F5B" w:rsidP="00177F5B">
            <w:pPr>
              <w:spacing w:line="240" w:lineRule="auto"/>
            </w:pPr>
          </w:p>
        </w:tc>
        <w:tc>
          <w:tcPr>
            <w:tcW w:w="1842" w:type="dxa"/>
          </w:tcPr>
          <w:p w14:paraId="6E3C2CEE" w14:textId="77777777" w:rsidR="00177F5B" w:rsidRDefault="00177F5B" w:rsidP="00177F5B">
            <w:pPr>
              <w:spacing w:line="240" w:lineRule="auto"/>
            </w:pPr>
          </w:p>
        </w:tc>
        <w:tc>
          <w:tcPr>
            <w:tcW w:w="1520" w:type="dxa"/>
          </w:tcPr>
          <w:p w14:paraId="1834D29F"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7FC27C6B" w14:textId="3A78F35A"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520" w:type="dxa"/>
          </w:tcPr>
          <w:p w14:paraId="1609C410"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2E312011" w14:textId="36AF9033"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520" w:type="dxa"/>
          </w:tcPr>
          <w:p w14:paraId="4C77F62C" w14:textId="77777777" w:rsidR="00177F5B" w:rsidRDefault="00177F5B" w:rsidP="00177F5B">
            <w:pPr>
              <w:keepNext/>
              <w:spacing w:line="240" w:lineRule="auto"/>
              <w:ind w:left="113" w:right="113"/>
              <w:jc w:val="right"/>
              <w:rPr>
                <w:b/>
                <w:bCs/>
              </w:rPr>
            </w:pPr>
            <w:r>
              <w:rPr>
                <w:b/>
                <w:bCs/>
              </w:rPr>
              <w:t>Total NPV cost over ten-year period</w:t>
            </w:r>
          </w:p>
          <w:p w14:paraId="1EB15F05" w14:textId="17CD45D1" w:rsidR="00177F5B"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20" w:type="dxa"/>
          </w:tcPr>
          <w:p w14:paraId="596EF14D"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5E1CAE44" w14:textId="4AA51816"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AE6CE7" w14:paraId="0E066BF9" w14:textId="77777777" w:rsidTr="00BB77A8">
        <w:trPr>
          <w:trHeight w:val="222"/>
        </w:trPr>
        <w:tc>
          <w:tcPr>
            <w:tcW w:w="993" w:type="dxa"/>
            <w:vMerge w:val="restart"/>
          </w:tcPr>
          <w:p w14:paraId="4401E31F" w14:textId="77777777" w:rsidR="00AE6CE7" w:rsidRDefault="00AE6CE7" w:rsidP="00AE6CE7">
            <w:pPr>
              <w:spacing w:line="240" w:lineRule="auto"/>
            </w:pPr>
            <w:r>
              <w:t>FY25 NPV cost</w:t>
            </w:r>
          </w:p>
        </w:tc>
        <w:tc>
          <w:tcPr>
            <w:tcW w:w="1842" w:type="dxa"/>
          </w:tcPr>
          <w:p w14:paraId="1772F162" w14:textId="3C30826E" w:rsidR="00AE6CE7" w:rsidRDefault="00AE6CE7" w:rsidP="00AE6CE7">
            <w:pPr>
              <w:spacing w:line="240" w:lineRule="auto"/>
            </w:pPr>
            <w:r>
              <w:t>Registration fees</w:t>
            </w:r>
          </w:p>
        </w:tc>
        <w:tc>
          <w:tcPr>
            <w:tcW w:w="1520" w:type="dxa"/>
          </w:tcPr>
          <w:p w14:paraId="2FA2FD44" w14:textId="2C088F0D" w:rsidR="00AE6CE7" w:rsidRPr="00EB74A6" w:rsidRDefault="00AE6CE7" w:rsidP="00AE6CE7">
            <w:pPr>
              <w:spacing w:line="240" w:lineRule="auto"/>
              <w:ind w:left="113" w:right="113"/>
              <w:jc w:val="right"/>
            </w:pPr>
            <w:r w:rsidRPr="000F6B6B">
              <w:t xml:space="preserve"> $-   </w:t>
            </w:r>
          </w:p>
        </w:tc>
        <w:tc>
          <w:tcPr>
            <w:tcW w:w="1520" w:type="dxa"/>
          </w:tcPr>
          <w:p w14:paraId="1ADAEA2E" w14:textId="63AC1093" w:rsidR="00AE6CE7" w:rsidRPr="00EB74A6" w:rsidRDefault="00AE6CE7" w:rsidP="00AE6CE7">
            <w:pPr>
              <w:spacing w:line="240" w:lineRule="auto"/>
              <w:ind w:left="113" w:right="113"/>
              <w:jc w:val="right"/>
            </w:pPr>
            <w:r w:rsidRPr="000F6B6B">
              <w:t xml:space="preserve"> $13,265,479 </w:t>
            </w:r>
          </w:p>
        </w:tc>
        <w:tc>
          <w:tcPr>
            <w:tcW w:w="1520" w:type="dxa"/>
          </w:tcPr>
          <w:p w14:paraId="5B569D55" w14:textId="303121B9" w:rsidR="00AE6CE7" w:rsidRPr="00EB74A6" w:rsidRDefault="00AE6CE7" w:rsidP="00AE6CE7">
            <w:pPr>
              <w:spacing w:line="240" w:lineRule="auto"/>
              <w:ind w:left="113" w:right="113"/>
              <w:jc w:val="right"/>
            </w:pPr>
            <w:r w:rsidRPr="000F6B6B">
              <w:t xml:space="preserve"> $13,265,479 </w:t>
            </w:r>
          </w:p>
        </w:tc>
        <w:tc>
          <w:tcPr>
            <w:tcW w:w="1520" w:type="dxa"/>
          </w:tcPr>
          <w:p w14:paraId="24DEAFAE" w14:textId="09A74706" w:rsidR="00AE6CE7" w:rsidRPr="00EB74A6" w:rsidRDefault="00AE6CE7" w:rsidP="00AE6CE7">
            <w:pPr>
              <w:spacing w:line="240" w:lineRule="auto"/>
              <w:ind w:left="113" w:right="113"/>
              <w:jc w:val="right"/>
            </w:pPr>
            <w:r w:rsidRPr="000F6B6B">
              <w:t xml:space="preserve"> $1,326,548 </w:t>
            </w:r>
          </w:p>
        </w:tc>
      </w:tr>
      <w:tr w:rsidR="00EB3B28" w14:paraId="0913B596" w14:textId="77777777" w:rsidTr="00BB77A8">
        <w:trPr>
          <w:trHeight w:val="222"/>
        </w:trPr>
        <w:tc>
          <w:tcPr>
            <w:tcW w:w="993" w:type="dxa"/>
            <w:vMerge/>
          </w:tcPr>
          <w:p w14:paraId="2768E70E" w14:textId="77777777" w:rsidR="00EB3B28" w:rsidRDefault="00EB3B28" w:rsidP="00EB3B28">
            <w:pPr>
              <w:spacing w:line="240" w:lineRule="auto"/>
            </w:pPr>
          </w:p>
        </w:tc>
        <w:tc>
          <w:tcPr>
            <w:tcW w:w="1842" w:type="dxa"/>
          </w:tcPr>
          <w:p w14:paraId="7E74D561" w14:textId="77777777" w:rsidR="00EB3B28" w:rsidRDefault="00EB3B28" w:rsidP="00EB3B28">
            <w:pPr>
              <w:spacing w:line="240" w:lineRule="auto"/>
            </w:pPr>
            <w:r>
              <w:t>Application fees</w:t>
            </w:r>
          </w:p>
        </w:tc>
        <w:tc>
          <w:tcPr>
            <w:tcW w:w="1520" w:type="dxa"/>
          </w:tcPr>
          <w:p w14:paraId="632AED83" w14:textId="5F751194" w:rsidR="00EB3B28" w:rsidRPr="00EB74A6" w:rsidRDefault="007007E1" w:rsidP="00EB3B28">
            <w:pPr>
              <w:spacing w:line="240" w:lineRule="auto"/>
              <w:ind w:left="113" w:right="113"/>
              <w:jc w:val="right"/>
            </w:pPr>
            <w:r w:rsidRPr="002A201D">
              <w:t xml:space="preserve"> $2,493,696 </w:t>
            </w:r>
          </w:p>
        </w:tc>
        <w:tc>
          <w:tcPr>
            <w:tcW w:w="1520" w:type="dxa"/>
          </w:tcPr>
          <w:p w14:paraId="00E69D6D" w14:textId="29304E75" w:rsidR="00EB3B28" w:rsidRPr="00EB74A6" w:rsidRDefault="007007E1" w:rsidP="00EB3B28">
            <w:pPr>
              <w:spacing w:line="240" w:lineRule="auto"/>
              <w:ind w:left="113" w:right="113"/>
              <w:jc w:val="right"/>
            </w:pPr>
            <w:r w:rsidRPr="002A201D">
              <w:t xml:space="preserve"> $781,088 </w:t>
            </w:r>
          </w:p>
        </w:tc>
        <w:tc>
          <w:tcPr>
            <w:tcW w:w="1520" w:type="dxa"/>
          </w:tcPr>
          <w:p w14:paraId="2A32021E" w14:textId="3D3EA35D" w:rsidR="00EB3B28" w:rsidRPr="00EB74A6" w:rsidRDefault="007007E1" w:rsidP="00EB3B28">
            <w:pPr>
              <w:spacing w:line="240" w:lineRule="auto"/>
              <w:ind w:left="113" w:right="113"/>
              <w:jc w:val="right"/>
            </w:pPr>
            <w:r w:rsidRPr="002A201D">
              <w:t xml:space="preserve"> $3,274,784 </w:t>
            </w:r>
          </w:p>
        </w:tc>
        <w:tc>
          <w:tcPr>
            <w:tcW w:w="1520" w:type="dxa"/>
          </w:tcPr>
          <w:p w14:paraId="5B87F01F" w14:textId="270DFDDB" w:rsidR="00EB3B28" w:rsidRPr="00EB74A6" w:rsidRDefault="007007E1" w:rsidP="00EB3B28">
            <w:pPr>
              <w:spacing w:line="240" w:lineRule="auto"/>
              <w:ind w:left="113" w:right="113"/>
              <w:jc w:val="right"/>
            </w:pPr>
            <w:r w:rsidRPr="002A201D">
              <w:t xml:space="preserve"> $327,478 </w:t>
            </w:r>
          </w:p>
        </w:tc>
      </w:tr>
    </w:tbl>
    <w:p w14:paraId="5429EEE4" w14:textId="77777777" w:rsidR="00B322FD" w:rsidRPr="006C21F0" w:rsidRDefault="00B322FD" w:rsidP="00B322FD"/>
    <w:p w14:paraId="67BE91E5" w14:textId="77777777" w:rsidR="00B322FD" w:rsidRPr="00C26ED9" w:rsidRDefault="00B322FD" w:rsidP="00BB77A8">
      <w:pPr>
        <w:pStyle w:val="Heading4"/>
      </w:pPr>
      <w:bookmarkStart w:id="288" w:name="_Ref172708103"/>
      <w:r w:rsidRPr="00C26ED9">
        <w:t xml:space="preserve">Change in elective </w:t>
      </w:r>
      <w:r w:rsidRPr="00BB77A8">
        <w:t>fees</w:t>
      </w:r>
      <w:r w:rsidRPr="00C26ED9">
        <w:t xml:space="preserve"> (i.e., PPB membership)</w:t>
      </w:r>
      <w:bookmarkEnd w:id="288"/>
    </w:p>
    <w:p w14:paraId="14EFDBB4" w14:textId="7B2A0E67" w:rsidR="00B322FD" w:rsidRDefault="00B322FD" w:rsidP="00BB77A8">
      <w:pPr>
        <w:pStyle w:val="BodyText"/>
      </w:pPr>
      <w:r>
        <w:t>I</w:t>
      </w:r>
      <w:r w:rsidRPr="003B7D8F">
        <w:t xml:space="preserve">t is assumed that clinician requirements for government-funded schemes will be updated to require </w:t>
      </w:r>
      <w:r w:rsidR="00F14414">
        <w:t>jurisdictional registration</w:t>
      </w:r>
      <w:r w:rsidRPr="003B7D8F">
        <w:t>, rather than</w:t>
      </w:r>
      <w:r>
        <w:t xml:space="preserve"> PPB</w:t>
      </w:r>
      <w:r w:rsidRPr="003B7D8F">
        <w:t xml:space="preserve"> membership and</w:t>
      </w:r>
      <w:r w:rsidR="00D22B16">
        <w:t>/or</w:t>
      </w:r>
      <w:r w:rsidRPr="003B7D8F">
        <w:t xml:space="preserve"> current clinical certification.</w:t>
      </w:r>
      <w:r>
        <w:t xml:space="preserve"> </w:t>
      </w:r>
      <w:r w:rsidR="00A65761">
        <w:t>Thus,</w:t>
      </w:r>
      <w:r w:rsidRPr="000C3D3D">
        <w:t xml:space="preserve"> </w:t>
      </w:r>
      <w:r w:rsidR="00D22B16">
        <w:t>fees are</w:t>
      </w:r>
      <w:r w:rsidRPr="000C3D3D">
        <w:t xml:space="preserve"> expected to be</w:t>
      </w:r>
      <w:r w:rsidR="00266974">
        <w:t>come</w:t>
      </w:r>
      <w:r w:rsidRPr="000C3D3D">
        <w:t xml:space="preserve"> elective.</w:t>
      </w:r>
      <w:r>
        <w:t xml:space="preserve"> Despite this, it is assumed that due to the range of professional benefits associated with membership, the current proportion of the workforce with PPB membership will retain PPB membership if </w:t>
      </w:r>
      <w:r w:rsidR="00050432">
        <w:t>Option 6</w:t>
      </w:r>
      <w:r>
        <w:t xml:space="preserve"> is introduced.</w:t>
      </w:r>
    </w:p>
    <w:p w14:paraId="50CC563E" w14:textId="4DA46BD6" w:rsidR="00B322FD" w:rsidRDefault="00B322FD" w:rsidP="00BB77A8">
      <w:pPr>
        <w:pStyle w:val="BodyText"/>
      </w:pPr>
      <w:r>
        <w:t xml:space="preserve">A move to </w:t>
      </w:r>
      <w:r w:rsidR="009D65B6">
        <w:t>Jurisdictional Registration</w:t>
      </w:r>
      <w:r>
        <w:t xml:space="preserve"> will see some PPB regulatory functions become redundant to audiologists</w:t>
      </w:r>
      <w:r w:rsidR="00563122">
        <w:t xml:space="preserve"> i</w:t>
      </w:r>
      <w:r w:rsidR="006B2362">
        <w:t>n that jurisdiction</w:t>
      </w:r>
      <w:r>
        <w:t xml:space="preserve">. The avoided administrative costs associated with these functions is expected to reduce annual membership fees. It is conservatively assumed that annual membership fees would be reduced by 10% under </w:t>
      </w:r>
      <w:r w:rsidR="00050432">
        <w:t>Option 6</w:t>
      </w:r>
      <w:r>
        <w:t xml:space="preserve">. </w:t>
      </w:r>
      <w:r w:rsidR="00A652E0">
        <w:t>As per the rationale for Option 7</w:t>
      </w:r>
      <w:r>
        <w:t>, this equates</w:t>
      </w:r>
      <w:r w:rsidRPr="00D1335D">
        <w:t xml:space="preserve"> to </w:t>
      </w:r>
      <w:r>
        <w:t xml:space="preserve">an avoided ten-year annualised FY25 NPV cost of </w:t>
      </w:r>
      <w:r w:rsidRPr="0024711A">
        <w:t>$</w:t>
      </w:r>
      <w:r w:rsidR="009179F0" w:rsidRPr="009179F0">
        <w:t xml:space="preserve">150,051 </w:t>
      </w:r>
      <w:r>
        <w:t>across the profession.</w:t>
      </w:r>
      <w:r w:rsidR="00491F77">
        <w:t xml:space="preserve"> This cost saving would accrue to audiologists.</w:t>
      </w:r>
    </w:p>
    <w:p w14:paraId="4A1557CC" w14:textId="5C26D7DF" w:rsidR="00B322FD" w:rsidRDefault="00E36890" w:rsidP="00BB77A8">
      <w:pPr>
        <w:pStyle w:val="Caption"/>
      </w:pPr>
      <w:r>
        <w:t xml:space="preserve">Table </w:t>
      </w:r>
      <w:fldSimple w:instr=" STYLEREF 1 \s ">
        <w:r w:rsidR="00F32107">
          <w:rPr>
            <w:noProof/>
          </w:rPr>
          <w:t>8</w:t>
        </w:r>
      </w:fldSimple>
      <w:r w:rsidR="008944FB">
        <w:t>.</w:t>
      </w:r>
      <w:fldSimple w:instr=" SEQ Table \* ARABIC \s 1 ">
        <w:r w:rsidR="00F32107">
          <w:rPr>
            <w:noProof/>
          </w:rPr>
          <w:t>25</w:t>
        </w:r>
      </w:fldSimple>
      <w:r>
        <w:t xml:space="preserve"> T</w:t>
      </w:r>
      <w:r w:rsidR="00B322FD">
        <w:t xml:space="preserve">en-year NPV of reduced elective membership fees under </w:t>
      </w:r>
      <w:r w:rsidR="00D2581D">
        <w:t>Option 6</w:t>
      </w:r>
    </w:p>
    <w:tbl>
      <w:tblPr>
        <w:tblStyle w:val="BodyTable"/>
        <w:tblW w:w="0" w:type="auto"/>
        <w:tblLook w:val="04A0" w:firstRow="1" w:lastRow="0" w:firstColumn="1" w:lastColumn="0" w:noHBand="0" w:noVBand="1"/>
      </w:tblPr>
      <w:tblGrid>
        <w:gridCol w:w="1680"/>
        <w:gridCol w:w="1900"/>
        <w:gridCol w:w="1846"/>
        <w:gridCol w:w="1822"/>
        <w:gridCol w:w="1596"/>
      </w:tblGrid>
      <w:tr w:rsidR="00177F5B" w14:paraId="56B6E41D" w14:textId="77777777" w:rsidTr="00177F5B">
        <w:trPr>
          <w:cnfStyle w:val="100000000000" w:firstRow="1" w:lastRow="0" w:firstColumn="0" w:lastColumn="0" w:oddVBand="0" w:evenVBand="0" w:oddHBand="0" w:evenHBand="0" w:firstRowFirstColumn="0" w:firstRowLastColumn="0" w:lastRowFirstColumn="0" w:lastRowLastColumn="0"/>
          <w:trHeight w:val="699"/>
        </w:trPr>
        <w:tc>
          <w:tcPr>
            <w:tcW w:w="1680" w:type="dxa"/>
          </w:tcPr>
          <w:p w14:paraId="2FD60DB1" w14:textId="77777777" w:rsidR="00177F5B" w:rsidRDefault="00177F5B" w:rsidP="00177F5B">
            <w:pPr>
              <w:spacing w:line="240" w:lineRule="auto"/>
            </w:pPr>
          </w:p>
        </w:tc>
        <w:tc>
          <w:tcPr>
            <w:tcW w:w="1900" w:type="dxa"/>
          </w:tcPr>
          <w:p w14:paraId="7C9A4F9A"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1B0FA2D4" w14:textId="0FA96778"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Pr>
          <w:p w14:paraId="735C5AA6"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3F47774B" w14:textId="42E99EB0"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22" w:type="dxa"/>
          </w:tcPr>
          <w:p w14:paraId="57038F86" w14:textId="77777777" w:rsidR="00177F5B" w:rsidRDefault="00177F5B" w:rsidP="00177F5B">
            <w:pPr>
              <w:keepNext/>
              <w:spacing w:line="240" w:lineRule="auto"/>
              <w:ind w:left="113" w:right="113"/>
              <w:jc w:val="right"/>
              <w:rPr>
                <w:b/>
                <w:bCs/>
              </w:rPr>
            </w:pPr>
            <w:r>
              <w:rPr>
                <w:b/>
                <w:bCs/>
              </w:rPr>
              <w:t>Total NPV cost over ten-year period</w:t>
            </w:r>
          </w:p>
          <w:p w14:paraId="42E9B3E1" w14:textId="6441A296"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6" w:type="dxa"/>
          </w:tcPr>
          <w:p w14:paraId="0D197DCD"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01A5F50F" w14:textId="49A5CCE2"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E65078" w14:paraId="6408C141" w14:textId="77777777" w:rsidTr="00177F5B">
        <w:trPr>
          <w:trHeight w:val="232"/>
        </w:trPr>
        <w:tc>
          <w:tcPr>
            <w:tcW w:w="1680" w:type="dxa"/>
          </w:tcPr>
          <w:p w14:paraId="415A180F" w14:textId="77777777" w:rsidR="00E65078" w:rsidRDefault="00E65078" w:rsidP="00E65078">
            <w:pPr>
              <w:spacing w:line="240" w:lineRule="auto"/>
            </w:pPr>
            <w:r>
              <w:t>FY25 NPV cost</w:t>
            </w:r>
          </w:p>
        </w:tc>
        <w:tc>
          <w:tcPr>
            <w:tcW w:w="1900" w:type="dxa"/>
          </w:tcPr>
          <w:p w14:paraId="3859CF7E" w14:textId="5419BC0C" w:rsidR="00E65078" w:rsidRPr="009E67F2" w:rsidRDefault="009179F0" w:rsidP="00E65078">
            <w:pPr>
              <w:spacing w:line="240" w:lineRule="auto"/>
              <w:jc w:val="right"/>
            </w:pPr>
            <w:r w:rsidRPr="004A6DFC">
              <w:t xml:space="preserve">-$160,479 </w:t>
            </w:r>
          </w:p>
        </w:tc>
        <w:tc>
          <w:tcPr>
            <w:tcW w:w="1846" w:type="dxa"/>
          </w:tcPr>
          <w:p w14:paraId="6879D8A8" w14:textId="7A4FEC93" w:rsidR="00E65078" w:rsidRPr="009E67F2" w:rsidRDefault="009179F0" w:rsidP="00E65078">
            <w:pPr>
              <w:spacing w:line="240" w:lineRule="auto"/>
              <w:jc w:val="right"/>
            </w:pPr>
            <w:r w:rsidRPr="004A6DFC">
              <w:t xml:space="preserve">-$1,340,035 </w:t>
            </w:r>
          </w:p>
        </w:tc>
        <w:tc>
          <w:tcPr>
            <w:tcW w:w="1822" w:type="dxa"/>
          </w:tcPr>
          <w:p w14:paraId="2579949A" w14:textId="6733C9E6" w:rsidR="00E65078" w:rsidRPr="009E67F2" w:rsidRDefault="009179F0" w:rsidP="00E65078">
            <w:pPr>
              <w:spacing w:line="240" w:lineRule="auto"/>
              <w:jc w:val="right"/>
            </w:pPr>
            <w:r w:rsidRPr="004A6DFC">
              <w:t xml:space="preserve">-$1,500,513 </w:t>
            </w:r>
          </w:p>
        </w:tc>
        <w:tc>
          <w:tcPr>
            <w:tcW w:w="1596" w:type="dxa"/>
          </w:tcPr>
          <w:p w14:paraId="44469D2E" w14:textId="48D55831" w:rsidR="00E65078" w:rsidRPr="009E67F2" w:rsidRDefault="009179F0" w:rsidP="00E65078">
            <w:pPr>
              <w:spacing w:line="240" w:lineRule="auto"/>
              <w:jc w:val="right"/>
            </w:pPr>
            <w:r w:rsidRPr="004A6DFC">
              <w:t xml:space="preserve">-$150,051 </w:t>
            </w:r>
          </w:p>
        </w:tc>
      </w:tr>
    </w:tbl>
    <w:p w14:paraId="3EEAC8C2" w14:textId="77777777" w:rsidR="00B322FD" w:rsidRDefault="00B322FD" w:rsidP="00B322FD"/>
    <w:p w14:paraId="502494C4" w14:textId="77777777" w:rsidR="00B322FD" w:rsidRDefault="00B322FD" w:rsidP="00552B07">
      <w:pPr>
        <w:pStyle w:val="Heading4"/>
      </w:pPr>
      <w:r w:rsidRPr="00C26ED9">
        <w:t xml:space="preserve">Change in </w:t>
      </w:r>
      <w:r w:rsidRPr="00552B07">
        <w:t>compliance</w:t>
      </w:r>
      <w:r w:rsidRPr="00C26ED9">
        <w:t xml:space="preserve"> costs</w:t>
      </w:r>
      <w:r>
        <w:t xml:space="preserve"> for all employers</w:t>
      </w:r>
    </w:p>
    <w:p w14:paraId="172248D1" w14:textId="72921810" w:rsidR="00B322FD" w:rsidRPr="002D6655" w:rsidRDefault="00B322FD" w:rsidP="00552B07">
      <w:pPr>
        <w:pStyle w:val="BodyText"/>
      </w:pPr>
      <w:r>
        <w:t>Costs</w:t>
      </w:r>
      <w:r w:rsidRPr="00421C96">
        <w:t xml:space="preserve"> may be incurred related to </w:t>
      </w:r>
      <w:r>
        <w:t xml:space="preserve">marketing and </w:t>
      </w:r>
      <w:r w:rsidRPr="00421C96">
        <w:t xml:space="preserve">business </w:t>
      </w:r>
      <w:r>
        <w:t>materials</w:t>
      </w:r>
      <w:r w:rsidRPr="00421C96">
        <w:t xml:space="preserve"> as </w:t>
      </w:r>
      <w:r>
        <w:t xml:space="preserve">they relate to protection of title, and regulatory requirements and associated employer compliance obligations under </w:t>
      </w:r>
      <w:r w:rsidR="001A272C">
        <w:t>Option 6</w:t>
      </w:r>
      <w:r>
        <w:t xml:space="preserve">. These costs would be multiplied </w:t>
      </w:r>
      <w:r w:rsidR="00373260">
        <w:t>if businesses practised across</w:t>
      </w:r>
      <w:r>
        <w:t xml:space="preserve"> jurisdictions </w:t>
      </w:r>
      <w:r w:rsidR="00373260">
        <w:t xml:space="preserve">that </w:t>
      </w:r>
      <w:r w:rsidR="00802142">
        <w:t xml:space="preserve">made different </w:t>
      </w:r>
      <w:r w:rsidR="001A272C">
        <w:t>jurisdictional registration</w:t>
      </w:r>
      <w:r w:rsidR="00BB4760">
        <w:t xml:space="preserve"> decisions</w:t>
      </w:r>
      <w:r>
        <w:t>, however businesses operating with a national footprint would be limited to a few large organisations. These costs are not able to be estimated at this time</w:t>
      </w:r>
      <w:r w:rsidR="00A7009A">
        <w:t>, however</w:t>
      </w:r>
      <w:r w:rsidR="00213B56">
        <w:t xml:space="preserve"> to the extent that Boards </w:t>
      </w:r>
      <w:r w:rsidR="00C30C0B">
        <w:t>had</w:t>
      </w:r>
      <w:r w:rsidR="00213B56">
        <w:t xml:space="preserve"> </w:t>
      </w:r>
      <w:r w:rsidR="00C30C0B">
        <w:t xml:space="preserve">similar compliance offerings as Ahpra (e.g., free bulk checks) and business materials were able to be </w:t>
      </w:r>
      <w:r w:rsidR="005E40B0">
        <w:t>updated ahead of implementation at the sam</w:t>
      </w:r>
      <w:r w:rsidR="00354465">
        <w:t>e time as</w:t>
      </w:r>
      <w:r w:rsidR="007E1F65">
        <w:t xml:space="preserve"> other</w:t>
      </w:r>
      <w:r w:rsidR="00354465">
        <w:t xml:space="preserve"> business-as-usual </w:t>
      </w:r>
      <w:r w:rsidR="007E1F65">
        <w:t xml:space="preserve">materials </w:t>
      </w:r>
      <w:r w:rsidR="005E40B0">
        <w:t>updates, compliance costs should be</w:t>
      </w:r>
      <w:r w:rsidR="00D60661">
        <w:t xml:space="preserve"> </w:t>
      </w:r>
      <w:r w:rsidR="007E1F65">
        <w:t>lessened</w:t>
      </w:r>
      <w:r w:rsidR="005E40B0">
        <w:t>.</w:t>
      </w:r>
    </w:p>
    <w:p w14:paraId="19504A67" w14:textId="73168B09" w:rsidR="00B322FD" w:rsidRPr="00C26ED9" w:rsidRDefault="00B322FD" w:rsidP="00552B07">
      <w:pPr>
        <w:pStyle w:val="Heading4"/>
      </w:pPr>
      <w:r w:rsidRPr="00C26ED9">
        <w:t xml:space="preserve">Change in fees for </w:t>
      </w:r>
      <w:r w:rsidRPr="00552B07">
        <w:t>accreditation</w:t>
      </w:r>
      <w:r w:rsidR="00BC26A9">
        <w:t xml:space="preserve"> of universities</w:t>
      </w:r>
    </w:p>
    <w:p w14:paraId="3843080B" w14:textId="4B70274B" w:rsidR="00B322FD" w:rsidRDefault="00B322FD" w:rsidP="00552B07">
      <w:pPr>
        <w:pStyle w:val="BodyText"/>
      </w:pPr>
      <w:r>
        <w:t xml:space="preserve">If more than one </w:t>
      </w:r>
      <w:r w:rsidR="00D55509">
        <w:t>State and Territory</w:t>
      </w:r>
      <w:r>
        <w:t xml:space="preserve"> adopted </w:t>
      </w:r>
      <w:r w:rsidR="007E1F65">
        <w:t>Option 6</w:t>
      </w:r>
      <w:r>
        <w:t xml:space="preserve">, it is unlikely that they would each appoint their own accreditation authority (e.g., establishing an accreditation committee or engaging an external accreditation agency). To minimise duplicated costs to universities, it is anticipated that there would be efforts to harmonise the enforceable standards and processes for accreditation of university programs. It is assumed that one national accreditation authority would be established, in line with the approach used for registered professions prior to the </w:t>
      </w:r>
      <w:r w:rsidR="0095757A">
        <w:t>National Scheme</w:t>
      </w:r>
      <w:r>
        <w:t>.</w:t>
      </w:r>
      <w:r>
        <w:rPr>
          <w:rStyle w:val="FootnoteReference"/>
        </w:rPr>
        <w:footnoteReference w:id="274"/>
      </w:r>
      <w:r>
        <w:t xml:space="preserve"> It is assumed that the costs associated with the national accreditation authority or Board is equivalent to the accreditation fee schedule under </w:t>
      </w:r>
      <w:r w:rsidR="0095757A">
        <w:t xml:space="preserve">Option </w:t>
      </w:r>
      <w:r w:rsidR="00A23CA2">
        <w:t>7</w:t>
      </w:r>
      <w:r>
        <w:t xml:space="preserve">. Using the cost assumptions outlined in Section </w:t>
      </w:r>
      <w:r w:rsidR="00AE2127">
        <w:fldChar w:fldCharType="begin"/>
      </w:r>
      <w:r w:rsidR="00AE2127">
        <w:instrText xml:space="preserve"> REF _Ref171090828 \r \h </w:instrText>
      </w:r>
      <w:r w:rsidR="00AE2127">
        <w:fldChar w:fldCharType="separate"/>
      </w:r>
      <w:r w:rsidR="00F32107">
        <w:t>8.2.3.12</w:t>
      </w:r>
      <w:r w:rsidR="00AE2127">
        <w:fldChar w:fldCharType="end"/>
      </w:r>
      <w:r>
        <w:t xml:space="preserve">, it is estimated that under </w:t>
      </w:r>
      <w:r w:rsidR="00A23CA2">
        <w:t>Option 6</w:t>
      </w:r>
      <w:r>
        <w:t xml:space="preserve"> the seven university programs will incur an annualised ten-year FY25 NPV cost of </w:t>
      </w:r>
      <w:r w:rsidRPr="0024711A">
        <w:t>$</w:t>
      </w:r>
      <w:r w:rsidR="00A44FA3">
        <w:t>8,</w:t>
      </w:r>
      <w:r w:rsidR="00B721F5">
        <w:t>019</w:t>
      </w:r>
      <w:r>
        <w:t xml:space="preserve"> across all university programs.</w:t>
      </w:r>
    </w:p>
    <w:p w14:paraId="3478D515" w14:textId="54A1EAA3" w:rsidR="00B322FD" w:rsidRDefault="00B322FD" w:rsidP="00552B07">
      <w:pPr>
        <w:pStyle w:val="BodyText"/>
      </w:pPr>
      <w:r>
        <w:t xml:space="preserve">It should be noted that this is a national fixed cost covered by each jurisdiction under a cost sharing arrangement. If only some jurisdictions adopt </w:t>
      </w:r>
      <w:r w:rsidR="00B721F5">
        <w:t>Option 7</w:t>
      </w:r>
      <w:r>
        <w:t xml:space="preserve">, the cost borne by each individual jurisdiction would be higher than if all eight states and territories adopted </w:t>
      </w:r>
      <w:r w:rsidR="00B721F5">
        <w:t>Option 6</w:t>
      </w:r>
      <w:r>
        <w:t>.</w:t>
      </w:r>
    </w:p>
    <w:p w14:paraId="1A9364AB" w14:textId="6172A7AD" w:rsidR="00B322FD" w:rsidRDefault="00552B07" w:rsidP="00552B07">
      <w:pPr>
        <w:pStyle w:val="Caption"/>
      </w:pPr>
      <w:bookmarkStart w:id="289" w:name="_Ref172806241"/>
      <w:r>
        <w:t xml:space="preserve">Table </w:t>
      </w:r>
      <w:fldSimple w:instr=" STYLEREF 1 \s ">
        <w:r w:rsidR="00F32107">
          <w:rPr>
            <w:noProof/>
          </w:rPr>
          <w:t>8</w:t>
        </w:r>
      </w:fldSimple>
      <w:r w:rsidR="008944FB">
        <w:t>.</w:t>
      </w:r>
      <w:fldSimple w:instr=" SEQ Table \* ARABIC \s 1 ">
        <w:r w:rsidR="00F32107">
          <w:rPr>
            <w:noProof/>
          </w:rPr>
          <w:t>26</w:t>
        </w:r>
      </w:fldSimple>
      <w:bookmarkEnd w:id="289"/>
      <w:r>
        <w:t xml:space="preserve"> </w:t>
      </w:r>
      <w:r w:rsidR="00B322FD">
        <w:t xml:space="preserve">Ten-year NPV of change in accreditation fees under </w:t>
      </w:r>
      <w:r w:rsidR="00A2137D">
        <w:t>Jurisdictional Registration</w:t>
      </w:r>
    </w:p>
    <w:tbl>
      <w:tblPr>
        <w:tblStyle w:val="BodyTable"/>
        <w:tblW w:w="0" w:type="auto"/>
        <w:tblLook w:val="04A0" w:firstRow="1" w:lastRow="0" w:firstColumn="1" w:lastColumn="0" w:noHBand="0" w:noVBand="1"/>
      </w:tblPr>
      <w:tblGrid>
        <w:gridCol w:w="1681"/>
        <w:gridCol w:w="1900"/>
        <w:gridCol w:w="1846"/>
        <w:gridCol w:w="1821"/>
        <w:gridCol w:w="1596"/>
      </w:tblGrid>
      <w:tr w:rsidR="00177F5B" w14:paraId="4A233C66" w14:textId="77777777" w:rsidTr="00177F5B">
        <w:trPr>
          <w:cnfStyle w:val="100000000000" w:firstRow="1" w:lastRow="0" w:firstColumn="0" w:lastColumn="0" w:oddVBand="0" w:evenVBand="0" w:oddHBand="0" w:evenHBand="0" w:firstRowFirstColumn="0" w:firstRowLastColumn="0" w:lastRowFirstColumn="0" w:lastRowLastColumn="0"/>
          <w:trHeight w:val="25"/>
        </w:trPr>
        <w:tc>
          <w:tcPr>
            <w:tcW w:w="1681" w:type="dxa"/>
          </w:tcPr>
          <w:p w14:paraId="2389A607" w14:textId="77777777" w:rsidR="00177F5B" w:rsidRDefault="00177F5B" w:rsidP="00177F5B">
            <w:pPr>
              <w:spacing w:line="240" w:lineRule="auto"/>
            </w:pPr>
          </w:p>
        </w:tc>
        <w:tc>
          <w:tcPr>
            <w:tcW w:w="1900" w:type="dxa"/>
          </w:tcPr>
          <w:p w14:paraId="6DBA23CC"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5A05694C" w14:textId="4EE72C6F"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Pr>
          <w:p w14:paraId="0713EC46"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129306DD" w14:textId="4F5B8E42"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21" w:type="dxa"/>
          </w:tcPr>
          <w:p w14:paraId="498C3202" w14:textId="77777777" w:rsidR="00177F5B" w:rsidRDefault="00177F5B" w:rsidP="00177F5B">
            <w:pPr>
              <w:keepNext/>
              <w:spacing w:line="240" w:lineRule="auto"/>
              <w:ind w:left="113" w:right="113"/>
              <w:jc w:val="right"/>
              <w:rPr>
                <w:b/>
                <w:bCs/>
              </w:rPr>
            </w:pPr>
            <w:r>
              <w:rPr>
                <w:b/>
                <w:bCs/>
              </w:rPr>
              <w:t>Total NPV cost over ten-year period</w:t>
            </w:r>
          </w:p>
          <w:p w14:paraId="6239F2F1" w14:textId="56C5AEE3"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6" w:type="dxa"/>
          </w:tcPr>
          <w:p w14:paraId="49864C5F"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389869E5" w14:textId="766328D7"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A23CA2" w14:paraId="1737B090" w14:textId="77777777" w:rsidTr="00177F5B">
        <w:trPr>
          <w:trHeight w:val="232"/>
        </w:trPr>
        <w:tc>
          <w:tcPr>
            <w:tcW w:w="1681" w:type="dxa"/>
          </w:tcPr>
          <w:p w14:paraId="44D0F676" w14:textId="77777777" w:rsidR="00A23CA2" w:rsidRDefault="00A23CA2" w:rsidP="00A23CA2">
            <w:pPr>
              <w:spacing w:line="240" w:lineRule="auto"/>
            </w:pPr>
            <w:r>
              <w:t>FY25 NPV cost</w:t>
            </w:r>
          </w:p>
        </w:tc>
        <w:tc>
          <w:tcPr>
            <w:tcW w:w="1900" w:type="dxa"/>
          </w:tcPr>
          <w:p w14:paraId="1F8BEBCE" w14:textId="5522B48B" w:rsidR="00A23CA2" w:rsidRPr="009E67F2" w:rsidRDefault="00A23CA2" w:rsidP="00A23CA2">
            <w:pPr>
              <w:spacing w:line="240" w:lineRule="auto"/>
              <w:jc w:val="right"/>
            </w:pPr>
            <w:r w:rsidRPr="00CA4B74">
              <w:t xml:space="preserve"> $139,524 </w:t>
            </w:r>
          </w:p>
        </w:tc>
        <w:tc>
          <w:tcPr>
            <w:tcW w:w="1846" w:type="dxa"/>
          </w:tcPr>
          <w:p w14:paraId="55E1F6A1" w14:textId="2F751CD4" w:rsidR="00A23CA2" w:rsidRPr="009E67F2" w:rsidRDefault="00A23CA2" w:rsidP="00A23CA2">
            <w:pPr>
              <w:spacing w:line="240" w:lineRule="auto"/>
              <w:jc w:val="right"/>
            </w:pPr>
            <w:r w:rsidRPr="00CA4B74">
              <w:t xml:space="preserve">-$59,338 </w:t>
            </w:r>
          </w:p>
        </w:tc>
        <w:tc>
          <w:tcPr>
            <w:tcW w:w="1821" w:type="dxa"/>
          </w:tcPr>
          <w:p w14:paraId="58BF728D" w14:textId="3ADFACCF" w:rsidR="00A23CA2" w:rsidRPr="009E67F2" w:rsidRDefault="00A23CA2" w:rsidP="00A23CA2">
            <w:pPr>
              <w:spacing w:line="240" w:lineRule="auto"/>
              <w:jc w:val="right"/>
            </w:pPr>
            <w:r w:rsidRPr="00CA4B74">
              <w:t xml:space="preserve"> $80,186 </w:t>
            </w:r>
          </w:p>
        </w:tc>
        <w:tc>
          <w:tcPr>
            <w:tcW w:w="1596" w:type="dxa"/>
          </w:tcPr>
          <w:p w14:paraId="439A72EC" w14:textId="31F55917" w:rsidR="00A23CA2" w:rsidRPr="009E67F2" w:rsidRDefault="00A23CA2" w:rsidP="00A23CA2">
            <w:pPr>
              <w:spacing w:line="240" w:lineRule="auto"/>
              <w:jc w:val="right"/>
            </w:pPr>
            <w:r w:rsidRPr="00CA4B74">
              <w:t xml:space="preserve"> $8,019 </w:t>
            </w:r>
          </w:p>
        </w:tc>
      </w:tr>
    </w:tbl>
    <w:p w14:paraId="4E7D3C35" w14:textId="77777777" w:rsidR="00B322FD" w:rsidRDefault="00B322FD" w:rsidP="00B322FD"/>
    <w:p w14:paraId="357BAA6D" w14:textId="77777777" w:rsidR="00B322FD" w:rsidRDefault="00B322FD" w:rsidP="00552B07">
      <w:pPr>
        <w:pStyle w:val="Heading4"/>
      </w:pPr>
      <w:r w:rsidRPr="00552B07">
        <w:t>Establishment</w:t>
      </w:r>
      <w:r>
        <w:t xml:space="preserve"> costs</w:t>
      </w:r>
    </w:p>
    <w:p w14:paraId="6445E406" w14:textId="32870F53" w:rsidR="00B322FD" w:rsidRDefault="00B322FD" w:rsidP="00552B07">
      <w:pPr>
        <w:pStyle w:val="BodyText"/>
      </w:pPr>
      <w:r>
        <w:t>In the first three years</w:t>
      </w:r>
      <w:r w:rsidRPr="00133447">
        <w:t xml:space="preserve"> leading </w:t>
      </w:r>
      <w:r>
        <w:t xml:space="preserve">up </w:t>
      </w:r>
      <w:r w:rsidRPr="00133447">
        <w:t xml:space="preserve">to registration, </w:t>
      </w:r>
      <w:r>
        <w:t xml:space="preserve">each </w:t>
      </w:r>
      <w:r w:rsidR="00D55509">
        <w:t>State and Territory</w:t>
      </w:r>
      <w:r>
        <w:t xml:space="preserve"> Board</w:t>
      </w:r>
      <w:r w:rsidRPr="00133447">
        <w:t xml:space="preserve"> </w:t>
      </w:r>
      <w:r>
        <w:t>will incur a range of upfront costs. This will include costs associated with both the policy work (e.g., scope of practice scoping) and general administration such as legal advice</w:t>
      </w:r>
      <w:r w:rsidRPr="001E009D">
        <w:t xml:space="preserve">, publicity and advertising, </w:t>
      </w:r>
      <w:r>
        <w:t xml:space="preserve">development of </w:t>
      </w:r>
      <w:r w:rsidRPr="001E009D">
        <w:t>application materials</w:t>
      </w:r>
      <w:r>
        <w:t>,</w:t>
      </w:r>
      <w:r w:rsidRPr="001E009D">
        <w:t xml:space="preserve"> </w:t>
      </w:r>
      <w:r>
        <w:t>information and technology systems, and office space</w:t>
      </w:r>
      <w:r w:rsidRPr="001E009D">
        <w:t>.</w:t>
      </w:r>
      <w:r w:rsidR="00C83391">
        <w:t xml:space="preserve"> Registration and application fees paid by registrants would not commence until </w:t>
      </w:r>
      <w:r w:rsidR="003A70D9">
        <w:t>the ‘Go-Live’ date, and as such establishment costs in the period before this time</w:t>
      </w:r>
      <w:r w:rsidR="00D13137">
        <w:t xml:space="preserve"> </w:t>
      </w:r>
      <w:r w:rsidR="003A70D9">
        <w:t>require a source of funding.</w:t>
      </w:r>
    </w:p>
    <w:p w14:paraId="5E8EA077" w14:textId="14226982" w:rsidR="00BE7F11" w:rsidRDefault="00B322FD" w:rsidP="00552B07">
      <w:pPr>
        <w:pStyle w:val="BodyText"/>
      </w:pPr>
      <w:r>
        <w:t xml:space="preserve">The establishment costs associated with enacting </w:t>
      </w:r>
      <w:r w:rsidR="00A2137D">
        <w:t>Jurisdictional Registration</w:t>
      </w:r>
      <w:r>
        <w:t xml:space="preserve"> for social work in South Australia was budgeted at $4.7 million over four years.</w:t>
      </w:r>
      <w:r>
        <w:rPr>
          <w:rStyle w:val="FootnoteReference"/>
        </w:rPr>
        <w:footnoteReference w:id="275"/>
      </w:r>
      <w:r>
        <w:t xml:space="preserve"> It is assumed that if </w:t>
      </w:r>
      <w:r w:rsidR="009D65B6">
        <w:t>Jurisdictional Registration</w:t>
      </w:r>
      <w:r>
        <w:t xml:space="preserve"> </w:t>
      </w:r>
      <w:r w:rsidR="00E000D0">
        <w:t xml:space="preserve">was enacted for </w:t>
      </w:r>
      <w:r w:rsidR="00FC2F4F">
        <w:t>audiologists</w:t>
      </w:r>
      <w:r w:rsidR="00E000D0">
        <w:t xml:space="preserve"> </w:t>
      </w:r>
      <w:r>
        <w:t xml:space="preserve">, the establishment cost would be </w:t>
      </w:r>
      <w:r w:rsidR="00FF358F">
        <w:t>lowered by 10%</w:t>
      </w:r>
      <w:r>
        <w:t xml:space="preserve"> </w:t>
      </w:r>
      <w:r w:rsidR="00E000D0">
        <w:t xml:space="preserve">due to efficiencies from key </w:t>
      </w:r>
      <w:r w:rsidR="00E30238">
        <w:t>learnings</w:t>
      </w:r>
      <w:r>
        <w:t xml:space="preserve">. To scale these figures nationally, it is assumed that </w:t>
      </w:r>
      <w:r w:rsidR="000E4028">
        <w:t>2</w:t>
      </w:r>
      <w:r w:rsidR="00261F0C">
        <w:t>0</w:t>
      </w:r>
      <w:r>
        <w:t xml:space="preserve">% of the establishment costs are associated with the policy work, which would typically only be completed by one jurisdiction even in cases where multiple states and territories establish their own Board. The remaining </w:t>
      </w:r>
      <w:r w:rsidR="000E4028">
        <w:t>8</w:t>
      </w:r>
      <w:r>
        <w:t xml:space="preserve">0% of establishment costs associated with general administration would be incurred by each jurisdiction. Using these assumptions, it is estimated that the annualised ten-year FY25 NPV establishment cost of </w:t>
      </w:r>
      <w:r w:rsidR="009D65B6">
        <w:t>Jurisdictional Registration</w:t>
      </w:r>
      <w:r w:rsidR="00EB78EF">
        <w:t xml:space="preserve"> </w:t>
      </w:r>
      <w:r>
        <w:t xml:space="preserve">is </w:t>
      </w:r>
      <w:r w:rsidR="00EB78EF" w:rsidRPr="00EB78EF">
        <w:t>$</w:t>
      </w:r>
      <w:r w:rsidR="00855767">
        <w:t>2,</w:t>
      </w:r>
      <w:r w:rsidR="00815A03">
        <w:t>361,091</w:t>
      </w:r>
      <w:r w:rsidR="00B442BC">
        <w:t xml:space="preserve"> </w:t>
      </w:r>
      <w:r>
        <w:t>across all jurisdictions.</w:t>
      </w:r>
      <w:r w:rsidR="00997260">
        <w:t xml:space="preserve"> This is cost is borne by </w:t>
      </w:r>
      <w:r w:rsidR="00D55509">
        <w:t>State and Territory</w:t>
      </w:r>
      <w:r w:rsidR="00997260">
        <w:t xml:space="preserve"> governments.</w:t>
      </w:r>
    </w:p>
    <w:p w14:paraId="1D1A7867" w14:textId="48F9BD80" w:rsidR="00122FCC" w:rsidRDefault="00122FCC" w:rsidP="00552B07">
      <w:pPr>
        <w:pStyle w:val="BodyText"/>
      </w:pPr>
      <w:r>
        <w:t xml:space="preserve">Similar to rationale under Option 7, the cost for the NSW HPCA to establish an audiology Health Professions Council is also included in </w:t>
      </w:r>
      <w:r w:rsidR="001947E5">
        <w:t>Option 6.</w:t>
      </w:r>
    </w:p>
    <w:p w14:paraId="6B52C361" w14:textId="00BA90CB" w:rsidR="00B322FD" w:rsidRDefault="00566211" w:rsidP="008D346B">
      <w:pPr>
        <w:pStyle w:val="Caption"/>
        <w:keepNext/>
      </w:pPr>
      <w:r>
        <w:t xml:space="preserve">Table </w:t>
      </w:r>
      <w:fldSimple w:instr=" STYLEREF 1 \s ">
        <w:r w:rsidR="00F32107">
          <w:rPr>
            <w:noProof/>
          </w:rPr>
          <w:t>8</w:t>
        </w:r>
      </w:fldSimple>
      <w:r w:rsidR="008944FB">
        <w:t>.</w:t>
      </w:r>
      <w:fldSimple w:instr=" SEQ Table \* ARABIC \s 1 ">
        <w:r w:rsidR="00F32107">
          <w:rPr>
            <w:noProof/>
          </w:rPr>
          <w:t>27</w:t>
        </w:r>
      </w:fldSimple>
      <w:r w:rsidR="00B322FD">
        <w:t xml:space="preserve"> Ten-year NPV of establishment costs under </w:t>
      </w:r>
      <w:r w:rsidR="00EB78EF">
        <w:t>Option 6</w:t>
      </w:r>
    </w:p>
    <w:tbl>
      <w:tblPr>
        <w:tblStyle w:val="BodyTable"/>
        <w:tblW w:w="0" w:type="auto"/>
        <w:tblLook w:val="04A0" w:firstRow="1" w:lastRow="0" w:firstColumn="1" w:lastColumn="0" w:noHBand="0" w:noVBand="1"/>
      </w:tblPr>
      <w:tblGrid>
        <w:gridCol w:w="1918"/>
        <w:gridCol w:w="1661"/>
        <w:gridCol w:w="1846"/>
        <w:gridCol w:w="1823"/>
        <w:gridCol w:w="1596"/>
      </w:tblGrid>
      <w:tr w:rsidR="00177F5B" w14:paraId="70885215" w14:textId="77777777" w:rsidTr="00177F5B">
        <w:trPr>
          <w:cnfStyle w:val="100000000000" w:firstRow="1" w:lastRow="0" w:firstColumn="0" w:lastColumn="0" w:oddVBand="0" w:evenVBand="0" w:oddHBand="0" w:evenHBand="0" w:firstRowFirstColumn="0" w:firstRowLastColumn="0" w:lastRowFirstColumn="0" w:lastRowLastColumn="0"/>
          <w:trHeight w:val="25"/>
        </w:trPr>
        <w:tc>
          <w:tcPr>
            <w:tcW w:w="1918" w:type="dxa"/>
          </w:tcPr>
          <w:p w14:paraId="611E5E7E" w14:textId="77777777" w:rsidR="00177F5B" w:rsidRDefault="00177F5B" w:rsidP="00177F5B">
            <w:pPr>
              <w:spacing w:line="240" w:lineRule="auto"/>
            </w:pPr>
          </w:p>
        </w:tc>
        <w:tc>
          <w:tcPr>
            <w:tcW w:w="1661" w:type="dxa"/>
          </w:tcPr>
          <w:p w14:paraId="77C6DC12"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7A0CD14F" w14:textId="431FFC88"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Pr>
          <w:p w14:paraId="78E3E790"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5884F2A2" w14:textId="02B386E3"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23" w:type="dxa"/>
          </w:tcPr>
          <w:p w14:paraId="19E0485D" w14:textId="77777777" w:rsidR="00177F5B" w:rsidRDefault="00177F5B" w:rsidP="00177F5B">
            <w:pPr>
              <w:keepNext/>
              <w:spacing w:line="240" w:lineRule="auto"/>
              <w:ind w:left="113" w:right="113"/>
              <w:jc w:val="right"/>
              <w:rPr>
                <w:b/>
                <w:bCs/>
              </w:rPr>
            </w:pPr>
            <w:r>
              <w:rPr>
                <w:b/>
                <w:bCs/>
              </w:rPr>
              <w:t>Total NPV cost over ten-year period</w:t>
            </w:r>
          </w:p>
          <w:p w14:paraId="336C6C10" w14:textId="325B9D42"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6" w:type="dxa"/>
          </w:tcPr>
          <w:p w14:paraId="2963E4A2"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3211D0E9" w14:textId="0FC7D811"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612752" w14:paraId="50502A72" w14:textId="77777777" w:rsidTr="00177F5B">
        <w:trPr>
          <w:trHeight w:val="232"/>
        </w:trPr>
        <w:tc>
          <w:tcPr>
            <w:tcW w:w="1918" w:type="dxa"/>
          </w:tcPr>
          <w:p w14:paraId="38C1EEDC" w14:textId="1BF1C150" w:rsidR="00612752" w:rsidRDefault="00BE7F11" w:rsidP="00612752">
            <w:pPr>
              <w:spacing w:line="240" w:lineRule="auto"/>
            </w:pPr>
            <w:r>
              <w:t xml:space="preserve">Establishment costs </w:t>
            </w:r>
            <w:r w:rsidR="00612752">
              <w:t>FY25 NPV cost</w:t>
            </w:r>
          </w:p>
        </w:tc>
        <w:tc>
          <w:tcPr>
            <w:tcW w:w="1661" w:type="dxa"/>
          </w:tcPr>
          <w:p w14:paraId="02F531E3" w14:textId="07458BD2" w:rsidR="00612752" w:rsidRPr="009E67F2" w:rsidRDefault="00B442BC" w:rsidP="00612752">
            <w:pPr>
              <w:spacing w:line="240" w:lineRule="auto"/>
              <w:jc w:val="right"/>
            </w:pPr>
            <w:r w:rsidRPr="00B402E1">
              <w:t xml:space="preserve"> $23,610,912 </w:t>
            </w:r>
          </w:p>
        </w:tc>
        <w:tc>
          <w:tcPr>
            <w:tcW w:w="1846" w:type="dxa"/>
          </w:tcPr>
          <w:p w14:paraId="13877B47" w14:textId="1211BBDA" w:rsidR="00612752" w:rsidRPr="009E67F2" w:rsidRDefault="00B442BC" w:rsidP="00612752">
            <w:pPr>
              <w:spacing w:line="240" w:lineRule="auto"/>
              <w:jc w:val="right"/>
            </w:pPr>
            <w:r w:rsidRPr="00B402E1">
              <w:t xml:space="preserve"> $-   </w:t>
            </w:r>
          </w:p>
        </w:tc>
        <w:tc>
          <w:tcPr>
            <w:tcW w:w="1823" w:type="dxa"/>
          </w:tcPr>
          <w:p w14:paraId="4F9113E8" w14:textId="4D605563" w:rsidR="00612752" w:rsidRPr="009E67F2" w:rsidRDefault="00B442BC" w:rsidP="00612752">
            <w:pPr>
              <w:spacing w:line="240" w:lineRule="auto"/>
              <w:jc w:val="right"/>
            </w:pPr>
            <w:r w:rsidRPr="00B402E1">
              <w:t xml:space="preserve"> $23,610,912 </w:t>
            </w:r>
          </w:p>
        </w:tc>
        <w:tc>
          <w:tcPr>
            <w:tcW w:w="1596" w:type="dxa"/>
          </w:tcPr>
          <w:p w14:paraId="0BB59635" w14:textId="03B8A3D7" w:rsidR="00612752" w:rsidRPr="009E67F2" w:rsidRDefault="00B442BC" w:rsidP="00612752">
            <w:pPr>
              <w:spacing w:line="240" w:lineRule="auto"/>
              <w:jc w:val="right"/>
            </w:pPr>
            <w:r w:rsidRPr="00B402E1">
              <w:t xml:space="preserve"> $2,361,091 </w:t>
            </w:r>
          </w:p>
        </w:tc>
      </w:tr>
      <w:tr w:rsidR="000D799C" w14:paraId="7551A22F" w14:textId="77777777" w:rsidTr="00177F5B">
        <w:trPr>
          <w:trHeight w:val="232"/>
        </w:trPr>
        <w:tc>
          <w:tcPr>
            <w:tcW w:w="1918" w:type="dxa"/>
          </w:tcPr>
          <w:p w14:paraId="6F925214" w14:textId="07936E5C" w:rsidR="000D799C" w:rsidRDefault="000D799C" w:rsidP="000D799C">
            <w:pPr>
              <w:spacing w:line="240" w:lineRule="auto"/>
            </w:pPr>
            <w:r>
              <w:t>HPCA Establishment costs FY25 NPV costs</w:t>
            </w:r>
          </w:p>
        </w:tc>
        <w:tc>
          <w:tcPr>
            <w:tcW w:w="1661" w:type="dxa"/>
          </w:tcPr>
          <w:p w14:paraId="5B63BC21" w14:textId="105D71BC" w:rsidR="000D799C" w:rsidRPr="000727BA" w:rsidRDefault="000D799C" w:rsidP="000D799C">
            <w:pPr>
              <w:spacing w:line="240" w:lineRule="auto"/>
              <w:jc w:val="right"/>
            </w:pPr>
            <w:r w:rsidRPr="0030735C">
              <w:t xml:space="preserve"> $80,893 </w:t>
            </w:r>
          </w:p>
        </w:tc>
        <w:tc>
          <w:tcPr>
            <w:tcW w:w="1846" w:type="dxa"/>
          </w:tcPr>
          <w:p w14:paraId="1C35295D" w14:textId="6BE0FB75" w:rsidR="000D799C" w:rsidRPr="000727BA" w:rsidRDefault="000D799C" w:rsidP="000D799C">
            <w:pPr>
              <w:spacing w:line="240" w:lineRule="auto"/>
              <w:jc w:val="right"/>
            </w:pPr>
            <w:r w:rsidRPr="0030735C">
              <w:t xml:space="preserve"> $-   </w:t>
            </w:r>
          </w:p>
        </w:tc>
        <w:tc>
          <w:tcPr>
            <w:tcW w:w="1823" w:type="dxa"/>
          </w:tcPr>
          <w:p w14:paraId="3E80936D" w14:textId="311BA041" w:rsidR="000D799C" w:rsidRPr="000727BA" w:rsidRDefault="000D799C" w:rsidP="000D799C">
            <w:pPr>
              <w:spacing w:line="240" w:lineRule="auto"/>
              <w:jc w:val="right"/>
            </w:pPr>
            <w:r w:rsidRPr="0030735C">
              <w:t xml:space="preserve"> $80,893 </w:t>
            </w:r>
          </w:p>
        </w:tc>
        <w:tc>
          <w:tcPr>
            <w:tcW w:w="1596" w:type="dxa"/>
          </w:tcPr>
          <w:p w14:paraId="65A490BD" w14:textId="0BDFB50F" w:rsidR="000D799C" w:rsidRPr="000727BA" w:rsidRDefault="000D799C" w:rsidP="000D799C">
            <w:pPr>
              <w:spacing w:line="240" w:lineRule="auto"/>
              <w:jc w:val="right"/>
            </w:pPr>
            <w:r w:rsidRPr="0030735C">
              <w:t xml:space="preserve"> $8,089 </w:t>
            </w:r>
          </w:p>
        </w:tc>
      </w:tr>
    </w:tbl>
    <w:p w14:paraId="2E794449" w14:textId="77777777" w:rsidR="00B322FD" w:rsidRPr="00505D4B" w:rsidRDefault="00B322FD" w:rsidP="00B322FD"/>
    <w:p w14:paraId="7D3D7B6F" w14:textId="77777777" w:rsidR="00B322FD" w:rsidRDefault="00B322FD" w:rsidP="008D346B">
      <w:pPr>
        <w:pStyle w:val="Heading4"/>
      </w:pPr>
      <w:r w:rsidRPr="00C26ED9">
        <w:t xml:space="preserve">Change in </w:t>
      </w:r>
      <w:r w:rsidRPr="008D346B">
        <w:t>compensation</w:t>
      </w:r>
      <w:r w:rsidRPr="00C26ED9">
        <w:t xml:space="preserve"> claims and reputational harm</w:t>
      </w:r>
      <w:r>
        <w:t xml:space="preserve"> for government services and agencies</w:t>
      </w:r>
    </w:p>
    <w:p w14:paraId="3AB54623" w14:textId="094A6F2E" w:rsidR="00B322FD" w:rsidRPr="005E2A02" w:rsidRDefault="00B322FD" w:rsidP="008D346B">
      <w:pPr>
        <w:pStyle w:val="BodyText"/>
      </w:pPr>
      <w:r>
        <w:t xml:space="preserve">It was not possible to estimate the volume and severity of avoided cases of substandard care under </w:t>
      </w:r>
      <w:r w:rsidR="00CD2E89">
        <w:t>Option 6</w:t>
      </w:r>
      <w:r>
        <w:t>. To this end, the change in compensation claims is not valued.</w:t>
      </w:r>
    </w:p>
    <w:p w14:paraId="57508D72" w14:textId="77777777" w:rsidR="00B322FD" w:rsidRPr="00C26ED9" w:rsidRDefault="00B322FD" w:rsidP="008D346B">
      <w:pPr>
        <w:pStyle w:val="Heading4"/>
      </w:pPr>
      <w:r>
        <w:t>Implementation cost for legislative change</w:t>
      </w:r>
    </w:p>
    <w:p w14:paraId="484F3B5C" w14:textId="5D721FA8" w:rsidR="00B322FD" w:rsidRPr="007E33B0" w:rsidRDefault="0068058D" w:rsidP="008D346B">
      <w:pPr>
        <w:pStyle w:val="BodyText"/>
      </w:pPr>
      <w:r>
        <w:t>Statutory registration</w:t>
      </w:r>
      <w:r w:rsidRPr="00DC4815">
        <w:t xml:space="preserve"> of the </w:t>
      </w:r>
      <w:r>
        <w:t xml:space="preserve">audiology </w:t>
      </w:r>
      <w:r w:rsidRPr="00DC4815">
        <w:t xml:space="preserve">profession under </w:t>
      </w:r>
      <w:r>
        <w:t xml:space="preserve">separate State and Territory Boards would require </w:t>
      </w:r>
      <w:r w:rsidR="00A835CF">
        <w:t xml:space="preserve">amendments to </w:t>
      </w:r>
      <w:r w:rsidR="00D55509">
        <w:t>State and Territory</w:t>
      </w:r>
      <w:r w:rsidR="00A835CF">
        <w:t xml:space="preserve"> laws</w:t>
      </w:r>
      <w:r w:rsidRPr="00DC4815">
        <w:t xml:space="preserve">. </w:t>
      </w:r>
      <w:r w:rsidR="003910D5">
        <w:t xml:space="preserve">The costs associated with the legislative amendments </w:t>
      </w:r>
      <w:r w:rsidR="00B51EF8">
        <w:t xml:space="preserve">in each jurisdiction </w:t>
      </w:r>
      <w:r w:rsidR="003910D5">
        <w:t>is not known at this time</w:t>
      </w:r>
      <w:r w:rsidR="00CC7BD6">
        <w:t xml:space="preserve">, and </w:t>
      </w:r>
      <w:r w:rsidR="008548F8">
        <w:t xml:space="preserve">based on feedback provided for Option 7 </w:t>
      </w:r>
      <w:r w:rsidR="00726A4A">
        <w:t>there</w:t>
      </w:r>
      <w:r w:rsidR="00726A4A" w:rsidRPr="00726A4A">
        <w:t xml:space="preserve"> </w:t>
      </w:r>
      <w:r w:rsidR="008548F8">
        <w:t>is</w:t>
      </w:r>
      <w:r w:rsidR="00726A4A" w:rsidRPr="00726A4A">
        <w:t xml:space="preserve"> considerable uncertainty regarding </w:t>
      </w:r>
      <w:r w:rsidR="008548F8">
        <w:t>this</w:t>
      </w:r>
      <w:r w:rsidR="00726A4A" w:rsidRPr="00726A4A">
        <w:t xml:space="preserve"> </w:t>
      </w:r>
      <w:r w:rsidR="00CC7BD6">
        <w:t xml:space="preserve">type of cost </w:t>
      </w:r>
      <w:r w:rsidR="00726A4A" w:rsidRPr="00726A4A">
        <w:t>(including stakeholder views that this type of work is considered part of business-as-usual costs)</w:t>
      </w:r>
      <w:r w:rsidR="000F488E">
        <w:t>.</w:t>
      </w:r>
      <w:r w:rsidR="004C3013">
        <w:t xml:space="preserve"> </w:t>
      </w:r>
      <w:r w:rsidR="00533E5F">
        <w:t xml:space="preserve">To inform cost estimates, </w:t>
      </w:r>
      <w:r w:rsidR="00BE185F">
        <w:t xml:space="preserve">it is recommended that </w:t>
      </w:r>
      <w:r w:rsidR="0086447C">
        <w:t xml:space="preserve">the South Australian government </w:t>
      </w:r>
      <w:r w:rsidR="00BE185F">
        <w:t xml:space="preserve">is consulted </w:t>
      </w:r>
      <w:r w:rsidR="0086447C">
        <w:t xml:space="preserve">regarding the experience with </w:t>
      </w:r>
      <w:r w:rsidR="004C3013">
        <w:t xml:space="preserve">the </w:t>
      </w:r>
      <w:r w:rsidR="004C3013" w:rsidRPr="00605400">
        <w:t>Social Workers Registration</w:t>
      </w:r>
      <w:r w:rsidR="004C3013">
        <w:t xml:space="preserve"> Board </w:t>
      </w:r>
      <w:r w:rsidR="004C3013" w:rsidRPr="00605400">
        <w:t>of South Australia</w:t>
      </w:r>
      <w:r w:rsidR="004C3013">
        <w:t>.</w:t>
      </w:r>
    </w:p>
    <w:p w14:paraId="375F987F" w14:textId="57F83C09" w:rsidR="00AF4186" w:rsidRPr="007E33B0" w:rsidRDefault="00AF4186" w:rsidP="00AF4186">
      <w:pPr>
        <w:pStyle w:val="Heading4"/>
      </w:pPr>
      <w:bookmarkStart w:id="290" w:name="_Ref172728067"/>
      <w:r>
        <w:t>Competition and labour market impacts</w:t>
      </w:r>
      <w:bookmarkEnd w:id="290"/>
    </w:p>
    <w:p w14:paraId="7AA55B3D" w14:textId="1DDFDDFF" w:rsidR="0030599A" w:rsidRDefault="00552785" w:rsidP="00BA27F7">
      <w:pPr>
        <w:pStyle w:val="BodyText"/>
        <w:rPr>
          <w:kern w:val="0"/>
          <w:lang w:val="en-US"/>
          <w14:numSpacing w14:val="default"/>
        </w:rPr>
      </w:pPr>
      <w:r>
        <w:rPr>
          <w:kern w:val="0"/>
          <w:lang w:val="en-US"/>
          <w14:numSpacing w14:val="default"/>
        </w:rPr>
        <w:t xml:space="preserve">As </w:t>
      </w:r>
      <w:r w:rsidR="009D7615">
        <w:rPr>
          <w:kern w:val="0"/>
          <w:lang w:val="en-US"/>
          <w14:numSpacing w14:val="default"/>
        </w:rPr>
        <w:t xml:space="preserve">Option 6 </w:t>
      </w:r>
      <w:r>
        <w:rPr>
          <w:kern w:val="0"/>
          <w:lang w:val="en-US"/>
          <w14:numSpacing w14:val="default"/>
        </w:rPr>
        <w:t xml:space="preserve">is a protection of title model like </w:t>
      </w:r>
      <w:r w:rsidR="00AE5C48">
        <w:rPr>
          <w:kern w:val="0"/>
          <w:lang w:val="en-US"/>
          <w14:numSpacing w14:val="default"/>
        </w:rPr>
        <w:t>Option 7</w:t>
      </w:r>
      <w:r>
        <w:rPr>
          <w:kern w:val="0"/>
          <w:lang w:val="en-US"/>
          <w14:numSpacing w14:val="default"/>
        </w:rPr>
        <w:t xml:space="preserve">, the same potential competition effects outlined for </w:t>
      </w:r>
      <w:r w:rsidR="003866A4">
        <w:rPr>
          <w:kern w:val="0"/>
          <w:lang w:val="en-US"/>
          <w14:numSpacing w14:val="default"/>
        </w:rPr>
        <w:t>Option 7</w:t>
      </w:r>
      <w:r>
        <w:rPr>
          <w:kern w:val="0"/>
          <w:lang w:val="en-US"/>
          <w14:numSpacing w14:val="default"/>
        </w:rPr>
        <w:t xml:space="preserve"> </w:t>
      </w:r>
      <w:r w:rsidR="004D282F">
        <w:rPr>
          <w:kern w:val="0"/>
          <w:lang w:val="en-US"/>
          <w14:numSpacing w14:val="default"/>
        </w:rPr>
        <w:t xml:space="preserve">apply </w:t>
      </w:r>
      <w:r>
        <w:rPr>
          <w:kern w:val="0"/>
          <w:lang w:val="en-US"/>
          <w14:numSpacing w14:val="default"/>
        </w:rPr>
        <w:t xml:space="preserve">(see Section </w:t>
      </w:r>
      <w:r w:rsidR="000D4C5D">
        <w:rPr>
          <w:kern w:val="0"/>
          <w:lang w:val="en-US"/>
          <w14:numSpacing w14:val="default"/>
        </w:rPr>
        <w:fldChar w:fldCharType="begin"/>
      </w:r>
      <w:r w:rsidR="000D4C5D">
        <w:rPr>
          <w:kern w:val="0"/>
          <w:lang w:val="en-US"/>
          <w14:numSpacing w14:val="default"/>
        </w:rPr>
        <w:instrText xml:space="preserve"> REF _Ref172621278 \r \h </w:instrText>
      </w:r>
      <w:r w:rsidR="000D4C5D">
        <w:rPr>
          <w:kern w:val="0"/>
          <w:lang w:val="en-US"/>
          <w14:numSpacing w14:val="default"/>
        </w:rPr>
      </w:r>
      <w:r w:rsidR="000D4C5D">
        <w:rPr>
          <w:kern w:val="0"/>
          <w:lang w:val="en-US"/>
          <w14:numSpacing w14:val="default"/>
        </w:rPr>
        <w:fldChar w:fldCharType="separate"/>
      </w:r>
      <w:r w:rsidR="00F32107">
        <w:rPr>
          <w:kern w:val="0"/>
          <w:lang w:val="en-US"/>
          <w14:numSpacing w14:val="default"/>
        </w:rPr>
        <w:t>8.2.3.16</w:t>
      </w:r>
      <w:r w:rsidR="000D4C5D">
        <w:rPr>
          <w:kern w:val="0"/>
          <w:lang w:val="en-US"/>
          <w14:numSpacing w14:val="default"/>
        </w:rPr>
        <w:fldChar w:fldCharType="end"/>
      </w:r>
      <w:r w:rsidR="000D4C5D">
        <w:rPr>
          <w:kern w:val="0"/>
          <w:lang w:val="en-US"/>
          <w14:numSpacing w14:val="default"/>
        </w:rPr>
        <w:t>)</w:t>
      </w:r>
      <w:r w:rsidR="009D2332">
        <w:rPr>
          <w:kern w:val="0"/>
          <w:lang w:val="en-US"/>
          <w14:numSpacing w14:val="default"/>
        </w:rPr>
        <w:t xml:space="preserve">. </w:t>
      </w:r>
      <w:r w:rsidR="00521A04">
        <w:rPr>
          <w:kern w:val="0"/>
          <w:lang w:val="en-US"/>
          <w14:numSpacing w14:val="default"/>
        </w:rPr>
        <w:t>In addition,</w:t>
      </w:r>
      <w:r w:rsidR="003109ED">
        <w:rPr>
          <w:kern w:val="0"/>
          <w:lang w:val="en-US"/>
          <w14:numSpacing w14:val="default"/>
        </w:rPr>
        <w:t xml:space="preserve"> under </w:t>
      </w:r>
      <w:r w:rsidR="004D282F">
        <w:rPr>
          <w:kern w:val="0"/>
          <w:lang w:val="en-US"/>
          <w14:numSpacing w14:val="default"/>
        </w:rPr>
        <w:t>Option 6</w:t>
      </w:r>
      <w:r w:rsidR="0030599A">
        <w:rPr>
          <w:kern w:val="0"/>
          <w:lang w:val="en-US"/>
          <w14:numSpacing w14:val="default"/>
        </w:rPr>
        <w:t xml:space="preserve">: </w:t>
      </w:r>
    </w:p>
    <w:p w14:paraId="037DDB2B" w14:textId="3C303DF6" w:rsidR="0030599A" w:rsidRDefault="00AC41FF" w:rsidP="0030599A">
      <w:pPr>
        <w:pStyle w:val="ListBullet"/>
      </w:pPr>
      <w:r>
        <w:t xml:space="preserve">providers </w:t>
      </w:r>
      <w:r w:rsidR="0030599A" w:rsidRPr="0030599A">
        <w:t>may experience labour shortages and competition effects if audiologists choose to operate in a jurisdiction without registration or with lower mandatory registration fees</w:t>
      </w:r>
    </w:p>
    <w:p w14:paraId="19FF1310" w14:textId="20329566" w:rsidR="00BA27F7" w:rsidRPr="000E38E1" w:rsidRDefault="00067F3F" w:rsidP="00972F5E">
      <w:pPr>
        <w:pStyle w:val="ListBullet"/>
      </w:pPr>
      <w:r>
        <w:t xml:space="preserve">regional, rural or remote communities </w:t>
      </w:r>
      <w:r w:rsidR="00AC41FF">
        <w:t xml:space="preserve">who </w:t>
      </w:r>
      <w:r w:rsidR="003109ED">
        <w:t xml:space="preserve">rely on locum </w:t>
      </w:r>
      <w:r w:rsidR="00AC41FF">
        <w:t>audiologists practicing across jurisdictional</w:t>
      </w:r>
      <w:r>
        <w:t xml:space="preserve"> boundaries face additional friction due to the second registration fee required</w:t>
      </w:r>
      <w:r w:rsidR="00BF3847">
        <w:t>.</w:t>
      </w:r>
    </w:p>
    <w:p w14:paraId="72F4CC20" w14:textId="75F0BF36" w:rsidR="00E30651" w:rsidRDefault="00104CC9">
      <w:pPr>
        <w:rPr>
          <w:lang w:val="en-AU"/>
        </w:rPr>
      </w:pPr>
      <w:r>
        <w:br w:type="page"/>
      </w:r>
    </w:p>
    <w:p w14:paraId="22A5164F" w14:textId="3FEEBEF8" w:rsidR="00B322FD" w:rsidRDefault="00B322FD" w:rsidP="00094513">
      <w:pPr>
        <w:pStyle w:val="Heading3"/>
      </w:pPr>
      <w:bookmarkStart w:id="291" w:name="_Toc198138646"/>
      <w:r>
        <w:t xml:space="preserve">Summary of incremental impact </w:t>
      </w:r>
      <w:r w:rsidRPr="008D346B">
        <w:t>analysis</w:t>
      </w:r>
      <w:bookmarkEnd w:id="291"/>
    </w:p>
    <w:p w14:paraId="32559F07" w14:textId="689F22BA" w:rsidR="00B322FD" w:rsidRDefault="00B322FD" w:rsidP="00B322FD">
      <w:r>
        <w:t xml:space="preserve">The table below summarises </w:t>
      </w:r>
      <w:r w:rsidR="00C6719D">
        <w:t xml:space="preserve">the </w:t>
      </w:r>
      <w:r>
        <w:t xml:space="preserve">incremental impacts of </w:t>
      </w:r>
      <w:r w:rsidR="004867DC">
        <w:t xml:space="preserve">Option </w:t>
      </w:r>
      <w:r w:rsidR="007A7469">
        <w:t>6</w:t>
      </w:r>
      <w:r w:rsidR="00C6719D">
        <w:t xml:space="preserve"> relative to the </w:t>
      </w:r>
      <w:r w:rsidR="00A80F45">
        <w:t>Status Quo</w:t>
      </w:r>
      <w:r>
        <w:t>.</w:t>
      </w:r>
    </w:p>
    <w:p w14:paraId="4D6BBFF2" w14:textId="77777777" w:rsidR="001815FA" w:rsidRDefault="001815FA" w:rsidP="001815FA"/>
    <w:p w14:paraId="19C2B094" w14:textId="56D81DD8" w:rsidR="00B322FD" w:rsidRPr="001815FA" w:rsidRDefault="00566211" w:rsidP="00A432B2">
      <w:pPr>
        <w:spacing w:after="60"/>
        <w:rPr>
          <w:i/>
          <w:color w:val="183C5D" w:themeColor="text2"/>
          <w:kern w:val="21"/>
          <w:sz w:val="18"/>
          <w:szCs w:val="18"/>
          <w:lang w:val="en-AU"/>
          <w14:numSpacing w14:val="proportional"/>
        </w:rPr>
      </w:pPr>
      <w:r w:rsidRPr="00566211">
        <w:rPr>
          <w:i/>
          <w:color w:val="183C5D" w:themeColor="text2"/>
          <w:kern w:val="21"/>
          <w:sz w:val="18"/>
          <w:szCs w:val="18"/>
          <w:lang w:val="en-AU"/>
          <w14:numSpacing w14:val="proportional"/>
        </w:rPr>
        <w:t xml:space="preserve">Table </w:t>
      </w:r>
      <w:r w:rsidR="008944FB">
        <w:rPr>
          <w:i/>
          <w:color w:val="183C5D" w:themeColor="text2"/>
          <w:kern w:val="21"/>
          <w:sz w:val="18"/>
          <w:szCs w:val="18"/>
          <w:lang w:val="en-AU"/>
          <w14:numSpacing w14:val="proportional"/>
        </w:rPr>
        <w:fldChar w:fldCharType="begin"/>
      </w:r>
      <w:r w:rsidR="008944FB">
        <w:rPr>
          <w:i/>
          <w:color w:val="183C5D" w:themeColor="text2"/>
          <w:kern w:val="21"/>
          <w:sz w:val="18"/>
          <w:szCs w:val="18"/>
          <w:lang w:val="en-AU"/>
          <w14:numSpacing w14:val="proportional"/>
        </w:rPr>
        <w:instrText xml:space="preserve"> STYLEREF 1 \s </w:instrText>
      </w:r>
      <w:r w:rsidR="008944FB">
        <w:rPr>
          <w:i/>
          <w:color w:val="183C5D" w:themeColor="text2"/>
          <w:kern w:val="21"/>
          <w:sz w:val="18"/>
          <w:szCs w:val="18"/>
          <w:lang w:val="en-AU"/>
          <w14:numSpacing w14:val="proportional"/>
        </w:rPr>
        <w:fldChar w:fldCharType="separate"/>
      </w:r>
      <w:r w:rsidR="00F32107">
        <w:rPr>
          <w:i/>
          <w:noProof/>
          <w:color w:val="183C5D" w:themeColor="text2"/>
          <w:kern w:val="21"/>
          <w:sz w:val="18"/>
          <w:szCs w:val="18"/>
          <w:lang w:val="en-AU"/>
          <w14:numSpacing w14:val="proportional"/>
        </w:rPr>
        <w:t>8</w:t>
      </w:r>
      <w:r w:rsidR="008944FB">
        <w:rPr>
          <w:i/>
          <w:color w:val="183C5D" w:themeColor="text2"/>
          <w:kern w:val="21"/>
          <w:sz w:val="18"/>
          <w:szCs w:val="18"/>
          <w:lang w:val="en-AU"/>
          <w14:numSpacing w14:val="proportional"/>
        </w:rPr>
        <w:fldChar w:fldCharType="end"/>
      </w:r>
      <w:r w:rsidR="008944FB">
        <w:rPr>
          <w:i/>
          <w:color w:val="183C5D" w:themeColor="text2"/>
          <w:kern w:val="21"/>
          <w:sz w:val="18"/>
          <w:szCs w:val="18"/>
          <w:lang w:val="en-AU"/>
          <w14:numSpacing w14:val="proportional"/>
        </w:rPr>
        <w:t>.</w:t>
      </w:r>
      <w:r w:rsidR="008944FB">
        <w:rPr>
          <w:i/>
          <w:color w:val="183C5D" w:themeColor="text2"/>
          <w:kern w:val="21"/>
          <w:sz w:val="18"/>
          <w:szCs w:val="18"/>
          <w:lang w:val="en-AU"/>
          <w14:numSpacing w14:val="proportional"/>
        </w:rPr>
        <w:fldChar w:fldCharType="begin"/>
      </w:r>
      <w:r w:rsidR="008944FB">
        <w:rPr>
          <w:i/>
          <w:color w:val="183C5D" w:themeColor="text2"/>
          <w:kern w:val="21"/>
          <w:sz w:val="18"/>
          <w:szCs w:val="18"/>
          <w:lang w:val="en-AU"/>
          <w14:numSpacing w14:val="proportional"/>
        </w:rPr>
        <w:instrText xml:space="preserve"> SEQ Table \* ARABIC \s 1 </w:instrText>
      </w:r>
      <w:r w:rsidR="008944FB">
        <w:rPr>
          <w:i/>
          <w:color w:val="183C5D" w:themeColor="text2"/>
          <w:kern w:val="21"/>
          <w:sz w:val="18"/>
          <w:szCs w:val="18"/>
          <w:lang w:val="en-AU"/>
          <w14:numSpacing w14:val="proportional"/>
        </w:rPr>
        <w:fldChar w:fldCharType="separate"/>
      </w:r>
      <w:r w:rsidR="00F32107">
        <w:rPr>
          <w:i/>
          <w:noProof/>
          <w:color w:val="183C5D" w:themeColor="text2"/>
          <w:kern w:val="21"/>
          <w:sz w:val="18"/>
          <w:szCs w:val="18"/>
          <w:lang w:val="en-AU"/>
          <w14:numSpacing w14:val="proportional"/>
        </w:rPr>
        <w:t>28</w:t>
      </w:r>
      <w:r w:rsidR="008944FB">
        <w:rPr>
          <w:i/>
          <w:color w:val="183C5D" w:themeColor="text2"/>
          <w:kern w:val="21"/>
          <w:sz w:val="18"/>
          <w:szCs w:val="18"/>
          <w:lang w:val="en-AU"/>
          <w14:numSpacing w14:val="proportional"/>
        </w:rPr>
        <w:fldChar w:fldCharType="end"/>
      </w:r>
      <w:r w:rsidR="00E36890">
        <w:rPr>
          <w:i/>
          <w:color w:val="183C5D" w:themeColor="text2"/>
          <w:kern w:val="21"/>
          <w:sz w:val="18"/>
          <w:szCs w:val="18"/>
          <w:lang w:val="en-AU"/>
          <w14:numSpacing w14:val="proportional"/>
        </w:rPr>
        <w:t xml:space="preserve"> </w:t>
      </w:r>
      <w:r w:rsidR="00E36890" w:rsidRPr="00A432B2">
        <w:rPr>
          <w:i/>
          <w:iCs/>
          <w:color w:val="183C5D" w:themeColor="text2"/>
          <w:kern w:val="21"/>
          <w:sz w:val="18"/>
          <w:szCs w:val="18"/>
          <w:lang w:val="en-AU"/>
          <w14:numSpacing w14:val="proportional"/>
        </w:rPr>
        <w:t>S</w:t>
      </w:r>
      <w:r w:rsidR="00B322FD" w:rsidRPr="00A432B2">
        <w:rPr>
          <w:i/>
          <w:iCs/>
          <w:color w:val="183C5D" w:themeColor="text2"/>
          <w:kern w:val="21"/>
          <w:sz w:val="18"/>
          <w:szCs w:val="18"/>
          <w:lang w:val="en-AU"/>
          <w14:numSpacing w14:val="proportional"/>
        </w:rPr>
        <w:t xml:space="preserve">ummary of costs and benefits of </w:t>
      </w:r>
      <w:r w:rsidR="007A7469">
        <w:rPr>
          <w:i/>
          <w:iCs/>
          <w:color w:val="183C5D" w:themeColor="text2"/>
          <w:kern w:val="21"/>
          <w:sz w:val="18"/>
          <w:szCs w:val="18"/>
          <w:lang w:val="en-AU"/>
          <w14:numSpacing w14:val="proportional"/>
        </w:rPr>
        <w:t>Option 6</w:t>
      </w:r>
      <w:r w:rsidR="00C6719D" w:rsidRPr="00A432B2">
        <w:rPr>
          <w:i/>
          <w:iCs/>
          <w:color w:val="183C5D" w:themeColor="text2"/>
          <w:kern w:val="21"/>
          <w:sz w:val="18"/>
          <w:szCs w:val="18"/>
          <w:lang w:val="en-AU"/>
          <w14:numSpacing w14:val="proportional"/>
        </w:rPr>
        <w:t xml:space="preserve"> relative to the </w:t>
      </w:r>
      <w:r w:rsidR="00A80F45">
        <w:rPr>
          <w:i/>
          <w:iCs/>
          <w:color w:val="183C5D" w:themeColor="text2"/>
          <w:kern w:val="21"/>
          <w:sz w:val="18"/>
          <w:szCs w:val="18"/>
          <w:lang w:val="en-AU"/>
          <w14:numSpacing w14:val="proportional"/>
        </w:rPr>
        <w:t>Status Quo</w:t>
      </w:r>
      <w:r w:rsidR="00B322FD" w:rsidRPr="00A432B2">
        <w:rPr>
          <w:i/>
          <w:iCs/>
          <w:color w:val="183C5D" w:themeColor="text2"/>
          <w:kern w:val="21"/>
          <w:sz w:val="18"/>
          <w:szCs w:val="18"/>
          <w:lang w:val="en-AU"/>
          <w14:numSpacing w14:val="proportional"/>
        </w:rPr>
        <w:t>.</w:t>
      </w:r>
      <w:r w:rsidR="00B322FD" w:rsidRPr="001815FA">
        <w:rPr>
          <w:i/>
          <w:color w:val="183C5D" w:themeColor="text2"/>
          <w:kern w:val="21"/>
          <w:sz w:val="18"/>
          <w:szCs w:val="18"/>
          <w:lang w:val="en-AU"/>
          <w14:numSpacing w14:val="proportional"/>
        </w:rPr>
        <w:t xml:space="preserve"> </w:t>
      </w:r>
    </w:p>
    <w:tbl>
      <w:tblPr>
        <w:tblStyle w:val="BodyTable"/>
        <w:tblpPr w:leftFromText="181" w:rightFromText="181" w:vertAnchor="text" w:tblpY="1"/>
        <w:tblOverlap w:val="never"/>
        <w:tblW w:w="9356" w:type="dxa"/>
        <w:tblLook w:val="04A0" w:firstRow="1" w:lastRow="0" w:firstColumn="1" w:lastColumn="0" w:noHBand="0" w:noVBand="1"/>
      </w:tblPr>
      <w:tblGrid>
        <w:gridCol w:w="2377"/>
        <w:gridCol w:w="1126"/>
        <w:gridCol w:w="5749"/>
        <w:gridCol w:w="104"/>
      </w:tblGrid>
      <w:tr w:rsidR="00B322FD" w14:paraId="03F7C922" w14:textId="77777777" w:rsidTr="00A432B2">
        <w:trPr>
          <w:cnfStyle w:val="100000000000" w:firstRow="1" w:lastRow="0" w:firstColumn="0" w:lastColumn="0" w:oddVBand="0" w:evenVBand="0" w:oddHBand="0" w:evenHBand="0" w:firstRowFirstColumn="0" w:firstRowLastColumn="0" w:lastRowFirstColumn="0" w:lastRowLastColumn="0"/>
          <w:tblHeader/>
        </w:trPr>
        <w:tc>
          <w:tcPr>
            <w:tcW w:w="2377" w:type="dxa"/>
          </w:tcPr>
          <w:p w14:paraId="5CFCD9DB" w14:textId="77777777" w:rsidR="00B322FD" w:rsidRPr="00715CC3" w:rsidRDefault="00B322FD" w:rsidP="00A432B2">
            <w:pPr>
              <w:keepNext/>
              <w:ind w:left="113" w:right="113"/>
              <w:rPr>
                <w:b/>
              </w:rPr>
            </w:pPr>
            <w:r w:rsidRPr="00715CC3">
              <w:rPr>
                <w:b/>
              </w:rPr>
              <w:t>Impact</w:t>
            </w:r>
          </w:p>
        </w:tc>
        <w:tc>
          <w:tcPr>
            <w:tcW w:w="1126" w:type="dxa"/>
          </w:tcPr>
          <w:p w14:paraId="6B3E9A52" w14:textId="77777777" w:rsidR="00B322FD" w:rsidRPr="00715CC3" w:rsidRDefault="00B322FD" w:rsidP="00A432B2">
            <w:pPr>
              <w:keepNext/>
              <w:ind w:left="113" w:right="113"/>
              <w:rPr>
                <w:b/>
              </w:rPr>
            </w:pPr>
            <w:r w:rsidRPr="00715CC3">
              <w:rPr>
                <w:b/>
                <w:bCs/>
              </w:rPr>
              <w:t xml:space="preserve">Benefit or </w:t>
            </w:r>
            <w:r>
              <w:rPr>
                <w:b/>
                <w:bCs/>
              </w:rPr>
              <w:t>c</w:t>
            </w:r>
            <w:r w:rsidRPr="00715CC3">
              <w:rPr>
                <w:b/>
                <w:bCs/>
              </w:rPr>
              <w:t>ost</w:t>
            </w:r>
          </w:p>
        </w:tc>
        <w:tc>
          <w:tcPr>
            <w:tcW w:w="5853" w:type="dxa"/>
            <w:gridSpan w:val="2"/>
          </w:tcPr>
          <w:p w14:paraId="5BB32DFA" w14:textId="77777777" w:rsidR="00B322FD" w:rsidRPr="00715CC3" w:rsidRDefault="00B322FD" w:rsidP="00A432B2">
            <w:pPr>
              <w:keepNext/>
              <w:ind w:left="113" w:right="113"/>
              <w:rPr>
                <w:b/>
              </w:rPr>
            </w:pPr>
            <w:r w:rsidRPr="00715CC3">
              <w:rPr>
                <w:b/>
                <w:bCs/>
              </w:rPr>
              <w:t>Key takeaway</w:t>
            </w:r>
          </w:p>
        </w:tc>
      </w:tr>
      <w:tr w:rsidR="00B322FD" w14:paraId="192741A5" w14:textId="77777777" w:rsidTr="00A432B2">
        <w:trPr>
          <w:gridAfter w:val="1"/>
          <w:wAfter w:w="104" w:type="dxa"/>
        </w:trPr>
        <w:tc>
          <w:tcPr>
            <w:tcW w:w="9252" w:type="dxa"/>
            <w:gridSpan w:val="3"/>
            <w:shd w:val="clear" w:color="auto" w:fill="F1F2F2" w:themeFill="background2"/>
          </w:tcPr>
          <w:p w14:paraId="53EBD3C0" w14:textId="403F4A75" w:rsidR="00B322FD" w:rsidRDefault="00B322FD" w:rsidP="00A432B2">
            <w:pPr>
              <w:keepNext/>
              <w:ind w:left="113" w:right="113"/>
            </w:pPr>
            <w:r w:rsidRPr="00F811E2">
              <w:t xml:space="preserve">Economic or social impact </w:t>
            </w:r>
            <w:r w:rsidR="00925B78">
              <w:t>of harm minimisation</w:t>
            </w:r>
          </w:p>
        </w:tc>
      </w:tr>
      <w:tr w:rsidR="00925B78" w14:paraId="49B0D314" w14:textId="77777777" w:rsidTr="00A432B2">
        <w:tc>
          <w:tcPr>
            <w:tcW w:w="2377" w:type="dxa"/>
          </w:tcPr>
          <w:p w14:paraId="5ED25123" w14:textId="19E5746B" w:rsidR="00925B78" w:rsidRPr="009438D4" w:rsidRDefault="00925B78" w:rsidP="00A432B2">
            <w:pPr>
              <w:keepNext/>
              <w:ind w:left="113" w:right="113"/>
            </w:pPr>
            <w:r>
              <w:t xml:space="preserve">Change in social and economic outcomes associated with substandard care </w:t>
            </w:r>
          </w:p>
        </w:tc>
        <w:tc>
          <w:tcPr>
            <w:tcW w:w="1126" w:type="dxa"/>
            <w:shd w:val="clear" w:color="auto" w:fill="E6F3D9" w:themeFill="accent2" w:themeFillTint="33"/>
          </w:tcPr>
          <w:p w14:paraId="457F9A4F" w14:textId="12AFE8AB" w:rsidR="00925B78" w:rsidRDefault="00925B78" w:rsidP="00A432B2">
            <w:pPr>
              <w:keepNext/>
              <w:ind w:left="113" w:right="113"/>
            </w:pPr>
            <w:r>
              <w:t>Benefit</w:t>
            </w:r>
          </w:p>
        </w:tc>
        <w:tc>
          <w:tcPr>
            <w:tcW w:w="5853" w:type="dxa"/>
            <w:gridSpan w:val="2"/>
          </w:tcPr>
          <w:p w14:paraId="4B4FA66F" w14:textId="63C0660D" w:rsidR="00925B78" w:rsidRDefault="00925B78" w:rsidP="00A432B2">
            <w:pPr>
              <w:keepNext/>
              <w:ind w:left="113" w:right="113"/>
            </w:pPr>
            <w:r>
              <w:t xml:space="preserve">Relative to the </w:t>
            </w:r>
            <w:r w:rsidR="00A80F45">
              <w:t>Status Quo</w:t>
            </w:r>
            <w:r>
              <w:t xml:space="preserve">, </w:t>
            </w:r>
            <w:r w:rsidR="00A50C40">
              <w:t>Option</w:t>
            </w:r>
            <w:r w:rsidR="003F548E">
              <w:t xml:space="preserve"> 6</w:t>
            </w:r>
            <w:r w:rsidRPr="00371510">
              <w:t xml:space="preserve"> is expected to </w:t>
            </w:r>
            <w:r>
              <w:t xml:space="preserve">reduce the incidence of substandard care and avoid the associated social and economic costs for patients, families/carers and government, such as adverse quality of life impacts, adverse productivity impacts, out of pocket costs and increased </w:t>
            </w:r>
            <w:r w:rsidR="008511D3">
              <w:t>utilisation</w:t>
            </w:r>
            <w:r>
              <w:t xml:space="preserve"> of health and social services.</w:t>
            </w:r>
          </w:p>
        </w:tc>
      </w:tr>
      <w:tr w:rsidR="00E92AF5" w14:paraId="2F779895" w14:textId="77777777" w:rsidTr="00A432B2">
        <w:tc>
          <w:tcPr>
            <w:tcW w:w="2377" w:type="dxa"/>
          </w:tcPr>
          <w:p w14:paraId="6834FCF8" w14:textId="74D0C99E" w:rsidR="00E92AF5" w:rsidRPr="004B465A" w:rsidRDefault="00E92AF5" w:rsidP="00E92AF5">
            <w:pPr>
              <w:keepNext/>
              <w:ind w:left="113" w:right="113"/>
            </w:pPr>
            <w:r>
              <w:t>Change in consumer understanding of audiology</w:t>
            </w:r>
          </w:p>
        </w:tc>
        <w:tc>
          <w:tcPr>
            <w:tcW w:w="1126" w:type="dxa"/>
            <w:shd w:val="clear" w:color="auto" w:fill="E6F3D9" w:themeFill="accent2" w:themeFillTint="33"/>
          </w:tcPr>
          <w:p w14:paraId="53D9A057" w14:textId="08D39C33" w:rsidR="00E92AF5" w:rsidRDefault="00E92AF5" w:rsidP="00E92AF5">
            <w:pPr>
              <w:keepNext/>
              <w:ind w:left="113" w:right="113"/>
            </w:pPr>
            <w:r>
              <w:t>Benefit</w:t>
            </w:r>
          </w:p>
        </w:tc>
        <w:tc>
          <w:tcPr>
            <w:tcW w:w="5853" w:type="dxa"/>
            <w:gridSpan w:val="2"/>
          </w:tcPr>
          <w:p w14:paraId="5EE9192C" w14:textId="37776BCE" w:rsidR="00E92AF5" w:rsidRDefault="00E92AF5" w:rsidP="00E92AF5">
            <w:pPr>
              <w:keepNext/>
              <w:ind w:left="113" w:right="113"/>
            </w:pPr>
            <w:r w:rsidRPr="00092207">
              <w:t xml:space="preserve">Protection of title for audiologists under </w:t>
            </w:r>
            <w:r w:rsidR="00104CC9">
              <w:t>State and Territory</w:t>
            </w:r>
            <w:r w:rsidRPr="00092207">
              <w:t xml:space="preserve"> Law and a public register of registered practitioners is expected to raise consumer understanding of the qualifications of the person providing care</w:t>
            </w:r>
            <w:r>
              <w:t>, reducing instances of substandard care attributable to market information asymmetries</w:t>
            </w:r>
            <w:r w:rsidRPr="00092207">
              <w:t>.</w:t>
            </w:r>
          </w:p>
        </w:tc>
      </w:tr>
      <w:tr w:rsidR="00E92AF5" w14:paraId="535C707D" w14:textId="77777777" w:rsidTr="00A432B2">
        <w:tc>
          <w:tcPr>
            <w:tcW w:w="2377" w:type="dxa"/>
          </w:tcPr>
          <w:p w14:paraId="26EFA86A" w14:textId="058FCC7C" w:rsidR="00E92AF5" w:rsidRPr="004B465A" w:rsidRDefault="00E92AF5" w:rsidP="00E92AF5">
            <w:pPr>
              <w:keepNext/>
              <w:ind w:left="113" w:right="113"/>
            </w:pPr>
            <w:r>
              <w:t xml:space="preserve">Change in out-of-pocket costs associated with use of private providers without certification </w:t>
            </w:r>
          </w:p>
        </w:tc>
        <w:tc>
          <w:tcPr>
            <w:tcW w:w="1126" w:type="dxa"/>
            <w:shd w:val="clear" w:color="auto" w:fill="E6F3D9" w:themeFill="accent2" w:themeFillTint="33"/>
          </w:tcPr>
          <w:p w14:paraId="531CAB2C" w14:textId="78A45BFA" w:rsidR="00E92AF5" w:rsidRDefault="00E92AF5" w:rsidP="00E92AF5">
            <w:pPr>
              <w:keepNext/>
              <w:ind w:left="113" w:right="113"/>
            </w:pPr>
            <w:r>
              <w:t>Benefit</w:t>
            </w:r>
          </w:p>
        </w:tc>
        <w:tc>
          <w:tcPr>
            <w:tcW w:w="5853" w:type="dxa"/>
            <w:gridSpan w:val="2"/>
          </w:tcPr>
          <w:p w14:paraId="0DDF8776" w14:textId="6A4A0754" w:rsidR="00E92AF5" w:rsidRDefault="00350B57" w:rsidP="00E92AF5">
            <w:pPr>
              <w:keepNext/>
              <w:ind w:left="113" w:right="113"/>
            </w:pPr>
            <w:r w:rsidRPr="00350B57">
              <w:t xml:space="preserve">Given that registration will be mandatory to practice as an audiologist, Option </w:t>
            </w:r>
            <w:r>
              <w:t>6</w:t>
            </w:r>
            <w:r w:rsidRPr="00350B57">
              <w:t xml:space="preserve"> is expected to reduce Status Quo out-of-pocket costs incurred by patients and families/carers associated with provision of services by private sector audiologists, as audiologists will be more likely to meet the regulatory requirements to claim funding.</w:t>
            </w:r>
          </w:p>
        </w:tc>
      </w:tr>
      <w:tr w:rsidR="00F872C3" w14:paraId="286100CD" w14:textId="77777777" w:rsidTr="00A432B2">
        <w:tc>
          <w:tcPr>
            <w:tcW w:w="2377" w:type="dxa"/>
          </w:tcPr>
          <w:p w14:paraId="0CC4F299" w14:textId="19C5B3BF" w:rsidR="00F872C3" w:rsidRDefault="00F872C3" w:rsidP="00F872C3">
            <w:pPr>
              <w:keepNext/>
              <w:ind w:left="113" w:right="113"/>
            </w:pPr>
            <w:r w:rsidRPr="004B465A">
              <w:t>Change in compensation claims and reputational harm</w:t>
            </w:r>
          </w:p>
        </w:tc>
        <w:tc>
          <w:tcPr>
            <w:tcW w:w="1126" w:type="dxa"/>
            <w:shd w:val="clear" w:color="auto" w:fill="E6F3D9" w:themeFill="accent2" w:themeFillTint="33"/>
          </w:tcPr>
          <w:p w14:paraId="7A9B800A" w14:textId="508D591D" w:rsidR="00F872C3" w:rsidRDefault="00F872C3" w:rsidP="00F872C3">
            <w:pPr>
              <w:keepNext/>
              <w:ind w:left="113" w:right="113"/>
            </w:pPr>
            <w:r>
              <w:t>Benefit</w:t>
            </w:r>
          </w:p>
        </w:tc>
        <w:tc>
          <w:tcPr>
            <w:tcW w:w="5853" w:type="dxa"/>
            <w:gridSpan w:val="2"/>
          </w:tcPr>
          <w:p w14:paraId="3A8C0322" w14:textId="35080D57" w:rsidR="00F872C3" w:rsidRDefault="00350B57" w:rsidP="00F872C3">
            <w:pPr>
              <w:keepNext/>
              <w:ind w:left="113" w:right="113"/>
            </w:pPr>
            <w:r>
              <w:t>Option 6</w:t>
            </w:r>
            <w:r w:rsidR="00F872C3">
              <w:t xml:space="preserve"> is expected to minimise instances of</w:t>
            </w:r>
            <w:r w:rsidR="00F872C3" w:rsidRPr="00CD088A">
              <w:t xml:space="preserve"> substandard care </w:t>
            </w:r>
            <w:r w:rsidR="00F872C3">
              <w:t xml:space="preserve">that could result in compensation claims and reputational harm to the employer. </w:t>
            </w:r>
          </w:p>
        </w:tc>
      </w:tr>
      <w:tr w:rsidR="00925B78" w14:paraId="1C1DE5B4" w14:textId="77777777" w:rsidTr="00972F5E">
        <w:tc>
          <w:tcPr>
            <w:tcW w:w="0" w:type="dxa"/>
            <w:gridSpan w:val="4"/>
            <w:shd w:val="clear" w:color="auto" w:fill="F1F2F2" w:themeFill="background2"/>
          </w:tcPr>
          <w:p w14:paraId="18EECC3C" w14:textId="10F484B2" w:rsidR="00925B78" w:rsidRDefault="00F45FEC" w:rsidP="00A432B2">
            <w:pPr>
              <w:keepNext/>
              <w:ind w:left="113" w:right="113"/>
            </w:pPr>
            <w:r w:rsidRPr="00F811E2">
              <w:t>Economic or social impact due to other regulatory function</w:t>
            </w:r>
          </w:p>
        </w:tc>
      </w:tr>
      <w:tr w:rsidR="00B322FD" w14:paraId="07B42AA0" w14:textId="77777777" w:rsidTr="00A432B2">
        <w:trPr>
          <w:gridAfter w:val="1"/>
          <w:wAfter w:w="104" w:type="dxa"/>
        </w:trPr>
        <w:tc>
          <w:tcPr>
            <w:tcW w:w="2377" w:type="dxa"/>
          </w:tcPr>
          <w:p w14:paraId="120E2911" w14:textId="77777777" w:rsidR="00B322FD" w:rsidRPr="009438D4" w:rsidRDefault="00B322FD" w:rsidP="00A432B2">
            <w:pPr>
              <w:keepNext/>
              <w:ind w:left="113" w:right="113"/>
            </w:pPr>
            <w:r w:rsidRPr="009438D4">
              <w:t>Change in time costs associated with CPD</w:t>
            </w:r>
          </w:p>
        </w:tc>
        <w:tc>
          <w:tcPr>
            <w:tcW w:w="1126" w:type="dxa"/>
            <w:shd w:val="clear" w:color="auto" w:fill="FECECE"/>
          </w:tcPr>
          <w:p w14:paraId="444A27A6" w14:textId="77777777" w:rsidR="00B322FD" w:rsidRDefault="00B322FD" w:rsidP="00A432B2">
            <w:pPr>
              <w:keepNext/>
              <w:ind w:left="113" w:right="113"/>
            </w:pPr>
            <w:r>
              <w:t>Cost</w:t>
            </w:r>
          </w:p>
        </w:tc>
        <w:tc>
          <w:tcPr>
            <w:tcW w:w="5749" w:type="dxa"/>
          </w:tcPr>
          <w:p w14:paraId="6BDFE72A" w14:textId="4C89D09A" w:rsidR="00B322FD" w:rsidRDefault="000D1070" w:rsidP="00A432B2">
            <w:pPr>
              <w:keepNext/>
              <w:ind w:left="113" w:right="113"/>
            </w:pPr>
            <w:r w:rsidRPr="000D1070">
              <w:t xml:space="preserve">The increase in CPD time costs associated with Option </w:t>
            </w:r>
            <w:r w:rsidR="00032EB6">
              <w:t>6</w:t>
            </w:r>
            <w:r w:rsidRPr="000D1070">
              <w:t xml:space="preserve"> is likely to be marginal for those with current clinical certification, at an increase of approximately five hours per annum. Overall, for the profession this equates to a ten-year annualised FY25 NPV cost of $871,739 across the profession, borne by employers.</w:t>
            </w:r>
          </w:p>
        </w:tc>
      </w:tr>
      <w:tr w:rsidR="00B322FD" w14:paraId="7225A2EF" w14:textId="77777777" w:rsidTr="00A432B2">
        <w:trPr>
          <w:gridAfter w:val="1"/>
          <w:wAfter w:w="104" w:type="dxa"/>
        </w:trPr>
        <w:tc>
          <w:tcPr>
            <w:tcW w:w="2377" w:type="dxa"/>
          </w:tcPr>
          <w:p w14:paraId="25D3F30D" w14:textId="31637AF4" w:rsidR="00B322FD" w:rsidRPr="00D9585F" w:rsidRDefault="00B322FD" w:rsidP="00A432B2">
            <w:pPr>
              <w:keepNext/>
              <w:ind w:left="113" w:right="113"/>
            </w:pPr>
            <w:r w:rsidRPr="00BB5823">
              <w:t>Change in eligibility assessment time costs for public</w:t>
            </w:r>
            <w:r w:rsidR="00382E09">
              <w:t xml:space="preserve"> </w:t>
            </w:r>
            <w:r w:rsidRPr="00BB5823">
              <w:t>sector employers</w:t>
            </w:r>
          </w:p>
        </w:tc>
        <w:tc>
          <w:tcPr>
            <w:tcW w:w="1126" w:type="dxa"/>
            <w:shd w:val="clear" w:color="auto" w:fill="E6F3D9" w:themeFill="accent2" w:themeFillTint="33"/>
          </w:tcPr>
          <w:p w14:paraId="4F1FF2AB" w14:textId="77777777" w:rsidR="00B322FD" w:rsidRDefault="00B322FD" w:rsidP="00A432B2">
            <w:pPr>
              <w:keepNext/>
              <w:ind w:left="113" w:right="113"/>
            </w:pPr>
            <w:r>
              <w:t>Benefit</w:t>
            </w:r>
          </w:p>
        </w:tc>
        <w:tc>
          <w:tcPr>
            <w:tcW w:w="5749" w:type="dxa"/>
          </w:tcPr>
          <w:p w14:paraId="17AD65C3" w14:textId="1AC539D9" w:rsidR="00B322FD" w:rsidRDefault="00B322FD" w:rsidP="00A432B2">
            <w:pPr>
              <w:keepNext/>
              <w:ind w:left="113"/>
            </w:pPr>
            <w:r>
              <w:t xml:space="preserve">Under the current state, public sector audiology hiring managers face time costs associated with confirming audiologist eligibility to practice. The avoided annualised ten-year FY25 NPV </w:t>
            </w:r>
            <w:r w:rsidR="00BA7BF2">
              <w:t xml:space="preserve">cost </w:t>
            </w:r>
            <w:r>
              <w:t xml:space="preserve">of employer eligibility assessment time costs associated with </w:t>
            </w:r>
            <w:r w:rsidR="00382E09">
              <w:t>Option 6</w:t>
            </w:r>
            <w:r>
              <w:t xml:space="preserve"> is </w:t>
            </w:r>
            <w:r w:rsidR="00382E09" w:rsidRPr="00382E09">
              <w:t>$</w:t>
            </w:r>
            <w:r w:rsidR="002D034D" w:rsidRPr="002D034D">
              <w:t>14,267</w:t>
            </w:r>
            <w:r w:rsidR="001F6A86">
              <w:t>.</w:t>
            </w:r>
          </w:p>
        </w:tc>
      </w:tr>
      <w:tr w:rsidR="00B322FD" w14:paraId="3D5AD764" w14:textId="77777777" w:rsidTr="00A432B2">
        <w:trPr>
          <w:gridAfter w:val="1"/>
          <w:wAfter w:w="104" w:type="dxa"/>
        </w:trPr>
        <w:tc>
          <w:tcPr>
            <w:tcW w:w="2377" w:type="dxa"/>
          </w:tcPr>
          <w:p w14:paraId="28E89466" w14:textId="77777777" w:rsidR="00B322FD" w:rsidRPr="00CF20A5" w:rsidRDefault="00B322FD" w:rsidP="00A432B2">
            <w:pPr>
              <w:keepNext/>
              <w:ind w:left="113" w:right="113"/>
            </w:pPr>
            <w:r w:rsidRPr="00391112">
              <w:t>Change in availability of workforce data</w:t>
            </w:r>
          </w:p>
        </w:tc>
        <w:tc>
          <w:tcPr>
            <w:tcW w:w="1126" w:type="dxa"/>
            <w:shd w:val="clear" w:color="auto" w:fill="E6F3D9" w:themeFill="accent2" w:themeFillTint="33"/>
          </w:tcPr>
          <w:p w14:paraId="7D91E458" w14:textId="77777777" w:rsidR="00B322FD" w:rsidRDefault="00B322FD" w:rsidP="00A432B2">
            <w:pPr>
              <w:keepNext/>
              <w:ind w:left="113" w:right="113"/>
            </w:pPr>
            <w:r>
              <w:t>Benefit</w:t>
            </w:r>
          </w:p>
        </w:tc>
        <w:tc>
          <w:tcPr>
            <w:tcW w:w="5749" w:type="dxa"/>
          </w:tcPr>
          <w:p w14:paraId="60F1F542" w14:textId="509B18C0" w:rsidR="00B322FD" w:rsidRDefault="00382E09" w:rsidP="00A432B2">
            <w:pPr>
              <w:keepNext/>
              <w:ind w:left="113" w:right="113"/>
            </w:pPr>
            <w:r>
              <w:t>Option 6</w:t>
            </w:r>
            <w:r w:rsidR="00B322FD">
              <w:t xml:space="preserve"> will increase the available data about the audiology profession related to workforce</w:t>
            </w:r>
            <w:r w:rsidR="00794833">
              <w:t xml:space="preserve"> </w:t>
            </w:r>
            <w:r w:rsidR="00B322FD">
              <w:t>and safety.</w:t>
            </w:r>
            <w:r w:rsidR="003D44D8">
              <w:t xml:space="preserve"> </w:t>
            </w:r>
            <w:r w:rsidR="000A7055">
              <w:t>This will benefit government policymakers, employers and consumers.</w:t>
            </w:r>
          </w:p>
        </w:tc>
      </w:tr>
      <w:tr w:rsidR="00925B78" w14:paraId="1A09ED58" w14:textId="77777777" w:rsidTr="00541FCF">
        <w:tc>
          <w:tcPr>
            <w:tcW w:w="2377" w:type="dxa"/>
          </w:tcPr>
          <w:p w14:paraId="70A22C21" w14:textId="6E238B9F" w:rsidR="00925B78" w:rsidRPr="00391112" w:rsidRDefault="00925B78" w:rsidP="00A432B2">
            <w:pPr>
              <w:keepNext/>
              <w:ind w:left="113" w:right="113"/>
            </w:pPr>
            <w:r>
              <w:t>Competition and labour market impacts</w:t>
            </w:r>
          </w:p>
        </w:tc>
        <w:tc>
          <w:tcPr>
            <w:tcW w:w="1126" w:type="dxa"/>
            <w:shd w:val="clear" w:color="auto" w:fill="FECECE"/>
          </w:tcPr>
          <w:p w14:paraId="1883EECB" w14:textId="3A4A8E57" w:rsidR="00925B78" w:rsidRDefault="00541FCF" w:rsidP="00A432B2">
            <w:pPr>
              <w:keepNext/>
              <w:ind w:left="113" w:right="113"/>
            </w:pPr>
            <w:r>
              <w:t>Cost</w:t>
            </w:r>
          </w:p>
        </w:tc>
        <w:tc>
          <w:tcPr>
            <w:tcW w:w="5853" w:type="dxa"/>
            <w:gridSpan w:val="2"/>
          </w:tcPr>
          <w:p w14:paraId="186C9E84" w14:textId="20FF6415" w:rsidR="00925B78" w:rsidRDefault="00925B78" w:rsidP="00A432B2">
            <w:pPr>
              <w:keepNext/>
              <w:ind w:left="113" w:right="113"/>
            </w:pPr>
            <w:r>
              <w:t xml:space="preserve">As </w:t>
            </w:r>
            <w:r w:rsidR="00794833">
              <w:t>Option 6</w:t>
            </w:r>
            <w:r>
              <w:t xml:space="preserve"> is a protection of title model like </w:t>
            </w:r>
            <w:r w:rsidR="00794833">
              <w:t>Option 7</w:t>
            </w:r>
            <w:r>
              <w:t xml:space="preserve">, the same potential competition effects outlined for </w:t>
            </w:r>
            <w:r w:rsidR="00794833">
              <w:t xml:space="preserve">Option 6 </w:t>
            </w:r>
            <w:r>
              <w:t xml:space="preserve">apply to jurisdiction registration. In addition, under </w:t>
            </w:r>
            <w:r w:rsidR="00794833">
              <w:t>Option 6</w:t>
            </w:r>
            <w:r>
              <w:t xml:space="preserve">, </w:t>
            </w:r>
            <w:r w:rsidR="00794833">
              <w:t xml:space="preserve">labour shortages and competition effects </w:t>
            </w:r>
            <w:r w:rsidR="0079314B">
              <w:t xml:space="preserve">may impact small jurisdictions with high registration fees, and </w:t>
            </w:r>
            <w:r>
              <w:t>providers in regional</w:t>
            </w:r>
            <w:r w:rsidR="0079314B">
              <w:t xml:space="preserve">, </w:t>
            </w:r>
            <w:r w:rsidR="00A50C40">
              <w:t>rural</w:t>
            </w:r>
            <w:r w:rsidR="0079314B">
              <w:t xml:space="preserve"> and remote communities </w:t>
            </w:r>
            <w:r>
              <w:t xml:space="preserve">who rely on locum audiologists practicing across jurisdictional boundaries may experience </w:t>
            </w:r>
            <w:r w:rsidR="0079314B">
              <w:t>additional frictions due to the second registration fee required</w:t>
            </w:r>
            <w:r w:rsidR="00A17D2E">
              <w:t>.</w:t>
            </w:r>
          </w:p>
        </w:tc>
      </w:tr>
      <w:tr w:rsidR="00B322FD" w14:paraId="3E1B581C" w14:textId="77777777" w:rsidTr="00A432B2">
        <w:trPr>
          <w:gridAfter w:val="1"/>
          <w:wAfter w:w="104" w:type="dxa"/>
        </w:trPr>
        <w:tc>
          <w:tcPr>
            <w:tcW w:w="9252" w:type="dxa"/>
            <w:gridSpan w:val="3"/>
            <w:shd w:val="clear" w:color="auto" w:fill="F1F2F2" w:themeFill="background2"/>
          </w:tcPr>
          <w:p w14:paraId="6105FF2D" w14:textId="77777777" w:rsidR="00B322FD" w:rsidRDefault="00B322FD" w:rsidP="00A432B2">
            <w:pPr>
              <w:keepNext/>
              <w:ind w:left="113" w:right="113"/>
            </w:pPr>
            <w:r>
              <w:t>Financial cost impacts of regulatory burden</w:t>
            </w:r>
          </w:p>
        </w:tc>
      </w:tr>
      <w:tr w:rsidR="00B322FD" w14:paraId="45E4AD51" w14:textId="77777777" w:rsidTr="00A432B2">
        <w:trPr>
          <w:gridAfter w:val="1"/>
          <w:wAfter w:w="104" w:type="dxa"/>
          <w:trHeight w:val="102"/>
        </w:trPr>
        <w:tc>
          <w:tcPr>
            <w:tcW w:w="2377" w:type="dxa"/>
          </w:tcPr>
          <w:p w14:paraId="3A100031" w14:textId="7C8CB101" w:rsidR="00B322FD" w:rsidRPr="00B97D78" w:rsidRDefault="00B322FD" w:rsidP="00A432B2">
            <w:pPr>
              <w:keepNext/>
              <w:ind w:left="113" w:right="113"/>
            </w:pPr>
            <w:r w:rsidRPr="008246CD">
              <w:t xml:space="preserve">Change in mandatory fees </w:t>
            </w:r>
          </w:p>
        </w:tc>
        <w:tc>
          <w:tcPr>
            <w:tcW w:w="1126" w:type="dxa"/>
            <w:shd w:val="clear" w:color="auto" w:fill="FECECE"/>
          </w:tcPr>
          <w:p w14:paraId="12E41F5C" w14:textId="77777777" w:rsidR="00B322FD" w:rsidRDefault="00B322FD" w:rsidP="00A432B2">
            <w:pPr>
              <w:keepNext/>
              <w:ind w:left="113" w:right="113"/>
            </w:pPr>
            <w:r>
              <w:t>Cost</w:t>
            </w:r>
          </w:p>
        </w:tc>
        <w:tc>
          <w:tcPr>
            <w:tcW w:w="5749" w:type="dxa"/>
          </w:tcPr>
          <w:p w14:paraId="5493D1CE" w14:textId="69116DB1" w:rsidR="00B322FD" w:rsidRDefault="00B322FD" w:rsidP="00A432B2">
            <w:pPr>
              <w:ind w:left="113"/>
            </w:pPr>
            <w:r>
              <w:t>At an average level across all jurisdictions, it is assumed that general registration fees for audiologists would be approximately $</w:t>
            </w:r>
            <w:r w:rsidR="00BA1930">
              <w:t xml:space="preserve">750 </w:t>
            </w:r>
            <w:r>
              <w:t>for practicing audiologists and $1</w:t>
            </w:r>
            <w:r w:rsidR="00BA1930">
              <w:t>5</w:t>
            </w:r>
            <w:r>
              <w:t>0 for non-practicing audiologists per annum. A one-off application fee would be the same cost</w:t>
            </w:r>
            <w:r w:rsidR="00DC063D">
              <w:t xml:space="preserve"> as the general registration fee</w:t>
            </w:r>
            <w:r>
              <w:t>. This equate</w:t>
            </w:r>
            <w:r w:rsidR="005B44CD">
              <w:t>s</w:t>
            </w:r>
            <w:r>
              <w:t xml:space="preserve"> to a ten-year annualised NPV </w:t>
            </w:r>
            <w:r w:rsidR="005B44CD">
              <w:t>cost</w:t>
            </w:r>
            <w:r>
              <w:t xml:space="preserve"> of $1,</w:t>
            </w:r>
            <w:r w:rsidR="008454C8">
              <w:t>654,</w:t>
            </w:r>
            <w:r w:rsidR="003871F3">
              <w:t>0</w:t>
            </w:r>
            <w:r w:rsidR="003301CE">
              <w:t>2</w:t>
            </w:r>
            <w:r w:rsidR="003871F3">
              <w:t>6</w:t>
            </w:r>
            <w:r>
              <w:t xml:space="preserve">. Higher fees relative to </w:t>
            </w:r>
            <w:r w:rsidR="00DC063D">
              <w:t>Option 7</w:t>
            </w:r>
            <w:r>
              <w:t xml:space="preserve"> reflect the lost economies of scale associated with establishing eight separate State and Territory Boards.</w:t>
            </w:r>
          </w:p>
        </w:tc>
      </w:tr>
      <w:tr w:rsidR="00B322FD" w14:paraId="16E0DB86" w14:textId="77777777" w:rsidTr="00A432B2">
        <w:trPr>
          <w:gridAfter w:val="1"/>
          <w:wAfter w:w="104" w:type="dxa"/>
        </w:trPr>
        <w:tc>
          <w:tcPr>
            <w:tcW w:w="2377" w:type="dxa"/>
          </w:tcPr>
          <w:p w14:paraId="70D9E253" w14:textId="77777777" w:rsidR="00B322FD" w:rsidRPr="00B97D78" w:rsidRDefault="00B322FD" w:rsidP="00A432B2">
            <w:pPr>
              <w:keepNext/>
              <w:ind w:left="113" w:right="113"/>
            </w:pPr>
            <w:r w:rsidRPr="008D506C">
              <w:t>Change in elective fees (i.e., PPB membership)</w:t>
            </w:r>
          </w:p>
        </w:tc>
        <w:tc>
          <w:tcPr>
            <w:tcW w:w="1126" w:type="dxa"/>
            <w:shd w:val="clear" w:color="auto" w:fill="E6F3D9" w:themeFill="accent2" w:themeFillTint="33"/>
          </w:tcPr>
          <w:p w14:paraId="71CC8B8D" w14:textId="77777777" w:rsidR="00B322FD" w:rsidRDefault="00B322FD" w:rsidP="00A432B2">
            <w:pPr>
              <w:keepNext/>
              <w:ind w:left="113" w:right="113"/>
            </w:pPr>
            <w:r>
              <w:t>Benefit</w:t>
            </w:r>
          </w:p>
        </w:tc>
        <w:tc>
          <w:tcPr>
            <w:tcW w:w="5749" w:type="dxa"/>
          </w:tcPr>
          <w:p w14:paraId="4F1294BC" w14:textId="01E9D32F" w:rsidR="00B322FD" w:rsidRDefault="00B322FD" w:rsidP="00A432B2">
            <w:pPr>
              <w:keepNext/>
              <w:ind w:left="113"/>
            </w:pPr>
            <w:r>
              <w:t xml:space="preserve">It is conservatively assumed that annual membership fees are reduced by 10% under </w:t>
            </w:r>
            <w:r w:rsidR="00161E99">
              <w:t>Option 6</w:t>
            </w:r>
            <w:r>
              <w:t>, and that all current PPB members retain membership. This equates</w:t>
            </w:r>
            <w:r w:rsidRPr="00D1335D">
              <w:t xml:space="preserve"> to </w:t>
            </w:r>
            <w:r>
              <w:t xml:space="preserve">an avoided ten-year annualised FY25 NPV </w:t>
            </w:r>
            <w:r w:rsidR="00494797">
              <w:t xml:space="preserve">cost </w:t>
            </w:r>
            <w:r>
              <w:t xml:space="preserve">of </w:t>
            </w:r>
            <w:r w:rsidRPr="0024711A">
              <w:t>$</w:t>
            </w:r>
            <w:r w:rsidR="00D542C5" w:rsidRPr="00D542C5">
              <w:t>150,051</w:t>
            </w:r>
            <w:r w:rsidR="00494797">
              <w:t>, accruing to audiologists</w:t>
            </w:r>
            <w:r>
              <w:t>.</w:t>
            </w:r>
          </w:p>
        </w:tc>
      </w:tr>
      <w:tr w:rsidR="00C63EA9" w14:paraId="5ED097E1" w14:textId="77777777" w:rsidTr="00A432B2">
        <w:trPr>
          <w:gridAfter w:val="1"/>
          <w:wAfter w:w="104" w:type="dxa"/>
        </w:trPr>
        <w:tc>
          <w:tcPr>
            <w:tcW w:w="2377" w:type="dxa"/>
          </w:tcPr>
          <w:p w14:paraId="4B525462" w14:textId="77777777" w:rsidR="00C63EA9" w:rsidRPr="00B97D78" w:rsidRDefault="00C63EA9" w:rsidP="00C63EA9">
            <w:pPr>
              <w:keepNext/>
              <w:ind w:left="113" w:right="113"/>
            </w:pPr>
            <w:r w:rsidRPr="00B97D78">
              <w:t>Change in</w:t>
            </w:r>
            <w:r>
              <w:t xml:space="preserve"> employer</w:t>
            </w:r>
            <w:r w:rsidRPr="00B97D78">
              <w:t xml:space="preserve"> compliance costs</w:t>
            </w:r>
          </w:p>
        </w:tc>
        <w:tc>
          <w:tcPr>
            <w:tcW w:w="1126" w:type="dxa"/>
            <w:shd w:val="clear" w:color="auto" w:fill="FECECE"/>
          </w:tcPr>
          <w:p w14:paraId="307C0FFD" w14:textId="77777777" w:rsidR="00C63EA9" w:rsidRDefault="00C63EA9" w:rsidP="00C63EA9">
            <w:pPr>
              <w:keepNext/>
              <w:ind w:left="113" w:right="113"/>
            </w:pPr>
            <w:r>
              <w:t>Cost</w:t>
            </w:r>
          </w:p>
        </w:tc>
        <w:tc>
          <w:tcPr>
            <w:tcW w:w="5749" w:type="dxa"/>
          </w:tcPr>
          <w:p w14:paraId="227E3554" w14:textId="4719D5BD" w:rsidR="00C63EA9" w:rsidRDefault="00C63EA9" w:rsidP="00C63EA9">
            <w:pPr>
              <w:keepNext/>
              <w:ind w:left="113" w:right="113"/>
            </w:pPr>
            <w:r>
              <w:t xml:space="preserve">Costs may be incurred by employers </w:t>
            </w:r>
            <w:r w:rsidR="001858E2">
              <w:t>for</w:t>
            </w:r>
            <w:r>
              <w:t xml:space="preserve"> obligations </w:t>
            </w:r>
            <w:r w:rsidR="001858E2">
              <w:t>related</w:t>
            </w:r>
            <w:r>
              <w:t xml:space="preserve"> to currency of registration, ensuring restrictions on registration are complied with,</w:t>
            </w:r>
            <w:r w:rsidR="00EB35C6">
              <w:t xml:space="preserve"> and business advertising (including protection of title</w:t>
            </w:r>
            <w:r w:rsidR="00010060">
              <w:t>)</w:t>
            </w:r>
            <w:r>
              <w:t xml:space="preserve">. </w:t>
            </w:r>
            <w:r w:rsidR="00EB35C6">
              <w:t>As per rationale under Option 6, s</w:t>
            </w:r>
            <w:r>
              <w:t>takeholders noted that costs associated with business materials may be absorbed into general updates to business materials over the multi-year implementation timeframe.</w:t>
            </w:r>
            <w:r w:rsidR="00331AB1">
              <w:t xml:space="preserve"> </w:t>
            </w:r>
            <w:r w:rsidR="00CB740C">
              <w:t xml:space="preserve">Additionally, </w:t>
            </w:r>
            <w:r w:rsidR="000C7BCF">
              <w:t>to the extent that Boards had similar compliance offerings as Ahpra (e.g., free bulk checks), compliance costs should be lessened.</w:t>
            </w:r>
            <w:r w:rsidR="00EF44D1">
              <w:t xml:space="preserve"> These costs are not able to be estimated at this time.</w:t>
            </w:r>
          </w:p>
        </w:tc>
      </w:tr>
      <w:tr w:rsidR="00C63EA9" w14:paraId="1352AD89" w14:textId="77777777" w:rsidTr="00A432B2">
        <w:trPr>
          <w:gridAfter w:val="1"/>
          <w:wAfter w:w="104" w:type="dxa"/>
        </w:trPr>
        <w:tc>
          <w:tcPr>
            <w:tcW w:w="2377" w:type="dxa"/>
          </w:tcPr>
          <w:p w14:paraId="035F6DB5" w14:textId="77777777" w:rsidR="00C63EA9" w:rsidRPr="00310DA8" w:rsidRDefault="00C63EA9" w:rsidP="00C63EA9">
            <w:pPr>
              <w:keepNext/>
              <w:ind w:left="113" w:right="113"/>
            </w:pPr>
            <w:r w:rsidRPr="00310DA8">
              <w:t xml:space="preserve">Change in </w:t>
            </w:r>
            <w:r>
              <w:t xml:space="preserve">university </w:t>
            </w:r>
            <w:r w:rsidRPr="00310DA8">
              <w:t>accreditation</w:t>
            </w:r>
            <w:r>
              <w:t xml:space="preserve"> fees</w:t>
            </w:r>
          </w:p>
        </w:tc>
        <w:tc>
          <w:tcPr>
            <w:tcW w:w="1126" w:type="dxa"/>
            <w:shd w:val="clear" w:color="auto" w:fill="FECECE"/>
          </w:tcPr>
          <w:p w14:paraId="7F00597E" w14:textId="77777777" w:rsidR="00C63EA9" w:rsidRDefault="00C63EA9" w:rsidP="00C63EA9">
            <w:pPr>
              <w:keepNext/>
              <w:ind w:left="113" w:right="113"/>
            </w:pPr>
            <w:r>
              <w:t xml:space="preserve">Cost </w:t>
            </w:r>
          </w:p>
        </w:tc>
        <w:tc>
          <w:tcPr>
            <w:tcW w:w="5749" w:type="dxa"/>
          </w:tcPr>
          <w:p w14:paraId="4B764570" w14:textId="42A450AB" w:rsidR="00C63EA9" w:rsidRDefault="00C63EA9" w:rsidP="00C63EA9">
            <w:pPr>
              <w:keepNext/>
              <w:ind w:left="113"/>
            </w:pPr>
            <w:r>
              <w:t xml:space="preserve">It is estimated that under </w:t>
            </w:r>
            <w:r w:rsidR="009D65B6">
              <w:t>National Registration</w:t>
            </w:r>
            <w:r>
              <w:t xml:space="preserve"> the seven university programs will incur an incremental ten-year annualised FY25 NPV cost of </w:t>
            </w:r>
            <w:r w:rsidRPr="0024711A">
              <w:t>$</w:t>
            </w:r>
            <w:r w:rsidR="003D1939">
              <w:t>8,</w:t>
            </w:r>
            <w:r w:rsidR="007A6D6C">
              <w:t>019</w:t>
            </w:r>
            <w:r>
              <w:t xml:space="preserve"> across all programs.</w:t>
            </w:r>
          </w:p>
        </w:tc>
      </w:tr>
      <w:tr w:rsidR="00C63EA9" w14:paraId="7730E364" w14:textId="77777777" w:rsidTr="00A432B2">
        <w:trPr>
          <w:gridAfter w:val="1"/>
          <w:wAfter w:w="104" w:type="dxa"/>
          <w:trHeight w:val="1352"/>
        </w:trPr>
        <w:tc>
          <w:tcPr>
            <w:tcW w:w="2377" w:type="dxa"/>
          </w:tcPr>
          <w:p w14:paraId="65D81E0F" w14:textId="77777777" w:rsidR="00C63EA9" w:rsidRPr="00310DA8" w:rsidRDefault="00C63EA9" w:rsidP="00C63EA9">
            <w:pPr>
              <w:keepNext/>
              <w:ind w:left="113" w:right="113"/>
            </w:pPr>
            <w:r>
              <w:t>Implementation</w:t>
            </w:r>
            <w:r w:rsidRPr="00AA0D7E">
              <w:t xml:space="preserve"> costs</w:t>
            </w:r>
          </w:p>
        </w:tc>
        <w:tc>
          <w:tcPr>
            <w:tcW w:w="1126" w:type="dxa"/>
            <w:shd w:val="clear" w:color="auto" w:fill="FECECE"/>
          </w:tcPr>
          <w:p w14:paraId="2F06159E" w14:textId="77777777" w:rsidR="00C63EA9" w:rsidRDefault="00C63EA9" w:rsidP="00C63EA9">
            <w:pPr>
              <w:keepNext/>
              <w:ind w:left="113" w:right="113"/>
            </w:pPr>
            <w:r>
              <w:t>Cost</w:t>
            </w:r>
          </w:p>
        </w:tc>
        <w:tc>
          <w:tcPr>
            <w:tcW w:w="5749" w:type="dxa"/>
          </w:tcPr>
          <w:p w14:paraId="17782505" w14:textId="4CA895DE" w:rsidR="00C63EA9" w:rsidRDefault="00C63EA9" w:rsidP="00C63EA9">
            <w:r>
              <w:t>In the first three years</w:t>
            </w:r>
            <w:r w:rsidRPr="00133447">
              <w:t xml:space="preserve"> leading </w:t>
            </w:r>
            <w:r>
              <w:t xml:space="preserve">up </w:t>
            </w:r>
            <w:r w:rsidRPr="00133447">
              <w:t xml:space="preserve">to registration, </w:t>
            </w:r>
            <w:r>
              <w:t xml:space="preserve">each </w:t>
            </w:r>
            <w:r w:rsidR="00D55509">
              <w:t>State and Territory</w:t>
            </w:r>
            <w:r>
              <w:t xml:space="preserve"> Board</w:t>
            </w:r>
            <w:r w:rsidRPr="00133447">
              <w:t xml:space="preserve"> </w:t>
            </w:r>
            <w:r>
              <w:t>will incur a range of upfront costs that cannot be recovered through</w:t>
            </w:r>
            <w:r w:rsidRPr="00133447">
              <w:t xml:space="preserve"> registrant fees</w:t>
            </w:r>
            <w:r>
              <w:t xml:space="preserve">. Using the establishment cost for </w:t>
            </w:r>
            <w:r w:rsidR="009D65B6">
              <w:t>Jurisdictional Registration</w:t>
            </w:r>
            <w:r>
              <w:t xml:space="preserve"> of social work in South Australia as a benchmark, it is estimated that the annualised ten-year FY25 NPV establishment cost of </w:t>
            </w:r>
            <w:r w:rsidR="008E3F0A">
              <w:t>Option 6</w:t>
            </w:r>
            <w:r>
              <w:t xml:space="preserve"> is </w:t>
            </w:r>
            <w:r w:rsidR="00E2139E" w:rsidRPr="00E2139E">
              <w:t>$</w:t>
            </w:r>
            <w:r w:rsidR="009879FF" w:rsidRPr="009879FF">
              <w:t xml:space="preserve"> $2,361,091 </w:t>
            </w:r>
            <w:r>
              <w:t>across all jurisdictions.</w:t>
            </w:r>
            <w:r w:rsidR="00E2139E">
              <w:t xml:space="preserve"> For NSW, the establishment of an audiology Health Professions Council in their jurisdiction </w:t>
            </w:r>
            <w:r w:rsidR="009C569F">
              <w:t>uses the same estimate provided for Option 7, at an</w:t>
            </w:r>
            <w:r w:rsidR="009C569F" w:rsidRPr="009C569F">
              <w:t xml:space="preserve"> annualised ten-year FY25 NPV </w:t>
            </w:r>
            <w:r w:rsidR="009C569F">
              <w:t>of</w:t>
            </w:r>
            <w:r w:rsidR="009C569F" w:rsidRPr="009C569F">
              <w:t xml:space="preserve"> </w:t>
            </w:r>
            <w:r w:rsidR="00611CA5" w:rsidRPr="00611CA5">
              <w:t>$8,089</w:t>
            </w:r>
            <w:r w:rsidR="00611CA5">
              <w:t>.</w:t>
            </w:r>
          </w:p>
        </w:tc>
      </w:tr>
      <w:tr w:rsidR="00C63EA9" w14:paraId="694E3A32" w14:textId="77777777" w:rsidTr="00A432B2">
        <w:trPr>
          <w:gridAfter w:val="1"/>
          <w:wAfter w:w="104" w:type="dxa"/>
        </w:trPr>
        <w:tc>
          <w:tcPr>
            <w:tcW w:w="2377" w:type="dxa"/>
          </w:tcPr>
          <w:p w14:paraId="750DDFF7" w14:textId="77777777" w:rsidR="00C63EA9" w:rsidRPr="00310DA8" w:rsidRDefault="00C63EA9" w:rsidP="00C63EA9">
            <w:pPr>
              <w:keepNext/>
              <w:ind w:left="113" w:right="113"/>
            </w:pPr>
            <w:r>
              <w:t>I</w:t>
            </w:r>
            <w:r w:rsidRPr="005415FF">
              <w:t>mplementation cost for legislative change</w:t>
            </w:r>
          </w:p>
        </w:tc>
        <w:tc>
          <w:tcPr>
            <w:tcW w:w="1126" w:type="dxa"/>
            <w:shd w:val="clear" w:color="auto" w:fill="FECECE"/>
          </w:tcPr>
          <w:p w14:paraId="3055F075" w14:textId="77777777" w:rsidR="00C63EA9" w:rsidRDefault="00C63EA9" w:rsidP="00C63EA9">
            <w:pPr>
              <w:keepNext/>
              <w:ind w:left="113" w:right="113"/>
            </w:pPr>
            <w:r>
              <w:t>Cost</w:t>
            </w:r>
          </w:p>
        </w:tc>
        <w:tc>
          <w:tcPr>
            <w:tcW w:w="5749" w:type="dxa"/>
          </w:tcPr>
          <w:p w14:paraId="6BF6775E" w14:textId="2B27E48B" w:rsidR="00C63EA9" w:rsidRPr="002B382F" w:rsidRDefault="00926414" w:rsidP="00C63EA9">
            <w:pPr>
              <w:pStyle w:val="BodyText"/>
              <w:spacing w:before="0" w:after="0"/>
            </w:pPr>
            <w:r w:rsidRPr="00926414">
              <w:t>The costs associated with the legislative amendments in each jurisdiction is not known at this time, and based on feedback provided for Option 7 there is considerable uncertainty regarding this type of cost (including stakeholder views that this type of work is considered part of business-as-usual costs). To inform cost estimates, it is recommended that the South Australian government is consulted regarding the experience with the Social Workers Registration Board of South Australia.</w:t>
            </w:r>
          </w:p>
        </w:tc>
      </w:tr>
    </w:tbl>
    <w:p w14:paraId="791B837A" w14:textId="77777777" w:rsidR="00B322FD" w:rsidRDefault="00B322FD" w:rsidP="00B322FD"/>
    <w:p w14:paraId="2099ED0F" w14:textId="5E147B89" w:rsidR="003C136C" w:rsidRDefault="00B322FD" w:rsidP="003C136C">
      <w:pPr>
        <w:pStyle w:val="BodyText"/>
      </w:pPr>
      <w:r>
        <w:t xml:space="preserve">The table below summarises the total estimated costs (less the costs offsets) associated with </w:t>
      </w:r>
      <w:r w:rsidR="00704278">
        <w:t>Option 6</w:t>
      </w:r>
      <w:r>
        <w:t xml:space="preserve"> with eight separate </w:t>
      </w:r>
      <w:r w:rsidR="00D55509">
        <w:t>State and Territory</w:t>
      </w:r>
      <w:r>
        <w:t xml:space="preserve"> Boards</w:t>
      </w:r>
      <w:r w:rsidRPr="007D6377">
        <w:t xml:space="preserve"> </w:t>
      </w:r>
      <w:r>
        <w:t xml:space="preserve">relative to the </w:t>
      </w:r>
      <w:r w:rsidR="00A80F45">
        <w:t>Status Quo</w:t>
      </w:r>
      <w:r>
        <w:t xml:space="preserve">. </w:t>
      </w:r>
      <w:r w:rsidRPr="00662746">
        <w:t xml:space="preserve">In reality, it is acknowledged that only some states and territories would adopt </w:t>
      </w:r>
      <w:r w:rsidR="009D65B6">
        <w:t>Jurisdictional Registration</w:t>
      </w:r>
      <w:r w:rsidRPr="00662746">
        <w:t xml:space="preserve">. </w:t>
      </w:r>
      <w:r>
        <w:t>This may occur in some jurisdictions</w:t>
      </w:r>
      <w:r w:rsidRPr="00662746">
        <w:t xml:space="preserve"> if </w:t>
      </w:r>
      <w:r w:rsidR="00704278">
        <w:t>Option 7</w:t>
      </w:r>
      <w:r w:rsidRPr="00662746">
        <w:t xml:space="preserve"> is not selected as the preferred option. If only some jurisdictions </w:t>
      </w:r>
      <w:r>
        <w:t>establish a Board</w:t>
      </w:r>
      <w:r w:rsidRPr="00662746">
        <w:t xml:space="preserve">, any national fixed costs would be shared across fewer jurisdictions, and thus the cost borne by each individual jurisdiction would be higher than if all eight states and territories </w:t>
      </w:r>
      <w:r>
        <w:t>established a Board</w:t>
      </w:r>
      <w:r w:rsidRPr="00662746">
        <w:t>.</w:t>
      </w:r>
    </w:p>
    <w:p w14:paraId="2F8FCE11" w14:textId="2CA050D1" w:rsidR="00B322FD" w:rsidRPr="00662746" w:rsidRDefault="008F6E20" w:rsidP="008D346B">
      <w:pPr>
        <w:pStyle w:val="BodyText"/>
      </w:pPr>
      <w:bookmarkStart w:id="292" w:name="_Hlk196835767"/>
      <w:r>
        <w:t>As previously stated, it</w:t>
      </w:r>
      <w:r w:rsidRPr="008F6E20">
        <w:t xml:space="preserve"> acknowledged that stakeholders may seek to pass on costs to a different stakeholder (e.g., government or consumers), which would represent a transfer of costs rather than new costs. Hence, this analysis does not consider second-round impacts of costs passed through, however the extent to which costs may be subsequently passed on consumers is discussed for the preferred option in Section 9.2.4.3.</w:t>
      </w:r>
    </w:p>
    <w:p w14:paraId="3AE127A3" w14:textId="7910CBB2" w:rsidR="00B322FD" w:rsidRDefault="00566211" w:rsidP="00AF6D43">
      <w:pPr>
        <w:pStyle w:val="Caption"/>
        <w:keepNext/>
      </w:pPr>
      <w:bookmarkStart w:id="293" w:name="_Ref193264427"/>
      <w:bookmarkStart w:id="294" w:name="_Ref172628771"/>
      <w:bookmarkEnd w:id="292"/>
      <w:r>
        <w:t xml:space="preserve">Table </w:t>
      </w:r>
      <w:fldSimple w:instr=" STYLEREF 1 \s ">
        <w:r w:rsidR="00F32107">
          <w:rPr>
            <w:noProof/>
          </w:rPr>
          <w:t>8</w:t>
        </w:r>
      </w:fldSimple>
      <w:r w:rsidR="008944FB">
        <w:t>.</w:t>
      </w:r>
      <w:fldSimple w:instr=" SEQ Table \* ARABIC \s 1 ">
        <w:r w:rsidR="00F32107">
          <w:rPr>
            <w:noProof/>
          </w:rPr>
          <w:t>29</w:t>
        </w:r>
      </w:fldSimple>
      <w:bookmarkEnd w:id="293"/>
      <w:r w:rsidR="00CC6A38">
        <w:t>.</w:t>
      </w:r>
      <w:r w:rsidR="00E36890">
        <w:t xml:space="preserve"> E</w:t>
      </w:r>
      <w:r w:rsidR="00B322FD">
        <w:t xml:space="preserve">stimated ten-year costs associated with </w:t>
      </w:r>
      <w:bookmarkEnd w:id="294"/>
      <w:r w:rsidR="000A2365">
        <w:t>Option 6</w:t>
      </w:r>
    </w:p>
    <w:tbl>
      <w:tblPr>
        <w:tblStyle w:val="BodyTable"/>
        <w:tblW w:w="9207" w:type="dxa"/>
        <w:tblInd w:w="2" w:type="dxa"/>
        <w:tblLayout w:type="fixed"/>
        <w:tblLook w:val="04A0" w:firstRow="1" w:lastRow="0" w:firstColumn="1" w:lastColumn="0" w:noHBand="0" w:noVBand="1"/>
      </w:tblPr>
      <w:tblGrid>
        <w:gridCol w:w="7"/>
        <w:gridCol w:w="1409"/>
        <w:gridCol w:w="6"/>
        <w:gridCol w:w="3112"/>
        <w:gridCol w:w="1134"/>
        <w:gridCol w:w="1276"/>
        <w:gridCol w:w="1159"/>
        <w:gridCol w:w="1104"/>
      </w:tblGrid>
      <w:tr w:rsidR="00177F5B" w:rsidRPr="00466057" w14:paraId="26CE22F5" w14:textId="77777777" w:rsidTr="00AB4621">
        <w:trPr>
          <w:gridBefore w:val="1"/>
          <w:cnfStyle w:val="100000000000" w:firstRow="1" w:lastRow="0" w:firstColumn="0" w:lastColumn="0" w:oddVBand="0" w:evenVBand="0" w:oddHBand="0" w:evenHBand="0" w:firstRowFirstColumn="0" w:firstRowLastColumn="0" w:lastRowFirstColumn="0" w:lastRowLastColumn="0"/>
          <w:wBefore w:w="7" w:type="dxa"/>
          <w:trHeight w:val="292"/>
        </w:trPr>
        <w:tc>
          <w:tcPr>
            <w:tcW w:w="1415" w:type="dxa"/>
            <w:gridSpan w:val="2"/>
          </w:tcPr>
          <w:p w14:paraId="03B13F87" w14:textId="0CEACEC3" w:rsidR="00177F5B" w:rsidRDefault="00177F5B" w:rsidP="00177F5B">
            <w:pPr>
              <w:keepNext/>
              <w:spacing w:line="240" w:lineRule="auto"/>
              <w:rPr>
                <w:rFonts w:eastAsia="Times New Roman" w:cs="Calibri Light"/>
                <w:b/>
                <w:bCs/>
                <w:color w:val="000000" w:themeColor="text1"/>
                <w:szCs w:val="20"/>
                <w:lang w:eastAsia="en-AU"/>
              </w:rPr>
            </w:pPr>
            <w:r>
              <w:rPr>
                <w:rFonts w:eastAsia="Times New Roman" w:cs="Calibri Light"/>
                <w:b/>
                <w:bCs/>
                <w:color w:val="000000" w:themeColor="text1"/>
                <w:szCs w:val="20"/>
                <w:lang w:eastAsia="en-AU"/>
              </w:rPr>
              <w:t>Stakeholder affected</w:t>
            </w:r>
          </w:p>
        </w:tc>
        <w:tc>
          <w:tcPr>
            <w:tcW w:w="3112" w:type="dxa"/>
            <w:noWrap/>
          </w:tcPr>
          <w:p w14:paraId="6ABA5A4D" w14:textId="273A53E5" w:rsidR="00177F5B" w:rsidRPr="00F308B1" w:rsidRDefault="00177F5B" w:rsidP="00177F5B">
            <w:pPr>
              <w:keepNext/>
              <w:spacing w:line="240" w:lineRule="auto"/>
              <w:rPr>
                <w:rFonts w:eastAsia="Times New Roman" w:cs="Calibri Light"/>
                <w:b/>
                <w:color w:val="808080" w:themeColor="background1" w:themeShade="80"/>
                <w:szCs w:val="20"/>
                <w:lang w:eastAsia="en-AU"/>
              </w:rPr>
            </w:pPr>
            <w:r w:rsidRPr="00F308B1">
              <w:rPr>
                <w:rFonts w:eastAsia="Times New Roman" w:cs="Calibri Light"/>
                <w:b/>
                <w:bCs/>
                <w:color w:val="000000" w:themeColor="text1"/>
                <w:szCs w:val="20"/>
                <w:lang w:eastAsia="en-AU"/>
              </w:rPr>
              <w:t>Cost type</w:t>
            </w:r>
          </w:p>
        </w:tc>
        <w:tc>
          <w:tcPr>
            <w:tcW w:w="1134" w:type="dxa"/>
            <w:noWrap/>
          </w:tcPr>
          <w:p w14:paraId="658EF1E3"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19AD5087" w14:textId="0E004EA8"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w:t>
            </w:r>
            <w:r w:rsidRPr="006A1D83">
              <w:rPr>
                <w:b/>
                <w:bCs/>
              </w:rPr>
              <w:t>2</w:t>
            </w:r>
            <w:r>
              <w:rPr>
                <w:b/>
                <w:bCs/>
              </w:rPr>
              <w:t>5-28</w:t>
            </w:r>
            <w:r w:rsidRPr="006A1D83">
              <w:rPr>
                <w:b/>
                <w:bCs/>
              </w:rPr>
              <w:t>)</w:t>
            </w:r>
          </w:p>
        </w:tc>
        <w:tc>
          <w:tcPr>
            <w:tcW w:w="1276" w:type="dxa"/>
            <w:noWrap/>
          </w:tcPr>
          <w:p w14:paraId="2F771A6E"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2A045E28" w14:textId="242FFEBD"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FY29-34</w:t>
            </w:r>
            <w:r w:rsidRPr="006A1D83">
              <w:rPr>
                <w:b/>
                <w:bCs/>
              </w:rPr>
              <w:t>)</w:t>
            </w:r>
          </w:p>
        </w:tc>
        <w:tc>
          <w:tcPr>
            <w:tcW w:w="1159" w:type="dxa"/>
            <w:noWrap/>
          </w:tcPr>
          <w:p w14:paraId="3190C7E5" w14:textId="77777777" w:rsidR="00177F5B" w:rsidRDefault="00177F5B" w:rsidP="00177F5B">
            <w:pPr>
              <w:keepNext/>
              <w:spacing w:line="240" w:lineRule="auto"/>
              <w:ind w:left="113" w:right="113"/>
              <w:jc w:val="right"/>
              <w:rPr>
                <w:b/>
                <w:bCs/>
              </w:rPr>
            </w:pPr>
            <w:r>
              <w:rPr>
                <w:b/>
                <w:bCs/>
              </w:rPr>
              <w:t>Total NPV cost over ten-year period</w:t>
            </w:r>
          </w:p>
          <w:p w14:paraId="15479AA7" w14:textId="0244F33C" w:rsidR="00177F5B" w:rsidRPr="00466057" w:rsidRDefault="00177F5B" w:rsidP="00177F5B">
            <w:pPr>
              <w:keepNext/>
              <w:spacing w:line="240" w:lineRule="auto"/>
              <w:jc w:val="right"/>
              <w:rPr>
                <w:rFonts w:eastAsia="Times New Roman" w:cs="Calibri Light"/>
                <w:color w:val="000000"/>
                <w:szCs w:val="20"/>
                <w:lang w:eastAsia="en-AU"/>
              </w:rPr>
            </w:pPr>
            <w:r w:rsidRPr="006A1D83">
              <w:rPr>
                <w:b/>
                <w:bCs/>
              </w:rPr>
              <w:t>(</w:t>
            </w:r>
            <w:r>
              <w:rPr>
                <w:b/>
                <w:bCs/>
              </w:rPr>
              <w:t>FY25-34</w:t>
            </w:r>
            <w:r w:rsidRPr="006A1D83">
              <w:rPr>
                <w:b/>
                <w:bCs/>
              </w:rPr>
              <w:t>)</w:t>
            </w:r>
          </w:p>
        </w:tc>
        <w:tc>
          <w:tcPr>
            <w:tcW w:w="1104" w:type="dxa"/>
          </w:tcPr>
          <w:p w14:paraId="026E13F9"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0B5DC152" w14:textId="62E6E014" w:rsidR="00177F5B" w:rsidRPr="006A1D83" w:rsidRDefault="00177F5B" w:rsidP="00177F5B">
            <w:pPr>
              <w:keepNext/>
              <w:spacing w:line="240" w:lineRule="auto"/>
              <w:ind w:left="113" w:right="113"/>
              <w:jc w:val="right"/>
              <w:rPr>
                <w:b/>
              </w:rPr>
            </w:pPr>
            <w:r w:rsidRPr="006A1D83">
              <w:rPr>
                <w:b/>
                <w:bCs/>
              </w:rPr>
              <w:t>(</w:t>
            </w:r>
            <w:r>
              <w:rPr>
                <w:b/>
                <w:bCs/>
              </w:rPr>
              <w:t>FY25-34</w:t>
            </w:r>
            <w:r w:rsidRPr="006A1D83">
              <w:rPr>
                <w:b/>
                <w:bCs/>
              </w:rPr>
              <w:t>)</w:t>
            </w:r>
          </w:p>
        </w:tc>
      </w:tr>
      <w:tr w:rsidR="00123DA1" w:rsidRPr="00466057" w14:paraId="0608CAAE" w14:textId="77777777" w:rsidTr="00AB4621">
        <w:trPr>
          <w:trHeight w:val="292"/>
        </w:trPr>
        <w:tc>
          <w:tcPr>
            <w:tcW w:w="1416" w:type="dxa"/>
            <w:gridSpan w:val="2"/>
          </w:tcPr>
          <w:p w14:paraId="1BE9B317" w14:textId="1874F000" w:rsidR="00123DA1" w:rsidRDefault="00123DA1" w:rsidP="00123DA1">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118" w:type="dxa"/>
            <w:gridSpan w:val="2"/>
            <w:noWrap/>
          </w:tcPr>
          <w:p w14:paraId="4D1FE55F" w14:textId="77777777" w:rsidR="00123DA1" w:rsidRPr="00466057" w:rsidRDefault="00123DA1" w:rsidP="00123DA1">
            <w:pPr>
              <w:keepNext/>
              <w:spacing w:line="240" w:lineRule="auto"/>
              <w:rPr>
                <w:rFonts w:eastAsia="Times New Roman" w:cs="Calibri Light"/>
                <w:color w:val="808080" w:themeColor="background1" w:themeShade="80"/>
                <w:szCs w:val="20"/>
                <w:lang w:eastAsia="en-AU"/>
              </w:rPr>
            </w:pPr>
            <w:r w:rsidRPr="00466057">
              <w:rPr>
                <w:rFonts w:eastAsia="Times New Roman" w:cs="Calibri Light"/>
                <w:color w:val="808080" w:themeColor="background1" w:themeShade="80"/>
                <w:szCs w:val="20"/>
                <w:lang w:eastAsia="en-AU"/>
              </w:rPr>
              <w:t>Legislative changes^</w:t>
            </w:r>
          </w:p>
        </w:tc>
        <w:tc>
          <w:tcPr>
            <w:tcW w:w="1134" w:type="dxa"/>
            <w:noWrap/>
          </w:tcPr>
          <w:p w14:paraId="5BAF5B94" w14:textId="4E2F4A0A" w:rsidR="00123DA1" w:rsidRPr="008B188E" w:rsidRDefault="00123DA1" w:rsidP="00123DA1">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w:t>
            </w:r>
          </w:p>
        </w:tc>
        <w:tc>
          <w:tcPr>
            <w:tcW w:w="1276" w:type="dxa"/>
            <w:noWrap/>
          </w:tcPr>
          <w:p w14:paraId="71593672" w14:textId="07383542" w:rsidR="00123DA1" w:rsidRPr="008B188E" w:rsidRDefault="00123DA1" w:rsidP="00123DA1">
            <w:pPr>
              <w:keepNext/>
              <w:spacing w:line="240" w:lineRule="auto"/>
              <w:ind w:firstLineChars="100" w:firstLine="170"/>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w:t>
            </w:r>
          </w:p>
        </w:tc>
        <w:tc>
          <w:tcPr>
            <w:tcW w:w="1159" w:type="dxa"/>
            <w:noWrap/>
          </w:tcPr>
          <w:p w14:paraId="068AB305" w14:textId="125FCD5E" w:rsidR="00123DA1" w:rsidRPr="008B188E" w:rsidRDefault="00123DA1" w:rsidP="00123DA1">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w:t>
            </w:r>
          </w:p>
        </w:tc>
        <w:tc>
          <w:tcPr>
            <w:tcW w:w="1104" w:type="dxa"/>
          </w:tcPr>
          <w:p w14:paraId="1202872F" w14:textId="00563EF5" w:rsidR="00123DA1" w:rsidRPr="008B188E" w:rsidRDefault="00123DA1" w:rsidP="00123DA1">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w:t>
            </w:r>
          </w:p>
        </w:tc>
      </w:tr>
      <w:tr w:rsidR="004C49B4" w:rsidRPr="00466057" w14:paraId="2EE98955" w14:textId="77777777" w:rsidTr="00AB4621">
        <w:trPr>
          <w:gridBefore w:val="1"/>
          <w:wBefore w:w="7" w:type="dxa"/>
          <w:trHeight w:val="292"/>
        </w:trPr>
        <w:tc>
          <w:tcPr>
            <w:tcW w:w="1415" w:type="dxa"/>
            <w:gridSpan w:val="2"/>
          </w:tcPr>
          <w:p w14:paraId="58F22322" w14:textId="5AC41F61" w:rsidR="004C49B4" w:rsidRDefault="004C49B4" w:rsidP="004C49B4">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112" w:type="dxa"/>
            <w:noWrap/>
            <w:hideMark/>
          </w:tcPr>
          <w:p w14:paraId="1A5415F5" w14:textId="77777777" w:rsidR="004C49B4" w:rsidRPr="00466057" w:rsidRDefault="004C49B4" w:rsidP="004C49B4">
            <w:pPr>
              <w:keepNext/>
              <w:spacing w:line="240" w:lineRule="auto"/>
              <w:rPr>
                <w:rFonts w:eastAsia="Times New Roman" w:cs="Calibri Light"/>
                <w:color w:val="000000"/>
                <w:szCs w:val="20"/>
                <w:lang w:eastAsia="en-AU"/>
              </w:rPr>
            </w:pPr>
            <w:r>
              <w:rPr>
                <w:rFonts w:eastAsia="Times New Roman" w:cs="Calibri Light"/>
                <w:color w:val="808080" w:themeColor="background1" w:themeShade="80"/>
                <w:szCs w:val="20"/>
                <w:lang w:eastAsia="en-AU"/>
              </w:rPr>
              <w:t>E</w:t>
            </w:r>
            <w:r w:rsidRPr="00466057">
              <w:rPr>
                <w:rFonts w:eastAsia="Times New Roman" w:cs="Calibri Light"/>
                <w:color w:val="808080" w:themeColor="background1" w:themeShade="80"/>
                <w:szCs w:val="20"/>
                <w:lang w:eastAsia="en-AU"/>
              </w:rPr>
              <w:t>stablishment costs^</w:t>
            </w:r>
          </w:p>
        </w:tc>
        <w:tc>
          <w:tcPr>
            <w:tcW w:w="1134" w:type="dxa"/>
            <w:noWrap/>
          </w:tcPr>
          <w:p w14:paraId="26DB19F1" w14:textId="3E0FEBD7" w:rsidR="004C49B4" w:rsidRPr="00972F5E" w:rsidRDefault="00370628" w:rsidP="004C49B4">
            <w:pPr>
              <w:keepNext/>
              <w:spacing w:line="240" w:lineRule="auto"/>
              <w:jc w:val="right"/>
              <w:rPr>
                <w:rFonts w:eastAsia="Times New Roman" w:cs="Calibri Light"/>
                <w:color w:val="808080" w:themeColor="background1" w:themeShade="80"/>
                <w:szCs w:val="20"/>
                <w:lang w:eastAsia="en-AU"/>
              </w:rPr>
            </w:pPr>
            <w:r w:rsidRPr="00EE3AA4">
              <w:rPr>
                <w:rFonts w:eastAsia="Times New Roman" w:cs="Calibri Light"/>
                <w:color w:val="808080" w:themeColor="background1" w:themeShade="80"/>
                <w:szCs w:val="20"/>
                <w:lang w:eastAsia="en-AU"/>
              </w:rPr>
              <w:t xml:space="preserve"> $23,610,912 </w:t>
            </w:r>
          </w:p>
        </w:tc>
        <w:tc>
          <w:tcPr>
            <w:tcW w:w="1276" w:type="dxa"/>
            <w:noWrap/>
          </w:tcPr>
          <w:p w14:paraId="3E7F0665" w14:textId="03D77C0A" w:rsidR="004C49B4" w:rsidRPr="00972F5E" w:rsidRDefault="00370628" w:rsidP="004C49B4">
            <w:pPr>
              <w:keepNext/>
              <w:spacing w:line="240" w:lineRule="auto"/>
              <w:ind w:firstLineChars="100" w:firstLine="170"/>
              <w:jc w:val="right"/>
              <w:rPr>
                <w:rFonts w:eastAsia="Times New Roman" w:cs="Calibri Light"/>
                <w:color w:val="808080" w:themeColor="background1" w:themeShade="80"/>
                <w:szCs w:val="20"/>
                <w:lang w:eastAsia="en-AU"/>
              </w:rPr>
            </w:pPr>
            <w:r w:rsidRPr="00EE3AA4">
              <w:rPr>
                <w:rFonts w:eastAsia="Times New Roman" w:cs="Calibri Light"/>
                <w:color w:val="808080" w:themeColor="background1" w:themeShade="80"/>
                <w:szCs w:val="20"/>
                <w:lang w:eastAsia="en-AU"/>
              </w:rPr>
              <w:t xml:space="preserve"> $-   </w:t>
            </w:r>
          </w:p>
        </w:tc>
        <w:tc>
          <w:tcPr>
            <w:tcW w:w="1159" w:type="dxa"/>
            <w:noWrap/>
          </w:tcPr>
          <w:p w14:paraId="2A253459" w14:textId="7CBE3271" w:rsidR="004C49B4" w:rsidRPr="00972F5E" w:rsidRDefault="00370628" w:rsidP="004C49B4">
            <w:pPr>
              <w:keepNext/>
              <w:spacing w:line="240" w:lineRule="auto"/>
              <w:jc w:val="right"/>
              <w:rPr>
                <w:rFonts w:eastAsia="Times New Roman" w:cs="Calibri Light"/>
                <w:color w:val="808080" w:themeColor="background1" w:themeShade="80"/>
                <w:szCs w:val="20"/>
                <w:lang w:eastAsia="en-AU"/>
              </w:rPr>
            </w:pPr>
            <w:r w:rsidRPr="00EE3AA4">
              <w:rPr>
                <w:rFonts w:eastAsia="Times New Roman" w:cs="Calibri Light"/>
                <w:color w:val="808080" w:themeColor="background1" w:themeShade="80"/>
                <w:szCs w:val="20"/>
                <w:lang w:eastAsia="en-AU"/>
              </w:rPr>
              <w:t xml:space="preserve"> $23,610,912 </w:t>
            </w:r>
          </w:p>
        </w:tc>
        <w:tc>
          <w:tcPr>
            <w:tcW w:w="1104" w:type="dxa"/>
          </w:tcPr>
          <w:p w14:paraId="70560422" w14:textId="27A21CB4" w:rsidR="004C49B4" w:rsidRPr="00972F5E" w:rsidRDefault="00370628" w:rsidP="004C49B4">
            <w:pPr>
              <w:keepNext/>
              <w:spacing w:line="240" w:lineRule="auto"/>
              <w:jc w:val="right"/>
              <w:rPr>
                <w:rFonts w:eastAsia="Times New Roman" w:cs="Calibri Light"/>
                <w:color w:val="808080" w:themeColor="background1" w:themeShade="80"/>
                <w:szCs w:val="20"/>
                <w:lang w:eastAsia="en-AU"/>
              </w:rPr>
            </w:pPr>
            <w:r w:rsidRPr="00EE3AA4">
              <w:rPr>
                <w:rFonts w:eastAsia="Times New Roman" w:cs="Calibri Light"/>
                <w:color w:val="808080" w:themeColor="background1" w:themeShade="80"/>
                <w:szCs w:val="20"/>
                <w:lang w:eastAsia="en-AU"/>
              </w:rPr>
              <w:t xml:space="preserve"> $2,361,091 </w:t>
            </w:r>
          </w:p>
        </w:tc>
      </w:tr>
      <w:tr w:rsidR="004C49B4" w:rsidRPr="00466057" w14:paraId="38604DB8" w14:textId="77777777" w:rsidTr="00AB4621">
        <w:trPr>
          <w:gridBefore w:val="1"/>
          <w:wBefore w:w="7" w:type="dxa"/>
          <w:trHeight w:val="292"/>
        </w:trPr>
        <w:tc>
          <w:tcPr>
            <w:tcW w:w="1415" w:type="dxa"/>
            <w:gridSpan w:val="2"/>
          </w:tcPr>
          <w:p w14:paraId="380E04F5" w14:textId="36B277B2" w:rsidR="004C49B4" w:rsidRDefault="004C49B4" w:rsidP="004C49B4">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Government</w:t>
            </w:r>
          </w:p>
        </w:tc>
        <w:tc>
          <w:tcPr>
            <w:tcW w:w="3112" w:type="dxa"/>
            <w:noWrap/>
          </w:tcPr>
          <w:p w14:paraId="0CE10EA9" w14:textId="1EF40F0C" w:rsidR="004C49B4" w:rsidRDefault="004C49B4" w:rsidP="004C49B4">
            <w:pPr>
              <w:keepNext/>
              <w:spacing w:line="240" w:lineRule="auto"/>
              <w:rPr>
                <w:rFonts w:eastAsia="Times New Roman" w:cs="Calibri Light"/>
                <w:color w:val="808080" w:themeColor="background1" w:themeShade="80"/>
                <w:szCs w:val="20"/>
                <w:lang w:eastAsia="en-AU"/>
              </w:rPr>
            </w:pPr>
            <w:r>
              <w:rPr>
                <w:rFonts w:eastAsia="Times New Roman" w:cs="Calibri Light"/>
                <w:color w:val="808080" w:themeColor="background1" w:themeShade="80"/>
                <w:szCs w:val="20"/>
                <w:lang w:eastAsia="en-AU"/>
              </w:rPr>
              <w:t>NSW HPCA establishment</w:t>
            </w:r>
            <w:r w:rsidRPr="00466057">
              <w:rPr>
                <w:rFonts w:eastAsia="Times New Roman" w:cs="Calibri Light"/>
                <w:color w:val="808080" w:themeColor="background1" w:themeShade="80"/>
                <w:szCs w:val="20"/>
                <w:lang w:eastAsia="en-AU"/>
              </w:rPr>
              <w:t xml:space="preserve"> costs^</w:t>
            </w:r>
          </w:p>
        </w:tc>
        <w:tc>
          <w:tcPr>
            <w:tcW w:w="1134" w:type="dxa"/>
            <w:noWrap/>
          </w:tcPr>
          <w:p w14:paraId="30FC3333" w14:textId="3758EE8B" w:rsidR="004C49B4" w:rsidRPr="00972F5E" w:rsidRDefault="004C49B4" w:rsidP="004C49B4">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$80,893 </w:t>
            </w:r>
          </w:p>
        </w:tc>
        <w:tc>
          <w:tcPr>
            <w:tcW w:w="1276" w:type="dxa"/>
            <w:noWrap/>
          </w:tcPr>
          <w:p w14:paraId="56450225" w14:textId="69C427EE" w:rsidR="004C49B4" w:rsidRPr="00972F5E" w:rsidRDefault="004C49B4" w:rsidP="004C49B4">
            <w:pPr>
              <w:keepNext/>
              <w:spacing w:line="240" w:lineRule="auto"/>
              <w:ind w:firstLineChars="100" w:firstLine="170"/>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   </w:t>
            </w:r>
          </w:p>
        </w:tc>
        <w:tc>
          <w:tcPr>
            <w:tcW w:w="1159" w:type="dxa"/>
            <w:noWrap/>
          </w:tcPr>
          <w:p w14:paraId="30701E62" w14:textId="253CC2B5" w:rsidR="004C49B4" w:rsidRPr="00972F5E" w:rsidRDefault="004C49B4" w:rsidP="004C49B4">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$80,893 </w:t>
            </w:r>
          </w:p>
        </w:tc>
        <w:tc>
          <w:tcPr>
            <w:tcW w:w="1104" w:type="dxa"/>
          </w:tcPr>
          <w:p w14:paraId="584A6061" w14:textId="27066D27" w:rsidR="004C49B4" w:rsidRPr="00972F5E" w:rsidRDefault="004C49B4" w:rsidP="004C49B4">
            <w:pPr>
              <w:keepNext/>
              <w:spacing w:line="240" w:lineRule="auto"/>
              <w:jc w:val="right"/>
              <w:rPr>
                <w:rFonts w:eastAsia="Times New Roman" w:cs="Calibri Light"/>
                <w:color w:val="808080" w:themeColor="background1" w:themeShade="80"/>
                <w:szCs w:val="20"/>
                <w:lang w:eastAsia="en-AU"/>
              </w:rPr>
            </w:pPr>
            <w:r w:rsidRPr="00972F5E">
              <w:rPr>
                <w:rFonts w:eastAsia="Times New Roman" w:cs="Calibri Light"/>
                <w:color w:val="808080" w:themeColor="background1" w:themeShade="80"/>
                <w:szCs w:val="20"/>
                <w:lang w:eastAsia="en-AU"/>
              </w:rPr>
              <w:t xml:space="preserve"> $8,089 </w:t>
            </w:r>
          </w:p>
        </w:tc>
      </w:tr>
      <w:tr w:rsidR="005F6C0A" w:rsidRPr="00466057" w14:paraId="041EDB8D" w14:textId="77777777" w:rsidTr="00AB4621">
        <w:trPr>
          <w:gridBefore w:val="1"/>
          <w:wBefore w:w="7" w:type="dxa"/>
          <w:trHeight w:val="292"/>
        </w:trPr>
        <w:tc>
          <w:tcPr>
            <w:tcW w:w="1415" w:type="dxa"/>
            <w:gridSpan w:val="2"/>
          </w:tcPr>
          <w:p w14:paraId="5BCB7BB2" w14:textId="7D30F302" w:rsidR="005F6C0A" w:rsidRPr="0041341A" w:rsidRDefault="005F6C0A" w:rsidP="005F6C0A">
            <w:pPr>
              <w:keepNext/>
              <w:spacing w:line="240" w:lineRule="auto"/>
              <w:rPr>
                <w:rFonts w:cs="Calibri Light"/>
                <w:color w:val="000000"/>
                <w:szCs w:val="20"/>
              </w:rPr>
            </w:pPr>
            <w:r>
              <w:rPr>
                <w:rFonts w:cs="Calibri Light"/>
                <w:color w:val="000000"/>
                <w:szCs w:val="20"/>
              </w:rPr>
              <w:t>Employer</w:t>
            </w:r>
          </w:p>
        </w:tc>
        <w:tc>
          <w:tcPr>
            <w:tcW w:w="3112" w:type="dxa"/>
            <w:noWrap/>
          </w:tcPr>
          <w:p w14:paraId="50465AD1" w14:textId="77777777" w:rsidR="005F6C0A" w:rsidRPr="00466057" w:rsidRDefault="005F6C0A" w:rsidP="005F6C0A">
            <w:pPr>
              <w:keepNext/>
              <w:spacing w:line="240" w:lineRule="auto"/>
              <w:rPr>
                <w:rFonts w:eastAsia="Times New Roman" w:cs="Calibri Light"/>
                <w:color w:val="000000"/>
                <w:szCs w:val="20"/>
                <w:lang w:eastAsia="en-AU"/>
              </w:rPr>
            </w:pPr>
            <w:r w:rsidRPr="0041341A">
              <w:rPr>
                <w:rFonts w:cs="Calibri Light"/>
                <w:color w:val="000000"/>
                <w:szCs w:val="20"/>
              </w:rPr>
              <w:t xml:space="preserve">Increase in CPD time costs </w:t>
            </w:r>
          </w:p>
        </w:tc>
        <w:tc>
          <w:tcPr>
            <w:tcW w:w="1134" w:type="dxa"/>
            <w:noWrap/>
          </w:tcPr>
          <w:p w14:paraId="3616F512" w14:textId="3A59097B" w:rsidR="005F6C0A" w:rsidRPr="004355F8" w:rsidRDefault="005F6C0A" w:rsidP="005F6C0A">
            <w:pPr>
              <w:keepNext/>
              <w:spacing w:line="240" w:lineRule="auto"/>
              <w:jc w:val="right"/>
              <w:rPr>
                <w:rFonts w:cs="Calibri Light"/>
                <w:color w:val="000000"/>
                <w:szCs w:val="20"/>
              </w:rPr>
            </w:pPr>
            <w:r w:rsidRPr="00C43A3A">
              <w:t xml:space="preserve"> $-   </w:t>
            </w:r>
          </w:p>
        </w:tc>
        <w:tc>
          <w:tcPr>
            <w:tcW w:w="1276" w:type="dxa"/>
            <w:noWrap/>
          </w:tcPr>
          <w:p w14:paraId="29C471A8" w14:textId="04CD7B8B" w:rsidR="005F6C0A" w:rsidRPr="004355F8" w:rsidRDefault="005F6C0A" w:rsidP="005F6C0A">
            <w:pPr>
              <w:keepNext/>
              <w:spacing w:line="240" w:lineRule="auto"/>
              <w:ind w:left="0" w:right="0" w:firstLineChars="100" w:firstLine="170"/>
              <w:jc w:val="right"/>
              <w:rPr>
                <w:rFonts w:cs="Calibri Light"/>
                <w:color w:val="000000"/>
                <w:szCs w:val="20"/>
              </w:rPr>
            </w:pPr>
            <w:r w:rsidRPr="00C43A3A">
              <w:t xml:space="preserve"> $8,717,389 </w:t>
            </w:r>
          </w:p>
        </w:tc>
        <w:tc>
          <w:tcPr>
            <w:tcW w:w="1159" w:type="dxa"/>
            <w:noWrap/>
          </w:tcPr>
          <w:p w14:paraId="704903C2" w14:textId="5A093E63" w:rsidR="005F6C0A" w:rsidRPr="004355F8" w:rsidRDefault="005F6C0A" w:rsidP="005F6C0A">
            <w:pPr>
              <w:keepNext/>
              <w:spacing w:line="240" w:lineRule="auto"/>
              <w:jc w:val="right"/>
              <w:rPr>
                <w:rFonts w:cs="Calibri Light"/>
                <w:color w:val="000000"/>
                <w:szCs w:val="20"/>
              </w:rPr>
            </w:pPr>
            <w:r w:rsidRPr="00C43A3A">
              <w:t xml:space="preserve"> $8,717,389 </w:t>
            </w:r>
          </w:p>
        </w:tc>
        <w:tc>
          <w:tcPr>
            <w:tcW w:w="1104" w:type="dxa"/>
          </w:tcPr>
          <w:p w14:paraId="3C221F7D" w14:textId="2FAB5354" w:rsidR="005F6C0A" w:rsidRPr="004355F8" w:rsidRDefault="005F6C0A" w:rsidP="005F6C0A">
            <w:pPr>
              <w:keepNext/>
              <w:spacing w:line="240" w:lineRule="auto"/>
              <w:jc w:val="right"/>
              <w:rPr>
                <w:rFonts w:cs="Calibri Light"/>
                <w:color w:val="000000"/>
                <w:szCs w:val="20"/>
              </w:rPr>
            </w:pPr>
            <w:r w:rsidRPr="00C43A3A">
              <w:t xml:space="preserve"> $871,739 </w:t>
            </w:r>
          </w:p>
        </w:tc>
      </w:tr>
      <w:tr w:rsidR="005F6C0A" w:rsidRPr="00466057" w14:paraId="235B2D4B" w14:textId="77777777" w:rsidTr="00AB4621">
        <w:trPr>
          <w:gridBefore w:val="1"/>
          <w:wBefore w:w="7" w:type="dxa"/>
          <w:trHeight w:val="292"/>
        </w:trPr>
        <w:tc>
          <w:tcPr>
            <w:tcW w:w="1415" w:type="dxa"/>
            <w:gridSpan w:val="2"/>
          </w:tcPr>
          <w:p w14:paraId="1F85F395" w14:textId="702B1E36" w:rsidR="005F6C0A" w:rsidRPr="0041341A" w:rsidRDefault="005F6C0A" w:rsidP="005F6C0A">
            <w:pPr>
              <w:keepNext/>
              <w:spacing w:line="240" w:lineRule="auto"/>
              <w:rPr>
                <w:rFonts w:cs="Calibri Light"/>
                <w:color w:val="000000"/>
                <w:szCs w:val="20"/>
              </w:rPr>
            </w:pPr>
            <w:r>
              <w:rPr>
                <w:rFonts w:cs="Calibri Light"/>
                <w:color w:val="000000"/>
                <w:szCs w:val="20"/>
              </w:rPr>
              <w:t>Employer</w:t>
            </w:r>
          </w:p>
        </w:tc>
        <w:tc>
          <w:tcPr>
            <w:tcW w:w="3112" w:type="dxa"/>
            <w:noWrap/>
          </w:tcPr>
          <w:p w14:paraId="2ED95B3C" w14:textId="77777777" w:rsidR="005F6C0A" w:rsidRPr="00466057" w:rsidRDefault="005F6C0A" w:rsidP="005F6C0A">
            <w:pPr>
              <w:keepNext/>
              <w:spacing w:line="240" w:lineRule="auto"/>
              <w:ind w:left="0"/>
              <w:rPr>
                <w:rFonts w:eastAsia="Times New Roman" w:cs="Calibri Light"/>
                <w:color w:val="000000"/>
                <w:szCs w:val="20"/>
                <w:lang w:eastAsia="en-AU"/>
              </w:rPr>
            </w:pPr>
            <w:r w:rsidRPr="0041341A">
              <w:rPr>
                <w:rFonts w:cs="Calibri Light"/>
                <w:color w:val="000000"/>
                <w:szCs w:val="20"/>
              </w:rPr>
              <w:t>Avoided employer eligibility checking time costs</w:t>
            </w:r>
          </w:p>
        </w:tc>
        <w:tc>
          <w:tcPr>
            <w:tcW w:w="1134" w:type="dxa"/>
            <w:noWrap/>
          </w:tcPr>
          <w:p w14:paraId="638DCA50" w14:textId="1133DE6A" w:rsidR="005F6C0A" w:rsidRPr="004355F8" w:rsidRDefault="00722250" w:rsidP="005F6C0A">
            <w:pPr>
              <w:keepNext/>
              <w:spacing w:line="240" w:lineRule="auto"/>
              <w:jc w:val="right"/>
              <w:rPr>
                <w:rFonts w:cs="Calibri Light"/>
                <w:color w:val="000000"/>
                <w:szCs w:val="20"/>
              </w:rPr>
            </w:pPr>
            <w:r w:rsidRPr="003766E7">
              <w:t xml:space="preserve"> $-   </w:t>
            </w:r>
          </w:p>
        </w:tc>
        <w:tc>
          <w:tcPr>
            <w:tcW w:w="1276" w:type="dxa"/>
            <w:noWrap/>
          </w:tcPr>
          <w:p w14:paraId="51973DC5" w14:textId="0DE844C1" w:rsidR="005F6C0A" w:rsidRPr="004355F8" w:rsidRDefault="00722250" w:rsidP="005F6C0A">
            <w:pPr>
              <w:keepNext/>
              <w:spacing w:line="240" w:lineRule="auto"/>
              <w:jc w:val="right"/>
              <w:rPr>
                <w:rFonts w:cs="Calibri Light"/>
                <w:color w:val="000000"/>
                <w:szCs w:val="20"/>
              </w:rPr>
            </w:pPr>
            <w:r w:rsidRPr="003766E7">
              <w:t xml:space="preserve">-$142,671 </w:t>
            </w:r>
          </w:p>
        </w:tc>
        <w:tc>
          <w:tcPr>
            <w:tcW w:w="1159" w:type="dxa"/>
            <w:noWrap/>
          </w:tcPr>
          <w:p w14:paraId="32299F2F" w14:textId="22A25517" w:rsidR="005F6C0A" w:rsidRPr="004355F8" w:rsidRDefault="00722250" w:rsidP="005F6C0A">
            <w:pPr>
              <w:keepNext/>
              <w:spacing w:line="240" w:lineRule="auto"/>
              <w:jc w:val="right"/>
              <w:rPr>
                <w:rFonts w:cs="Calibri Light"/>
                <w:color w:val="000000"/>
                <w:szCs w:val="20"/>
              </w:rPr>
            </w:pPr>
            <w:r w:rsidRPr="003766E7">
              <w:t xml:space="preserve">-$142,671 </w:t>
            </w:r>
          </w:p>
        </w:tc>
        <w:tc>
          <w:tcPr>
            <w:tcW w:w="1104" w:type="dxa"/>
          </w:tcPr>
          <w:p w14:paraId="01CCA824" w14:textId="48A716F1" w:rsidR="005F6C0A" w:rsidRPr="004355F8" w:rsidRDefault="00722250" w:rsidP="005F6C0A">
            <w:pPr>
              <w:keepNext/>
              <w:spacing w:line="240" w:lineRule="auto"/>
              <w:jc w:val="right"/>
              <w:rPr>
                <w:rFonts w:cs="Calibri Light"/>
                <w:color w:val="000000"/>
                <w:szCs w:val="20"/>
              </w:rPr>
            </w:pPr>
            <w:r w:rsidRPr="003766E7">
              <w:t xml:space="preserve">-$14,267 </w:t>
            </w:r>
          </w:p>
        </w:tc>
      </w:tr>
      <w:tr w:rsidR="005F6C0A" w:rsidRPr="00466057" w14:paraId="71351721" w14:textId="77777777" w:rsidTr="00AB4621">
        <w:trPr>
          <w:gridBefore w:val="1"/>
          <w:wBefore w:w="7" w:type="dxa"/>
          <w:trHeight w:val="292"/>
        </w:trPr>
        <w:tc>
          <w:tcPr>
            <w:tcW w:w="1415" w:type="dxa"/>
            <w:gridSpan w:val="2"/>
          </w:tcPr>
          <w:p w14:paraId="51493C4C" w14:textId="5E130105" w:rsidR="005F6C0A" w:rsidRPr="0041341A" w:rsidRDefault="005F6C0A" w:rsidP="005F6C0A">
            <w:pPr>
              <w:keepNext/>
              <w:spacing w:line="240" w:lineRule="auto"/>
              <w:rPr>
                <w:rFonts w:cs="Calibri Light"/>
                <w:color w:val="000000"/>
                <w:szCs w:val="20"/>
              </w:rPr>
            </w:pPr>
            <w:r>
              <w:rPr>
                <w:rFonts w:cs="Calibri Light"/>
                <w:color w:val="000000"/>
                <w:szCs w:val="20"/>
              </w:rPr>
              <w:t>Audiologist</w:t>
            </w:r>
          </w:p>
        </w:tc>
        <w:tc>
          <w:tcPr>
            <w:tcW w:w="3112" w:type="dxa"/>
            <w:noWrap/>
          </w:tcPr>
          <w:p w14:paraId="7BE56345" w14:textId="77777777" w:rsidR="005F6C0A" w:rsidRPr="00466057" w:rsidRDefault="005F6C0A" w:rsidP="005F6C0A">
            <w:pPr>
              <w:keepNext/>
              <w:spacing w:line="240" w:lineRule="auto"/>
              <w:ind w:left="0"/>
              <w:rPr>
                <w:rFonts w:eastAsia="Times New Roman" w:cs="Calibri Light"/>
                <w:color w:val="000000"/>
                <w:szCs w:val="20"/>
                <w:lang w:eastAsia="en-AU"/>
              </w:rPr>
            </w:pPr>
            <w:r w:rsidRPr="0041341A">
              <w:rPr>
                <w:rFonts w:cs="Calibri Light"/>
                <w:color w:val="000000"/>
                <w:szCs w:val="20"/>
              </w:rPr>
              <w:t>Registration/renewal fees</w:t>
            </w:r>
          </w:p>
        </w:tc>
        <w:tc>
          <w:tcPr>
            <w:tcW w:w="1134" w:type="dxa"/>
            <w:noWrap/>
          </w:tcPr>
          <w:p w14:paraId="2A1E5AC9" w14:textId="636C8F9A" w:rsidR="005F6C0A" w:rsidRPr="004355F8" w:rsidRDefault="005F6C0A" w:rsidP="005F6C0A">
            <w:pPr>
              <w:keepNext/>
              <w:spacing w:line="240" w:lineRule="auto"/>
              <w:jc w:val="right"/>
              <w:rPr>
                <w:rFonts w:cs="Calibri Light"/>
                <w:color w:val="000000"/>
                <w:szCs w:val="20"/>
              </w:rPr>
            </w:pPr>
            <w:r w:rsidRPr="00C43A3A">
              <w:t xml:space="preserve"> $-   </w:t>
            </w:r>
          </w:p>
        </w:tc>
        <w:tc>
          <w:tcPr>
            <w:tcW w:w="1276" w:type="dxa"/>
            <w:noWrap/>
          </w:tcPr>
          <w:p w14:paraId="698D894A" w14:textId="56CE0473" w:rsidR="005F6C0A" w:rsidRPr="004355F8" w:rsidRDefault="005F6C0A" w:rsidP="005F6C0A">
            <w:pPr>
              <w:keepNext/>
              <w:spacing w:line="240" w:lineRule="auto"/>
              <w:jc w:val="right"/>
              <w:rPr>
                <w:rFonts w:cs="Calibri Light"/>
                <w:color w:val="000000"/>
                <w:szCs w:val="20"/>
              </w:rPr>
            </w:pPr>
            <w:r w:rsidRPr="00C43A3A">
              <w:t xml:space="preserve"> $13,265,479 </w:t>
            </w:r>
          </w:p>
        </w:tc>
        <w:tc>
          <w:tcPr>
            <w:tcW w:w="1159" w:type="dxa"/>
            <w:noWrap/>
          </w:tcPr>
          <w:p w14:paraId="75D8C587" w14:textId="388D9322" w:rsidR="005F6C0A" w:rsidRPr="004355F8" w:rsidRDefault="005F6C0A" w:rsidP="005F6C0A">
            <w:pPr>
              <w:keepNext/>
              <w:spacing w:line="240" w:lineRule="auto"/>
              <w:jc w:val="right"/>
              <w:rPr>
                <w:rFonts w:cs="Calibri Light"/>
                <w:color w:val="000000"/>
                <w:szCs w:val="20"/>
              </w:rPr>
            </w:pPr>
            <w:r w:rsidRPr="00C43A3A">
              <w:t xml:space="preserve"> $13,265,479 </w:t>
            </w:r>
          </w:p>
        </w:tc>
        <w:tc>
          <w:tcPr>
            <w:tcW w:w="1104" w:type="dxa"/>
          </w:tcPr>
          <w:p w14:paraId="181ED098" w14:textId="2A5253A6" w:rsidR="005F6C0A" w:rsidRPr="004355F8" w:rsidRDefault="005F6C0A" w:rsidP="005F6C0A">
            <w:pPr>
              <w:keepNext/>
              <w:spacing w:line="240" w:lineRule="auto"/>
              <w:jc w:val="right"/>
              <w:rPr>
                <w:rFonts w:cs="Calibri Light"/>
                <w:color w:val="000000"/>
                <w:szCs w:val="20"/>
              </w:rPr>
            </w:pPr>
            <w:r w:rsidRPr="00C43A3A">
              <w:t xml:space="preserve"> $1,326,548 </w:t>
            </w:r>
          </w:p>
        </w:tc>
      </w:tr>
      <w:tr w:rsidR="005F6C0A" w:rsidRPr="00466057" w14:paraId="08A04D46" w14:textId="77777777" w:rsidTr="00AB4621">
        <w:trPr>
          <w:gridBefore w:val="1"/>
          <w:wBefore w:w="7" w:type="dxa"/>
          <w:trHeight w:val="292"/>
        </w:trPr>
        <w:tc>
          <w:tcPr>
            <w:tcW w:w="1415" w:type="dxa"/>
            <w:gridSpan w:val="2"/>
          </w:tcPr>
          <w:p w14:paraId="68289A79" w14:textId="30FB90E7" w:rsidR="005F6C0A" w:rsidRPr="0041341A" w:rsidRDefault="005F6C0A" w:rsidP="005F6C0A">
            <w:pPr>
              <w:keepNext/>
              <w:spacing w:line="240" w:lineRule="auto"/>
              <w:rPr>
                <w:rFonts w:cs="Calibri Light"/>
                <w:color w:val="000000"/>
                <w:szCs w:val="20"/>
              </w:rPr>
            </w:pPr>
            <w:r>
              <w:rPr>
                <w:rFonts w:cs="Calibri Light"/>
                <w:color w:val="000000"/>
                <w:szCs w:val="20"/>
              </w:rPr>
              <w:t>Audiologist</w:t>
            </w:r>
          </w:p>
        </w:tc>
        <w:tc>
          <w:tcPr>
            <w:tcW w:w="3112" w:type="dxa"/>
            <w:noWrap/>
          </w:tcPr>
          <w:p w14:paraId="1CC54ADF" w14:textId="77777777" w:rsidR="005F6C0A" w:rsidRPr="00466057" w:rsidRDefault="005F6C0A" w:rsidP="005F6C0A">
            <w:pPr>
              <w:keepNext/>
              <w:spacing w:line="240" w:lineRule="auto"/>
              <w:ind w:left="0"/>
              <w:rPr>
                <w:rFonts w:eastAsia="Times New Roman" w:cs="Calibri Light"/>
                <w:color w:val="000000"/>
                <w:szCs w:val="20"/>
                <w:lang w:eastAsia="en-AU"/>
              </w:rPr>
            </w:pPr>
            <w:r w:rsidRPr="0041341A">
              <w:rPr>
                <w:rFonts w:cs="Calibri Light"/>
                <w:color w:val="000000"/>
                <w:szCs w:val="20"/>
              </w:rPr>
              <w:t>Registration application fees</w:t>
            </w:r>
          </w:p>
        </w:tc>
        <w:tc>
          <w:tcPr>
            <w:tcW w:w="1134" w:type="dxa"/>
            <w:noWrap/>
          </w:tcPr>
          <w:p w14:paraId="57D6067B" w14:textId="4D27EF3F" w:rsidR="005F6C0A" w:rsidRPr="004355F8" w:rsidRDefault="00DC3417" w:rsidP="005F6C0A">
            <w:pPr>
              <w:keepNext/>
              <w:spacing w:line="240" w:lineRule="auto"/>
              <w:jc w:val="right"/>
              <w:rPr>
                <w:rFonts w:cs="Calibri Light"/>
                <w:color w:val="000000"/>
                <w:szCs w:val="20"/>
              </w:rPr>
            </w:pPr>
            <w:r w:rsidRPr="00FC2A2B">
              <w:t xml:space="preserve"> $2,493,696 </w:t>
            </w:r>
          </w:p>
        </w:tc>
        <w:tc>
          <w:tcPr>
            <w:tcW w:w="1276" w:type="dxa"/>
            <w:noWrap/>
          </w:tcPr>
          <w:p w14:paraId="48C382BC" w14:textId="1012199C" w:rsidR="005F6C0A" w:rsidRPr="004355F8" w:rsidRDefault="00DC3417" w:rsidP="005F6C0A">
            <w:pPr>
              <w:keepNext/>
              <w:spacing w:line="240" w:lineRule="auto"/>
              <w:jc w:val="right"/>
              <w:rPr>
                <w:rFonts w:cs="Calibri Light"/>
                <w:color w:val="000000"/>
                <w:szCs w:val="20"/>
              </w:rPr>
            </w:pPr>
            <w:r w:rsidRPr="00FC2A2B">
              <w:t xml:space="preserve"> $781,088 </w:t>
            </w:r>
          </w:p>
        </w:tc>
        <w:tc>
          <w:tcPr>
            <w:tcW w:w="1159" w:type="dxa"/>
            <w:noWrap/>
          </w:tcPr>
          <w:p w14:paraId="0F7B4F46" w14:textId="216D215B" w:rsidR="005F6C0A" w:rsidRPr="004355F8" w:rsidRDefault="00DC3417" w:rsidP="005F6C0A">
            <w:pPr>
              <w:keepNext/>
              <w:spacing w:line="240" w:lineRule="auto"/>
              <w:jc w:val="right"/>
              <w:rPr>
                <w:rFonts w:cs="Calibri Light"/>
                <w:color w:val="000000"/>
                <w:szCs w:val="20"/>
              </w:rPr>
            </w:pPr>
            <w:r w:rsidRPr="00FC2A2B">
              <w:t xml:space="preserve"> $3,274,784 </w:t>
            </w:r>
          </w:p>
        </w:tc>
        <w:tc>
          <w:tcPr>
            <w:tcW w:w="1104" w:type="dxa"/>
          </w:tcPr>
          <w:p w14:paraId="089CF644" w14:textId="72A575EC" w:rsidR="005F6C0A" w:rsidRPr="004355F8" w:rsidRDefault="00DC3417" w:rsidP="005F6C0A">
            <w:pPr>
              <w:keepNext/>
              <w:spacing w:line="240" w:lineRule="auto"/>
              <w:jc w:val="right"/>
              <w:rPr>
                <w:rFonts w:cs="Calibri Light"/>
                <w:color w:val="000000"/>
                <w:szCs w:val="20"/>
              </w:rPr>
            </w:pPr>
            <w:r w:rsidRPr="00FC2A2B">
              <w:t xml:space="preserve"> $327,478 </w:t>
            </w:r>
          </w:p>
        </w:tc>
      </w:tr>
      <w:tr w:rsidR="005F6C0A" w:rsidRPr="00466057" w14:paraId="6B23F598" w14:textId="77777777" w:rsidTr="00AB4621">
        <w:trPr>
          <w:gridBefore w:val="1"/>
          <w:wBefore w:w="7" w:type="dxa"/>
          <w:trHeight w:val="292"/>
        </w:trPr>
        <w:tc>
          <w:tcPr>
            <w:tcW w:w="1415" w:type="dxa"/>
            <w:gridSpan w:val="2"/>
          </w:tcPr>
          <w:p w14:paraId="6CAC5633" w14:textId="13BE4512" w:rsidR="005F6C0A" w:rsidRPr="0041341A" w:rsidRDefault="005F6C0A" w:rsidP="005F6C0A">
            <w:pPr>
              <w:keepNext/>
              <w:spacing w:line="240" w:lineRule="auto"/>
              <w:rPr>
                <w:rFonts w:cs="Calibri Light"/>
                <w:color w:val="000000"/>
                <w:szCs w:val="20"/>
              </w:rPr>
            </w:pPr>
            <w:r>
              <w:rPr>
                <w:rFonts w:cs="Calibri Light"/>
                <w:color w:val="000000"/>
                <w:szCs w:val="20"/>
              </w:rPr>
              <w:t>Audiologist</w:t>
            </w:r>
          </w:p>
        </w:tc>
        <w:tc>
          <w:tcPr>
            <w:tcW w:w="3112" w:type="dxa"/>
            <w:noWrap/>
          </w:tcPr>
          <w:p w14:paraId="08C11D3F" w14:textId="77777777" w:rsidR="005F6C0A" w:rsidRPr="00466057" w:rsidRDefault="005F6C0A" w:rsidP="005F6C0A">
            <w:pPr>
              <w:keepNext/>
              <w:spacing w:line="240" w:lineRule="auto"/>
              <w:ind w:left="0"/>
              <w:rPr>
                <w:rFonts w:eastAsia="Times New Roman" w:cs="Calibri Light"/>
                <w:color w:val="000000"/>
                <w:szCs w:val="20"/>
                <w:lang w:eastAsia="en-AU"/>
              </w:rPr>
            </w:pPr>
            <w:r w:rsidRPr="0041341A">
              <w:rPr>
                <w:rFonts w:cs="Calibri Light"/>
                <w:color w:val="000000"/>
                <w:szCs w:val="20"/>
              </w:rPr>
              <w:t>Reduction in elective fees</w:t>
            </w:r>
          </w:p>
        </w:tc>
        <w:tc>
          <w:tcPr>
            <w:tcW w:w="1134" w:type="dxa"/>
            <w:noWrap/>
          </w:tcPr>
          <w:p w14:paraId="738BB0CE" w14:textId="50A9E515" w:rsidR="005F6C0A" w:rsidRPr="008B188E" w:rsidRDefault="000D00B4" w:rsidP="005F6C0A">
            <w:pPr>
              <w:keepNext/>
              <w:spacing w:line="240" w:lineRule="auto"/>
              <w:jc w:val="right"/>
              <w:rPr>
                <w:rFonts w:cs="Calibri Light"/>
                <w:color w:val="000000"/>
                <w:szCs w:val="20"/>
              </w:rPr>
            </w:pPr>
            <w:r w:rsidRPr="00D059E5">
              <w:t xml:space="preserve">-$160,479 </w:t>
            </w:r>
          </w:p>
        </w:tc>
        <w:tc>
          <w:tcPr>
            <w:tcW w:w="1276" w:type="dxa"/>
            <w:noWrap/>
          </w:tcPr>
          <w:p w14:paraId="510AD482" w14:textId="20C62455" w:rsidR="005F6C0A" w:rsidRPr="008B188E" w:rsidRDefault="000D00B4" w:rsidP="005F6C0A">
            <w:pPr>
              <w:keepNext/>
              <w:spacing w:line="240" w:lineRule="auto"/>
              <w:jc w:val="right"/>
              <w:rPr>
                <w:rFonts w:cs="Calibri Light"/>
                <w:color w:val="000000"/>
                <w:szCs w:val="20"/>
              </w:rPr>
            </w:pPr>
            <w:r w:rsidRPr="00D059E5">
              <w:t xml:space="preserve">-$1,340,035 </w:t>
            </w:r>
          </w:p>
        </w:tc>
        <w:tc>
          <w:tcPr>
            <w:tcW w:w="1159" w:type="dxa"/>
            <w:noWrap/>
          </w:tcPr>
          <w:p w14:paraId="27875ADE" w14:textId="6C6C9237" w:rsidR="005F6C0A" w:rsidRPr="008B188E" w:rsidRDefault="000D00B4" w:rsidP="005F6C0A">
            <w:pPr>
              <w:keepNext/>
              <w:spacing w:line="240" w:lineRule="auto"/>
              <w:jc w:val="right"/>
              <w:rPr>
                <w:rFonts w:cs="Calibri Light"/>
                <w:color w:val="000000"/>
                <w:szCs w:val="20"/>
              </w:rPr>
            </w:pPr>
            <w:r w:rsidRPr="00D059E5">
              <w:t xml:space="preserve">-$1,500,513 </w:t>
            </w:r>
          </w:p>
        </w:tc>
        <w:tc>
          <w:tcPr>
            <w:tcW w:w="1104" w:type="dxa"/>
          </w:tcPr>
          <w:p w14:paraId="0EB5AFBF" w14:textId="1C3230CF" w:rsidR="005F6C0A" w:rsidRPr="008B188E" w:rsidRDefault="000D00B4" w:rsidP="005F6C0A">
            <w:pPr>
              <w:keepNext/>
              <w:spacing w:line="240" w:lineRule="auto"/>
              <w:jc w:val="right"/>
              <w:rPr>
                <w:rFonts w:cs="Calibri Light"/>
                <w:color w:val="000000"/>
                <w:szCs w:val="20"/>
              </w:rPr>
            </w:pPr>
            <w:r w:rsidRPr="00D059E5">
              <w:t xml:space="preserve">-$150,051 </w:t>
            </w:r>
          </w:p>
        </w:tc>
      </w:tr>
      <w:tr w:rsidR="005F6C0A" w:rsidRPr="00466057" w14:paraId="4BF18B22" w14:textId="77777777" w:rsidTr="00AB4621">
        <w:trPr>
          <w:gridBefore w:val="1"/>
          <w:wBefore w:w="7" w:type="dxa"/>
          <w:trHeight w:val="292"/>
        </w:trPr>
        <w:tc>
          <w:tcPr>
            <w:tcW w:w="1415" w:type="dxa"/>
            <w:gridSpan w:val="2"/>
          </w:tcPr>
          <w:p w14:paraId="420DA308" w14:textId="08DFA592" w:rsidR="005F6C0A" w:rsidRPr="0041341A" w:rsidRDefault="005F6C0A" w:rsidP="005F6C0A">
            <w:pPr>
              <w:keepNext/>
              <w:spacing w:line="240" w:lineRule="auto"/>
              <w:rPr>
                <w:rFonts w:cs="Calibri Light"/>
                <w:color w:val="000000"/>
                <w:szCs w:val="20"/>
              </w:rPr>
            </w:pPr>
            <w:r>
              <w:rPr>
                <w:rFonts w:cs="Calibri Light"/>
                <w:color w:val="000000"/>
                <w:szCs w:val="20"/>
              </w:rPr>
              <w:t>Universities</w:t>
            </w:r>
          </w:p>
        </w:tc>
        <w:tc>
          <w:tcPr>
            <w:tcW w:w="3112" w:type="dxa"/>
            <w:noWrap/>
          </w:tcPr>
          <w:p w14:paraId="5D91C5CC" w14:textId="77777777" w:rsidR="005F6C0A" w:rsidRPr="00466057" w:rsidRDefault="005F6C0A" w:rsidP="005F6C0A">
            <w:pPr>
              <w:keepNext/>
              <w:spacing w:line="240" w:lineRule="auto"/>
              <w:ind w:left="0"/>
              <w:rPr>
                <w:rFonts w:eastAsia="Times New Roman" w:cs="Calibri Light"/>
                <w:color w:val="000000"/>
                <w:szCs w:val="20"/>
                <w:lang w:eastAsia="en-AU"/>
              </w:rPr>
            </w:pPr>
            <w:r w:rsidRPr="0041341A">
              <w:rPr>
                <w:rFonts w:cs="Calibri Light"/>
                <w:color w:val="000000"/>
                <w:szCs w:val="20"/>
              </w:rPr>
              <w:t>Increase in accreditation fees</w:t>
            </w:r>
          </w:p>
        </w:tc>
        <w:tc>
          <w:tcPr>
            <w:tcW w:w="1134" w:type="dxa"/>
            <w:noWrap/>
          </w:tcPr>
          <w:p w14:paraId="3C5E0D6F" w14:textId="1367643D" w:rsidR="005F6C0A" w:rsidRPr="008B188E" w:rsidRDefault="005F6C0A" w:rsidP="005F6C0A">
            <w:pPr>
              <w:keepNext/>
              <w:spacing w:line="240" w:lineRule="auto"/>
              <w:jc w:val="right"/>
              <w:rPr>
                <w:rFonts w:cs="Calibri Light"/>
                <w:color w:val="000000"/>
                <w:szCs w:val="20"/>
              </w:rPr>
            </w:pPr>
            <w:r w:rsidRPr="00C43A3A">
              <w:t xml:space="preserve"> $139,524 </w:t>
            </w:r>
          </w:p>
        </w:tc>
        <w:tc>
          <w:tcPr>
            <w:tcW w:w="1276" w:type="dxa"/>
            <w:noWrap/>
          </w:tcPr>
          <w:p w14:paraId="7F362B7E" w14:textId="007D3FDF" w:rsidR="005F6C0A" w:rsidRPr="008B188E" w:rsidRDefault="005F6C0A" w:rsidP="005F6C0A">
            <w:pPr>
              <w:keepNext/>
              <w:spacing w:line="240" w:lineRule="auto"/>
              <w:jc w:val="right"/>
              <w:rPr>
                <w:rFonts w:cs="Calibri Light"/>
                <w:color w:val="000000"/>
                <w:szCs w:val="20"/>
              </w:rPr>
            </w:pPr>
            <w:r w:rsidRPr="00C43A3A">
              <w:t xml:space="preserve">-$59,338 </w:t>
            </w:r>
          </w:p>
        </w:tc>
        <w:tc>
          <w:tcPr>
            <w:tcW w:w="1159" w:type="dxa"/>
            <w:noWrap/>
          </w:tcPr>
          <w:p w14:paraId="5C2F8E9C" w14:textId="6007FAF8" w:rsidR="005F6C0A" w:rsidRPr="008B188E" w:rsidRDefault="005F6C0A" w:rsidP="005F6C0A">
            <w:pPr>
              <w:keepNext/>
              <w:spacing w:line="240" w:lineRule="auto"/>
              <w:jc w:val="right"/>
              <w:rPr>
                <w:rFonts w:cs="Calibri Light"/>
                <w:color w:val="000000"/>
                <w:szCs w:val="20"/>
              </w:rPr>
            </w:pPr>
            <w:r w:rsidRPr="00C43A3A">
              <w:t xml:space="preserve"> $80,186 </w:t>
            </w:r>
          </w:p>
        </w:tc>
        <w:tc>
          <w:tcPr>
            <w:tcW w:w="1104" w:type="dxa"/>
          </w:tcPr>
          <w:p w14:paraId="277EF108" w14:textId="2D33D556" w:rsidR="005F6C0A" w:rsidRPr="008B188E" w:rsidRDefault="005F6C0A" w:rsidP="005F6C0A">
            <w:pPr>
              <w:keepNext/>
              <w:spacing w:line="240" w:lineRule="auto"/>
              <w:jc w:val="right"/>
              <w:rPr>
                <w:rFonts w:cs="Calibri Light"/>
                <w:color w:val="000000"/>
                <w:szCs w:val="20"/>
              </w:rPr>
            </w:pPr>
            <w:r w:rsidRPr="00C43A3A">
              <w:t xml:space="preserve"> $8,019 </w:t>
            </w:r>
          </w:p>
        </w:tc>
      </w:tr>
      <w:tr w:rsidR="005F6C0A" w:rsidRPr="00466057" w14:paraId="36C2DDC8" w14:textId="77777777" w:rsidTr="00AB4621">
        <w:trPr>
          <w:trHeight w:val="292"/>
        </w:trPr>
        <w:tc>
          <w:tcPr>
            <w:tcW w:w="1416" w:type="dxa"/>
            <w:gridSpan w:val="2"/>
          </w:tcPr>
          <w:p w14:paraId="298B36FA" w14:textId="77777777" w:rsidR="005F6C0A" w:rsidRPr="00AD1A49" w:rsidRDefault="005F6C0A" w:rsidP="005F6C0A">
            <w:pPr>
              <w:keepNext/>
              <w:spacing w:line="240" w:lineRule="auto"/>
              <w:rPr>
                <w:rFonts w:eastAsia="Times New Roman" w:cs="Calibri Light"/>
                <w:b/>
                <w:bCs/>
                <w:color w:val="000000"/>
                <w:szCs w:val="20"/>
                <w:shd w:val="clear" w:color="auto" w:fill="F2F2F2" w:themeFill="background1" w:themeFillShade="F2"/>
                <w:lang w:eastAsia="en-AU"/>
              </w:rPr>
            </w:pPr>
          </w:p>
        </w:tc>
        <w:tc>
          <w:tcPr>
            <w:tcW w:w="3118" w:type="dxa"/>
            <w:gridSpan w:val="2"/>
            <w:shd w:val="clear" w:color="auto" w:fill="auto"/>
            <w:noWrap/>
            <w:hideMark/>
          </w:tcPr>
          <w:p w14:paraId="0C737F48" w14:textId="77777777" w:rsidR="005F6C0A" w:rsidRPr="00143CE7" w:rsidRDefault="005F6C0A" w:rsidP="005F6C0A">
            <w:pPr>
              <w:keepNext/>
              <w:spacing w:line="240" w:lineRule="auto"/>
              <w:ind w:left="0"/>
              <w:rPr>
                <w:rFonts w:eastAsia="Times New Roman" w:cs="Calibri Light"/>
                <w:b/>
                <w:color w:val="000000"/>
                <w:szCs w:val="20"/>
                <w:shd w:val="clear" w:color="auto" w:fill="F2F2F2" w:themeFill="background1" w:themeFillShade="F2"/>
                <w:lang w:eastAsia="en-AU"/>
              </w:rPr>
            </w:pPr>
            <w:r w:rsidRPr="00AD1A49">
              <w:rPr>
                <w:rFonts w:eastAsia="Times New Roman" w:cs="Calibri Light"/>
                <w:b/>
                <w:bCs/>
                <w:color w:val="000000"/>
                <w:szCs w:val="20"/>
                <w:shd w:val="clear" w:color="auto" w:fill="F2F2F2" w:themeFill="background1" w:themeFillShade="F2"/>
                <w:lang w:eastAsia="en-AU"/>
              </w:rPr>
              <w:t>Total</w:t>
            </w:r>
            <w:r w:rsidRPr="00143CE7">
              <w:rPr>
                <w:rFonts w:eastAsia="Times New Roman" w:cs="Calibri Light"/>
                <w:b/>
                <w:color w:val="000000"/>
                <w:szCs w:val="20"/>
                <w:shd w:val="clear" w:color="auto" w:fill="F2F2F2" w:themeFill="background1" w:themeFillShade="F2"/>
                <w:lang w:eastAsia="en-AU"/>
              </w:rPr>
              <w:t xml:space="preserve"> costs</w:t>
            </w:r>
          </w:p>
        </w:tc>
        <w:tc>
          <w:tcPr>
            <w:tcW w:w="1134" w:type="dxa"/>
            <w:shd w:val="clear" w:color="auto" w:fill="auto"/>
            <w:noWrap/>
          </w:tcPr>
          <w:p w14:paraId="45E69E29" w14:textId="4C872D2C" w:rsidR="005F6C0A" w:rsidRPr="005F6C0A" w:rsidRDefault="000D00B4" w:rsidP="005F6C0A">
            <w:pPr>
              <w:keepNext/>
              <w:spacing w:line="240" w:lineRule="auto"/>
              <w:jc w:val="right"/>
              <w:rPr>
                <w:rFonts w:eastAsia="Times New Roman" w:cs="Calibri Light"/>
                <w:b/>
                <w:bCs/>
                <w:color w:val="000000"/>
                <w:szCs w:val="20"/>
                <w:shd w:val="clear" w:color="auto" w:fill="F2F2F2" w:themeFill="background1" w:themeFillShade="F2"/>
                <w:lang w:eastAsia="en-AU"/>
              </w:rPr>
            </w:pPr>
            <w:r w:rsidRPr="00EE3AA4">
              <w:rPr>
                <w:b/>
                <w:bCs/>
              </w:rPr>
              <w:t xml:space="preserve"> $2,472,741 </w:t>
            </w:r>
          </w:p>
        </w:tc>
        <w:tc>
          <w:tcPr>
            <w:tcW w:w="1276" w:type="dxa"/>
            <w:shd w:val="clear" w:color="auto" w:fill="auto"/>
            <w:noWrap/>
          </w:tcPr>
          <w:p w14:paraId="3B4E5CCB" w14:textId="78DCBEC2" w:rsidR="005F6C0A" w:rsidRPr="005F6C0A" w:rsidRDefault="000D00B4" w:rsidP="005F6C0A">
            <w:pPr>
              <w:keepNext/>
              <w:spacing w:line="240" w:lineRule="auto"/>
              <w:ind w:left="0"/>
              <w:jc w:val="right"/>
              <w:rPr>
                <w:rFonts w:eastAsia="Times New Roman" w:cs="Calibri Light"/>
                <w:b/>
                <w:bCs/>
                <w:color w:val="000000"/>
                <w:szCs w:val="20"/>
                <w:shd w:val="clear" w:color="auto" w:fill="F2F2F2" w:themeFill="background1" w:themeFillShade="F2"/>
                <w:lang w:eastAsia="en-AU"/>
              </w:rPr>
            </w:pPr>
            <w:r w:rsidRPr="00EE3AA4">
              <w:rPr>
                <w:b/>
                <w:bCs/>
              </w:rPr>
              <w:t xml:space="preserve"> $21,221,912 </w:t>
            </w:r>
          </w:p>
        </w:tc>
        <w:tc>
          <w:tcPr>
            <w:tcW w:w="1159" w:type="dxa"/>
            <w:shd w:val="clear" w:color="auto" w:fill="auto"/>
            <w:noWrap/>
          </w:tcPr>
          <w:p w14:paraId="484A9FAD" w14:textId="478F0725" w:rsidR="005F6C0A" w:rsidRPr="005F6C0A" w:rsidRDefault="000D00B4" w:rsidP="005F6C0A">
            <w:pPr>
              <w:keepNext/>
              <w:spacing w:line="240" w:lineRule="auto"/>
              <w:jc w:val="right"/>
              <w:rPr>
                <w:rFonts w:eastAsia="Times New Roman" w:cs="Calibri Light"/>
                <w:b/>
                <w:bCs/>
                <w:color w:val="000000"/>
                <w:szCs w:val="20"/>
                <w:shd w:val="clear" w:color="auto" w:fill="F2F2F2" w:themeFill="background1" w:themeFillShade="F2"/>
                <w:lang w:eastAsia="en-AU"/>
              </w:rPr>
            </w:pPr>
            <w:r w:rsidRPr="00EE3AA4">
              <w:rPr>
                <w:b/>
                <w:bCs/>
              </w:rPr>
              <w:t xml:space="preserve"> $23,694,654 </w:t>
            </w:r>
          </w:p>
        </w:tc>
        <w:tc>
          <w:tcPr>
            <w:tcW w:w="1104" w:type="dxa"/>
            <w:shd w:val="clear" w:color="auto" w:fill="auto"/>
          </w:tcPr>
          <w:p w14:paraId="71DC9812" w14:textId="5511FB38" w:rsidR="005F6C0A" w:rsidRPr="005F6C0A" w:rsidRDefault="000D00B4" w:rsidP="005F6C0A">
            <w:pPr>
              <w:keepNext/>
              <w:spacing w:line="240" w:lineRule="auto"/>
              <w:jc w:val="right"/>
              <w:rPr>
                <w:rFonts w:eastAsia="Times New Roman" w:cs="Calibri Light"/>
                <w:b/>
                <w:bCs/>
                <w:color w:val="000000"/>
                <w:szCs w:val="20"/>
                <w:shd w:val="clear" w:color="auto" w:fill="F2F2F2" w:themeFill="background1" w:themeFillShade="F2"/>
                <w:lang w:eastAsia="en-AU"/>
              </w:rPr>
            </w:pPr>
            <w:r w:rsidRPr="00EE3AA4">
              <w:rPr>
                <w:b/>
                <w:bCs/>
              </w:rPr>
              <w:t xml:space="preserve"> $2,369,465 </w:t>
            </w:r>
          </w:p>
        </w:tc>
      </w:tr>
    </w:tbl>
    <w:p w14:paraId="6CC30337" w14:textId="77777777" w:rsidR="00B322FD" w:rsidRDefault="00B322FD" w:rsidP="00B322FD">
      <w:pPr>
        <w:rPr>
          <w:color w:val="808080" w:themeColor="background1" w:themeShade="80"/>
          <w:sz w:val="18"/>
        </w:rPr>
      </w:pPr>
      <w:r w:rsidRPr="00961B36">
        <w:rPr>
          <w:color w:val="808080" w:themeColor="background1" w:themeShade="80"/>
          <w:sz w:val="18"/>
        </w:rPr>
        <w:t>Note:</w:t>
      </w:r>
      <w:r>
        <w:rPr>
          <w:color w:val="808080" w:themeColor="background1" w:themeShade="80"/>
          <w:sz w:val="18"/>
        </w:rPr>
        <w:t xml:space="preserve"> ^</w:t>
      </w:r>
      <w:r w:rsidRPr="00961B36">
        <w:rPr>
          <w:color w:val="808080" w:themeColor="background1" w:themeShade="80"/>
          <w:sz w:val="18"/>
        </w:rPr>
        <w:t xml:space="preserve">As per OIA’s guidance on regulatory costs accruing to government under a regulatory change, these costs </w:t>
      </w:r>
      <w:r>
        <w:rPr>
          <w:color w:val="808080" w:themeColor="background1" w:themeShade="80"/>
          <w:sz w:val="18"/>
        </w:rPr>
        <w:t>are</w:t>
      </w:r>
      <w:r w:rsidRPr="00961B36">
        <w:rPr>
          <w:color w:val="808080" w:themeColor="background1" w:themeShade="80"/>
          <w:sz w:val="18"/>
        </w:rPr>
        <w:t xml:space="preserve"> excluded from the estimate of the cos</w:t>
      </w:r>
      <w:r>
        <w:rPr>
          <w:color w:val="808080" w:themeColor="background1" w:themeShade="80"/>
          <w:sz w:val="18"/>
        </w:rPr>
        <w:t>ts associated with regulatory burden</w:t>
      </w:r>
      <w:r w:rsidRPr="00961B36">
        <w:rPr>
          <w:color w:val="808080" w:themeColor="background1" w:themeShade="80"/>
          <w:sz w:val="18"/>
        </w:rPr>
        <w:t>.</w:t>
      </w:r>
    </w:p>
    <w:p w14:paraId="19D42909" w14:textId="77777777" w:rsidR="00B0650C" w:rsidRDefault="00B0650C" w:rsidP="00B322FD">
      <w:pPr>
        <w:rPr>
          <w:color w:val="808080" w:themeColor="background1" w:themeShade="80"/>
          <w:sz w:val="18"/>
        </w:rPr>
      </w:pPr>
    </w:p>
    <w:p w14:paraId="194A0E8A" w14:textId="1AE2FE10" w:rsidR="00CC6A38" w:rsidRDefault="00E36890" w:rsidP="00CC6A38">
      <w:pPr>
        <w:pStyle w:val="Caption"/>
      </w:pPr>
      <w:r>
        <w:t xml:space="preserve">Table </w:t>
      </w:r>
      <w:fldSimple w:instr=" STYLEREF 1 \s ">
        <w:r w:rsidR="00F32107">
          <w:rPr>
            <w:noProof/>
          </w:rPr>
          <w:t>8</w:t>
        </w:r>
      </w:fldSimple>
      <w:r w:rsidR="008944FB">
        <w:t>.</w:t>
      </w:r>
      <w:fldSimple w:instr=" SEQ Table \* ARABIC \s 1 ">
        <w:r w:rsidR="00F32107">
          <w:rPr>
            <w:noProof/>
          </w:rPr>
          <w:t>30</w:t>
        </w:r>
      </w:fldSimple>
      <w:r>
        <w:t xml:space="preserve"> </w:t>
      </w:r>
      <w:r w:rsidR="00CC6A38">
        <w:t xml:space="preserve">Estimated ten-year costs associated with </w:t>
      </w:r>
      <w:r w:rsidR="005F6C0A">
        <w:t>Option 6</w:t>
      </w:r>
      <w:r w:rsidR="00CC6A38">
        <w:t xml:space="preserve"> – distributional impacts by stakeholder</w:t>
      </w:r>
    </w:p>
    <w:tbl>
      <w:tblPr>
        <w:tblStyle w:val="BodyTable"/>
        <w:tblW w:w="0" w:type="auto"/>
        <w:tblLook w:val="04A0" w:firstRow="1" w:lastRow="0" w:firstColumn="1" w:lastColumn="0" w:noHBand="0" w:noVBand="1"/>
      </w:tblPr>
      <w:tblGrid>
        <w:gridCol w:w="1893"/>
        <w:gridCol w:w="1737"/>
        <w:gridCol w:w="1738"/>
        <w:gridCol w:w="1738"/>
        <w:gridCol w:w="1738"/>
      </w:tblGrid>
      <w:tr w:rsidR="00AC1797" w14:paraId="112AD44B" w14:textId="77777777" w:rsidTr="002A7BD4">
        <w:trPr>
          <w:cnfStyle w:val="100000000000" w:firstRow="1" w:lastRow="0" w:firstColumn="0" w:lastColumn="0" w:oddVBand="0" w:evenVBand="0" w:oddHBand="0" w:evenHBand="0" w:firstRowFirstColumn="0" w:firstRowLastColumn="0" w:lastRowFirstColumn="0" w:lastRowLastColumn="0"/>
        </w:trPr>
        <w:tc>
          <w:tcPr>
            <w:tcW w:w="1893" w:type="dxa"/>
            <w:tcBorders>
              <w:bottom w:val="single" w:sz="4" w:space="0" w:color="000000" w:themeColor="text1"/>
            </w:tcBorders>
          </w:tcPr>
          <w:p w14:paraId="0FE84186" w14:textId="77777777" w:rsidR="00AC1797" w:rsidRDefault="00AC1797" w:rsidP="002A7BD4">
            <w:pPr>
              <w:pStyle w:val="BodyText"/>
              <w:spacing w:before="0" w:after="0"/>
            </w:pPr>
          </w:p>
        </w:tc>
        <w:tc>
          <w:tcPr>
            <w:tcW w:w="1737" w:type="dxa"/>
            <w:tcBorders>
              <w:bottom w:val="single" w:sz="4" w:space="0" w:color="000000" w:themeColor="text1"/>
            </w:tcBorders>
          </w:tcPr>
          <w:p w14:paraId="5C266EAC" w14:textId="77777777" w:rsidR="00AC1797" w:rsidRPr="00AD1F2D" w:rsidRDefault="00AC1797" w:rsidP="002A7BD4">
            <w:pPr>
              <w:pStyle w:val="BodyText"/>
              <w:spacing w:before="0" w:after="0"/>
              <w:jc w:val="right"/>
              <w:rPr>
                <w:b/>
                <w:bCs/>
                <w:kern w:val="0"/>
                <w:lang w:val="en-US"/>
                <w14:numSpacing w14:val="default"/>
              </w:rPr>
            </w:pPr>
            <w:r w:rsidRPr="00AD1F2D">
              <w:rPr>
                <w:b/>
                <w:bCs/>
                <w:kern w:val="0"/>
                <w:lang w:val="en-US"/>
                <w14:numSpacing w14:val="default"/>
              </w:rPr>
              <w:t>Government</w:t>
            </w:r>
          </w:p>
        </w:tc>
        <w:tc>
          <w:tcPr>
            <w:tcW w:w="1738" w:type="dxa"/>
            <w:tcBorders>
              <w:bottom w:val="single" w:sz="4" w:space="0" w:color="000000" w:themeColor="text1"/>
            </w:tcBorders>
          </w:tcPr>
          <w:p w14:paraId="497090C7" w14:textId="77777777" w:rsidR="00AC1797" w:rsidRPr="00AD1F2D" w:rsidRDefault="00AC1797" w:rsidP="002A7BD4">
            <w:pPr>
              <w:pStyle w:val="BodyText"/>
              <w:spacing w:before="0" w:after="0"/>
              <w:jc w:val="right"/>
              <w:rPr>
                <w:b/>
                <w:bCs/>
                <w:kern w:val="0"/>
                <w:lang w:val="en-US"/>
                <w14:numSpacing w14:val="default"/>
              </w:rPr>
            </w:pPr>
            <w:r w:rsidRPr="00AD1F2D">
              <w:rPr>
                <w:b/>
                <w:bCs/>
                <w:kern w:val="0"/>
                <w:lang w:val="en-US"/>
                <w14:numSpacing w14:val="default"/>
              </w:rPr>
              <w:t>Employer</w:t>
            </w:r>
          </w:p>
        </w:tc>
        <w:tc>
          <w:tcPr>
            <w:tcW w:w="1738" w:type="dxa"/>
            <w:tcBorders>
              <w:bottom w:val="single" w:sz="4" w:space="0" w:color="000000" w:themeColor="text1"/>
            </w:tcBorders>
          </w:tcPr>
          <w:p w14:paraId="7E6F0964" w14:textId="77777777" w:rsidR="00AC1797" w:rsidRPr="00AD1F2D" w:rsidRDefault="00AC1797" w:rsidP="002A7BD4">
            <w:pPr>
              <w:pStyle w:val="BodyText"/>
              <w:spacing w:before="0" w:after="0"/>
              <w:jc w:val="right"/>
              <w:rPr>
                <w:b/>
                <w:bCs/>
                <w:kern w:val="0"/>
                <w:lang w:val="en-US"/>
                <w14:numSpacing w14:val="default"/>
              </w:rPr>
            </w:pPr>
            <w:r w:rsidRPr="00AD1F2D">
              <w:rPr>
                <w:b/>
                <w:bCs/>
                <w:kern w:val="0"/>
                <w:lang w:val="en-US"/>
                <w14:numSpacing w14:val="default"/>
              </w:rPr>
              <w:t xml:space="preserve">Audiologists </w:t>
            </w:r>
          </w:p>
        </w:tc>
        <w:tc>
          <w:tcPr>
            <w:tcW w:w="1738" w:type="dxa"/>
            <w:tcBorders>
              <w:bottom w:val="single" w:sz="4" w:space="0" w:color="000000" w:themeColor="text1"/>
            </w:tcBorders>
          </w:tcPr>
          <w:p w14:paraId="04C83F23" w14:textId="77777777" w:rsidR="00AC1797" w:rsidRPr="00AD1F2D" w:rsidRDefault="00AC1797" w:rsidP="002A7BD4">
            <w:pPr>
              <w:pStyle w:val="BodyText"/>
              <w:spacing w:before="0" w:after="0"/>
              <w:jc w:val="right"/>
              <w:rPr>
                <w:b/>
                <w:bCs/>
                <w:kern w:val="0"/>
                <w:lang w:val="en-US"/>
                <w14:numSpacing w14:val="default"/>
              </w:rPr>
            </w:pPr>
            <w:r w:rsidRPr="00AD1F2D">
              <w:rPr>
                <w:b/>
                <w:bCs/>
                <w:kern w:val="0"/>
                <w:lang w:val="en-US"/>
                <w14:numSpacing w14:val="default"/>
              </w:rPr>
              <w:t>Universities</w:t>
            </w:r>
          </w:p>
        </w:tc>
      </w:tr>
      <w:tr w:rsidR="00307553" w14:paraId="5548183D" w14:textId="77777777" w:rsidTr="00EE3AA4">
        <w:tc>
          <w:tcPr>
            <w:tcW w:w="1893" w:type="dxa"/>
            <w:tcBorders>
              <w:top w:val="single" w:sz="4" w:space="0" w:color="000000" w:themeColor="text1"/>
              <w:bottom w:val="single" w:sz="4" w:space="0" w:color="auto"/>
            </w:tcBorders>
          </w:tcPr>
          <w:p w14:paraId="331F0C07" w14:textId="77777777" w:rsidR="00307553" w:rsidRPr="00AD1F2D" w:rsidRDefault="00307553" w:rsidP="00307553">
            <w:pPr>
              <w:keepNext/>
              <w:spacing w:line="240" w:lineRule="auto"/>
              <w:ind w:left="0" w:right="113"/>
              <w:rPr>
                <w:rFonts w:cs="Calibri Light"/>
                <w:b/>
                <w:bCs/>
                <w:color w:val="000000"/>
                <w:szCs w:val="20"/>
              </w:rPr>
            </w:pPr>
            <w:r w:rsidRPr="00AD1F2D">
              <w:rPr>
                <w:rFonts w:cs="Calibri Light"/>
                <w:b/>
                <w:bCs/>
                <w:color w:val="000000"/>
                <w:szCs w:val="20"/>
              </w:rPr>
              <w:t>Total NPV cost over ten year period</w:t>
            </w:r>
          </w:p>
          <w:p w14:paraId="491D26A9" w14:textId="77777777" w:rsidR="00307553" w:rsidRPr="00AD1F2D" w:rsidRDefault="00307553" w:rsidP="00307553">
            <w:pPr>
              <w:pStyle w:val="BodyText"/>
              <w:spacing w:before="0" w:after="0"/>
              <w:ind w:left="0"/>
              <w:rPr>
                <w:rFonts w:cs="Calibri Light"/>
                <w:color w:val="000000"/>
                <w:kern w:val="0"/>
                <w:szCs w:val="20"/>
                <w:lang w:val="en-US"/>
                <w14:numSpacing w14:val="default"/>
              </w:rPr>
            </w:pPr>
            <w:r w:rsidRPr="00AD1F2D">
              <w:rPr>
                <w:rFonts w:cs="Calibri Light"/>
                <w:b/>
                <w:bCs/>
                <w:color w:val="000000"/>
                <w:kern w:val="0"/>
                <w:szCs w:val="20"/>
                <w:lang w:val="en-US"/>
                <w14:numSpacing w14:val="default"/>
              </w:rPr>
              <w:t>(FY25-34)</w:t>
            </w:r>
          </w:p>
        </w:tc>
        <w:tc>
          <w:tcPr>
            <w:tcW w:w="1737" w:type="dxa"/>
            <w:tcBorders>
              <w:top w:val="single" w:sz="4" w:space="0" w:color="000000" w:themeColor="text1"/>
              <w:left w:val="nil"/>
              <w:bottom w:val="single" w:sz="4" w:space="0" w:color="auto"/>
              <w:right w:val="nil"/>
            </w:tcBorders>
            <w:shd w:val="clear" w:color="000000" w:fill="FFFFFF"/>
            <w:vAlign w:val="center"/>
          </w:tcPr>
          <w:p w14:paraId="7E60EB1F" w14:textId="2DDF78F3" w:rsidR="00307553" w:rsidRPr="00EE3AA4" w:rsidRDefault="000D00B4" w:rsidP="00307553">
            <w:pPr>
              <w:spacing w:line="240" w:lineRule="auto"/>
              <w:jc w:val="right"/>
              <w:rPr>
                <w:rFonts w:eastAsia="Times New Roman" w:cs="Calibri Light"/>
                <w:color w:val="808080" w:themeColor="background1" w:themeShade="80"/>
                <w:szCs w:val="20"/>
                <w:lang w:eastAsia="en-AU"/>
              </w:rPr>
            </w:pPr>
            <w:r w:rsidRPr="00DF3357">
              <w:t xml:space="preserve"> </w:t>
            </w:r>
            <w:r w:rsidRPr="00EE3AA4">
              <w:rPr>
                <w:rFonts w:eastAsia="Times New Roman" w:cs="Calibri Light"/>
                <w:color w:val="808080" w:themeColor="background1" w:themeShade="80"/>
                <w:szCs w:val="20"/>
                <w:lang w:eastAsia="en-AU"/>
              </w:rPr>
              <w:t>$23,691,805</w:t>
            </w:r>
            <w:r w:rsidRPr="00DF3357">
              <w:t xml:space="preserve"> </w:t>
            </w:r>
          </w:p>
        </w:tc>
        <w:tc>
          <w:tcPr>
            <w:tcW w:w="1738" w:type="dxa"/>
            <w:tcBorders>
              <w:top w:val="single" w:sz="4" w:space="0" w:color="000000" w:themeColor="text1"/>
              <w:left w:val="nil"/>
              <w:bottom w:val="single" w:sz="4" w:space="0" w:color="auto"/>
              <w:right w:val="nil"/>
            </w:tcBorders>
            <w:shd w:val="clear" w:color="000000" w:fill="FFFFFF"/>
            <w:vAlign w:val="center"/>
          </w:tcPr>
          <w:p w14:paraId="6728FA46" w14:textId="712FC170" w:rsidR="00307553" w:rsidRPr="00AD1F2D" w:rsidRDefault="000D00B4" w:rsidP="00307553">
            <w:pPr>
              <w:spacing w:line="240" w:lineRule="auto"/>
              <w:jc w:val="right"/>
              <w:rPr>
                <w:rFonts w:cs="Calibri Light"/>
                <w:color w:val="000000"/>
                <w:szCs w:val="20"/>
              </w:rPr>
            </w:pPr>
            <w:r w:rsidRPr="00DF3357">
              <w:t xml:space="preserve"> $8,574,719 </w:t>
            </w:r>
          </w:p>
        </w:tc>
        <w:tc>
          <w:tcPr>
            <w:tcW w:w="1738" w:type="dxa"/>
            <w:tcBorders>
              <w:top w:val="single" w:sz="4" w:space="0" w:color="000000" w:themeColor="text1"/>
              <w:left w:val="nil"/>
              <w:bottom w:val="single" w:sz="4" w:space="0" w:color="auto"/>
              <w:right w:val="nil"/>
            </w:tcBorders>
            <w:shd w:val="clear" w:color="000000" w:fill="FFFFFF"/>
            <w:vAlign w:val="center"/>
          </w:tcPr>
          <w:p w14:paraId="2A162C91" w14:textId="501CEA9C" w:rsidR="00307553" w:rsidRPr="00AD1F2D" w:rsidRDefault="000D00B4" w:rsidP="00307553">
            <w:pPr>
              <w:spacing w:line="240" w:lineRule="auto"/>
              <w:jc w:val="right"/>
              <w:rPr>
                <w:rFonts w:cs="Calibri Light"/>
                <w:color w:val="000000"/>
                <w:szCs w:val="20"/>
              </w:rPr>
            </w:pPr>
            <w:r w:rsidRPr="00DF3357">
              <w:t xml:space="preserve"> $15,039,749 </w:t>
            </w:r>
          </w:p>
        </w:tc>
        <w:tc>
          <w:tcPr>
            <w:tcW w:w="1738" w:type="dxa"/>
            <w:tcBorders>
              <w:top w:val="single" w:sz="4" w:space="0" w:color="000000" w:themeColor="text1"/>
              <w:left w:val="nil"/>
              <w:bottom w:val="single" w:sz="4" w:space="0" w:color="auto"/>
              <w:right w:val="nil"/>
            </w:tcBorders>
            <w:shd w:val="clear" w:color="000000" w:fill="FFFFFF"/>
            <w:vAlign w:val="center"/>
          </w:tcPr>
          <w:p w14:paraId="2FB8880D" w14:textId="00614582" w:rsidR="00307553" w:rsidRPr="00AD1F2D" w:rsidRDefault="000D00B4" w:rsidP="00307553">
            <w:pPr>
              <w:spacing w:line="240" w:lineRule="auto"/>
              <w:jc w:val="right"/>
              <w:rPr>
                <w:rFonts w:cs="Calibri Light"/>
                <w:color w:val="000000"/>
                <w:szCs w:val="20"/>
              </w:rPr>
            </w:pPr>
            <w:r w:rsidRPr="00DF3357">
              <w:t xml:space="preserve"> $80,186 </w:t>
            </w:r>
          </w:p>
        </w:tc>
      </w:tr>
    </w:tbl>
    <w:p w14:paraId="6768FC4B" w14:textId="77777777" w:rsidR="00AC1797" w:rsidRDefault="00AC1797" w:rsidP="008D346B">
      <w:pPr>
        <w:pStyle w:val="BodyText"/>
      </w:pPr>
    </w:p>
    <w:p w14:paraId="105F52B7" w14:textId="77DCAD7F" w:rsidR="00B322FD" w:rsidRDefault="00B322FD" w:rsidP="008D346B">
      <w:pPr>
        <w:pStyle w:val="BodyText"/>
      </w:pPr>
      <w:r>
        <w:t xml:space="preserve">To help inform an assessment of whether the incremental costs associated with </w:t>
      </w:r>
      <w:r w:rsidR="00307553">
        <w:t>Option 6</w:t>
      </w:r>
      <w:r>
        <w:t xml:space="preserve"> is a worthwhile investment, it is helpful to consider the number of cases of substandard care that would need to be avoided to offset the costs. </w:t>
      </w:r>
    </w:p>
    <w:p w14:paraId="370FF714" w14:textId="62C137C4" w:rsidR="00634F93" w:rsidRDefault="00B322FD" w:rsidP="008D346B">
      <w:pPr>
        <w:pStyle w:val="BodyText"/>
      </w:pPr>
      <w:r>
        <w:t xml:space="preserve">In Section </w:t>
      </w:r>
      <w:r>
        <w:fldChar w:fldCharType="begin"/>
      </w:r>
      <w:r>
        <w:instrText xml:space="preserve"> REF _Ref170033230 \r \h </w:instrText>
      </w:r>
      <w:r w:rsidR="008D346B">
        <w:instrText xml:space="preserve"> \* MERGEFORMAT </w:instrText>
      </w:r>
      <w:r>
        <w:fldChar w:fldCharType="separate"/>
      </w:r>
      <w:r w:rsidR="00F32107">
        <w:t>7.6.2</w:t>
      </w:r>
      <w:r>
        <w:fldChar w:fldCharType="end"/>
      </w:r>
      <w:r>
        <w:t>, it is estimated that the lifetime patient quality of life impact per case of incorrect infant cochlear mapping is valued at a FY25 NPV of $</w:t>
      </w:r>
      <w:r w:rsidR="00FE4A9E">
        <w:t>12</w:t>
      </w:r>
      <w:r w:rsidR="00AF1ECA">
        <w:t>6,797</w:t>
      </w:r>
      <w:r>
        <w:t>. In addition, using the ex</w:t>
      </w:r>
      <w:r w:rsidR="00634F93">
        <w:t>-</w:t>
      </w:r>
      <w:r>
        <w:t xml:space="preserve">gratia payments administered following the public sector external review in South Australia as a benchmark, it is assumed the </w:t>
      </w:r>
      <w:r w:rsidR="00634F93">
        <w:t xml:space="preserve">ex-gratia </w:t>
      </w:r>
      <w:r>
        <w:t xml:space="preserve">payment for each case is approximately $50,000. </w:t>
      </w:r>
    </w:p>
    <w:p w14:paraId="33F4E22A" w14:textId="4BF69C57" w:rsidR="00B322FD" w:rsidRPr="00973E44" w:rsidRDefault="00634F93" w:rsidP="008D346B">
      <w:pPr>
        <w:pStyle w:val="BodyText"/>
      </w:pPr>
      <w:r>
        <w:t>Drawing on the incremental costs outlined</w:t>
      </w:r>
      <w:r w:rsidR="00BD44AA">
        <w:t xml:space="preserve"> </w:t>
      </w:r>
      <w:r w:rsidR="00307553">
        <w:t xml:space="preserve">in </w:t>
      </w:r>
      <w:r w:rsidR="00635DF5">
        <w:fldChar w:fldCharType="begin"/>
      </w:r>
      <w:r w:rsidR="00635DF5">
        <w:instrText xml:space="preserve"> REF _Ref193264427 \h </w:instrText>
      </w:r>
      <w:r w:rsidR="00635DF5">
        <w:fldChar w:fldCharType="separate"/>
      </w:r>
      <w:r w:rsidR="00F32107">
        <w:t xml:space="preserve">Table </w:t>
      </w:r>
      <w:r w:rsidR="00F32107">
        <w:rPr>
          <w:noProof/>
        </w:rPr>
        <w:t>8</w:t>
      </w:r>
      <w:r w:rsidR="00F32107">
        <w:t>.</w:t>
      </w:r>
      <w:r w:rsidR="00F32107">
        <w:rPr>
          <w:noProof/>
        </w:rPr>
        <w:t>29</w:t>
      </w:r>
      <w:r w:rsidR="00635DF5">
        <w:fldChar w:fldCharType="end"/>
      </w:r>
      <w:r w:rsidR="00635DF5">
        <w:t xml:space="preserve">, </w:t>
      </w:r>
      <w:r>
        <w:t>i</w:t>
      </w:r>
      <w:r w:rsidR="00B322FD">
        <w:t xml:space="preserve">f incorrect infant cochlear mapping was the only type of harm that occurred, </w:t>
      </w:r>
      <w:r w:rsidR="00635DF5">
        <w:t>Option 6</w:t>
      </w:r>
      <w:r w:rsidR="00B322FD">
        <w:t xml:space="preserve"> would need to avoid approximately </w:t>
      </w:r>
      <w:r w:rsidR="00350C4D">
        <w:t>1</w:t>
      </w:r>
      <w:r w:rsidR="004B3B6C">
        <w:t>5</w:t>
      </w:r>
      <w:r w:rsidR="00B322FD">
        <w:t xml:space="preserve"> cases of incorrect infant cochlear mapping per annum to fully offset the annualised ten-year NPV cost. These estimates should be considered alongside the same caveats outlined in Section </w:t>
      </w:r>
      <w:r w:rsidR="00BD44AA">
        <w:fldChar w:fldCharType="begin"/>
      </w:r>
      <w:r w:rsidR="00BD44AA">
        <w:instrText xml:space="preserve"> REF _Ref170287813 \r \h </w:instrText>
      </w:r>
      <w:r w:rsidR="00BD44AA">
        <w:fldChar w:fldCharType="separate"/>
      </w:r>
      <w:r w:rsidR="00F32107">
        <w:t>8.2.4</w:t>
      </w:r>
      <w:r w:rsidR="00BD44AA">
        <w:fldChar w:fldCharType="end"/>
      </w:r>
      <w:r w:rsidR="00B322FD">
        <w:t xml:space="preserve"> </w:t>
      </w:r>
      <w:r w:rsidR="00635DF5">
        <w:t>for Option 7</w:t>
      </w:r>
      <w:r w:rsidR="00B322FD">
        <w:t>.</w:t>
      </w:r>
    </w:p>
    <w:p w14:paraId="54953B20" w14:textId="2BB3774E" w:rsidR="00B322FD" w:rsidRDefault="00B322FD" w:rsidP="008D346B">
      <w:pPr>
        <w:pStyle w:val="Heading3"/>
      </w:pPr>
      <w:bookmarkStart w:id="295" w:name="_Toc171324793"/>
      <w:bookmarkStart w:id="296" w:name="_Toc198138647"/>
      <w:r>
        <w:t xml:space="preserve">Multi-criteria </w:t>
      </w:r>
      <w:r w:rsidRPr="008D346B">
        <w:t>assessment</w:t>
      </w:r>
      <w:bookmarkEnd w:id="295"/>
      <w:bookmarkEnd w:id="296"/>
    </w:p>
    <w:p w14:paraId="7C0A1A9B" w14:textId="56F5CA17" w:rsidR="00B322FD" w:rsidRDefault="00B322FD" w:rsidP="008D346B">
      <w:pPr>
        <w:pStyle w:val="BodyText"/>
      </w:pPr>
      <w:r>
        <w:t xml:space="preserve">The MCA provided in </w:t>
      </w:r>
      <w:r w:rsidR="00957032">
        <w:t xml:space="preserve">the table below </w:t>
      </w:r>
      <w:r>
        <w:t>considers the extent to which the option responds to the previously outlined objectives for action. To allow for comparison, the following scoring system was applied across each objective and option:</w:t>
      </w:r>
    </w:p>
    <w:p w14:paraId="2AABA04D" w14:textId="77777777" w:rsidR="00B322FD" w:rsidRDefault="00B322FD" w:rsidP="008D346B">
      <w:pPr>
        <w:pStyle w:val="ListBullet"/>
      </w:pPr>
      <w:r>
        <w:t>Not at all (1)</w:t>
      </w:r>
    </w:p>
    <w:p w14:paraId="15316458" w14:textId="77777777" w:rsidR="00B322FD" w:rsidRDefault="00B322FD" w:rsidP="008D346B">
      <w:pPr>
        <w:pStyle w:val="ListBullet"/>
      </w:pPr>
      <w:r>
        <w:t>Somewhat (2)</w:t>
      </w:r>
    </w:p>
    <w:p w14:paraId="22E34A8E" w14:textId="77777777" w:rsidR="00B322FD" w:rsidRDefault="00B322FD" w:rsidP="008D346B">
      <w:pPr>
        <w:pStyle w:val="ListBullet"/>
      </w:pPr>
      <w:r>
        <w:t>Mostly (3)</w:t>
      </w:r>
    </w:p>
    <w:p w14:paraId="04AFE11D" w14:textId="77777777" w:rsidR="00B322FD" w:rsidRDefault="00B322FD" w:rsidP="008D346B">
      <w:pPr>
        <w:pStyle w:val="ListBullet"/>
      </w:pPr>
      <w:r>
        <w:t>Fully (4)</w:t>
      </w:r>
    </w:p>
    <w:p w14:paraId="671A53C7" w14:textId="77777777" w:rsidR="008D346B" w:rsidRDefault="008D346B" w:rsidP="00623382">
      <w:pPr>
        <w:pStyle w:val="BodyText"/>
        <w:sectPr w:rsidR="008D346B" w:rsidSect="007F4E7D">
          <w:pgSz w:w="11906" w:h="16838" w:code="9"/>
          <w:pgMar w:top="1531" w:right="1531" w:bottom="1531" w:left="1531" w:header="709" w:footer="709" w:gutter="0"/>
          <w:cols w:space="708"/>
          <w:docGrid w:linePitch="360"/>
        </w:sectPr>
      </w:pPr>
    </w:p>
    <w:p w14:paraId="3E5A08AE" w14:textId="2632CDB1" w:rsidR="000658F5" w:rsidRDefault="00957032" w:rsidP="00FC3329">
      <w:pPr>
        <w:pStyle w:val="Caption"/>
      </w:pPr>
      <w:bookmarkStart w:id="297" w:name="_Ref171317439"/>
      <w:r>
        <w:t xml:space="preserve">Table </w:t>
      </w:r>
      <w:fldSimple w:instr=" STYLEREF 1 \s ">
        <w:r w:rsidR="00F32107">
          <w:rPr>
            <w:noProof/>
          </w:rPr>
          <w:t>8</w:t>
        </w:r>
      </w:fldSimple>
      <w:r w:rsidR="008944FB">
        <w:t>.</w:t>
      </w:r>
      <w:fldSimple w:instr=" SEQ Table \* ARABIC \s 1 ">
        <w:r w:rsidR="00F32107">
          <w:rPr>
            <w:noProof/>
          </w:rPr>
          <w:t>31</w:t>
        </w:r>
      </w:fldSimple>
      <w:r w:rsidR="00E36890">
        <w:t xml:space="preserve"> Mu</w:t>
      </w:r>
      <w:r w:rsidR="000658F5">
        <w:t xml:space="preserve">lti-criteria assessment of </w:t>
      </w:r>
      <w:bookmarkEnd w:id="297"/>
      <w:r w:rsidR="00635DF5">
        <w:t>Option 6</w:t>
      </w:r>
      <w:r w:rsidR="000658F5">
        <w:t xml:space="preserve"> </w:t>
      </w:r>
    </w:p>
    <w:tbl>
      <w:tblPr>
        <w:tblStyle w:val="BodyTable"/>
        <w:tblW w:w="14175" w:type="dxa"/>
        <w:tblLook w:val="04A0" w:firstRow="1" w:lastRow="0" w:firstColumn="1" w:lastColumn="0" w:noHBand="0" w:noVBand="1"/>
      </w:tblPr>
      <w:tblGrid>
        <w:gridCol w:w="2977"/>
        <w:gridCol w:w="4536"/>
        <w:gridCol w:w="6662"/>
      </w:tblGrid>
      <w:tr w:rsidR="000658F5" w:rsidRPr="00635DF5" w14:paraId="56546BA8" w14:textId="77777777" w:rsidTr="00FC3329">
        <w:trPr>
          <w:cnfStyle w:val="100000000000" w:firstRow="1" w:lastRow="0" w:firstColumn="0" w:lastColumn="0" w:oddVBand="0" w:evenVBand="0" w:oddHBand="0" w:evenHBand="0" w:firstRowFirstColumn="0" w:firstRowLastColumn="0" w:lastRowFirstColumn="0" w:lastRowLastColumn="0"/>
          <w:tblHeader/>
        </w:trPr>
        <w:tc>
          <w:tcPr>
            <w:tcW w:w="2977" w:type="dxa"/>
          </w:tcPr>
          <w:p w14:paraId="1F0BDA86" w14:textId="77777777" w:rsidR="000658F5" w:rsidRPr="00972F5E" w:rsidRDefault="000658F5">
            <w:pPr>
              <w:rPr>
                <w:b/>
                <w:bCs/>
                <w:sz w:val="15"/>
                <w:szCs w:val="15"/>
              </w:rPr>
            </w:pPr>
            <w:r w:rsidRPr="00972F5E">
              <w:rPr>
                <w:b/>
                <w:bCs/>
                <w:sz w:val="15"/>
                <w:szCs w:val="15"/>
              </w:rPr>
              <w:t>Objective</w:t>
            </w:r>
          </w:p>
        </w:tc>
        <w:tc>
          <w:tcPr>
            <w:tcW w:w="4536" w:type="dxa"/>
          </w:tcPr>
          <w:p w14:paraId="24CAFBF5" w14:textId="77777777" w:rsidR="000658F5" w:rsidRPr="00972F5E" w:rsidRDefault="000658F5">
            <w:pPr>
              <w:rPr>
                <w:b/>
                <w:bCs/>
                <w:sz w:val="15"/>
                <w:szCs w:val="15"/>
              </w:rPr>
            </w:pPr>
            <w:r w:rsidRPr="00972F5E">
              <w:rPr>
                <w:b/>
                <w:bCs/>
                <w:sz w:val="15"/>
                <w:szCs w:val="15"/>
              </w:rPr>
              <w:t>Option: Status Quo</w:t>
            </w:r>
          </w:p>
        </w:tc>
        <w:tc>
          <w:tcPr>
            <w:tcW w:w="6662" w:type="dxa"/>
          </w:tcPr>
          <w:p w14:paraId="1A309F1A" w14:textId="06181751" w:rsidR="000658F5" w:rsidRPr="00972F5E" w:rsidRDefault="000658F5">
            <w:pPr>
              <w:rPr>
                <w:b/>
                <w:bCs/>
                <w:sz w:val="15"/>
                <w:szCs w:val="15"/>
              </w:rPr>
            </w:pPr>
            <w:r w:rsidRPr="00972F5E">
              <w:rPr>
                <w:b/>
                <w:bCs/>
                <w:sz w:val="15"/>
                <w:szCs w:val="15"/>
              </w:rPr>
              <w:t>Option</w:t>
            </w:r>
            <w:r w:rsidR="00A86133">
              <w:rPr>
                <w:b/>
                <w:bCs/>
                <w:sz w:val="15"/>
                <w:szCs w:val="15"/>
              </w:rPr>
              <w:t xml:space="preserve"> 6</w:t>
            </w:r>
            <w:r w:rsidRPr="00972F5E">
              <w:rPr>
                <w:b/>
                <w:bCs/>
                <w:sz w:val="15"/>
                <w:szCs w:val="15"/>
              </w:rPr>
              <w:t xml:space="preserve">: Jurisdiction registration of the audiology profession </w:t>
            </w:r>
          </w:p>
        </w:tc>
      </w:tr>
      <w:tr w:rsidR="00A86133" w:rsidRPr="00635DF5" w14:paraId="2F4310EB" w14:textId="77777777" w:rsidTr="00FC3329">
        <w:tc>
          <w:tcPr>
            <w:tcW w:w="2977" w:type="dxa"/>
          </w:tcPr>
          <w:p w14:paraId="0CC4D237" w14:textId="70E34801" w:rsidR="00A86133" w:rsidRPr="00972F5E" w:rsidRDefault="00A86133" w:rsidP="00A86133">
            <w:pPr>
              <w:rPr>
                <w:i/>
                <w:iCs/>
                <w:sz w:val="15"/>
                <w:szCs w:val="15"/>
              </w:rPr>
            </w:pPr>
            <w:r w:rsidRPr="00972F5E">
              <w:rPr>
                <w:b/>
                <w:bCs/>
                <w:sz w:val="15"/>
                <w:szCs w:val="15"/>
              </w:rPr>
              <w:t>Care quality assurance.</w:t>
            </w:r>
            <w:r w:rsidRPr="00972F5E">
              <w:rPr>
                <w:sz w:val="15"/>
                <w:szCs w:val="15"/>
              </w:rPr>
              <w:t xml:space="preserve"> </w:t>
            </w:r>
            <w:r w:rsidRPr="00972F5E">
              <w:rPr>
                <w:i/>
                <w:iCs/>
                <w:sz w:val="15"/>
                <w:szCs w:val="15"/>
              </w:rPr>
              <w:t>Ensure audiology services are delivered by practitioners who are supported by a clear scope of practice and profession-level goods.</w:t>
            </w:r>
            <w:r w:rsidRPr="00972F5E">
              <w:rPr>
                <w:sz w:val="15"/>
                <w:szCs w:val="15"/>
              </w:rPr>
              <w:t xml:space="preserve"> </w:t>
            </w:r>
          </w:p>
        </w:tc>
        <w:tc>
          <w:tcPr>
            <w:tcW w:w="4536" w:type="dxa"/>
          </w:tcPr>
          <w:p w14:paraId="1119EAFE" w14:textId="77777777" w:rsidR="00A86133" w:rsidRPr="00FD0A8E" w:rsidRDefault="00A86133" w:rsidP="00A86133">
            <w:pPr>
              <w:rPr>
                <w:sz w:val="15"/>
                <w:szCs w:val="15"/>
              </w:rPr>
            </w:pPr>
            <w:r w:rsidRPr="00FD0A8E">
              <w:rPr>
                <w:sz w:val="15"/>
                <w:szCs w:val="15"/>
              </w:rPr>
              <w:t>Somewhat (2)</w:t>
            </w:r>
          </w:p>
          <w:p w14:paraId="0FA2D9BC" w14:textId="648951DB" w:rsidR="00A86133" w:rsidRPr="00972F5E" w:rsidRDefault="00A86133" w:rsidP="00A86133">
            <w:pPr>
              <w:rPr>
                <w:sz w:val="15"/>
                <w:szCs w:val="15"/>
              </w:rPr>
            </w:pPr>
            <w:r w:rsidRPr="00FD0A8E">
              <w:rPr>
                <w:sz w:val="15"/>
                <w:szCs w:val="15"/>
              </w:rPr>
              <w:t>Clinical certification provided by the PPBs, university accreditation provided through the AAUACC, and HPCCB processes and outcomes provides some assurance of the quality and competence of the majority of current practicing audiologists.</w:t>
            </w:r>
          </w:p>
        </w:tc>
        <w:tc>
          <w:tcPr>
            <w:tcW w:w="6662" w:type="dxa"/>
          </w:tcPr>
          <w:p w14:paraId="7587AAE1" w14:textId="77777777" w:rsidR="00A86133" w:rsidRPr="00972F5E" w:rsidRDefault="00A86133" w:rsidP="00A86133">
            <w:pPr>
              <w:rPr>
                <w:sz w:val="15"/>
                <w:szCs w:val="15"/>
              </w:rPr>
            </w:pPr>
            <w:r w:rsidRPr="00972F5E">
              <w:rPr>
                <w:sz w:val="15"/>
                <w:szCs w:val="15"/>
              </w:rPr>
              <w:t>Mostly (3)</w:t>
            </w:r>
          </w:p>
          <w:p w14:paraId="70B372AB" w14:textId="768A7A4D" w:rsidR="00A86133" w:rsidRPr="00972F5E" w:rsidRDefault="00A86133" w:rsidP="00A86133">
            <w:pPr>
              <w:rPr>
                <w:sz w:val="15"/>
                <w:szCs w:val="15"/>
              </w:rPr>
            </w:pPr>
            <w:r w:rsidRPr="00972F5E">
              <w:rPr>
                <w:sz w:val="15"/>
                <w:szCs w:val="15"/>
              </w:rPr>
              <w:t>Strengthened practitioner registration standards</w:t>
            </w:r>
            <w:r w:rsidR="00242AAD">
              <w:rPr>
                <w:sz w:val="15"/>
                <w:szCs w:val="15"/>
              </w:rPr>
              <w:t xml:space="preserve"> and </w:t>
            </w:r>
            <w:r w:rsidR="006122BF">
              <w:rPr>
                <w:sz w:val="15"/>
                <w:szCs w:val="15"/>
              </w:rPr>
              <w:t xml:space="preserve">a defined scope of practice </w:t>
            </w:r>
            <w:r w:rsidR="00F91F34">
              <w:rPr>
                <w:sz w:val="15"/>
                <w:szCs w:val="15"/>
              </w:rPr>
              <w:t xml:space="preserve">leading to strengthened university accreditation standards </w:t>
            </w:r>
            <w:r w:rsidRPr="00972F5E">
              <w:rPr>
                <w:sz w:val="15"/>
                <w:szCs w:val="15"/>
              </w:rPr>
              <w:t xml:space="preserve">provides a higher level of assurance of the quality and competence of practicing audiologists. However, without mandatory notifications and notifier protections there would be less assurance relative to </w:t>
            </w:r>
            <w:r w:rsidR="00C23242">
              <w:rPr>
                <w:sz w:val="15"/>
                <w:szCs w:val="15"/>
              </w:rPr>
              <w:t>Option 7</w:t>
            </w:r>
            <w:r w:rsidRPr="00972F5E">
              <w:rPr>
                <w:sz w:val="15"/>
                <w:szCs w:val="15"/>
              </w:rPr>
              <w:t>.</w:t>
            </w:r>
          </w:p>
        </w:tc>
      </w:tr>
      <w:tr w:rsidR="00A86133" w:rsidRPr="00635DF5" w14:paraId="2797D49B" w14:textId="77777777" w:rsidTr="00FC3329">
        <w:tc>
          <w:tcPr>
            <w:tcW w:w="2977" w:type="dxa"/>
          </w:tcPr>
          <w:p w14:paraId="2B3B354B" w14:textId="072099E9" w:rsidR="00A86133" w:rsidRPr="00972F5E" w:rsidRDefault="00A86133" w:rsidP="00A86133">
            <w:pPr>
              <w:rPr>
                <w:i/>
                <w:iCs/>
                <w:sz w:val="15"/>
                <w:szCs w:val="15"/>
              </w:rPr>
            </w:pPr>
            <w:r w:rsidRPr="00972F5E">
              <w:rPr>
                <w:b/>
                <w:bCs/>
                <w:sz w:val="15"/>
                <w:szCs w:val="15"/>
              </w:rPr>
              <w:t>Regulatory consistency.</w:t>
            </w:r>
            <w:r w:rsidRPr="00972F5E">
              <w:rPr>
                <w:sz w:val="15"/>
                <w:szCs w:val="15"/>
              </w:rPr>
              <w:t xml:space="preserve"> </w:t>
            </w:r>
            <w:r w:rsidRPr="00972F5E">
              <w:rPr>
                <w:i/>
                <w:iCs/>
                <w:sz w:val="15"/>
                <w:szCs w:val="15"/>
              </w:rPr>
              <w:t>A regulatory context that provides consistent oversight of the whole profession, regardless of jurisdiction, elective membership or employment type.</w:t>
            </w:r>
          </w:p>
        </w:tc>
        <w:tc>
          <w:tcPr>
            <w:tcW w:w="4536" w:type="dxa"/>
          </w:tcPr>
          <w:p w14:paraId="30064240" w14:textId="77777777" w:rsidR="00A86133" w:rsidRPr="00FD0A8E" w:rsidRDefault="00A86133" w:rsidP="00A86133">
            <w:pPr>
              <w:rPr>
                <w:sz w:val="15"/>
                <w:szCs w:val="15"/>
              </w:rPr>
            </w:pPr>
            <w:r w:rsidRPr="00FD0A8E">
              <w:rPr>
                <w:sz w:val="15"/>
                <w:szCs w:val="15"/>
              </w:rPr>
              <w:t>Somewhat (2)</w:t>
            </w:r>
          </w:p>
          <w:p w14:paraId="35AD7A23" w14:textId="7555502C" w:rsidR="00A86133" w:rsidRPr="00972F5E" w:rsidRDefault="00A86133" w:rsidP="00A86133">
            <w:pPr>
              <w:rPr>
                <w:sz w:val="15"/>
                <w:szCs w:val="15"/>
              </w:rPr>
            </w:pPr>
            <w:r w:rsidRPr="00FD0A8E">
              <w:rPr>
                <w:sz w:val="15"/>
                <w:szCs w:val="15"/>
              </w:rPr>
              <w:t>Regulatory oversight provided by the PPBs covers most but not all audiologists. In addition, the National Code of Conduct provides mutual recognition of sanctions where it is in effect.</w:t>
            </w:r>
          </w:p>
        </w:tc>
        <w:tc>
          <w:tcPr>
            <w:tcW w:w="6662" w:type="dxa"/>
          </w:tcPr>
          <w:p w14:paraId="5B334EFB" w14:textId="77777777" w:rsidR="00A86133" w:rsidRPr="00972F5E" w:rsidRDefault="00A86133" w:rsidP="00A86133">
            <w:pPr>
              <w:rPr>
                <w:sz w:val="15"/>
                <w:szCs w:val="15"/>
              </w:rPr>
            </w:pPr>
            <w:r w:rsidRPr="00972F5E">
              <w:rPr>
                <w:sz w:val="15"/>
                <w:szCs w:val="15"/>
              </w:rPr>
              <w:t>Somewhat (2)</w:t>
            </w:r>
          </w:p>
          <w:p w14:paraId="5A69CAD9" w14:textId="400E2AC7" w:rsidR="00A86133" w:rsidRPr="00972F5E" w:rsidRDefault="00A86133" w:rsidP="00A86133">
            <w:pPr>
              <w:rPr>
                <w:sz w:val="15"/>
                <w:szCs w:val="15"/>
              </w:rPr>
            </w:pPr>
            <w:r w:rsidRPr="00972F5E">
              <w:rPr>
                <w:sz w:val="15"/>
                <w:szCs w:val="15"/>
              </w:rPr>
              <w:t>Relative to the Status Quo, there is likely to be jurisdictional inconsistencies in regulatory standards and processes. However, within each jurisdiction there would be mandatory registration regardless of elective membership or employment type. Balancing these considerations, the rating is retained at ‘Somewhat’.</w:t>
            </w:r>
          </w:p>
        </w:tc>
      </w:tr>
      <w:tr w:rsidR="00A86133" w:rsidRPr="00635DF5" w14:paraId="3C6B06D3" w14:textId="77777777" w:rsidTr="00FC3329">
        <w:tc>
          <w:tcPr>
            <w:tcW w:w="2977" w:type="dxa"/>
          </w:tcPr>
          <w:p w14:paraId="26B7D6D7" w14:textId="5C312B83" w:rsidR="00A86133" w:rsidRPr="00972F5E" w:rsidRDefault="00A86133" w:rsidP="00A86133">
            <w:pPr>
              <w:rPr>
                <w:i/>
                <w:iCs/>
                <w:sz w:val="15"/>
                <w:szCs w:val="15"/>
              </w:rPr>
            </w:pPr>
            <w:r w:rsidRPr="00972F5E">
              <w:rPr>
                <w:b/>
                <w:bCs/>
                <w:sz w:val="15"/>
                <w:szCs w:val="15"/>
              </w:rPr>
              <w:t>Escalation systems</w:t>
            </w:r>
            <w:r w:rsidRPr="00972F5E">
              <w:rPr>
                <w:sz w:val="15"/>
                <w:szCs w:val="15"/>
              </w:rPr>
              <w:t xml:space="preserve">. </w:t>
            </w:r>
            <w:r w:rsidRPr="00972F5E">
              <w:rPr>
                <w:i/>
                <w:iCs/>
                <w:sz w:val="15"/>
                <w:szCs w:val="15"/>
              </w:rPr>
              <w:t>Robust regulatory systems that maximise the identification of cases of substandard care and ensure they are appropriately treated.</w:t>
            </w:r>
            <w:r w:rsidRPr="00972F5E">
              <w:rPr>
                <w:sz w:val="15"/>
                <w:szCs w:val="15"/>
              </w:rPr>
              <w:t xml:space="preserve"> </w:t>
            </w:r>
          </w:p>
        </w:tc>
        <w:tc>
          <w:tcPr>
            <w:tcW w:w="4536" w:type="dxa"/>
          </w:tcPr>
          <w:p w14:paraId="3DDAC983" w14:textId="77777777" w:rsidR="00A86133" w:rsidRPr="00FD0A8E" w:rsidRDefault="00A86133" w:rsidP="00A86133">
            <w:pPr>
              <w:rPr>
                <w:sz w:val="15"/>
                <w:szCs w:val="15"/>
              </w:rPr>
            </w:pPr>
            <w:r w:rsidRPr="00FD0A8E">
              <w:rPr>
                <w:sz w:val="15"/>
                <w:szCs w:val="15"/>
              </w:rPr>
              <w:t>Somewhat (2)</w:t>
            </w:r>
          </w:p>
          <w:p w14:paraId="705D9745" w14:textId="505376BF" w:rsidR="00A86133" w:rsidRPr="00972F5E" w:rsidRDefault="00A86133" w:rsidP="00A86133">
            <w:pPr>
              <w:rPr>
                <w:sz w:val="15"/>
                <w:szCs w:val="15"/>
              </w:rPr>
            </w:pPr>
            <w:r w:rsidRPr="00FD0A8E">
              <w:rPr>
                <w:sz w:val="15"/>
                <w:szCs w:val="15"/>
              </w:rPr>
              <w:t xml:space="preserve">There was a disconnect seen in the consultation responses received from audiologists between the observation of harms occurring in practice and reporting of these issues to existing entities. Further, practitioners are able to work with private full-fee paying clients if they elect not to engage with the sectoral PPBs, removing them from the HPCCB remit. </w:t>
            </w:r>
          </w:p>
        </w:tc>
        <w:tc>
          <w:tcPr>
            <w:tcW w:w="6662" w:type="dxa"/>
          </w:tcPr>
          <w:p w14:paraId="5181296D" w14:textId="77777777" w:rsidR="00A86133" w:rsidRPr="00972F5E" w:rsidRDefault="00A86133" w:rsidP="00A86133">
            <w:pPr>
              <w:rPr>
                <w:sz w:val="15"/>
                <w:szCs w:val="15"/>
              </w:rPr>
            </w:pPr>
            <w:r w:rsidRPr="00972F5E">
              <w:rPr>
                <w:sz w:val="15"/>
                <w:szCs w:val="15"/>
              </w:rPr>
              <w:t>Somewhat (2)</w:t>
            </w:r>
          </w:p>
          <w:p w14:paraId="631F2212" w14:textId="5F1868E0" w:rsidR="00A86133" w:rsidRPr="00972F5E" w:rsidRDefault="00A86133" w:rsidP="00A86133">
            <w:pPr>
              <w:rPr>
                <w:sz w:val="15"/>
                <w:szCs w:val="15"/>
              </w:rPr>
            </w:pPr>
            <w:r w:rsidRPr="00972F5E">
              <w:rPr>
                <w:sz w:val="15"/>
                <w:szCs w:val="15"/>
              </w:rPr>
              <w:t xml:space="preserve">Without mandatory notifications and notifier protections under </w:t>
            </w:r>
            <w:r w:rsidR="00CE7B25">
              <w:rPr>
                <w:sz w:val="15"/>
                <w:szCs w:val="15"/>
              </w:rPr>
              <w:t>Option 6</w:t>
            </w:r>
            <w:r w:rsidRPr="00972F5E">
              <w:rPr>
                <w:sz w:val="15"/>
                <w:szCs w:val="15"/>
              </w:rPr>
              <w:t xml:space="preserve">, there may not be a material change in the proportion of identified cases of substandard care relative to the Status Quo. However, escalation systems under a </w:t>
            </w:r>
            <w:r w:rsidR="00D55509">
              <w:rPr>
                <w:sz w:val="15"/>
                <w:szCs w:val="15"/>
              </w:rPr>
              <w:t>State and Territory</w:t>
            </w:r>
            <w:r w:rsidRPr="00972F5E">
              <w:rPr>
                <w:sz w:val="15"/>
                <w:szCs w:val="15"/>
              </w:rPr>
              <w:t xml:space="preserve"> Board would have powers across all practitioners, regardless of elective membership or employment type. Balancing these considerations, the rating is retained at ‘Somewhat’.</w:t>
            </w:r>
          </w:p>
        </w:tc>
      </w:tr>
      <w:tr w:rsidR="00A86133" w:rsidRPr="00635DF5" w14:paraId="0B5E7D03" w14:textId="77777777" w:rsidTr="00FC3329">
        <w:tc>
          <w:tcPr>
            <w:tcW w:w="2977" w:type="dxa"/>
          </w:tcPr>
          <w:p w14:paraId="7E5126B0" w14:textId="0E0F8DEB" w:rsidR="00A86133" w:rsidRPr="00972F5E" w:rsidRDefault="00A86133" w:rsidP="00A86133">
            <w:pPr>
              <w:rPr>
                <w:i/>
                <w:iCs/>
                <w:sz w:val="15"/>
                <w:szCs w:val="15"/>
              </w:rPr>
            </w:pPr>
            <w:r w:rsidRPr="00972F5E">
              <w:rPr>
                <w:b/>
                <w:bCs/>
                <w:sz w:val="15"/>
                <w:szCs w:val="15"/>
              </w:rPr>
              <w:t xml:space="preserve">Market awareness. </w:t>
            </w:r>
            <w:r w:rsidRPr="00972F5E">
              <w:rPr>
                <w:i/>
                <w:iCs/>
                <w:sz w:val="15"/>
                <w:szCs w:val="15"/>
              </w:rPr>
              <w:t>Mechanisms that increase market signalling, with a view to raising consumer and employer understanding of who is fit and proper to deliver different types of hearing health services.</w:t>
            </w:r>
          </w:p>
        </w:tc>
        <w:tc>
          <w:tcPr>
            <w:tcW w:w="4536" w:type="dxa"/>
          </w:tcPr>
          <w:p w14:paraId="5AB734E2" w14:textId="77777777" w:rsidR="00A86133" w:rsidRPr="00FD0A8E" w:rsidRDefault="00A86133" w:rsidP="00A86133">
            <w:pPr>
              <w:rPr>
                <w:sz w:val="15"/>
                <w:szCs w:val="15"/>
              </w:rPr>
            </w:pPr>
            <w:r w:rsidRPr="00FD0A8E">
              <w:rPr>
                <w:sz w:val="15"/>
                <w:szCs w:val="15"/>
              </w:rPr>
              <w:t>Not at all (1)</w:t>
            </w:r>
          </w:p>
          <w:p w14:paraId="40FD717B" w14:textId="10AAB901" w:rsidR="00A86133" w:rsidRPr="00972F5E" w:rsidRDefault="00A86133" w:rsidP="00A86133">
            <w:pPr>
              <w:rPr>
                <w:sz w:val="15"/>
                <w:szCs w:val="15"/>
              </w:rPr>
            </w:pPr>
            <w:r w:rsidRPr="00FD0A8E">
              <w:rPr>
                <w:sz w:val="15"/>
                <w:szCs w:val="15"/>
              </w:rPr>
              <w:t xml:space="preserve">There is currently a lack of protected title for audiologists, leading to stakeholder concerns of confusion for consumers. </w:t>
            </w:r>
          </w:p>
        </w:tc>
        <w:tc>
          <w:tcPr>
            <w:tcW w:w="6662" w:type="dxa"/>
          </w:tcPr>
          <w:p w14:paraId="55F756F2" w14:textId="77777777" w:rsidR="00A86133" w:rsidRPr="00972F5E" w:rsidRDefault="00A86133" w:rsidP="00A86133">
            <w:pPr>
              <w:rPr>
                <w:sz w:val="15"/>
                <w:szCs w:val="15"/>
              </w:rPr>
            </w:pPr>
            <w:r w:rsidRPr="00972F5E">
              <w:rPr>
                <w:sz w:val="15"/>
                <w:szCs w:val="15"/>
              </w:rPr>
              <w:t>Somewhat (2)</w:t>
            </w:r>
          </w:p>
          <w:p w14:paraId="0CCF64E6" w14:textId="00B66860" w:rsidR="00A86133" w:rsidRPr="00972F5E" w:rsidRDefault="00A86133" w:rsidP="00A86133">
            <w:pPr>
              <w:rPr>
                <w:sz w:val="15"/>
                <w:szCs w:val="15"/>
              </w:rPr>
            </w:pPr>
            <w:r w:rsidRPr="00972F5E">
              <w:rPr>
                <w:sz w:val="15"/>
                <w:szCs w:val="15"/>
              </w:rPr>
              <w:t>Protection of title for audiologists and a public register of registered practitioners is expected to raise consumer and employer understanding of the qualifications of the person providing care. However, a series of decisions would need to be made regarding other language protections (e.g., audiology and hearing specialist) As these decisions have not been made, a conservative rating of ‘Somewhat’ is given.</w:t>
            </w:r>
          </w:p>
        </w:tc>
      </w:tr>
      <w:tr w:rsidR="00A86133" w:rsidRPr="00635DF5" w14:paraId="533CD423" w14:textId="77777777" w:rsidTr="00FC3329">
        <w:tc>
          <w:tcPr>
            <w:tcW w:w="2977" w:type="dxa"/>
          </w:tcPr>
          <w:p w14:paraId="545A071B" w14:textId="522F9B87" w:rsidR="00A86133" w:rsidRPr="00972F5E" w:rsidRDefault="00A86133" w:rsidP="00A86133">
            <w:pPr>
              <w:rPr>
                <w:b/>
                <w:bCs/>
                <w:i/>
                <w:iCs/>
                <w:sz w:val="15"/>
                <w:szCs w:val="15"/>
              </w:rPr>
            </w:pPr>
            <w:r w:rsidRPr="00972F5E">
              <w:rPr>
                <w:b/>
                <w:bCs/>
                <w:sz w:val="15"/>
                <w:szCs w:val="15"/>
              </w:rPr>
              <w:t xml:space="preserve">Ethical practice. </w:t>
            </w:r>
            <w:r w:rsidRPr="00972F5E">
              <w:rPr>
                <w:i/>
                <w:iCs/>
                <w:sz w:val="15"/>
                <w:szCs w:val="15"/>
              </w:rPr>
              <w:t xml:space="preserve">Mechanisms that seek to minimise undue commercial influence on clinical practice, with the goal of preventing </w:t>
            </w:r>
            <w:r w:rsidRPr="00972F5E">
              <w:rPr>
                <w:i/>
                <w:sz w:val="15"/>
                <w:szCs w:val="15"/>
              </w:rPr>
              <w:t>practitioner</w:t>
            </w:r>
            <w:r w:rsidRPr="00972F5E">
              <w:rPr>
                <w:i/>
                <w:iCs/>
                <w:sz w:val="15"/>
                <w:szCs w:val="15"/>
              </w:rPr>
              <w:t xml:space="preserve"> behaviours that are unethical or unsafe.</w:t>
            </w:r>
            <w:r w:rsidRPr="00972F5E">
              <w:rPr>
                <w:b/>
                <w:bCs/>
                <w:i/>
                <w:iCs/>
                <w:sz w:val="15"/>
                <w:szCs w:val="15"/>
              </w:rPr>
              <w:t xml:space="preserve"> </w:t>
            </w:r>
          </w:p>
        </w:tc>
        <w:tc>
          <w:tcPr>
            <w:tcW w:w="4536" w:type="dxa"/>
          </w:tcPr>
          <w:p w14:paraId="422527C9" w14:textId="77777777" w:rsidR="00A86133" w:rsidRPr="00FD0A8E" w:rsidRDefault="00A86133" w:rsidP="00A86133">
            <w:pPr>
              <w:rPr>
                <w:sz w:val="15"/>
                <w:szCs w:val="15"/>
              </w:rPr>
            </w:pPr>
            <w:r w:rsidRPr="00FD0A8E">
              <w:rPr>
                <w:sz w:val="15"/>
                <w:szCs w:val="15"/>
              </w:rPr>
              <w:t>Somewhat (2)</w:t>
            </w:r>
          </w:p>
          <w:p w14:paraId="5F9F8544" w14:textId="077E56D7" w:rsidR="00A86133" w:rsidRPr="00972F5E" w:rsidRDefault="00A86133" w:rsidP="00A86133">
            <w:pPr>
              <w:rPr>
                <w:sz w:val="15"/>
                <w:szCs w:val="15"/>
              </w:rPr>
            </w:pPr>
            <w:r w:rsidRPr="00FD0A8E">
              <w:rPr>
                <w:sz w:val="15"/>
                <w:szCs w:val="15"/>
              </w:rPr>
              <w:t>HCEs are the most appropriate entity to investigate concerns about health systems or health service providers. At present, there is limited practitioner awareness about these powers, and there are some jurisdictions without the National Code.</w:t>
            </w:r>
          </w:p>
        </w:tc>
        <w:tc>
          <w:tcPr>
            <w:tcW w:w="6662" w:type="dxa"/>
          </w:tcPr>
          <w:p w14:paraId="05C860F1" w14:textId="77777777" w:rsidR="00A86133" w:rsidRPr="00972F5E" w:rsidRDefault="00A86133" w:rsidP="00A86133">
            <w:pPr>
              <w:rPr>
                <w:sz w:val="15"/>
                <w:szCs w:val="15"/>
              </w:rPr>
            </w:pPr>
            <w:r w:rsidRPr="00972F5E">
              <w:rPr>
                <w:sz w:val="15"/>
                <w:szCs w:val="15"/>
              </w:rPr>
              <w:t>Somewhat (2)</w:t>
            </w:r>
          </w:p>
          <w:p w14:paraId="733BABDB" w14:textId="467C4619" w:rsidR="00A86133" w:rsidRPr="00972F5E" w:rsidRDefault="00A86133" w:rsidP="00A86133">
            <w:pPr>
              <w:rPr>
                <w:sz w:val="15"/>
                <w:szCs w:val="15"/>
              </w:rPr>
            </w:pPr>
            <w:r w:rsidRPr="00972F5E">
              <w:rPr>
                <w:sz w:val="15"/>
                <w:szCs w:val="15"/>
              </w:rPr>
              <w:t xml:space="preserve">A </w:t>
            </w:r>
            <w:r w:rsidR="00D55509">
              <w:rPr>
                <w:sz w:val="15"/>
                <w:szCs w:val="15"/>
              </w:rPr>
              <w:t>State and Territory</w:t>
            </w:r>
            <w:r w:rsidRPr="00972F5E">
              <w:rPr>
                <w:sz w:val="15"/>
                <w:szCs w:val="15"/>
              </w:rPr>
              <w:t xml:space="preserve"> Board would have powers to take disciplinary action against practitioners, not organisations. To this end, </w:t>
            </w:r>
            <w:r w:rsidR="00AF7DEF">
              <w:rPr>
                <w:sz w:val="15"/>
                <w:szCs w:val="15"/>
              </w:rPr>
              <w:t>Option 6</w:t>
            </w:r>
            <w:r w:rsidRPr="00972F5E">
              <w:rPr>
                <w:sz w:val="15"/>
                <w:szCs w:val="15"/>
              </w:rPr>
              <w:t xml:space="preserve"> is not expected to materially minimise undue commercial influence on clinical practice relative to the Status Quo, and the rating is retained at ‘Somewhat’.</w:t>
            </w:r>
          </w:p>
        </w:tc>
      </w:tr>
      <w:tr w:rsidR="000658F5" w:rsidRPr="00635DF5" w14:paraId="7B1E4424" w14:textId="77777777" w:rsidTr="00FC3329">
        <w:trPr>
          <w:trHeight w:val="31"/>
        </w:trPr>
        <w:tc>
          <w:tcPr>
            <w:tcW w:w="2977" w:type="dxa"/>
          </w:tcPr>
          <w:p w14:paraId="5FA32BFD" w14:textId="77777777" w:rsidR="000658F5" w:rsidRPr="00972F5E" w:rsidRDefault="000658F5">
            <w:pPr>
              <w:rPr>
                <w:b/>
                <w:bCs/>
                <w:sz w:val="15"/>
                <w:szCs w:val="15"/>
              </w:rPr>
            </w:pPr>
            <w:r w:rsidRPr="00972F5E">
              <w:rPr>
                <w:b/>
                <w:bCs/>
                <w:sz w:val="15"/>
                <w:szCs w:val="15"/>
              </w:rPr>
              <w:t>Total score (20 max)</w:t>
            </w:r>
          </w:p>
        </w:tc>
        <w:tc>
          <w:tcPr>
            <w:tcW w:w="4536" w:type="dxa"/>
          </w:tcPr>
          <w:p w14:paraId="11DB6A9F" w14:textId="77777777" w:rsidR="000658F5" w:rsidRPr="00972F5E" w:rsidRDefault="000658F5">
            <w:pPr>
              <w:rPr>
                <w:b/>
                <w:bCs/>
                <w:sz w:val="15"/>
                <w:szCs w:val="15"/>
              </w:rPr>
            </w:pPr>
            <w:r w:rsidRPr="00972F5E">
              <w:rPr>
                <w:b/>
                <w:bCs/>
                <w:sz w:val="15"/>
                <w:szCs w:val="15"/>
              </w:rPr>
              <w:t>9</w:t>
            </w:r>
          </w:p>
        </w:tc>
        <w:tc>
          <w:tcPr>
            <w:tcW w:w="6662" w:type="dxa"/>
          </w:tcPr>
          <w:p w14:paraId="299603D8" w14:textId="77777777" w:rsidR="000658F5" w:rsidRPr="00972F5E" w:rsidRDefault="000658F5">
            <w:pPr>
              <w:rPr>
                <w:b/>
                <w:bCs/>
                <w:sz w:val="15"/>
                <w:szCs w:val="15"/>
              </w:rPr>
            </w:pPr>
            <w:r w:rsidRPr="00972F5E">
              <w:rPr>
                <w:b/>
                <w:bCs/>
                <w:sz w:val="15"/>
                <w:szCs w:val="15"/>
              </w:rPr>
              <w:t>11</w:t>
            </w:r>
          </w:p>
        </w:tc>
      </w:tr>
    </w:tbl>
    <w:p w14:paraId="53290EA4" w14:textId="77777777" w:rsidR="000658F5" w:rsidRDefault="000658F5" w:rsidP="000658F5">
      <w:pPr>
        <w:sectPr w:rsidR="000658F5">
          <w:endnotePr>
            <w:numFmt w:val="decimal"/>
          </w:endnotePr>
          <w:pgSz w:w="16838" w:h="11906" w:orient="landscape" w:code="9"/>
          <w:pgMar w:top="1440" w:right="1440" w:bottom="1440" w:left="1440" w:header="680" w:footer="425" w:gutter="0"/>
          <w:cols w:space="284"/>
          <w:docGrid w:linePitch="360"/>
        </w:sectPr>
      </w:pPr>
    </w:p>
    <w:p w14:paraId="62D20F3F" w14:textId="12DEEEE2" w:rsidR="00BF5F7B" w:rsidRDefault="00F765A9" w:rsidP="00BF5F7B">
      <w:pPr>
        <w:pStyle w:val="Heading2"/>
        <w:spacing w:after="0" w:line="280" w:lineRule="atLeast"/>
        <w:ind w:left="936" w:hanging="794"/>
        <w:textboxTightWrap w:val="none"/>
      </w:pPr>
      <w:bookmarkStart w:id="298" w:name="_Ref171262911"/>
      <w:bookmarkStart w:id="299" w:name="_Toc171324794"/>
      <w:bookmarkStart w:id="300" w:name="_Toc198138648"/>
      <w:r>
        <w:t xml:space="preserve">Strengthened </w:t>
      </w:r>
      <w:r w:rsidR="00360258">
        <w:t>Status Quo</w:t>
      </w:r>
      <w:r>
        <w:t xml:space="preserve"> </w:t>
      </w:r>
      <w:r w:rsidR="00A8462F">
        <w:t>-</w:t>
      </w:r>
      <w:r w:rsidR="002567A4">
        <w:t xml:space="preserve"> </w:t>
      </w:r>
      <w:r w:rsidR="00360258">
        <w:t>J</w:t>
      </w:r>
      <w:r w:rsidR="00BF5F7B">
        <w:t xml:space="preserve">urisdictional </w:t>
      </w:r>
      <w:r w:rsidR="00723827">
        <w:t xml:space="preserve">mandatory </w:t>
      </w:r>
      <w:r w:rsidR="00BF5F7B">
        <w:t xml:space="preserve">current clinical certification </w:t>
      </w:r>
      <w:r w:rsidR="002A2696">
        <w:t xml:space="preserve">of </w:t>
      </w:r>
      <w:r w:rsidR="00BF5F7B">
        <w:t xml:space="preserve">public sector </w:t>
      </w:r>
      <w:r w:rsidR="00A866C8">
        <w:t xml:space="preserve">audiologists </w:t>
      </w:r>
      <w:r w:rsidR="00BF5F7B">
        <w:t xml:space="preserve">and uplift </w:t>
      </w:r>
      <w:r w:rsidR="00723827">
        <w:t xml:space="preserve">in </w:t>
      </w:r>
      <w:r w:rsidR="00BF5F7B">
        <w:t>CPD</w:t>
      </w:r>
      <w:bookmarkEnd w:id="298"/>
      <w:bookmarkEnd w:id="299"/>
      <w:r w:rsidR="00A8462F">
        <w:t xml:space="preserve"> (</w:t>
      </w:r>
      <w:r w:rsidR="00A379AA">
        <w:t xml:space="preserve">Modified </w:t>
      </w:r>
      <w:r w:rsidR="00A8462F">
        <w:t>Option</w:t>
      </w:r>
      <w:r w:rsidR="00A379AA">
        <w:t xml:space="preserve"> 3</w:t>
      </w:r>
      <w:r w:rsidR="00A8462F">
        <w:t>)</w:t>
      </w:r>
      <w:bookmarkEnd w:id="300"/>
    </w:p>
    <w:p w14:paraId="2F9FBEA0" w14:textId="30D3BE99" w:rsidR="00BF5F7B" w:rsidRDefault="00BF5F7B" w:rsidP="0047540C">
      <w:pPr>
        <w:pStyle w:val="BodyText"/>
      </w:pPr>
      <w:r>
        <w:t xml:space="preserve">Under </w:t>
      </w:r>
      <w:r w:rsidR="0042180A">
        <w:t>Strengthened Status Quo</w:t>
      </w:r>
      <w:r>
        <w:t xml:space="preserve">, </w:t>
      </w:r>
      <w:r w:rsidR="00D55509">
        <w:t>State and Territory</w:t>
      </w:r>
      <w:r w:rsidR="00B64FEC">
        <w:t xml:space="preserve"> health departments</w:t>
      </w:r>
      <w:r>
        <w:t xml:space="preserve"> would voluntarily decide to amend their minimum employment standards for audiologists to mandate current clinical certification. </w:t>
      </w:r>
      <w:r w:rsidR="00B64FEC">
        <w:t>In addition</w:t>
      </w:r>
      <w:r>
        <w:t>, national government expenditure would directly fund CPD for topics considered to be of high priority for the profession, which may include:</w:t>
      </w:r>
    </w:p>
    <w:p w14:paraId="1E60D8B1" w14:textId="77777777" w:rsidR="00BF5F7B" w:rsidRDefault="00BF5F7B" w:rsidP="0047540C">
      <w:pPr>
        <w:pStyle w:val="ListBullet"/>
      </w:pPr>
      <w:r>
        <w:t>topics where there is evidence of public harm which has already occurred</w:t>
      </w:r>
    </w:p>
    <w:p w14:paraId="0465CC9B" w14:textId="77777777" w:rsidR="00BF5F7B" w:rsidRDefault="00BF5F7B" w:rsidP="0047540C">
      <w:pPr>
        <w:pStyle w:val="ListBullet"/>
      </w:pPr>
      <w:r>
        <w:t>topics where it is considered there is a risk of public harm and the market is unlikely to provide this CPD otherwise (e.g., specialty areas of practice).</w:t>
      </w:r>
    </w:p>
    <w:p w14:paraId="506702AA" w14:textId="2FCAFBB6" w:rsidR="00BF5F7B" w:rsidRDefault="00BF5F7B" w:rsidP="00A13CF7">
      <w:pPr>
        <w:pStyle w:val="Heading3"/>
      </w:pPr>
      <w:bookmarkStart w:id="301" w:name="_Toc171324795"/>
      <w:bookmarkStart w:id="302" w:name="_Toc198138649"/>
      <w:r>
        <w:t xml:space="preserve">Theory of </w:t>
      </w:r>
      <w:r w:rsidRPr="00A13CF7">
        <w:t>change</w:t>
      </w:r>
      <w:bookmarkEnd w:id="301"/>
      <w:bookmarkEnd w:id="302"/>
    </w:p>
    <w:p w14:paraId="1ADE21FB" w14:textId="34A9889C" w:rsidR="00BF5F7B" w:rsidRDefault="00297056" w:rsidP="00A13CF7">
      <w:pPr>
        <w:pStyle w:val="BodyText"/>
      </w:pPr>
      <w:r>
        <w:fldChar w:fldCharType="begin"/>
      </w:r>
      <w:r>
        <w:instrText xml:space="preserve"> REF _Ref172050401 \h </w:instrText>
      </w:r>
      <w:r>
        <w:fldChar w:fldCharType="separate"/>
      </w:r>
      <w:r w:rsidR="00F32107">
        <w:t xml:space="preserve">Figure </w:t>
      </w:r>
      <w:r w:rsidR="00F32107">
        <w:rPr>
          <w:noProof/>
        </w:rPr>
        <w:t>8</w:t>
      </w:r>
      <w:r w:rsidR="00F32107">
        <w:t>.</w:t>
      </w:r>
      <w:r w:rsidR="00F32107">
        <w:rPr>
          <w:noProof/>
        </w:rPr>
        <w:t>6</w:t>
      </w:r>
      <w:r>
        <w:fldChar w:fldCharType="end"/>
      </w:r>
      <w:r w:rsidR="00BF5F7B">
        <w:t xml:space="preserve"> provides the theory of change for </w:t>
      </w:r>
      <w:r w:rsidR="0042180A">
        <w:t>Strengthened Status Quo</w:t>
      </w:r>
      <w:r w:rsidR="00BF5F7B">
        <w:t>, noting that th</w:t>
      </w:r>
      <w:r w:rsidR="00A25C6D">
        <w:t>e changes for this option</w:t>
      </w:r>
      <w:r w:rsidR="00BF5F7B">
        <w:t xml:space="preserve"> includes a combination of regulatory changes and government expenditure</w:t>
      </w:r>
      <w:r w:rsidR="00A25C6D">
        <w:t>.</w:t>
      </w:r>
    </w:p>
    <w:p w14:paraId="0BEAB38F" w14:textId="3D01A8FE" w:rsidR="00297056" w:rsidRDefault="00297056" w:rsidP="00297056">
      <w:pPr>
        <w:pStyle w:val="Caption"/>
        <w:keepNext/>
      </w:pPr>
      <w:bookmarkStart w:id="303" w:name="_Ref172050401"/>
      <w:r>
        <w:t xml:space="preserve">Figure </w:t>
      </w:r>
      <w:fldSimple w:instr=" STYLEREF 1 \s ">
        <w:r w:rsidR="00F32107">
          <w:rPr>
            <w:noProof/>
          </w:rPr>
          <w:t>8</w:t>
        </w:r>
      </w:fldSimple>
      <w:r w:rsidR="00222D06">
        <w:t>.</w:t>
      </w:r>
      <w:fldSimple w:instr=" SEQ Figure \* ARABIC \s 1 ">
        <w:r w:rsidR="00F32107">
          <w:rPr>
            <w:noProof/>
          </w:rPr>
          <w:t>6</w:t>
        </w:r>
      </w:fldSimple>
      <w:bookmarkEnd w:id="303"/>
      <w:r>
        <w:t xml:space="preserve"> Theory of change for </w:t>
      </w:r>
      <w:bookmarkStart w:id="304" w:name="_Hlk196382770"/>
      <w:r w:rsidR="00F02C60">
        <w:t>Strengthened Status Quo</w:t>
      </w:r>
      <w:bookmarkEnd w:id="304"/>
    </w:p>
    <w:p w14:paraId="2364FEFA" w14:textId="73AE9B07" w:rsidR="008D346B" w:rsidRDefault="00CA342F" w:rsidP="00623382">
      <w:pPr>
        <w:pStyle w:val="BodyText"/>
      </w:pPr>
      <w:r w:rsidRPr="00CA342F">
        <w:rPr>
          <w:noProof/>
          <w:lang w:eastAsia="en-AU"/>
        </w:rPr>
        <w:drawing>
          <wp:inline distT="0" distB="0" distL="0" distR="0" wp14:anchorId="2E59614E" wp14:editId="4EC89004">
            <wp:extent cx="5615940" cy="135064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5940" cy="1350645"/>
                    </a:xfrm>
                    <a:prstGeom prst="rect">
                      <a:avLst/>
                    </a:prstGeom>
                    <a:noFill/>
                    <a:ln>
                      <a:noFill/>
                    </a:ln>
                  </pic:spPr>
                </pic:pic>
              </a:graphicData>
            </a:graphic>
          </wp:inline>
        </w:drawing>
      </w:r>
    </w:p>
    <w:p w14:paraId="1E9ED66B" w14:textId="77777777" w:rsidR="00FF61F9" w:rsidRDefault="00FF61F9" w:rsidP="00FF61F9">
      <w:pPr>
        <w:pStyle w:val="Heading3"/>
      </w:pPr>
      <w:bookmarkStart w:id="305" w:name="_Toc171324796"/>
      <w:bookmarkStart w:id="306" w:name="_Toc198138650"/>
      <w:r w:rsidRPr="00FF61F9">
        <w:t>Impact</w:t>
      </w:r>
      <w:r>
        <w:t xml:space="preserve"> assessment framework</w:t>
      </w:r>
      <w:bookmarkEnd w:id="305"/>
      <w:bookmarkEnd w:id="306"/>
    </w:p>
    <w:p w14:paraId="052FBBFB" w14:textId="291DB7A1" w:rsidR="00D7096B" w:rsidRDefault="00D7096B" w:rsidP="00D7096B">
      <w:pPr>
        <w:pStyle w:val="BodyText"/>
      </w:pPr>
      <w:r w:rsidRPr="007C59B2">
        <w:t xml:space="preserve">The identified impact streams associated with </w:t>
      </w:r>
      <w:r w:rsidR="008D4FAF">
        <w:t>Strengthened Status Quo</w:t>
      </w:r>
      <w:r>
        <w:t xml:space="preserve"> </w:t>
      </w:r>
      <w:r w:rsidRPr="007C59B2">
        <w:t xml:space="preserve">are outlined in </w:t>
      </w:r>
      <w:r w:rsidR="001A1732">
        <w:fldChar w:fldCharType="begin"/>
      </w:r>
      <w:r w:rsidR="001A1732">
        <w:instrText xml:space="preserve"> REF _Ref172050493 \h </w:instrText>
      </w:r>
      <w:r w:rsidR="001A1732">
        <w:fldChar w:fldCharType="separate"/>
      </w:r>
      <w:r w:rsidR="00F32107">
        <w:t xml:space="preserve">Figure </w:t>
      </w:r>
      <w:r w:rsidR="00F32107">
        <w:rPr>
          <w:noProof/>
        </w:rPr>
        <w:t>8</w:t>
      </w:r>
      <w:r w:rsidR="00F32107">
        <w:t>.</w:t>
      </w:r>
      <w:r w:rsidR="00F32107">
        <w:rPr>
          <w:noProof/>
        </w:rPr>
        <w:t>7</w:t>
      </w:r>
      <w:r w:rsidR="001A1732">
        <w:fldChar w:fldCharType="end"/>
      </w:r>
      <w:r>
        <w:t xml:space="preserve"> </w:t>
      </w:r>
      <w:r w:rsidRPr="007C59B2">
        <w:t>by stakeholder group</w:t>
      </w:r>
      <w:r>
        <w:t>.</w:t>
      </w:r>
    </w:p>
    <w:p w14:paraId="4E949A6A" w14:textId="134B3B3E" w:rsidR="00FF61F9" w:rsidRPr="00D7096B" w:rsidRDefault="00FF61F9" w:rsidP="00FF61F9">
      <w:pPr>
        <w:rPr>
          <w:lang w:val="en-AU"/>
        </w:rPr>
      </w:pPr>
    </w:p>
    <w:p w14:paraId="0A9CF1E1" w14:textId="0379BAD6" w:rsidR="00FF61F9" w:rsidRDefault="00FF61F9" w:rsidP="00FF61F9">
      <w:pPr>
        <w:pStyle w:val="Caption"/>
        <w:keepNext/>
      </w:pPr>
      <w:bookmarkStart w:id="307" w:name="_Ref172050493"/>
      <w:r>
        <w:t xml:space="preserve">Figure </w:t>
      </w:r>
      <w:fldSimple w:instr=" STYLEREF 1 \s ">
        <w:r w:rsidR="00F32107">
          <w:rPr>
            <w:noProof/>
          </w:rPr>
          <w:t>8</w:t>
        </w:r>
      </w:fldSimple>
      <w:r w:rsidR="00222D06">
        <w:t>.</w:t>
      </w:r>
      <w:fldSimple w:instr=" SEQ Figure \* ARABIC \s 1 ">
        <w:r w:rsidR="00F32107">
          <w:rPr>
            <w:noProof/>
          </w:rPr>
          <w:t>7</w:t>
        </w:r>
      </w:fldSimple>
      <w:bookmarkEnd w:id="307"/>
      <w:r>
        <w:t xml:space="preserve"> </w:t>
      </w:r>
      <w:r w:rsidR="001A1732">
        <w:t xml:space="preserve">Impact assessment framework for </w:t>
      </w:r>
      <w:r w:rsidR="008D4FAF">
        <w:t>Strengthened Status Quo</w:t>
      </w:r>
    </w:p>
    <w:p w14:paraId="4CC6099B" w14:textId="367463D1" w:rsidR="008D346B" w:rsidRDefault="006D4F73" w:rsidP="00623382">
      <w:pPr>
        <w:pStyle w:val="BodyText"/>
      </w:pPr>
      <w:r w:rsidRPr="006D4F73">
        <w:rPr>
          <w:noProof/>
          <w:lang w:eastAsia="en-AU"/>
        </w:rPr>
        <w:drawing>
          <wp:inline distT="0" distB="0" distL="0" distR="0" wp14:anchorId="0E07EE0E" wp14:editId="53D70B3F">
            <wp:extent cx="5615940" cy="2740025"/>
            <wp:effectExtent l="0" t="0" r="3810" b="3175"/>
            <wp:docPr id="351341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5940" cy="2740025"/>
                    </a:xfrm>
                    <a:prstGeom prst="rect">
                      <a:avLst/>
                    </a:prstGeom>
                    <a:noFill/>
                    <a:ln>
                      <a:noFill/>
                    </a:ln>
                  </pic:spPr>
                </pic:pic>
              </a:graphicData>
            </a:graphic>
          </wp:inline>
        </w:drawing>
      </w:r>
      <w:r w:rsidRPr="006D4F73" w:rsidDel="00733D5B">
        <w:t xml:space="preserve"> </w:t>
      </w:r>
    </w:p>
    <w:p w14:paraId="0F88D955" w14:textId="56A371B8" w:rsidR="00E03586" w:rsidRDefault="00E03586" w:rsidP="00623382">
      <w:pPr>
        <w:pStyle w:val="BodyText"/>
      </w:pPr>
      <w:r w:rsidRPr="00FA0A3F">
        <w:rPr>
          <w:color w:val="7F7F7F" w:themeColor="text1" w:themeTint="80"/>
          <w:sz w:val="16"/>
          <w:szCs w:val="16"/>
        </w:rPr>
        <w:t xml:space="preserve">Note: </w:t>
      </w:r>
      <w:r>
        <w:rPr>
          <w:color w:val="7F7F7F" w:themeColor="text1" w:themeTint="80"/>
          <w:sz w:val="16"/>
          <w:szCs w:val="16"/>
        </w:rPr>
        <w:t>*</w:t>
      </w:r>
      <w:r w:rsidRPr="00FA0A3F">
        <w:rPr>
          <w:color w:val="7F7F7F" w:themeColor="text1" w:themeTint="80"/>
          <w:sz w:val="16"/>
          <w:szCs w:val="16"/>
        </w:rPr>
        <w:t xml:space="preserve">For illustration purposes, these government impacts are categorised as a ‘financial cost impact of regulatory burden’; however, to align with OIA’s guidance on regulatory costs accruing to government under a regulatory change, these cost categories are excluded from </w:t>
      </w:r>
      <w:r>
        <w:rPr>
          <w:color w:val="7F7F7F" w:themeColor="text1" w:themeTint="80"/>
          <w:sz w:val="16"/>
          <w:szCs w:val="16"/>
        </w:rPr>
        <w:t>the conclusion</w:t>
      </w:r>
      <w:r w:rsidRPr="00FA0A3F">
        <w:rPr>
          <w:color w:val="7F7F7F" w:themeColor="text1" w:themeTint="80"/>
          <w:sz w:val="16"/>
          <w:szCs w:val="16"/>
        </w:rPr>
        <w:t xml:space="preserve"> table summarising the annual costs of </w:t>
      </w:r>
      <w:r>
        <w:rPr>
          <w:color w:val="7F7F7F" w:themeColor="text1" w:themeTint="80"/>
          <w:sz w:val="16"/>
          <w:szCs w:val="16"/>
        </w:rPr>
        <w:t>the</w:t>
      </w:r>
      <w:r w:rsidRPr="00FA0A3F">
        <w:rPr>
          <w:color w:val="7F7F7F" w:themeColor="text1" w:themeTint="80"/>
          <w:sz w:val="16"/>
          <w:szCs w:val="16"/>
        </w:rPr>
        <w:t xml:space="preserve"> option.</w:t>
      </w:r>
    </w:p>
    <w:p w14:paraId="738C88C1" w14:textId="77777777" w:rsidR="00A36745" w:rsidRDefault="00A36745" w:rsidP="00A36745">
      <w:pPr>
        <w:pStyle w:val="Heading3"/>
      </w:pPr>
      <w:bookmarkStart w:id="308" w:name="_Toc171324797"/>
      <w:bookmarkStart w:id="309" w:name="_Toc198138651"/>
      <w:r w:rsidRPr="00A36745">
        <w:t>Incremental</w:t>
      </w:r>
      <w:r>
        <w:t xml:space="preserve"> impact analysis</w:t>
      </w:r>
      <w:bookmarkEnd w:id="308"/>
      <w:bookmarkEnd w:id="309"/>
    </w:p>
    <w:p w14:paraId="3843F97C" w14:textId="77777777" w:rsidR="00FC3921" w:rsidRDefault="00FC3921" w:rsidP="00FC3921">
      <w:pPr>
        <w:pStyle w:val="Heading4"/>
      </w:pPr>
      <w:r>
        <w:t>Change in social and economic outcomes associated with substandard care – for patients, families/carers and government services</w:t>
      </w:r>
    </w:p>
    <w:p w14:paraId="7CBF3489" w14:textId="748F5B41" w:rsidR="00FC3921" w:rsidRPr="00404203" w:rsidRDefault="00FC3921" w:rsidP="00FC3921">
      <w:pPr>
        <w:pStyle w:val="BodyText"/>
      </w:pPr>
      <w:r>
        <w:t xml:space="preserve">Relative to the </w:t>
      </w:r>
      <w:r w:rsidR="00A80F45">
        <w:t>Status Quo</w:t>
      </w:r>
      <w:r>
        <w:t xml:space="preserve">, </w:t>
      </w:r>
      <w:r w:rsidR="008D4FAF">
        <w:t>Strengthened Status Quo</w:t>
      </w:r>
      <w:r w:rsidRPr="00371510">
        <w:t xml:space="preserve"> is expected to </w:t>
      </w:r>
      <w:r>
        <w:t>reduce the incidence of substandard care and avoid the associated social and economic costs for patients, families/carers and government</w:t>
      </w:r>
      <w:r w:rsidR="00E41209">
        <w:t xml:space="preserve"> (these impacts are summarised in summarised in </w:t>
      </w:r>
      <w:r w:rsidR="00E41209">
        <w:fldChar w:fldCharType="begin"/>
      </w:r>
      <w:r w:rsidR="00E41209">
        <w:instrText xml:space="preserve"> REF _Ref172874370 \h </w:instrText>
      </w:r>
      <w:r w:rsidR="00E41209">
        <w:fldChar w:fldCharType="separate"/>
      </w:r>
      <w:r w:rsidR="00F32107">
        <w:t xml:space="preserve">Figure </w:t>
      </w:r>
      <w:r w:rsidR="00F32107">
        <w:rPr>
          <w:noProof/>
        </w:rPr>
        <w:t>7</w:t>
      </w:r>
      <w:r w:rsidR="00F32107">
        <w:t>.</w:t>
      </w:r>
      <w:r w:rsidR="00F32107">
        <w:rPr>
          <w:noProof/>
        </w:rPr>
        <w:t>3</w:t>
      </w:r>
      <w:r w:rsidR="00E41209">
        <w:fldChar w:fldCharType="end"/>
      </w:r>
      <w:r w:rsidR="00E41209">
        <w:t xml:space="preserve"> and in Sections </w:t>
      </w:r>
      <w:r w:rsidR="00E41209">
        <w:fldChar w:fldCharType="begin"/>
      </w:r>
      <w:r w:rsidR="00E41209">
        <w:instrText xml:space="preserve"> REF _Ref172538825 \r \h </w:instrText>
      </w:r>
      <w:r w:rsidR="00E41209">
        <w:fldChar w:fldCharType="separate"/>
      </w:r>
      <w:r w:rsidR="00F32107">
        <w:t>7.6.1</w:t>
      </w:r>
      <w:r w:rsidR="00E41209">
        <w:fldChar w:fldCharType="end"/>
      </w:r>
      <w:r w:rsidR="00E41209">
        <w:t xml:space="preserve"> and </w:t>
      </w:r>
      <w:r w:rsidR="00E41209">
        <w:fldChar w:fldCharType="begin"/>
      </w:r>
      <w:r w:rsidR="00E41209">
        <w:instrText xml:space="preserve"> REF _Ref170033230 \r \h </w:instrText>
      </w:r>
      <w:r w:rsidR="00E41209">
        <w:fldChar w:fldCharType="separate"/>
      </w:r>
      <w:r w:rsidR="00F32107">
        <w:t>7.6.2</w:t>
      </w:r>
      <w:r w:rsidR="00E41209">
        <w:fldChar w:fldCharType="end"/>
      </w:r>
      <w:r w:rsidR="00E41209">
        <w:t>.)</w:t>
      </w:r>
      <w:r w:rsidRPr="00371510">
        <w:t>.</w:t>
      </w:r>
      <w:r>
        <w:t xml:space="preserve"> </w:t>
      </w:r>
      <w:r w:rsidR="00FF1733">
        <w:t xml:space="preserve">However, due to uncertainty relating to the level of harms occurring under the Status Quo and the efficacy of </w:t>
      </w:r>
      <w:r w:rsidR="008D4FAF">
        <w:t>Strengthened Status Quo</w:t>
      </w:r>
      <w:r w:rsidR="00FF1733">
        <w:t xml:space="preserve"> on harm minimisation, it was not possible to estimate the volume and value of harms that could be avoided under this option.</w:t>
      </w:r>
    </w:p>
    <w:p w14:paraId="71673D89" w14:textId="77777777" w:rsidR="00A36745" w:rsidRDefault="00A36745" w:rsidP="00A36745">
      <w:pPr>
        <w:pStyle w:val="Heading4"/>
      </w:pPr>
      <w:bookmarkStart w:id="310" w:name="_Ref171184407"/>
      <w:r>
        <w:t xml:space="preserve">Change in current </w:t>
      </w:r>
      <w:r w:rsidRPr="00A36745">
        <w:t>clinical</w:t>
      </w:r>
      <w:r>
        <w:t xml:space="preserve"> certification fees</w:t>
      </w:r>
      <w:bookmarkEnd w:id="310"/>
    </w:p>
    <w:p w14:paraId="20B0A07D" w14:textId="101DD7FD" w:rsidR="00A36745" w:rsidRDefault="00A36745" w:rsidP="00EE3AA4">
      <w:pPr>
        <w:pStyle w:val="BodyText"/>
      </w:pPr>
      <w:r>
        <w:t xml:space="preserve">For jurisdictions that choose to require current clinical certification for public sector audiologists, </w:t>
      </w:r>
      <w:r w:rsidR="00BB0ED8">
        <w:t xml:space="preserve">public sector </w:t>
      </w:r>
      <w:r>
        <w:t>audiologists that previously paid for their own current clinical certification would have their fees paid for by their employer instead. This i</w:t>
      </w:r>
      <w:r w:rsidR="002C21C2">
        <w:t xml:space="preserve">s an </w:t>
      </w:r>
      <w:r w:rsidR="006046B2">
        <w:t>incremental</w:t>
      </w:r>
      <w:r w:rsidR="002C21C2">
        <w:t xml:space="preserve"> cost </w:t>
      </w:r>
      <w:r w:rsidR="007A6843">
        <w:t>to</w:t>
      </w:r>
      <w:r w:rsidR="002C21C2">
        <w:t xml:space="preserve"> public sector </w:t>
      </w:r>
      <w:r w:rsidR="006046B2">
        <w:t>employers</w:t>
      </w:r>
      <w:r w:rsidR="002C21C2">
        <w:t>,</w:t>
      </w:r>
      <w:r w:rsidR="006046B2">
        <w:t xml:space="preserve"> </w:t>
      </w:r>
      <w:r w:rsidR="00142E7C">
        <w:t>but</w:t>
      </w:r>
      <w:r>
        <w:t xml:space="preserve"> an avoided cost for public sector audiologists</w:t>
      </w:r>
      <w:r w:rsidR="009A7F57">
        <w:t xml:space="preserve"> who are currently clinically certified</w:t>
      </w:r>
      <w:r>
        <w:t xml:space="preserve">. </w:t>
      </w:r>
      <w:r w:rsidR="00DF52C7">
        <w:t xml:space="preserve">In addition, public sector </w:t>
      </w:r>
      <w:r w:rsidR="00FC1FA5">
        <w:t>employers</w:t>
      </w:r>
      <w:r w:rsidR="00F775DC">
        <w:t xml:space="preserve"> would incur </w:t>
      </w:r>
      <w:r w:rsidR="00604750">
        <w:t>an additional cost of paying clinical certification fe</w:t>
      </w:r>
      <w:r w:rsidR="00FC1FA5">
        <w:t>e</w:t>
      </w:r>
      <w:r w:rsidR="00604750">
        <w:t xml:space="preserve">s for </w:t>
      </w:r>
      <w:r w:rsidR="00FC1FA5">
        <w:t xml:space="preserve">employees who </w:t>
      </w:r>
      <w:r w:rsidR="003D2AFE">
        <w:t>a</w:t>
      </w:r>
      <w:r w:rsidR="00FC1FA5">
        <w:t xml:space="preserve">re not currently clinically certified. </w:t>
      </w:r>
      <w:r w:rsidR="00A7523F">
        <w:t xml:space="preserve">As per the rationale in Section </w:t>
      </w:r>
      <w:r w:rsidR="00C14FEC">
        <w:fldChar w:fldCharType="begin"/>
      </w:r>
      <w:r w:rsidR="00C14FEC">
        <w:instrText xml:space="preserve"> REF _Ref172549724 \r \h </w:instrText>
      </w:r>
      <w:r w:rsidR="00C14FEC">
        <w:fldChar w:fldCharType="separate"/>
      </w:r>
      <w:r w:rsidR="00F32107">
        <w:t>8.1.2.8</w:t>
      </w:r>
      <w:r w:rsidR="00C14FEC">
        <w:fldChar w:fldCharType="end"/>
      </w:r>
      <w:r w:rsidR="00A7523F">
        <w:t xml:space="preserve">, </w:t>
      </w:r>
      <w:r w:rsidR="00EF4F55">
        <w:t xml:space="preserve">it is assumed that </w:t>
      </w:r>
      <w:r w:rsidR="00C14FEC">
        <w:t>30</w:t>
      </w:r>
      <w:r w:rsidR="00C750A9">
        <w:t>%</w:t>
      </w:r>
      <w:r w:rsidR="00C14FEC">
        <w:t xml:space="preserve"> of the public sector workforce does not hold current clinical certification</w:t>
      </w:r>
      <w:r w:rsidR="00C750A9">
        <w:t xml:space="preserve"> </w:t>
      </w:r>
      <w:r>
        <w:t>.</w:t>
      </w:r>
      <w:r>
        <w:rPr>
          <w:rStyle w:val="FootnoteReference"/>
        </w:rPr>
        <w:footnoteReference w:id="276"/>
      </w:r>
    </w:p>
    <w:p w14:paraId="2E1052A3" w14:textId="04DCA3C9" w:rsidR="002D5687" w:rsidRDefault="002D5687" w:rsidP="002D5687">
      <w:pPr>
        <w:pStyle w:val="BodyText"/>
      </w:pPr>
      <w:r>
        <w:t xml:space="preserve">It is estimated that the </w:t>
      </w:r>
      <w:r w:rsidR="00164C46">
        <w:t xml:space="preserve">avoided cost of clinical certificate fees for public sector audiologists is a </w:t>
      </w:r>
      <w:r w:rsidR="000A5115">
        <w:t>ten-year FY25 NPV cost of $</w:t>
      </w:r>
      <w:r w:rsidR="00DD0DC2">
        <w:t>93,</w:t>
      </w:r>
      <w:r w:rsidR="00194CDA">
        <w:t>398</w:t>
      </w:r>
      <w:r w:rsidR="000A5115">
        <w:t xml:space="preserve"> across the profession</w:t>
      </w:r>
      <w:r w:rsidR="00164C46">
        <w:t>, however the cost to public sector employers is a ten-year FY25 NPV cost of $</w:t>
      </w:r>
      <w:r w:rsidR="001A4B45">
        <w:t>132,889</w:t>
      </w:r>
      <w:r w:rsidR="00164C46">
        <w:t>. The cost to employers is slightly higher than the avoided cost to audiologists, as employers would also cover the costs of those who are not currently clinically certified.</w:t>
      </w:r>
    </w:p>
    <w:p w14:paraId="64DF34B6" w14:textId="48E2206A" w:rsidR="00194C71" w:rsidRDefault="008B3F3F" w:rsidP="00A36745">
      <w:pPr>
        <w:pStyle w:val="BodyText"/>
      </w:pPr>
      <w:r>
        <w:t>This cost does not impact private sector employers or audiologists given t</w:t>
      </w:r>
      <w:r w:rsidR="003627CC">
        <w:t>hat t</w:t>
      </w:r>
      <w:r>
        <w:t>he regulatory change associated with this option (i.e., mandating current clinical certification) only applies to the public sector.</w:t>
      </w:r>
    </w:p>
    <w:p w14:paraId="3309AEA8" w14:textId="3A633C29" w:rsidR="00A36745" w:rsidRDefault="00566211" w:rsidP="00A36745">
      <w:pPr>
        <w:pStyle w:val="Caption"/>
      </w:pPr>
      <w:bookmarkStart w:id="311" w:name="_Ref171288308"/>
      <w:r>
        <w:t xml:space="preserve">Table </w:t>
      </w:r>
      <w:fldSimple w:instr=" STYLEREF 1 \s ">
        <w:r w:rsidR="00F32107">
          <w:rPr>
            <w:noProof/>
          </w:rPr>
          <w:t>8</w:t>
        </w:r>
      </w:fldSimple>
      <w:r w:rsidR="008944FB">
        <w:t>.</w:t>
      </w:r>
      <w:fldSimple w:instr=" SEQ Table \* ARABIC \s 1 ">
        <w:r w:rsidR="00F32107">
          <w:rPr>
            <w:noProof/>
          </w:rPr>
          <w:t>32</w:t>
        </w:r>
      </w:fldSimple>
      <w:r w:rsidR="00C34A3D">
        <w:t xml:space="preserve"> T</w:t>
      </w:r>
      <w:r w:rsidR="00A36745">
        <w:t xml:space="preserve">en-year NPV of clinical certification fees associated with </w:t>
      </w:r>
      <w:bookmarkEnd w:id="311"/>
      <w:r w:rsidR="008D4FAF">
        <w:t>Strengthened Status Quo</w:t>
      </w:r>
    </w:p>
    <w:tbl>
      <w:tblPr>
        <w:tblStyle w:val="BodyTable"/>
        <w:tblW w:w="0" w:type="auto"/>
        <w:tblLook w:val="04A0" w:firstRow="1" w:lastRow="0" w:firstColumn="1" w:lastColumn="0" w:noHBand="0" w:noVBand="1"/>
      </w:tblPr>
      <w:tblGrid>
        <w:gridCol w:w="1701"/>
        <w:gridCol w:w="1896"/>
        <w:gridCol w:w="1841"/>
        <w:gridCol w:w="1813"/>
        <w:gridCol w:w="1593"/>
      </w:tblGrid>
      <w:tr w:rsidR="00177F5B" w14:paraId="6703C98B" w14:textId="77777777" w:rsidTr="001F2678">
        <w:trPr>
          <w:cnfStyle w:val="100000000000" w:firstRow="1" w:lastRow="0" w:firstColumn="0" w:lastColumn="0" w:oddVBand="0" w:evenVBand="0" w:oddHBand="0" w:evenHBand="0" w:firstRowFirstColumn="0" w:firstRowLastColumn="0" w:lastRowFirstColumn="0" w:lastRowLastColumn="0"/>
          <w:trHeight w:val="699"/>
        </w:trPr>
        <w:tc>
          <w:tcPr>
            <w:tcW w:w="1701" w:type="dxa"/>
            <w:tcBorders>
              <w:bottom w:val="single" w:sz="4" w:space="0" w:color="000000" w:themeColor="text1"/>
            </w:tcBorders>
          </w:tcPr>
          <w:p w14:paraId="157E354E" w14:textId="77777777" w:rsidR="00177F5B" w:rsidRDefault="00177F5B" w:rsidP="00177F5B">
            <w:pPr>
              <w:spacing w:line="240" w:lineRule="auto"/>
            </w:pPr>
          </w:p>
        </w:tc>
        <w:tc>
          <w:tcPr>
            <w:tcW w:w="1896" w:type="dxa"/>
            <w:tcBorders>
              <w:bottom w:val="single" w:sz="4" w:space="0" w:color="000000" w:themeColor="text1"/>
            </w:tcBorders>
          </w:tcPr>
          <w:p w14:paraId="7FEF54AC" w14:textId="77777777" w:rsidR="00177F5B" w:rsidRPr="006A1D83" w:rsidRDefault="00177F5B" w:rsidP="00177F5B">
            <w:pPr>
              <w:keepNext/>
              <w:spacing w:line="240" w:lineRule="auto"/>
              <w:ind w:left="113" w:right="113"/>
              <w:jc w:val="right"/>
              <w:rPr>
                <w:b/>
                <w:bCs/>
              </w:rPr>
            </w:pPr>
            <w:r w:rsidRPr="006A1D83">
              <w:rPr>
                <w:b/>
                <w:bCs/>
              </w:rPr>
              <w:t>Total NPV cost in establishment year</w:t>
            </w:r>
            <w:r>
              <w:rPr>
                <w:b/>
                <w:bCs/>
              </w:rPr>
              <w:t>s</w:t>
            </w:r>
          </w:p>
          <w:p w14:paraId="2C7C3402" w14:textId="25662F5F" w:rsidR="00177F5B" w:rsidRPr="006A1D83" w:rsidRDefault="00177F5B" w:rsidP="00177F5B">
            <w:pPr>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1" w:type="dxa"/>
            <w:tcBorders>
              <w:bottom w:val="single" w:sz="4" w:space="0" w:color="000000" w:themeColor="text1"/>
            </w:tcBorders>
          </w:tcPr>
          <w:p w14:paraId="69AE18BB" w14:textId="77777777" w:rsidR="00177F5B" w:rsidRPr="006A1D83" w:rsidRDefault="00177F5B" w:rsidP="00177F5B">
            <w:pPr>
              <w:keepNext/>
              <w:spacing w:line="240" w:lineRule="auto"/>
              <w:ind w:left="113" w:right="113"/>
              <w:jc w:val="right"/>
              <w:rPr>
                <w:b/>
                <w:bCs/>
              </w:rPr>
            </w:pPr>
            <w:r w:rsidRPr="006A1D83">
              <w:rPr>
                <w:b/>
                <w:bCs/>
              </w:rPr>
              <w:t>Total NPV cost in operational years</w:t>
            </w:r>
          </w:p>
          <w:p w14:paraId="4CCCC17D" w14:textId="06B59FD0" w:rsidR="00177F5B" w:rsidRPr="006A1D83" w:rsidRDefault="00177F5B" w:rsidP="00177F5B">
            <w:pPr>
              <w:spacing w:line="240" w:lineRule="auto"/>
              <w:ind w:left="113" w:right="113"/>
              <w:jc w:val="right"/>
              <w:rPr>
                <w:b/>
                <w:bCs/>
              </w:rPr>
            </w:pPr>
            <w:r w:rsidRPr="006A1D83">
              <w:rPr>
                <w:b/>
                <w:bCs/>
              </w:rPr>
              <w:t>(</w:t>
            </w:r>
            <w:r>
              <w:rPr>
                <w:b/>
                <w:bCs/>
              </w:rPr>
              <w:t>FY29-34</w:t>
            </w:r>
            <w:r w:rsidRPr="006A1D83">
              <w:rPr>
                <w:b/>
                <w:bCs/>
              </w:rPr>
              <w:t>)</w:t>
            </w:r>
          </w:p>
        </w:tc>
        <w:tc>
          <w:tcPr>
            <w:tcW w:w="1813" w:type="dxa"/>
            <w:tcBorders>
              <w:bottom w:val="single" w:sz="4" w:space="0" w:color="000000" w:themeColor="text1"/>
            </w:tcBorders>
          </w:tcPr>
          <w:p w14:paraId="06707508" w14:textId="77777777" w:rsidR="00177F5B" w:rsidRDefault="00177F5B" w:rsidP="00177F5B">
            <w:pPr>
              <w:keepNext/>
              <w:spacing w:line="240" w:lineRule="auto"/>
              <w:ind w:left="113" w:right="113"/>
              <w:jc w:val="right"/>
              <w:rPr>
                <w:b/>
                <w:bCs/>
              </w:rPr>
            </w:pPr>
            <w:r>
              <w:rPr>
                <w:b/>
                <w:bCs/>
              </w:rPr>
              <w:t>Total NPV cost over ten-year period</w:t>
            </w:r>
          </w:p>
          <w:p w14:paraId="1B475A6D" w14:textId="1D8FFD0B"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c>
          <w:tcPr>
            <w:tcW w:w="1593" w:type="dxa"/>
            <w:tcBorders>
              <w:bottom w:val="single" w:sz="4" w:space="0" w:color="000000" w:themeColor="text1"/>
            </w:tcBorders>
          </w:tcPr>
          <w:p w14:paraId="0C795584" w14:textId="77777777" w:rsidR="00177F5B" w:rsidRPr="006A1D83" w:rsidRDefault="00177F5B" w:rsidP="00177F5B">
            <w:pPr>
              <w:keepNext/>
              <w:spacing w:line="240" w:lineRule="auto"/>
              <w:ind w:left="113" w:right="113"/>
              <w:jc w:val="right"/>
              <w:rPr>
                <w:b/>
                <w:bCs/>
              </w:rPr>
            </w:pPr>
            <w:r w:rsidRPr="006A1D83">
              <w:rPr>
                <w:b/>
                <w:bCs/>
              </w:rPr>
              <w:t>Annualised NPV cost over ten-year period</w:t>
            </w:r>
          </w:p>
          <w:p w14:paraId="03AB8B18" w14:textId="2DDD4D5F" w:rsidR="00177F5B" w:rsidRPr="006A1D83" w:rsidRDefault="00177F5B" w:rsidP="00177F5B">
            <w:pPr>
              <w:spacing w:line="240" w:lineRule="auto"/>
              <w:ind w:left="113" w:right="113"/>
              <w:jc w:val="right"/>
              <w:rPr>
                <w:b/>
                <w:bCs/>
              </w:rPr>
            </w:pPr>
            <w:r w:rsidRPr="006A1D83">
              <w:rPr>
                <w:b/>
                <w:bCs/>
              </w:rPr>
              <w:t>(</w:t>
            </w:r>
            <w:r>
              <w:rPr>
                <w:b/>
                <w:bCs/>
              </w:rPr>
              <w:t>FY25-34</w:t>
            </w:r>
            <w:r w:rsidRPr="006A1D83">
              <w:rPr>
                <w:b/>
                <w:bCs/>
              </w:rPr>
              <w:t>)</w:t>
            </w:r>
          </w:p>
        </w:tc>
      </w:tr>
      <w:tr w:rsidR="00D164DA" w14:paraId="257BFCBB" w14:textId="77777777" w:rsidTr="001F2678">
        <w:trPr>
          <w:trHeight w:val="232"/>
        </w:trPr>
        <w:tc>
          <w:tcPr>
            <w:tcW w:w="1701" w:type="dxa"/>
            <w:tcBorders>
              <w:top w:val="single" w:sz="4" w:space="0" w:color="000000" w:themeColor="text1"/>
              <w:bottom w:val="single" w:sz="4" w:space="0" w:color="auto"/>
            </w:tcBorders>
          </w:tcPr>
          <w:p w14:paraId="1757D1AF" w14:textId="5ED4CA49" w:rsidR="00D164DA" w:rsidRDefault="00D164DA" w:rsidP="00D164DA">
            <w:pPr>
              <w:spacing w:line="240" w:lineRule="auto"/>
            </w:pPr>
            <w:r>
              <w:t>FY25 NPV cost – accruing to employers</w:t>
            </w:r>
          </w:p>
        </w:tc>
        <w:tc>
          <w:tcPr>
            <w:tcW w:w="1896" w:type="dxa"/>
            <w:tcBorders>
              <w:top w:val="single" w:sz="4" w:space="0" w:color="000000" w:themeColor="text1"/>
              <w:left w:val="nil"/>
              <w:bottom w:val="single" w:sz="4" w:space="0" w:color="auto"/>
              <w:right w:val="nil"/>
            </w:tcBorders>
            <w:shd w:val="clear" w:color="000000" w:fill="FFFFFF"/>
          </w:tcPr>
          <w:p w14:paraId="1F13E78A" w14:textId="1F840EF8" w:rsidR="00D164DA" w:rsidRPr="003F2ECE" w:rsidRDefault="002809B3" w:rsidP="00972F5E">
            <w:pPr>
              <w:spacing w:line="240" w:lineRule="auto"/>
              <w:jc w:val="right"/>
            </w:pPr>
            <w:r w:rsidRPr="009F2598">
              <w:t xml:space="preserve"> $-   </w:t>
            </w:r>
          </w:p>
        </w:tc>
        <w:tc>
          <w:tcPr>
            <w:tcW w:w="1841" w:type="dxa"/>
            <w:tcBorders>
              <w:top w:val="single" w:sz="4" w:space="0" w:color="000000" w:themeColor="text1"/>
              <w:left w:val="nil"/>
              <w:bottom w:val="single" w:sz="4" w:space="0" w:color="auto"/>
              <w:right w:val="nil"/>
            </w:tcBorders>
            <w:shd w:val="clear" w:color="000000" w:fill="FFFFFF"/>
          </w:tcPr>
          <w:p w14:paraId="59A65F1D" w14:textId="283EF55F" w:rsidR="00D164DA" w:rsidRPr="003F2ECE" w:rsidRDefault="002809B3" w:rsidP="00972F5E">
            <w:pPr>
              <w:spacing w:line="240" w:lineRule="auto"/>
              <w:jc w:val="right"/>
            </w:pPr>
            <w:r w:rsidRPr="009F2598">
              <w:t xml:space="preserve"> $1,328,886 </w:t>
            </w:r>
          </w:p>
        </w:tc>
        <w:tc>
          <w:tcPr>
            <w:tcW w:w="1813" w:type="dxa"/>
            <w:tcBorders>
              <w:top w:val="single" w:sz="4" w:space="0" w:color="000000" w:themeColor="text1"/>
              <w:left w:val="nil"/>
              <w:bottom w:val="single" w:sz="4" w:space="0" w:color="auto"/>
              <w:right w:val="nil"/>
            </w:tcBorders>
            <w:shd w:val="clear" w:color="000000" w:fill="FFFFFF"/>
          </w:tcPr>
          <w:p w14:paraId="5E9BCE66" w14:textId="1257F69C" w:rsidR="00D164DA" w:rsidRPr="003F2ECE" w:rsidRDefault="002809B3" w:rsidP="00972F5E">
            <w:pPr>
              <w:spacing w:line="240" w:lineRule="auto"/>
              <w:jc w:val="right"/>
            </w:pPr>
            <w:r w:rsidRPr="009F2598">
              <w:t xml:space="preserve"> $1,328,886 </w:t>
            </w:r>
          </w:p>
        </w:tc>
        <w:tc>
          <w:tcPr>
            <w:tcW w:w="1593" w:type="dxa"/>
            <w:tcBorders>
              <w:top w:val="single" w:sz="4" w:space="0" w:color="000000" w:themeColor="text1"/>
              <w:left w:val="nil"/>
              <w:bottom w:val="single" w:sz="4" w:space="0" w:color="auto"/>
              <w:right w:val="nil"/>
            </w:tcBorders>
            <w:shd w:val="clear" w:color="000000" w:fill="FFFFFF"/>
          </w:tcPr>
          <w:p w14:paraId="1A4A0A5B" w14:textId="539C81E2" w:rsidR="00D164DA" w:rsidRPr="003F2ECE" w:rsidRDefault="002809B3" w:rsidP="00972F5E">
            <w:pPr>
              <w:spacing w:line="240" w:lineRule="auto"/>
              <w:jc w:val="right"/>
            </w:pPr>
            <w:r w:rsidRPr="009F2598">
              <w:t xml:space="preserve"> $132,889 </w:t>
            </w:r>
          </w:p>
        </w:tc>
      </w:tr>
      <w:tr w:rsidR="004B352A" w14:paraId="03EBD73F" w14:textId="77777777" w:rsidTr="001F2678">
        <w:trPr>
          <w:trHeight w:val="232"/>
        </w:trPr>
        <w:tc>
          <w:tcPr>
            <w:tcW w:w="1701" w:type="dxa"/>
            <w:tcBorders>
              <w:top w:val="single" w:sz="4" w:space="0" w:color="auto"/>
              <w:bottom w:val="single" w:sz="4" w:space="0" w:color="auto"/>
            </w:tcBorders>
          </w:tcPr>
          <w:p w14:paraId="674D43F6" w14:textId="6D3EEBB1" w:rsidR="004B352A" w:rsidRDefault="004B352A" w:rsidP="004B352A">
            <w:pPr>
              <w:spacing w:line="240" w:lineRule="auto"/>
            </w:pPr>
            <w:r>
              <w:t>FY25 NPV cost – accruing to audiologists</w:t>
            </w:r>
          </w:p>
        </w:tc>
        <w:tc>
          <w:tcPr>
            <w:tcW w:w="1896" w:type="dxa"/>
            <w:tcBorders>
              <w:top w:val="single" w:sz="4" w:space="0" w:color="auto"/>
              <w:left w:val="nil"/>
              <w:bottom w:val="single" w:sz="4" w:space="0" w:color="auto"/>
              <w:right w:val="nil"/>
            </w:tcBorders>
            <w:shd w:val="clear" w:color="000000" w:fill="FFFFFF"/>
          </w:tcPr>
          <w:p w14:paraId="1A3531CD" w14:textId="362F9252" w:rsidR="004B352A" w:rsidRPr="00B65815" w:rsidRDefault="00DD0DC2" w:rsidP="00972F5E">
            <w:pPr>
              <w:spacing w:line="240" w:lineRule="auto"/>
              <w:jc w:val="right"/>
            </w:pPr>
            <w:r w:rsidRPr="00272130">
              <w:t xml:space="preserve"> $-   </w:t>
            </w:r>
          </w:p>
        </w:tc>
        <w:tc>
          <w:tcPr>
            <w:tcW w:w="1841" w:type="dxa"/>
            <w:tcBorders>
              <w:top w:val="single" w:sz="4" w:space="0" w:color="auto"/>
              <w:left w:val="nil"/>
              <w:bottom w:val="single" w:sz="4" w:space="0" w:color="auto"/>
              <w:right w:val="nil"/>
            </w:tcBorders>
            <w:shd w:val="clear" w:color="000000" w:fill="FFFFFF"/>
          </w:tcPr>
          <w:p w14:paraId="05C43B80" w14:textId="5A0D17BF" w:rsidR="004B352A" w:rsidRPr="00B65815" w:rsidRDefault="00DD0DC2" w:rsidP="00972F5E">
            <w:pPr>
              <w:spacing w:line="240" w:lineRule="auto"/>
              <w:jc w:val="right"/>
            </w:pPr>
            <w:r w:rsidRPr="00272130">
              <w:t xml:space="preserve">-$933,981 </w:t>
            </w:r>
          </w:p>
        </w:tc>
        <w:tc>
          <w:tcPr>
            <w:tcW w:w="1813" w:type="dxa"/>
            <w:tcBorders>
              <w:top w:val="single" w:sz="4" w:space="0" w:color="auto"/>
              <w:left w:val="nil"/>
              <w:bottom w:val="single" w:sz="4" w:space="0" w:color="auto"/>
              <w:right w:val="nil"/>
            </w:tcBorders>
            <w:shd w:val="clear" w:color="000000" w:fill="FFFFFF"/>
          </w:tcPr>
          <w:p w14:paraId="542B4F8D" w14:textId="4354F0EC" w:rsidR="004B352A" w:rsidRPr="00B65815" w:rsidRDefault="00DD0DC2" w:rsidP="00972F5E">
            <w:pPr>
              <w:spacing w:line="240" w:lineRule="auto"/>
              <w:jc w:val="right"/>
            </w:pPr>
            <w:r w:rsidRPr="00272130">
              <w:t xml:space="preserve">-$933,981 </w:t>
            </w:r>
          </w:p>
        </w:tc>
        <w:tc>
          <w:tcPr>
            <w:tcW w:w="1593" w:type="dxa"/>
            <w:tcBorders>
              <w:top w:val="single" w:sz="4" w:space="0" w:color="auto"/>
              <w:left w:val="nil"/>
              <w:bottom w:val="single" w:sz="4" w:space="0" w:color="auto"/>
              <w:right w:val="nil"/>
            </w:tcBorders>
            <w:shd w:val="clear" w:color="000000" w:fill="FFFFFF"/>
          </w:tcPr>
          <w:p w14:paraId="1C97BAF4" w14:textId="2CAB7536" w:rsidR="004B352A" w:rsidRPr="00B65815" w:rsidRDefault="00DD0DC2" w:rsidP="00972F5E">
            <w:pPr>
              <w:spacing w:line="240" w:lineRule="auto"/>
              <w:jc w:val="right"/>
            </w:pPr>
            <w:r w:rsidRPr="00272130">
              <w:t xml:space="preserve">-$93,398 </w:t>
            </w:r>
          </w:p>
        </w:tc>
      </w:tr>
    </w:tbl>
    <w:p w14:paraId="209B6A34" w14:textId="77777777" w:rsidR="00A36745" w:rsidRPr="00AD17DF" w:rsidRDefault="00A36745" w:rsidP="00A36745"/>
    <w:p w14:paraId="0545FF52" w14:textId="77777777" w:rsidR="00A36745" w:rsidRDefault="00A36745" w:rsidP="00A36745">
      <w:pPr>
        <w:pStyle w:val="Heading4"/>
      </w:pPr>
      <w:r>
        <w:t>Change in time costs associated with CPD</w:t>
      </w:r>
    </w:p>
    <w:p w14:paraId="6960A9A1" w14:textId="2A09A208" w:rsidR="00A36745" w:rsidRDefault="00A36745" w:rsidP="00A36745">
      <w:pPr>
        <w:pStyle w:val="BodyText"/>
      </w:pPr>
      <w:r>
        <w:t xml:space="preserve">Public sector audiologists who were not previously currently clinically certified would be required to complete the current state number of CPD hours to achieve current clinical certification. Based on the logic described </w:t>
      </w:r>
      <w:r w:rsidR="007177C3">
        <w:t>previously,</w:t>
      </w:r>
      <w:r>
        <w:t xml:space="preserve"> 3</w:t>
      </w:r>
      <w:r w:rsidR="00610A36">
        <w:t>0</w:t>
      </w:r>
      <w:r>
        <w:t xml:space="preserve">% of public sector audiologists </w:t>
      </w:r>
      <w:r w:rsidR="00197BCC">
        <w:t>will</w:t>
      </w:r>
      <w:r>
        <w:t xml:space="preserve"> incur time costs associated with completing CPD.</w:t>
      </w:r>
      <w:r w:rsidR="00D76CBE">
        <w:t xml:space="preserve"> Using the median wage of an audiologist multiped by 1.75 to account for overheads and oncosts, this equates to an annualised ten-year FY25 NPV cost of </w:t>
      </w:r>
      <w:r w:rsidR="00C427AC">
        <w:t>$</w:t>
      </w:r>
      <w:r w:rsidR="00074554">
        <w:t>106,571</w:t>
      </w:r>
      <w:r w:rsidR="00084956">
        <w:t xml:space="preserve"> </w:t>
      </w:r>
      <w:r w:rsidR="00D76CBE">
        <w:t xml:space="preserve">across the profession. This cost would be borne by </w:t>
      </w:r>
      <w:r w:rsidR="00084956">
        <w:t>public sector</w:t>
      </w:r>
      <w:r w:rsidR="00D76CBE">
        <w:t xml:space="preserve"> employer</w:t>
      </w:r>
      <w:r w:rsidR="00084956">
        <w:t>s</w:t>
      </w:r>
      <w:r w:rsidR="00D76CBE">
        <w:t xml:space="preserve"> assuming the CPD is completed during work hours.</w:t>
      </w:r>
    </w:p>
    <w:p w14:paraId="64F70FBA" w14:textId="2FF857AF" w:rsidR="002F1CF2" w:rsidRDefault="002F1CF2" w:rsidP="00A36745">
      <w:pPr>
        <w:pStyle w:val="BodyText"/>
      </w:pPr>
      <w:r>
        <w:t xml:space="preserve">This </w:t>
      </w:r>
      <w:r w:rsidR="006739A0">
        <w:t xml:space="preserve">incremental </w:t>
      </w:r>
      <w:r>
        <w:t>cost does not impact private sector employers or audiologists given that the regulatory change associated with this option (i.e., mandating current clinical certification) only applies to the public sector.</w:t>
      </w:r>
    </w:p>
    <w:p w14:paraId="3C587236" w14:textId="74766A7B" w:rsidR="00A36745" w:rsidRDefault="00E9710C" w:rsidP="002033AB">
      <w:pPr>
        <w:pStyle w:val="Caption"/>
        <w:keepNext/>
      </w:pPr>
      <w:r>
        <w:t xml:space="preserve">Table </w:t>
      </w:r>
      <w:fldSimple w:instr=" STYLEREF 1 \s ">
        <w:r w:rsidR="00F32107">
          <w:rPr>
            <w:noProof/>
          </w:rPr>
          <w:t>8</w:t>
        </w:r>
      </w:fldSimple>
      <w:r w:rsidR="008944FB">
        <w:t>.</w:t>
      </w:r>
      <w:fldSimple w:instr=" SEQ Table \* ARABIC \s 1 ">
        <w:r w:rsidR="00F32107">
          <w:rPr>
            <w:noProof/>
          </w:rPr>
          <w:t>33</w:t>
        </w:r>
      </w:fldSimple>
      <w:r w:rsidR="00E36FED">
        <w:t>.</w:t>
      </w:r>
      <w:r w:rsidR="00C34A3D">
        <w:t xml:space="preserve"> </w:t>
      </w:r>
      <w:r w:rsidR="00A36745">
        <w:t>Ten-year NPV of increased CPD time costs for audiologists associated with</w:t>
      </w:r>
      <w:r w:rsidR="00081369">
        <w:t xml:space="preserve"> </w:t>
      </w:r>
      <w:r w:rsidR="008D4FAF">
        <w:t>Strengthened Status Quo</w:t>
      </w:r>
    </w:p>
    <w:tbl>
      <w:tblPr>
        <w:tblStyle w:val="BodyTable"/>
        <w:tblW w:w="0" w:type="auto"/>
        <w:tblLook w:val="04A0" w:firstRow="1" w:lastRow="0" w:firstColumn="1" w:lastColumn="0" w:noHBand="0" w:noVBand="1"/>
      </w:tblPr>
      <w:tblGrid>
        <w:gridCol w:w="1681"/>
        <w:gridCol w:w="1900"/>
        <w:gridCol w:w="1846"/>
        <w:gridCol w:w="1821"/>
        <w:gridCol w:w="1596"/>
      </w:tblGrid>
      <w:tr w:rsidR="001820CE" w14:paraId="2599405C" w14:textId="77777777" w:rsidTr="006F6863">
        <w:trPr>
          <w:cnfStyle w:val="100000000000" w:firstRow="1" w:lastRow="0" w:firstColumn="0" w:lastColumn="0" w:oddVBand="0" w:evenVBand="0" w:oddHBand="0" w:evenHBand="0" w:firstRowFirstColumn="0" w:firstRowLastColumn="0" w:lastRowFirstColumn="0" w:lastRowLastColumn="0"/>
          <w:trHeight w:val="699"/>
        </w:trPr>
        <w:tc>
          <w:tcPr>
            <w:tcW w:w="1681" w:type="dxa"/>
          </w:tcPr>
          <w:p w14:paraId="28224A99" w14:textId="77777777" w:rsidR="001820CE" w:rsidRDefault="001820CE" w:rsidP="00F51348">
            <w:pPr>
              <w:keepNext/>
              <w:spacing w:line="240" w:lineRule="auto"/>
            </w:pPr>
          </w:p>
        </w:tc>
        <w:tc>
          <w:tcPr>
            <w:tcW w:w="1900" w:type="dxa"/>
            <w:tcBorders>
              <w:bottom w:val="single" w:sz="4" w:space="0" w:color="000000" w:themeColor="text1"/>
            </w:tcBorders>
          </w:tcPr>
          <w:p w14:paraId="4CD5ADED" w14:textId="77777777" w:rsidR="001820CE" w:rsidRPr="006A1D83" w:rsidRDefault="001820CE" w:rsidP="00F51348">
            <w:pPr>
              <w:keepNext/>
              <w:spacing w:line="240" w:lineRule="auto"/>
              <w:ind w:left="113" w:right="113"/>
              <w:jc w:val="right"/>
              <w:rPr>
                <w:b/>
                <w:bCs/>
              </w:rPr>
            </w:pPr>
            <w:r w:rsidRPr="006A1D83">
              <w:rPr>
                <w:b/>
                <w:bCs/>
              </w:rPr>
              <w:t>Total NPV cost in establishment year</w:t>
            </w:r>
            <w:r>
              <w:rPr>
                <w:b/>
                <w:bCs/>
              </w:rPr>
              <w:t>s</w:t>
            </w:r>
          </w:p>
          <w:p w14:paraId="4FBBAB56" w14:textId="69BC06AF" w:rsidR="001820CE" w:rsidRPr="006A1D83" w:rsidRDefault="001820CE" w:rsidP="00F51348">
            <w:pPr>
              <w:keepNext/>
              <w:spacing w:line="240" w:lineRule="auto"/>
              <w:ind w:left="113" w:right="113"/>
              <w:jc w:val="right"/>
              <w:rPr>
                <w:b/>
                <w:bCs/>
              </w:rPr>
            </w:pPr>
            <w:r w:rsidRPr="006A1D83">
              <w:rPr>
                <w:b/>
                <w:bCs/>
              </w:rPr>
              <w:t>(</w:t>
            </w:r>
            <w:r>
              <w:rPr>
                <w:b/>
                <w:bCs/>
              </w:rPr>
              <w:t>FY</w:t>
            </w:r>
            <w:r w:rsidRPr="006A1D83">
              <w:rPr>
                <w:b/>
                <w:bCs/>
              </w:rPr>
              <w:t>2</w:t>
            </w:r>
            <w:r>
              <w:rPr>
                <w:b/>
                <w:bCs/>
              </w:rPr>
              <w:t>5-28</w:t>
            </w:r>
            <w:r w:rsidRPr="006A1D83">
              <w:rPr>
                <w:b/>
                <w:bCs/>
              </w:rPr>
              <w:t>)</w:t>
            </w:r>
          </w:p>
        </w:tc>
        <w:tc>
          <w:tcPr>
            <w:tcW w:w="1846" w:type="dxa"/>
            <w:tcBorders>
              <w:bottom w:val="single" w:sz="4" w:space="0" w:color="000000" w:themeColor="text1"/>
            </w:tcBorders>
          </w:tcPr>
          <w:p w14:paraId="723EA59B" w14:textId="77777777" w:rsidR="001820CE" w:rsidRPr="006A1D83" w:rsidRDefault="001820CE" w:rsidP="00F51348">
            <w:pPr>
              <w:keepNext/>
              <w:spacing w:line="240" w:lineRule="auto"/>
              <w:ind w:left="113" w:right="113"/>
              <w:jc w:val="right"/>
              <w:rPr>
                <w:b/>
                <w:bCs/>
              </w:rPr>
            </w:pPr>
            <w:r w:rsidRPr="006A1D83">
              <w:rPr>
                <w:b/>
                <w:bCs/>
              </w:rPr>
              <w:t>Total NPV cost in operational years</w:t>
            </w:r>
          </w:p>
          <w:p w14:paraId="04EFC233" w14:textId="6185728E" w:rsidR="001820CE" w:rsidRPr="006A1D83" w:rsidRDefault="001820CE" w:rsidP="00F51348">
            <w:pPr>
              <w:keepNext/>
              <w:spacing w:line="240" w:lineRule="auto"/>
              <w:ind w:left="113" w:right="113"/>
              <w:jc w:val="right"/>
              <w:rPr>
                <w:b/>
                <w:bCs/>
              </w:rPr>
            </w:pPr>
            <w:r w:rsidRPr="006A1D83">
              <w:rPr>
                <w:b/>
                <w:bCs/>
              </w:rPr>
              <w:t>(</w:t>
            </w:r>
            <w:r>
              <w:rPr>
                <w:b/>
                <w:bCs/>
              </w:rPr>
              <w:t>FY29-34</w:t>
            </w:r>
            <w:r w:rsidRPr="006A1D83">
              <w:rPr>
                <w:b/>
                <w:bCs/>
              </w:rPr>
              <w:t>)</w:t>
            </w:r>
          </w:p>
        </w:tc>
        <w:tc>
          <w:tcPr>
            <w:tcW w:w="1821" w:type="dxa"/>
            <w:tcBorders>
              <w:bottom w:val="single" w:sz="4" w:space="0" w:color="000000" w:themeColor="text1"/>
            </w:tcBorders>
          </w:tcPr>
          <w:p w14:paraId="385482B7" w14:textId="77777777" w:rsidR="001820CE" w:rsidRDefault="001820CE" w:rsidP="00F51348">
            <w:pPr>
              <w:keepNext/>
              <w:spacing w:line="240" w:lineRule="auto"/>
              <w:ind w:left="113" w:right="113"/>
              <w:jc w:val="right"/>
              <w:rPr>
                <w:b/>
                <w:bCs/>
              </w:rPr>
            </w:pPr>
            <w:r>
              <w:rPr>
                <w:b/>
                <w:bCs/>
              </w:rPr>
              <w:t>Total NPV cost over ten-year period</w:t>
            </w:r>
          </w:p>
          <w:p w14:paraId="140EE3AA" w14:textId="62E94E99" w:rsidR="001820CE" w:rsidRPr="006A1D83" w:rsidRDefault="001820CE" w:rsidP="00F51348">
            <w:pPr>
              <w:keepNext/>
              <w:spacing w:line="240" w:lineRule="auto"/>
              <w:ind w:left="113" w:right="113"/>
              <w:jc w:val="right"/>
              <w:rPr>
                <w:b/>
                <w:bCs/>
              </w:rPr>
            </w:pPr>
            <w:r w:rsidRPr="006A1D83">
              <w:rPr>
                <w:b/>
                <w:bCs/>
              </w:rPr>
              <w:t>(</w:t>
            </w:r>
            <w:r>
              <w:rPr>
                <w:b/>
                <w:bCs/>
              </w:rPr>
              <w:t>FY25-34</w:t>
            </w:r>
            <w:r w:rsidRPr="006A1D83">
              <w:rPr>
                <w:b/>
                <w:bCs/>
              </w:rPr>
              <w:t>)</w:t>
            </w:r>
          </w:p>
        </w:tc>
        <w:tc>
          <w:tcPr>
            <w:tcW w:w="1596" w:type="dxa"/>
            <w:tcBorders>
              <w:bottom w:val="single" w:sz="4" w:space="0" w:color="000000" w:themeColor="text1"/>
            </w:tcBorders>
          </w:tcPr>
          <w:p w14:paraId="7CE5694D" w14:textId="77777777" w:rsidR="001820CE" w:rsidRPr="006A1D83" w:rsidRDefault="001820CE" w:rsidP="00F51348">
            <w:pPr>
              <w:keepNext/>
              <w:spacing w:line="240" w:lineRule="auto"/>
              <w:ind w:left="113" w:right="113"/>
              <w:jc w:val="right"/>
              <w:rPr>
                <w:b/>
                <w:bCs/>
              </w:rPr>
            </w:pPr>
            <w:r w:rsidRPr="006A1D83">
              <w:rPr>
                <w:b/>
                <w:bCs/>
              </w:rPr>
              <w:t>Annualised NPV cost over ten-year period</w:t>
            </w:r>
          </w:p>
          <w:p w14:paraId="3C7668A4" w14:textId="54D86AD3" w:rsidR="001820CE" w:rsidRPr="006A1D83" w:rsidRDefault="001820CE" w:rsidP="00F51348">
            <w:pPr>
              <w:keepNext/>
              <w:spacing w:line="240" w:lineRule="auto"/>
              <w:ind w:left="113" w:right="113"/>
              <w:jc w:val="right"/>
              <w:rPr>
                <w:b/>
                <w:bCs/>
              </w:rPr>
            </w:pPr>
            <w:r w:rsidRPr="006A1D83">
              <w:rPr>
                <w:b/>
                <w:bCs/>
              </w:rPr>
              <w:t>(</w:t>
            </w:r>
            <w:r>
              <w:rPr>
                <w:b/>
                <w:bCs/>
              </w:rPr>
              <w:t>FY25-34</w:t>
            </w:r>
            <w:r w:rsidRPr="006A1D83">
              <w:rPr>
                <w:b/>
                <w:bCs/>
              </w:rPr>
              <w:t>)</w:t>
            </w:r>
          </w:p>
        </w:tc>
      </w:tr>
      <w:tr w:rsidR="00081369" w14:paraId="480DC2AE" w14:textId="77777777" w:rsidTr="00074554">
        <w:trPr>
          <w:trHeight w:val="232"/>
        </w:trPr>
        <w:tc>
          <w:tcPr>
            <w:tcW w:w="1681" w:type="dxa"/>
          </w:tcPr>
          <w:p w14:paraId="0346C8AA" w14:textId="77777777" w:rsidR="00081369" w:rsidRDefault="00081369" w:rsidP="00F51348">
            <w:pPr>
              <w:keepNext/>
              <w:spacing w:line="240" w:lineRule="auto"/>
            </w:pPr>
            <w:r>
              <w:t>FY25 NPV cost</w:t>
            </w:r>
          </w:p>
        </w:tc>
        <w:tc>
          <w:tcPr>
            <w:tcW w:w="1900" w:type="dxa"/>
            <w:tcBorders>
              <w:top w:val="single" w:sz="4" w:space="0" w:color="000000" w:themeColor="text1"/>
              <w:left w:val="nil"/>
              <w:bottom w:val="single" w:sz="4" w:space="0" w:color="auto"/>
              <w:right w:val="nil"/>
            </w:tcBorders>
            <w:shd w:val="clear" w:color="000000" w:fill="FFFFFF"/>
          </w:tcPr>
          <w:p w14:paraId="4D8CE0EC" w14:textId="0BF04D20" w:rsidR="00081369" w:rsidRPr="003F2ECE" w:rsidRDefault="00074554" w:rsidP="00F51348">
            <w:pPr>
              <w:keepNext/>
              <w:spacing w:line="240" w:lineRule="auto"/>
              <w:jc w:val="right"/>
            </w:pPr>
            <w:r w:rsidRPr="00812BDD">
              <w:t xml:space="preserve"> $-   </w:t>
            </w:r>
          </w:p>
        </w:tc>
        <w:tc>
          <w:tcPr>
            <w:tcW w:w="1846" w:type="dxa"/>
            <w:tcBorders>
              <w:top w:val="single" w:sz="4" w:space="0" w:color="000000" w:themeColor="text1"/>
              <w:left w:val="nil"/>
              <w:bottom w:val="single" w:sz="4" w:space="0" w:color="auto"/>
              <w:right w:val="nil"/>
            </w:tcBorders>
            <w:shd w:val="clear" w:color="000000" w:fill="FFFFFF"/>
          </w:tcPr>
          <w:p w14:paraId="309D9C4C" w14:textId="1CCB6944" w:rsidR="00081369" w:rsidRPr="003F2ECE" w:rsidRDefault="00074554" w:rsidP="00F51348">
            <w:pPr>
              <w:keepNext/>
              <w:spacing w:line="240" w:lineRule="auto"/>
              <w:jc w:val="right"/>
            </w:pPr>
            <w:r w:rsidRPr="00812BDD">
              <w:t xml:space="preserve"> $1,065,711 </w:t>
            </w:r>
          </w:p>
        </w:tc>
        <w:tc>
          <w:tcPr>
            <w:tcW w:w="1821" w:type="dxa"/>
            <w:tcBorders>
              <w:top w:val="single" w:sz="4" w:space="0" w:color="000000" w:themeColor="text1"/>
              <w:left w:val="nil"/>
              <w:bottom w:val="single" w:sz="4" w:space="0" w:color="auto"/>
              <w:right w:val="nil"/>
            </w:tcBorders>
            <w:shd w:val="clear" w:color="000000" w:fill="FFFFFF"/>
          </w:tcPr>
          <w:p w14:paraId="2981E2EE" w14:textId="429228B9" w:rsidR="00081369" w:rsidRPr="003F2ECE" w:rsidRDefault="00074554" w:rsidP="00F51348">
            <w:pPr>
              <w:keepNext/>
              <w:spacing w:line="240" w:lineRule="auto"/>
              <w:jc w:val="right"/>
            </w:pPr>
            <w:r w:rsidRPr="00812BDD">
              <w:t xml:space="preserve"> $1,065,711 </w:t>
            </w:r>
          </w:p>
        </w:tc>
        <w:tc>
          <w:tcPr>
            <w:tcW w:w="1596" w:type="dxa"/>
            <w:tcBorders>
              <w:top w:val="single" w:sz="4" w:space="0" w:color="000000" w:themeColor="text1"/>
              <w:left w:val="nil"/>
              <w:bottom w:val="single" w:sz="4" w:space="0" w:color="auto"/>
              <w:right w:val="nil"/>
            </w:tcBorders>
            <w:shd w:val="clear" w:color="000000" w:fill="FFFFFF"/>
          </w:tcPr>
          <w:p w14:paraId="76EB9DB3" w14:textId="7C3124EF" w:rsidR="00081369" w:rsidRPr="003F2ECE" w:rsidRDefault="00074554" w:rsidP="00F51348">
            <w:pPr>
              <w:keepNext/>
              <w:spacing w:line="240" w:lineRule="auto"/>
              <w:jc w:val="right"/>
            </w:pPr>
            <w:r w:rsidRPr="00812BDD">
              <w:t xml:space="preserve"> $106,571 </w:t>
            </w:r>
          </w:p>
        </w:tc>
      </w:tr>
    </w:tbl>
    <w:p w14:paraId="52F2615B" w14:textId="77777777" w:rsidR="00A36745" w:rsidRDefault="00A36745" w:rsidP="00A36745"/>
    <w:p w14:paraId="378DB939" w14:textId="77777777" w:rsidR="00A36745" w:rsidRDefault="00A36745" w:rsidP="006802B7">
      <w:pPr>
        <w:pStyle w:val="Heading4"/>
      </w:pPr>
      <w:r>
        <w:t>Implementation cost for regulatory change</w:t>
      </w:r>
    </w:p>
    <w:p w14:paraId="53079F64" w14:textId="711A1665" w:rsidR="00A36745" w:rsidRPr="00791CDB" w:rsidRDefault="006F6863" w:rsidP="006802B7">
      <w:pPr>
        <w:pStyle w:val="BodyText"/>
      </w:pPr>
      <w:r>
        <w:t>State and territory health departments</w:t>
      </w:r>
      <w:r w:rsidR="00A36745">
        <w:t xml:space="preserve"> would be required to amend their employment frameworks in order mandate current clinical certification. </w:t>
      </w:r>
      <w:r w:rsidR="00346204">
        <w:t xml:space="preserve">It is assumed that these changes would occur as part of business-as-usual enterprise bargaining agreement cycles, and hence nil additional cost has been estimated. </w:t>
      </w:r>
      <w:r w:rsidR="0023057A">
        <w:t>Based on advice from jurisdictions regarding current employment frameworks</w:t>
      </w:r>
      <w:r w:rsidR="00A36745">
        <w:t xml:space="preserve">, it is considered likely that this would set a precedent of requiring a certification-type requirement for other self-regulated health professions within that jurisdiction’s public sector. Please refer to Section </w:t>
      </w:r>
      <w:r w:rsidR="00A36745">
        <w:fldChar w:fldCharType="begin"/>
      </w:r>
      <w:r w:rsidR="00A36745">
        <w:instrText xml:space="preserve"> REF _Ref171190284 \r \h </w:instrText>
      </w:r>
      <w:r w:rsidR="006802B7">
        <w:instrText xml:space="preserve"> \* MERGEFORMAT </w:instrText>
      </w:r>
      <w:r w:rsidR="00A36745">
        <w:fldChar w:fldCharType="separate"/>
      </w:r>
      <w:r w:rsidR="00F32107">
        <w:t>8.4.3.6</w:t>
      </w:r>
      <w:r w:rsidR="00A36745">
        <w:fldChar w:fldCharType="end"/>
      </w:r>
      <w:r w:rsidR="00A36745">
        <w:t xml:space="preserve"> and Section </w:t>
      </w:r>
      <w:r w:rsidR="00A36745">
        <w:fldChar w:fldCharType="begin"/>
      </w:r>
      <w:r w:rsidR="00A36745">
        <w:instrText xml:space="preserve"> REF _Ref171288545 \r \h </w:instrText>
      </w:r>
      <w:r w:rsidR="006802B7">
        <w:instrText xml:space="preserve"> \* MERGEFORMAT </w:instrText>
      </w:r>
      <w:r w:rsidR="00A36745">
        <w:fldChar w:fldCharType="separate"/>
      </w:r>
      <w:r w:rsidR="00F32107">
        <w:t>8.4.3.7</w:t>
      </w:r>
      <w:r w:rsidR="00A36745">
        <w:fldChar w:fldCharType="end"/>
      </w:r>
      <w:r w:rsidR="00A36745">
        <w:t xml:space="preserve"> for a discussion of potential </w:t>
      </w:r>
      <w:r w:rsidR="002033AB">
        <w:t xml:space="preserve">ongoing </w:t>
      </w:r>
      <w:r w:rsidR="00A36745">
        <w:t>costs associated with precedent-setting of this nature.</w:t>
      </w:r>
    </w:p>
    <w:p w14:paraId="2A6C05BF" w14:textId="6CD13CDC" w:rsidR="00A36745" w:rsidRDefault="00A36745" w:rsidP="006802B7">
      <w:pPr>
        <w:pStyle w:val="Heading4"/>
      </w:pPr>
      <w:r>
        <w:t xml:space="preserve">Change in </w:t>
      </w:r>
      <w:r w:rsidR="0051073D">
        <w:t xml:space="preserve">eligibility </w:t>
      </w:r>
      <w:r w:rsidR="00154ACA">
        <w:t>assessment</w:t>
      </w:r>
      <w:r>
        <w:t xml:space="preserve"> time costs for public sector</w:t>
      </w:r>
      <w:r w:rsidR="0051073D">
        <w:t xml:space="preserve"> employers</w:t>
      </w:r>
    </w:p>
    <w:p w14:paraId="7AE0F4AD" w14:textId="5F9D3F03" w:rsidR="00154ACA" w:rsidRDefault="00A36745" w:rsidP="006802B7">
      <w:pPr>
        <w:pStyle w:val="BodyText"/>
      </w:pPr>
      <w:r>
        <w:t xml:space="preserve">Setting a minimum employment standard of current clinical certification would reduce recruitment time costs for </w:t>
      </w:r>
      <w:r w:rsidR="0051073D">
        <w:t xml:space="preserve">each </w:t>
      </w:r>
      <w:r w:rsidR="00D55509">
        <w:t>State and Territory</w:t>
      </w:r>
      <w:r w:rsidR="0051073D">
        <w:t xml:space="preserve">’s </w:t>
      </w:r>
      <w:r>
        <w:t xml:space="preserve">public sector </w:t>
      </w:r>
      <w:r w:rsidR="0051073D">
        <w:t>health services</w:t>
      </w:r>
      <w:r>
        <w:t xml:space="preserve"> as it relates to assessing the </w:t>
      </w:r>
      <w:r w:rsidR="00443465">
        <w:t>eli</w:t>
      </w:r>
      <w:r w:rsidR="006A01A6">
        <w:t>gibility of applicants</w:t>
      </w:r>
      <w:r>
        <w:t xml:space="preserve">, as well as signalling ongoing currency of skills as they relate to CPD and recency of practice. </w:t>
      </w:r>
    </w:p>
    <w:p w14:paraId="77CA0C73" w14:textId="1680F8BE" w:rsidR="0084111F" w:rsidRDefault="00932CFE" w:rsidP="0084111F">
      <w:pPr>
        <w:pStyle w:val="BodyText"/>
      </w:pPr>
      <w:r>
        <w:t xml:space="preserve">To derive estimates of time costs, the analysis draws on the same assumptions used to estimate avoided public sector eligibility assessment time costs for </w:t>
      </w:r>
      <w:r w:rsidR="00F13E21">
        <w:t>Option 7</w:t>
      </w:r>
      <w:r>
        <w:t xml:space="preserve"> </w:t>
      </w:r>
      <w:r w:rsidR="006E71AF">
        <w:t xml:space="preserve">(see Section </w:t>
      </w:r>
      <w:r w:rsidR="006E71AF">
        <w:fldChar w:fldCharType="begin"/>
      </w:r>
      <w:r w:rsidR="006E71AF">
        <w:instrText xml:space="preserve"> REF _Ref171066868 \r \h </w:instrText>
      </w:r>
      <w:r w:rsidR="006E71AF">
        <w:fldChar w:fldCharType="separate"/>
      </w:r>
      <w:r w:rsidR="00F32107">
        <w:t>8.2.3.7</w:t>
      </w:r>
      <w:r w:rsidR="006E71AF">
        <w:fldChar w:fldCharType="end"/>
      </w:r>
      <w:r w:rsidR="0020733A">
        <w:t>).</w:t>
      </w:r>
      <w:r>
        <w:t xml:space="preserve"> </w:t>
      </w:r>
      <w:r w:rsidR="00555C7D">
        <w:t xml:space="preserve">It is estimated that the avoided annualised ten-year FY25 NPV of employee eligibility assessment employer time costs associated with </w:t>
      </w:r>
      <w:r w:rsidR="008D4FAF">
        <w:t>Strengthened Status Quo</w:t>
      </w:r>
      <w:r w:rsidR="00555C7D">
        <w:t xml:space="preserve"> is approximately </w:t>
      </w:r>
      <w:r w:rsidR="00555C7D" w:rsidRPr="0003539F">
        <w:t>$</w:t>
      </w:r>
      <w:r w:rsidR="00F64986">
        <w:t>14,267</w:t>
      </w:r>
      <w:r w:rsidR="00555C7D">
        <w:t xml:space="preserve">. </w:t>
      </w:r>
    </w:p>
    <w:p w14:paraId="674A8B05" w14:textId="1EAA056E" w:rsidR="00A36745" w:rsidRDefault="00E9710C" w:rsidP="006802B7">
      <w:pPr>
        <w:pStyle w:val="Caption"/>
      </w:pPr>
      <w:bookmarkStart w:id="312" w:name="_Ref172050750"/>
      <w:bookmarkStart w:id="313" w:name="_Ref171288663"/>
      <w:r>
        <w:t xml:space="preserve">Table </w:t>
      </w:r>
      <w:fldSimple w:instr=" STYLEREF 1 \s ">
        <w:r w:rsidR="00F32107">
          <w:rPr>
            <w:noProof/>
          </w:rPr>
          <w:t>8</w:t>
        </w:r>
      </w:fldSimple>
      <w:r w:rsidR="008944FB">
        <w:t>.</w:t>
      </w:r>
      <w:fldSimple w:instr=" SEQ Table \* ARABIC \s 1 ">
        <w:r w:rsidR="00F32107">
          <w:rPr>
            <w:noProof/>
          </w:rPr>
          <w:t>34</w:t>
        </w:r>
      </w:fldSimple>
      <w:bookmarkEnd w:id="312"/>
      <w:r w:rsidR="006802B7">
        <w:t xml:space="preserve"> </w:t>
      </w:r>
      <w:r w:rsidR="00A36745">
        <w:t xml:space="preserve">Ten-year NPV of avoided employer recruitment costs associated with </w:t>
      </w:r>
      <w:bookmarkEnd w:id="313"/>
      <w:r w:rsidR="008D4FAF">
        <w:t>Strengthened Status Quo</w:t>
      </w:r>
    </w:p>
    <w:tbl>
      <w:tblPr>
        <w:tblStyle w:val="Deloittetable"/>
        <w:tblW w:w="0" w:type="auto"/>
        <w:tblLook w:val="04A0" w:firstRow="1" w:lastRow="0" w:firstColumn="1" w:lastColumn="0" w:noHBand="0" w:noVBand="1"/>
      </w:tblPr>
      <w:tblGrid>
        <w:gridCol w:w="1672"/>
        <w:gridCol w:w="1907"/>
        <w:gridCol w:w="1848"/>
        <w:gridCol w:w="1816"/>
        <w:gridCol w:w="1601"/>
      </w:tblGrid>
      <w:tr w:rsidR="001820CE" w14:paraId="2DE135D3" w14:textId="77777777" w:rsidTr="00FE2133">
        <w:trPr>
          <w:cnfStyle w:val="100000000000" w:firstRow="1" w:lastRow="0" w:firstColumn="0" w:lastColumn="0" w:oddVBand="0" w:evenVBand="0" w:oddHBand="0" w:evenHBand="0" w:firstRowFirstColumn="0" w:firstRowLastColumn="0" w:lastRowFirstColumn="0" w:lastRowLastColumn="0"/>
          <w:trHeight w:val="699"/>
        </w:trPr>
        <w:tc>
          <w:tcPr>
            <w:tcW w:w="1672" w:type="dxa"/>
            <w:tcBorders>
              <w:bottom w:val="single" w:sz="4" w:space="0" w:color="000000" w:themeColor="text1"/>
            </w:tcBorders>
          </w:tcPr>
          <w:p w14:paraId="31C436C7" w14:textId="77777777" w:rsidR="001820CE" w:rsidRDefault="001820CE" w:rsidP="001820CE">
            <w:pPr>
              <w:spacing w:line="240" w:lineRule="auto"/>
            </w:pPr>
          </w:p>
        </w:tc>
        <w:tc>
          <w:tcPr>
            <w:tcW w:w="1907" w:type="dxa"/>
            <w:tcBorders>
              <w:bottom w:val="single" w:sz="4" w:space="0" w:color="000000" w:themeColor="text1"/>
            </w:tcBorders>
          </w:tcPr>
          <w:p w14:paraId="55805D3B" w14:textId="77777777" w:rsidR="001820CE" w:rsidRPr="00972F5E" w:rsidRDefault="001820CE" w:rsidP="00EE3AA4">
            <w:pPr>
              <w:keepNext/>
              <w:jc w:val="right"/>
              <w:rPr>
                <w:rFonts w:ascii="Fira Sans" w:hAnsi="Fira Sans"/>
                <w:b/>
                <w:bCs/>
              </w:rPr>
            </w:pPr>
            <w:r w:rsidRPr="00EE3AA4">
              <w:rPr>
                <w:rFonts w:ascii="Fira Sans" w:hAnsi="Fira Sans"/>
                <w:b/>
                <w:bCs/>
              </w:rPr>
              <w:t>Total NPV cost in establishment years</w:t>
            </w:r>
          </w:p>
          <w:p w14:paraId="06EA38D5" w14:textId="103F0609" w:rsidR="001820CE" w:rsidRPr="001820CE" w:rsidRDefault="001820CE" w:rsidP="00EE3AA4">
            <w:pPr>
              <w:keepNext/>
              <w:jc w:val="right"/>
              <w:rPr>
                <w:rFonts w:ascii="Fira Sans" w:hAnsi="Fira Sans"/>
                <w:b/>
                <w:bCs/>
              </w:rPr>
            </w:pPr>
            <w:r w:rsidRPr="00EE3AA4">
              <w:rPr>
                <w:rFonts w:ascii="Fira Sans" w:hAnsi="Fira Sans"/>
                <w:b/>
                <w:bCs/>
              </w:rPr>
              <w:t>(FY25-28)</w:t>
            </w:r>
          </w:p>
        </w:tc>
        <w:tc>
          <w:tcPr>
            <w:tcW w:w="1848" w:type="dxa"/>
            <w:tcBorders>
              <w:bottom w:val="single" w:sz="4" w:space="0" w:color="000000" w:themeColor="text1"/>
            </w:tcBorders>
          </w:tcPr>
          <w:p w14:paraId="3FD5D9F3" w14:textId="77777777" w:rsidR="001820CE" w:rsidRPr="00972F5E" w:rsidRDefault="001820CE" w:rsidP="00EE3AA4">
            <w:pPr>
              <w:keepNext/>
              <w:jc w:val="right"/>
              <w:rPr>
                <w:rFonts w:ascii="Fira Sans" w:hAnsi="Fira Sans"/>
                <w:b/>
                <w:bCs/>
              </w:rPr>
            </w:pPr>
            <w:r w:rsidRPr="00EE3AA4">
              <w:rPr>
                <w:rFonts w:ascii="Fira Sans" w:hAnsi="Fira Sans"/>
                <w:b/>
                <w:bCs/>
              </w:rPr>
              <w:t>Total NPV cost in operational years</w:t>
            </w:r>
          </w:p>
          <w:p w14:paraId="38EA3A31" w14:textId="5BA146D7" w:rsidR="001820CE" w:rsidRPr="001820CE" w:rsidRDefault="001820CE" w:rsidP="00EE3AA4">
            <w:pPr>
              <w:keepNext/>
              <w:jc w:val="right"/>
              <w:rPr>
                <w:rFonts w:ascii="Fira Sans" w:hAnsi="Fira Sans"/>
                <w:b/>
                <w:bCs/>
              </w:rPr>
            </w:pPr>
            <w:r w:rsidRPr="00EE3AA4">
              <w:rPr>
                <w:rFonts w:ascii="Fira Sans" w:hAnsi="Fira Sans"/>
                <w:b/>
                <w:bCs/>
              </w:rPr>
              <w:t>(FY29-34)</w:t>
            </w:r>
          </w:p>
        </w:tc>
        <w:tc>
          <w:tcPr>
            <w:tcW w:w="1816" w:type="dxa"/>
            <w:tcBorders>
              <w:bottom w:val="single" w:sz="4" w:space="0" w:color="000000" w:themeColor="text1"/>
            </w:tcBorders>
          </w:tcPr>
          <w:p w14:paraId="4E841E99" w14:textId="77777777" w:rsidR="001820CE" w:rsidRPr="00972F5E" w:rsidRDefault="001820CE" w:rsidP="00EE3AA4">
            <w:pPr>
              <w:keepNext/>
              <w:jc w:val="right"/>
              <w:rPr>
                <w:rFonts w:ascii="Fira Sans" w:hAnsi="Fira Sans"/>
                <w:b/>
                <w:bCs/>
              </w:rPr>
            </w:pPr>
            <w:r w:rsidRPr="00EE3AA4">
              <w:rPr>
                <w:rFonts w:ascii="Fira Sans" w:hAnsi="Fira Sans"/>
                <w:b/>
                <w:bCs/>
              </w:rPr>
              <w:t>Total NPV cost over ten-year period</w:t>
            </w:r>
          </w:p>
          <w:p w14:paraId="51DFAEBE" w14:textId="41F23633" w:rsidR="001820CE" w:rsidRPr="001820CE" w:rsidRDefault="001820CE" w:rsidP="00EE3AA4">
            <w:pPr>
              <w:keepNext/>
              <w:jc w:val="right"/>
              <w:rPr>
                <w:rFonts w:ascii="Fira Sans" w:hAnsi="Fira Sans"/>
                <w:b/>
                <w:bCs/>
              </w:rPr>
            </w:pPr>
            <w:r w:rsidRPr="00EE3AA4">
              <w:rPr>
                <w:rFonts w:ascii="Fira Sans" w:hAnsi="Fira Sans"/>
                <w:b/>
                <w:bCs/>
              </w:rPr>
              <w:t>(FY25-34)</w:t>
            </w:r>
          </w:p>
        </w:tc>
        <w:tc>
          <w:tcPr>
            <w:tcW w:w="1601" w:type="dxa"/>
            <w:tcBorders>
              <w:bottom w:val="single" w:sz="4" w:space="0" w:color="000000" w:themeColor="text1"/>
            </w:tcBorders>
          </w:tcPr>
          <w:p w14:paraId="5429B1BA" w14:textId="77777777" w:rsidR="001820CE" w:rsidRPr="00972F5E" w:rsidRDefault="001820CE" w:rsidP="00EE3AA4">
            <w:pPr>
              <w:keepNext/>
              <w:jc w:val="right"/>
              <w:rPr>
                <w:rFonts w:ascii="Fira Sans" w:hAnsi="Fira Sans"/>
                <w:b/>
                <w:bCs/>
              </w:rPr>
            </w:pPr>
            <w:r w:rsidRPr="00EE3AA4">
              <w:rPr>
                <w:rFonts w:ascii="Fira Sans" w:hAnsi="Fira Sans"/>
                <w:b/>
                <w:bCs/>
              </w:rPr>
              <w:t>Annualised NPV cost over ten-year period</w:t>
            </w:r>
          </w:p>
          <w:p w14:paraId="5B74E0CE" w14:textId="0B11E47C" w:rsidR="001820CE" w:rsidRPr="001820CE" w:rsidRDefault="001820CE" w:rsidP="00EE3AA4">
            <w:pPr>
              <w:keepNext/>
              <w:jc w:val="right"/>
              <w:rPr>
                <w:rFonts w:ascii="Fira Sans" w:hAnsi="Fira Sans"/>
                <w:b/>
                <w:bCs/>
              </w:rPr>
            </w:pPr>
            <w:r w:rsidRPr="00EE3AA4">
              <w:rPr>
                <w:rFonts w:ascii="Fira Sans" w:hAnsi="Fira Sans"/>
                <w:b/>
                <w:bCs/>
              </w:rPr>
              <w:t>(FY25-34)</w:t>
            </w:r>
          </w:p>
        </w:tc>
      </w:tr>
      <w:tr w:rsidR="000517BD" w14:paraId="3F43FD39" w14:textId="77777777" w:rsidTr="00F64986">
        <w:trPr>
          <w:trHeight w:val="232"/>
        </w:trPr>
        <w:tc>
          <w:tcPr>
            <w:tcW w:w="1672" w:type="dxa"/>
            <w:tcBorders>
              <w:top w:val="single" w:sz="4" w:space="0" w:color="000000" w:themeColor="text1"/>
              <w:bottom w:val="single" w:sz="4" w:space="0" w:color="auto"/>
            </w:tcBorders>
          </w:tcPr>
          <w:p w14:paraId="33DAA436" w14:textId="77777777" w:rsidR="000517BD" w:rsidRPr="00FE2133" w:rsidRDefault="000517BD" w:rsidP="000517BD">
            <w:pPr>
              <w:spacing w:line="240" w:lineRule="auto"/>
              <w:rPr>
                <w:rFonts w:ascii="Fira Sans" w:hAnsi="Fira Sans"/>
                <w:color w:val="3A3E3E" w:themeColor="background2" w:themeShade="40"/>
                <w:kern w:val="21"/>
                <w:szCs w:val="17"/>
                <w:lang w:val="en-AU"/>
                <w14:numSpacing w14:val="proportional"/>
              </w:rPr>
            </w:pPr>
            <w:r w:rsidRPr="00FE2133">
              <w:rPr>
                <w:rFonts w:ascii="Fira Sans" w:hAnsi="Fira Sans"/>
                <w:color w:val="3A3E3E" w:themeColor="background2" w:themeShade="40"/>
                <w:kern w:val="21"/>
                <w:szCs w:val="17"/>
                <w:lang w:val="en-AU"/>
                <w14:numSpacing w14:val="proportional"/>
              </w:rPr>
              <w:t>FY25 NPV cost</w:t>
            </w:r>
          </w:p>
        </w:tc>
        <w:tc>
          <w:tcPr>
            <w:tcW w:w="1907" w:type="dxa"/>
            <w:tcBorders>
              <w:top w:val="single" w:sz="4" w:space="0" w:color="000000" w:themeColor="text1"/>
              <w:left w:val="nil"/>
              <w:bottom w:val="single" w:sz="4" w:space="0" w:color="auto"/>
              <w:right w:val="nil"/>
            </w:tcBorders>
            <w:shd w:val="clear" w:color="000000" w:fill="FFFFFF"/>
          </w:tcPr>
          <w:p w14:paraId="65DA8D2C" w14:textId="58FAE498" w:rsidR="000517BD" w:rsidRPr="00972F5E" w:rsidRDefault="00F64986" w:rsidP="000517BD">
            <w:pPr>
              <w:spacing w:line="240" w:lineRule="auto"/>
              <w:jc w:val="right"/>
              <w:rPr>
                <w:rFonts w:ascii="Fira Sans" w:hAnsi="Fira Sans"/>
              </w:rPr>
            </w:pPr>
            <w:r w:rsidRPr="00EE3AA4">
              <w:rPr>
                <w:rFonts w:ascii="Fira Sans" w:hAnsi="Fira Sans"/>
              </w:rPr>
              <w:t xml:space="preserve"> $-   </w:t>
            </w:r>
          </w:p>
        </w:tc>
        <w:tc>
          <w:tcPr>
            <w:tcW w:w="1848" w:type="dxa"/>
            <w:tcBorders>
              <w:top w:val="single" w:sz="4" w:space="0" w:color="000000" w:themeColor="text1"/>
              <w:left w:val="nil"/>
              <w:bottom w:val="single" w:sz="4" w:space="0" w:color="auto"/>
              <w:right w:val="nil"/>
            </w:tcBorders>
            <w:shd w:val="clear" w:color="000000" w:fill="FFFFFF"/>
          </w:tcPr>
          <w:p w14:paraId="0C66BDDC" w14:textId="2C207223" w:rsidR="000517BD" w:rsidRPr="00972F5E" w:rsidRDefault="00F64986" w:rsidP="000517BD">
            <w:pPr>
              <w:spacing w:line="240" w:lineRule="auto"/>
              <w:jc w:val="right"/>
              <w:rPr>
                <w:rFonts w:ascii="Fira Sans" w:hAnsi="Fira Sans"/>
              </w:rPr>
            </w:pPr>
            <w:r w:rsidRPr="00EE3AA4">
              <w:rPr>
                <w:rFonts w:ascii="Fira Sans" w:hAnsi="Fira Sans"/>
              </w:rPr>
              <w:t xml:space="preserve">-$142,671 </w:t>
            </w:r>
          </w:p>
        </w:tc>
        <w:tc>
          <w:tcPr>
            <w:tcW w:w="1816" w:type="dxa"/>
            <w:tcBorders>
              <w:top w:val="single" w:sz="4" w:space="0" w:color="000000" w:themeColor="text1"/>
              <w:left w:val="nil"/>
              <w:bottom w:val="single" w:sz="4" w:space="0" w:color="auto"/>
              <w:right w:val="nil"/>
            </w:tcBorders>
            <w:shd w:val="clear" w:color="000000" w:fill="FFFFFF"/>
          </w:tcPr>
          <w:p w14:paraId="5C8E5179" w14:textId="73C77729" w:rsidR="000517BD" w:rsidRPr="00972F5E" w:rsidRDefault="00F64986" w:rsidP="000517BD">
            <w:pPr>
              <w:spacing w:line="240" w:lineRule="auto"/>
              <w:jc w:val="right"/>
              <w:rPr>
                <w:rFonts w:ascii="Fira Sans" w:hAnsi="Fira Sans"/>
              </w:rPr>
            </w:pPr>
            <w:r w:rsidRPr="00EE3AA4">
              <w:rPr>
                <w:rFonts w:ascii="Fira Sans" w:hAnsi="Fira Sans"/>
              </w:rPr>
              <w:t xml:space="preserve">-$142,671 </w:t>
            </w:r>
          </w:p>
        </w:tc>
        <w:tc>
          <w:tcPr>
            <w:tcW w:w="1601" w:type="dxa"/>
            <w:tcBorders>
              <w:top w:val="single" w:sz="4" w:space="0" w:color="000000" w:themeColor="text1"/>
              <w:left w:val="nil"/>
              <w:bottom w:val="single" w:sz="4" w:space="0" w:color="auto"/>
              <w:right w:val="nil"/>
            </w:tcBorders>
            <w:shd w:val="clear" w:color="000000" w:fill="FFFFFF"/>
          </w:tcPr>
          <w:p w14:paraId="5AD883C5" w14:textId="463366EA" w:rsidR="000517BD" w:rsidRPr="00972F5E" w:rsidRDefault="00F64986" w:rsidP="000517BD">
            <w:pPr>
              <w:spacing w:line="240" w:lineRule="auto"/>
              <w:jc w:val="right"/>
              <w:rPr>
                <w:rFonts w:ascii="Fira Sans" w:hAnsi="Fira Sans"/>
              </w:rPr>
            </w:pPr>
            <w:r w:rsidRPr="00EE3AA4">
              <w:rPr>
                <w:rFonts w:ascii="Fira Sans" w:hAnsi="Fira Sans"/>
              </w:rPr>
              <w:t xml:space="preserve">-$14,267 </w:t>
            </w:r>
          </w:p>
        </w:tc>
      </w:tr>
    </w:tbl>
    <w:p w14:paraId="2E5659B0" w14:textId="77777777" w:rsidR="00A36745" w:rsidRPr="00AD17DF" w:rsidRDefault="00A36745" w:rsidP="00A36745"/>
    <w:p w14:paraId="41BB7095" w14:textId="77777777" w:rsidR="00A36745" w:rsidRDefault="00A36745" w:rsidP="006802B7">
      <w:pPr>
        <w:pStyle w:val="Heading4"/>
      </w:pPr>
      <w:bookmarkStart w:id="314" w:name="_Ref171190284"/>
      <w:r>
        <w:t xml:space="preserve">Change </w:t>
      </w:r>
      <w:r w:rsidRPr="006802B7">
        <w:t>in</w:t>
      </w:r>
      <w:r>
        <w:t xml:space="preserve"> compliance costs for other self-regulated health professions</w:t>
      </w:r>
      <w:bookmarkEnd w:id="314"/>
    </w:p>
    <w:p w14:paraId="4EDACE15" w14:textId="6A87C2A8" w:rsidR="00A36745" w:rsidRDefault="003B2817" w:rsidP="006802B7">
      <w:pPr>
        <w:pStyle w:val="BodyText"/>
      </w:pPr>
      <w:r>
        <w:t>Based on advice from jurisdictions regarding current employment frameworks</w:t>
      </w:r>
      <w:r w:rsidR="00A36745">
        <w:t>, mandating a certification-type requirement is likely to set a precent for the other self-regulating health professions in that jurisdiction. However, self-regulating health professions have different settings in relation to standards and requirements, and not all self-regulated professions offer current certification of skills as a separate offering to membership. In this instance, PPBs that are full members of NASRHP have the greatest parallels to audiology, which include:</w:t>
      </w:r>
    </w:p>
    <w:p w14:paraId="3B20E02F" w14:textId="77777777" w:rsidR="00A36745" w:rsidRDefault="00A36745" w:rsidP="006802B7">
      <w:pPr>
        <w:pStyle w:val="ListBullet"/>
      </w:pPr>
      <w:r>
        <w:t>speech pathologists - Speech Pathology Australia offers a ‘non-member certified practising speech pathologist’ certification</w:t>
      </w:r>
      <w:r>
        <w:rPr>
          <w:rStyle w:val="FootnoteReference"/>
        </w:rPr>
        <w:footnoteReference w:id="277"/>
      </w:r>
    </w:p>
    <w:p w14:paraId="77453BC5" w14:textId="0177F640" w:rsidR="00A36745" w:rsidRDefault="00A36745" w:rsidP="006802B7">
      <w:pPr>
        <w:pStyle w:val="ListBullet"/>
      </w:pPr>
      <w:r>
        <w:t>dietitians - Dietitians Australia offers an ‘non-member accredited practising dieti</w:t>
      </w:r>
      <w:r w:rsidR="006D6D34">
        <w:t>t</w:t>
      </w:r>
      <w:r>
        <w:t>ian’ certification</w:t>
      </w:r>
      <w:r w:rsidR="00290DE1">
        <w:t>.</w:t>
      </w:r>
      <w:r>
        <w:rPr>
          <w:rStyle w:val="FootnoteReference"/>
        </w:rPr>
        <w:footnoteReference w:id="278"/>
      </w:r>
    </w:p>
    <w:p w14:paraId="3612E675" w14:textId="7C59043C" w:rsidR="00A36745" w:rsidRDefault="00A36745" w:rsidP="006802B7">
      <w:pPr>
        <w:pStyle w:val="BodyText"/>
      </w:pPr>
      <w:r>
        <w:t xml:space="preserve">As a select example of the fees that may be incurred under this precedent, the number of public sector speech pathologists and dietitians by jurisdiction have been estimated from ABS Census workforce numbers by jurisdiction, and the national public sector-private sector proportional splits, where the growth in workforce between FY2021 and FY2025 has been assumed at 3% compound annual growth rate. </w:t>
      </w:r>
      <w:r w:rsidR="006802B7">
        <w:fldChar w:fldCharType="begin"/>
      </w:r>
      <w:r w:rsidR="006802B7">
        <w:instrText xml:space="preserve"> REF _Ref172050804 \h </w:instrText>
      </w:r>
      <w:r w:rsidR="006802B7">
        <w:fldChar w:fldCharType="separate"/>
      </w:r>
      <w:r w:rsidR="00F32107">
        <w:t xml:space="preserve">Table </w:t>
      </w:r>
      <w:r w:rsidR="00F32107">
        <w:rPr>
          <w:noProof/>
        </w:rPr>
        <w:t>8</w:t>
      </w:r>
      <w:r w:rsidR="00F32107">
        <w:t>.</w:t>
      </w:r>
      <w:r w:rsidR="00F32107">
        <w:rPr>
          <w:noProof/>
        </w:rPr>
        <w:t>35</w:t>
      </w:r>
      <w:r w:rsidR="006802B7">
        <w:fldChar w:fldCharType="end"/>
      </w:r>
      <w:r>
        <w:t xml:space="preserve"> presents an indicative set of fees by jurisdiction </w:t>
      </w:r>
      <w:r w:rsidR="001649E8">
        <w:t xml:space="preserve">that would occur if this option was implemented for this financial year (i.e. including </w:t>
      </w:r>
      <w:r>
        <w:rPr>
          <w:b/>
          <w:bCs/>
        </w:rPr>
        <w:t>FY2025</w:t>
      </w:r>
      <w:r w:rsidRPr="00826AFA">
        <w:rPr>
          <w:b/>
          <w:bCs/>
        </w:rPr>
        <w:t xml:space="preserve"> only</w:t>
      </w:r>
      <w:r w:rsidR="001649E8">
        <w:rPr>
          <w:b/>
          <w:bCs/>
        </w:rPr>
        <w:t>)</w:t>
      </w:r>
      <w:r>
        <w:t>.</w:t>
      </w:r>
    </w:p>
    <w:p w14:paraId="0E1FF3F1" w14:textId="3C0DE4DB" w:rsidR="00A36745" w:rsidRDefault="006802B7" w:rsidP="006802B7">
      <w:pPr>
        <w:pStyle w:val="Caption"/>
        <w:keepNext/>
      </w:pPr>
      <w:bookmarkStart w:id="315" w:name="_Ref172050804"/>
      <w:bookmarkStart w:id="316" w:name="_Ref171190326"/>
      <w:r>
        <w:t xml:space="preserve">Table </w:t>
      </w:r>
      <w:fldSimple w:instr=" STYLEREF 1 \s ">
        <w:r w:rsidR="00F32107">
          <w:rPr>
            <w:noProof/>
          </w:rPr>
          <w:t>8</w:t>
        </w:r>
      </w:fldSimple>
      <w:r w:rsidR="008944FB">
        <w:t>.</w:t>
      </w:r>
      <w:fldSimple w:instr=" SEQ Table \* ARABIC \s 1 ">
        <w:r w:rsidR="00F32107">
          <w:rPr>
            <w:noProof/>
          </w:rPr>
          <w:t>35</w:t>
        </w:r>
      </w:fldSimple>
      <w:bookmarkEnd w:id="315"/>
      <w:r>
        <w:t xml:space="preserve"> </w:t>
      </w:r>
      <w:r w:rsidR="00A36745">
        <w:t>Indicative fees - speech pathology and dietitian current clinical certification for public sector (FY2025)</w:t>
      </w:r>
      <w:bookmarkEnd w:id="316"/>
    </w:p>
    <w:tbl>
      <w:tblPr>
        <w:tblStyle w:val="BodyTable"/>
        <w:tblW w:w="0" w:type="auto"/>
        <w:tblLook w:val="04A0" w:firstRow="1" w:lastRow="0" w:firstColumn="1" w:lastColumn="0" w:noHBand="0" w:noVBand="1"/>
      </w:tblPr>
      <w:tblGrid>
        <w:gridCol w:w="1538"/>
        <w:gridCol w:w="767"/>
        <w:gridCol w:w="2294"/>
        <w:gridCol w:w="2270"/>
        <w:gridCol w:w="1975"/>
      </w:tblGrid>
      <w:tr w:rsidR="00A36745" w14:paraId="1AB10BE0" w14:textId="77777777" w:rsidTr="006802B7">
        <w:trPr>
          <w:cnfStyle w:val="100000000000" w:firstRow="1" w:lastRow="0" w:firstColumn="0" w:lastColumn="0" w:oddVBand="0" w:evenVBand="0" w:oddHBand="0" w:evenHBand="0" w:firstRowFirstColumn="0" w:firstRowLastColumn="0" w:lastRowFirstColumn="0" w:lastRowLastColumn="0"/>
          <w:trHeight w:val="349"/>
        </w:trPr>
        <w:tc>
          <w:tcPr>
            <w:tcW w:w="1560" w:type="dxa"/>
          </w:tcPr>
          <w:p w14:paraId="7ADE2B6E" w14:textId="77777777" w:rsidR="00A36745" w:rsidRPr="00B232BE" w:rsidRDefault="00A36745">
            <w:pPr>
              <w:keepNext/>
              <w:rPr>
                <w:b/>
                <w:bCs/>
              </w:rPr>
            </w:pPr>
            <w:r w:rsidRPr="00B232BE">
              <w:rPr>
                <w:b/>
                <w:bCs/>
              </w:rPr>
              <w:t>Jurisdiction</w:t>
            </w:r>
          </w:p>
        </w:tc>
        <w:tc>
          <w:tcPr>
            <w:tcW w:w="3135" w:type="dxa"/>
            <w:gridSpan w:val="2"/>
          </w:tcPr>
          <w:p w14:paraId="383514B8" w14:textId="77777777" w:rsidR="00A36745" w:rsidRPr="00B232BE" w:rsidRDefault="00A36745">
            <w:pPr>
              <w:keepNext/>
              <w:jc w:val="right"/>
              <w:rPr>
                <w:b/>
                <w:bCs/>
              </w:rPr>
            </w:pPr>
            <w:r w:rsidRPr="00B232BE">
              <w:rPr>
                <w:b/>
                <w:bCs/>
              </w:rPr>
              <w:t>Speech Pathologist workforce</w:t>
            </w:r>
          </w:p>
        </w:tc>
        <w:tc>
          <w:tcPr>
            <w:tcW w:w="2319" w:type="dxa"/>
          </w:tcPr>
          <w:p w14:paraId="6768B720" w14:textId="77777777" w:rsidR="00A36745" w:rsidRPr="00B232BE" w:rsidRDefault="00A36745">
            <w:pPr>
              <w:keepNext/>
              <w:jc w:val="right"/>
              <w:rPr>
                <w:b/>
                <w:bCs/>
              </w:rPr>
            </w:pPr>
            <w:r w:rsidRPr="00B232BE">
              <w:rPr>
                <w:b/>
                <w:bCs/>
              </w:rPr>
              <w:t>Dietitian workforce</w:t>
            </w:r>
          </w:p>
        </w:tc>
        <w:tc>
          <w:tcPr>
            <w:tcW w:w="2012" w:type="dxa"/>
          </w:tcPr>
          <w:p w14:paraId="37463020" w14:textId="77777777" w:rsidR="00A36745" w:rsidRPr="00B232BE" w:rsidRDefault="00A36745">
            <w:pPr>
              <w:keepNext/>
              <w:jc w:val="right"/>
              <w:rPr>
                <w:b/>
                <w:bCs/>
              </w:rPr>
            </w:pPr>
            <w:r w:rsidRPr="00B232BE">
              <w:rPr>
                <w:b/>
                <w:bCs/>
              </w:rPr>
              <w:t>Indicative fees</w:t>
            </w:r>
          </w:p>
        </w:tc>
      </w:tr>
      <w:tr w:rsidR="00A36745" w14:paraId="39D0C426" w14:textId="77777777" w:rsidTr="006802B7">
        <w:tc>
          <w:tcPr>
            <w:tcW w:w="2349" w:type="dxa"/>
            <w:gridSpan w:val="2"/>
          </w:tcPr>
          <w:p w14:paraId="15215875" w14:textId="77777777" w:rsidR="00A36745" w:rsidRDefault="00A36745">
            <w:pPr>
              <w:keepNext/>
            </w:pPr>
            <w:r>
              <w:t>NSW</w:t>
            </w:r>
          </w:p>
        </w:tc>
        <w:tc>
          <w:tcPr>
            <w:tcW w:w="2346" w:type="dxa"/>
          </w:tcPr>
          <w:p w14:paraId="3B4B504E" w14:textId="77777777" w:rsidR="00A36745" w:rsidRDefault="00A36745">
            <w:pPr>
              <w:keepNext/>
              <w:spacing w:line="240" w:lineRule="auto"/>
              <w:jc w:val="right"/>
            </w:pPr>
            <w:r w:rsidRPr="00323EAB">
              <w:t>1070</w:t>
            </w:r>
          </w:p>
        </w:tc>
        <w:tc>
          <w:tcPr>
            <w:tcW w:w="2319" w:type="dxa"/>
          </w:tcPr>
          <w:p w14:paraId="535484F8" w14:textId="77777777" w:rsidR="00A36745" w:rsidRDefault="00A36745">
            <w:pPr>
              <w:keepNext/>
              <w:spacing w:line="240" w:lineRule="auto"/>
              <w:jc w:val="right"/>
            </w:pPr>
            <w:r w:rsidRPr="00323EAB">
              <w:t>865</w:t>
            </w:r>
          </w:p>
        </w:tc>
        <w:tc>
          <w:tcPr>
            <w:tcW w:w="2012" w:type="dxa"/>
          </w:tcPr>
          <w:p w14:paraId="6C7E069E" w14:textId="77777777" w:rsidR="00A36745" w:rsidRDefault="00A36745">
            <w:pPr>
              <w:keepNext/>
              <w:spacing w:line="240" w:lineRule="auto"/>
              <w:jc w:val="right"/>
            </w:pPr>
            <w:r w:rsidRPr="00323EAB">
              <w:t>$1,251,479</w:t>
            </w:r>
          </w:p>
        </w:tc>
      </w:tr>
      <w:tr w:rsidR="00A36745" w14:paraId="29E51B78" w14:textId="77777777" w:rsidTr="006802B7">
        <w:tc>
          <w:tcPr>
            <w:tcW w:w="2349" w:type="dxa"/>
            <w:gridSpan w:val="2"/>
          </w:tcPr>
          <w:p w14:paraId="1901BD40" w14:textId="77777777" w:rsidR="00A36745" w:rsidRDefault="00A36745">
            <w:pPr>
              <w:keepNext/>
            </w:pPr>
            <w:r>
              <w:t>VIC</w:t>
            </w:r>
          </w:p>
        </w:tc>
        <w:tc>
          <w:tcPr>
            <w:tcW w:w="2346" w:type="dxa"/>
          </w:tcPr>
          <w:p w14:paraId="72C5F2C0" w14:textId="77777777" w:rsidR="00A36745" w:rsidRDefault="00A36745">
            <w:pPr>
              <w:keepNext/>
              <w:spacing w:line="240" w:lineRule="auto"/>
              <w:jc w:val="right"/>
            </w:pPr>
            <w:r w:rsidRPr="00323EAB">
              <w:t>921</w:t>
            </w:r>
          </w:p>
        </w:tc>
        <w:tc>
          <w:tcPr>
            <w:tcW w:w="2319" w:type="dxa"/>
          </w:tcPr>
          <w:p w14:paraId="2EFE99ED" w14:textId="77777777" w:rsidR="00A36745" w:rsidRDefault="00A36745">
            <w:pPr>
              <w:keepNext/>
              <w:spacing w:line="240" w:lineRule="auto"/>
              <w:jc w:val="right"/>
            </w:pPr>
            <w:r w:rsidRPr="00323EAB">
              <w:t>708</w:t>
            </w:r>
          </w:p>
        </w:tc>
        <w:tc>
          <w:tcPr>
            <w:tcW w:w="2012" w:type="dxa"/>
          </w:tcPr>
          <w:p w14:paraId="7863DB68" w14:textId="77777777" w:rsidR="00A36745" w:rsidRDefault="00A36745">
            <w:pPr>
              <w:keepNext/>
              <w:spacing w:line="240" w:lineRule="auto"/>
              <w:jc w:val="right"/>
            </w:pPr>
            <w:r w:rsidRPr="00323EAB">
              <w:t>$1,050,502</w:t>
            </w:r>
          </w:p>
        </w:tc>
      </w:tr>
      <w:tr w:rsidR="00A36745" w14:paraId="22351130" w14:textId="77777777" w:rsidTr="006802B7">
        <w:tc>
          <w:tcPr>
            <w:tcW w:w="2349" w:type="dxa"/>
            <w:gridSpan w:val="2"/>
          </w:tcPr>
          <w:p w14:paraId="555B99A4" w14:textId="77777777" w:rsidR="00A36745" w:rsidRDefault="00A36745">
            <w:pPr>
              <w:keepNext/>
            </w:pPr>
            <w:r>
              <w:t>QLD</w:t>
            </w:r>
          </w:p>
        </w:tc>
        <w:tc>
          <w:tcPr>
            <w:tcW w:w="2346" w:type="dxa"/>
          </w:tcPr>
          <w:p w14:paraId="36221A9F" w14:textId="77777777" w:rsidR="00A36745" w:rsidRDefault="00A36745">
            <w:pPr>
              <w:keepNext/>
              <w:spacing w:line="240" w:lineRule="auto"/>
              <w:jc w:val="right"/>
            </w:pPr>
            <w:r w:rsidRPr="00323EAB">
              <w:t>720</w:t>
            </w:r>
          </w:p>
        </w:tc>
        <w:tc>
          <w:tcPr>
            <w:tcW w:w="2319" w:type="dxa"/>
          </w:tcPr>
          <w:p w14:paraId="55640AC5" w14:textId="77777777" w:rsidR="00A36745" w:rsidRDefault="00A36745">
            <w:pPr>
              <w:keepNext/>
              <w:spacing w:line="240" w:lineRule="auto"/>
              <w:jc w:val="right"/>
            </w:pPr>
            <w:r w:rsidRPr="00323EAB">
              <w:t>629</w:t>
            </w:r>
          </w:p>
        </w:tc>
        <w:tc>
          <w:tcPr>
            <w:tcW w:w="2012" w:type="dxa"/>
          </w:tcPr>
          <w:p w14:paraId="79FE0C91" w14:textId="77777777" w:rsidR="00A36745" w:rsidRDefault="00A36745">
            <w:pPr>
              <w:keepNext/>
              <w:spacing w:line="240" w:lineRule="auto"/>
              <w:jc w:val="right"/>
            </w:pPr>
            <w:r w:rsidRPr="00323EAB">
              <w:t>$877,286</w:t>
            </w:r>
          </w:p>
        </w:tc>
      </w:tr>
      <w:tr w:rsidR="00A36745" w14:paraId="3B8259C9" w14:textId="77777777" w:rsidTr="006802B7">
        <w:tc>
          <w:tcPr>
            <w:tcW w:w="2349" w:type="dxa"/>
            <w:gridSpan w:val="2"/>
          </w:tcPr>
          <w:p w14:paraId="68E11150" w14:textId="77777777" w:rsidR="00A36745" w:rsidRDefault="00A36745">
            <w:pPr>
              <w:keepNext/>
            </w:pPr>
            <w:r>
              <w:t>SA</w:t>
            </w:r>
          </w:p>
        </w:tc>
        <w:tc>
          <w:tcPr>
            <w:tcW w:w="2346" w:type="dxa"/>
          </w:tcPr>
          <w:p w14:paraId="1D6210B7" w14:textId="77777777" w:rsidR="00A36745" w:rsidRDefault="00A36745">
            <w:pPr>
              <w:keepNext/>
              <w:spacing w:line="240" w:lineRule="auto"/>
              <w:jc w:val="right"/>
            </w:pPr>
            <w:r w:rsidRPr="00323EAB">
              <w:t>295</w:t>
            </w:r>
          </w:p>
        </w:tc>
        <w:tc>
          <w:tcPr>
            <w:tcW w:w="2319" w:type="dxa"/>
          </w:tcPr>
          <w:p w14:paraId="56281079" w14:textId="77777777" w:rsidR="00A36745" w:rsidRDefault="00A36745">
            <w:pPr>
              <w:keepNext/>
              <w:spacing w:line="240" w:lineRule="auto"/>
              <w:jc w:val="right"/>
            </w:pPr>
            <w:r w:rsidRPr="00323EAB">
              <w:t>189</w:t>
            </w:r>
          </w:p>
        </w:tc>
        <w:tc>
          <w:tcPr>
            <w:tcW w:w="2012" w:type="dxa"/>
          </w:tcPr>
          <w:p w14:paraId="5A0CE38C" w14:textId="77777777" w:rsidR="00A36745" w:rsidRDefault="00A36745">
            <w:pPr>
              <w:keepNext/>
              <w:spacing w:line="240" w:lineRule="auto"/>
              <w:jc w:val="right"/>
            </w:pPr>
            <w:r w:rsidRPr="00323EAB">
              <w:t>$308,741</w:t>
            </w:r>
          </w:p>
        </w:tc>
      </w:tr>
      <w:tr w:rsidR="00A36745" w14:paraId="3656A035" w14:textId="77777777" w:rsidTr="006802B7">
        <w:tc>
          <w:tcPr>
            <w:tcW w:w="2349" w:type="dxa"/>
            <w:gridSpan w:val="2"/>
          </w:tcPr>
          <w:p w14:paraId="12BB4B64" w14:textId="77777777" w:rsidR="00A36745" w:rsidRDefault="00A36745">
            <w:pPr>
              <w:keepNext/>
            </w:pPr>
            <w:r>
              <w:t>WA</w:t>
            </w:r>
          </w:p>
        </w:tc>
        <w:tc>
          <w:tcPr>
            <w:tcW w:w="2346" w:type="dxa"/>
          </w:tcPr>
          <w:p w14:paraId="3647E6DD" w14:textId="77777777" w:rsidR="00A36745" w:rsidRDefault="00A36745">
            <w:pPr>
              <w:keepNext/>
              <w:spacing w:line="240" w:lineRule="auto"/>
              <w:jc w:val="right"/>
            </w:pPr>
            <w:r w:rsidRPr="00323EAB">
              <w:t>377</w:t>
            </w:r>
          </w:p>
        </w:tc>
        <w:tc>
          <w:tcPr>
            <w:tcW w:w="2319" w:type="dxa"/>
          </w:tcPr>
          <w:p w14:paraId="7F707436" w14:textId="77777777" w:rsidR="00A36745" w:rsidRDefault="00A36745">
            <w:pPr>
              <w:keepNext/>
              <w:spacing w:line="240" w:lineRule="auto"/>
              <w:jc w:val="right"/>
            </w:pPr>
            <w:r w:rsidRPr="00323EAB">
              <w:t>246</w:t>
            </w:r>
          </w:p>
        </w:tc>
        <w:tc>
          <w:tcPr>
            <w:tcW w:w="2012" w:type="dxa"/>
          </w:tcPr>
          <w:p w14:paraId="18274A35" w14:textId="77777777" w:rsidR="00A36745" w:rsidRDefault="00A36745">
            <w:pPr>
              <w:keepNext/>
              <w:spacing w:line="240" w:lineRule="auto"/>
              <w:jc w:val="right"/>
            </w:pPr>
            <w:r w:rsidRPr="00323EAB">
              <w:t>$397,814</w:t>
            </w:r>
          </w:p>
        </w:tc>
      </w:tr>
      <w:tr w:rsidR="00A36745" w14:paraId="6C52F751" w14:textId="77777777" w:rsidTr="006802B7">
        <w:tc>
          <w:tcPr>
            <w:tcW w:w="2349" w:type="dxa"/>
            <w:gridSpan w:val="2"/>
          </w:tcPr>
          <w:p w14:paraId="344CD9A3" w14:textId="77777777" w:rsidR="00A36745" w:rsidRDefault="00A36745">
            <w:pPr>
              <w:keepNext/>
            </w:pPr>
            <w:r>
              <w:t>TAS</w:t>
            </w:r>
          </w:p>
        </w:tc>
        <w:tc>
          <w:tcPr>
            <w:tcW w:w="2346" w:type="dxa"/>
          </w:tcPr>
          <w:p w14:paraId="03460787" w14:textId="77777777" w:rsidR="00A36745" w:rsidRDefault="00A36745">
            <w:pPr>
              <w:keepNext/>
              <w:spacing w:line="240" w:lineRule="auto"/>
              <w:jc w:val="right"/>
            </w:pPr>
            <w:r w:rsidRPr="00323EAB">
              <w:t>58</w:t>
            </w:r>
          </w:p>
        </w:tc>
        <w:tc>
          <w:tcPr>
            <w:tcW w:w="2319" w:type="dxa"/>
          </w:tcPr>
          <w:p w14:paraId="309B7A32" w14:textId="77777777" w:rsidR="00A36745" w:rsidRDefault="00A36745">
            <w:pPr>
              <w:keepNext/>
              <w:spacing w:line="240" w:lineRule="auto"/>
              <w:jc w:val="right"/>
            </w:pPr>
            <w:r w:rsidRPr="00323EAB">
              <w:t>54</w:t>
            </w:r>
          </w:p>
        </w:tc>
        <w:tc>
          <w:tcPr>
            <w:tcW w:w="2012" w:type="dxa"/>
          </w:tcPr>
          <w:p w14:paraId="57AB93D3" w14:textId="77777777" w:rsidR="00A36745" w:rsidRDefault="00A36745">
            <w:pPr>
              <w:keepNext/>
              <w:spacing w:line="240" w:lineRule="auto"/>
              <w:jc w:val="right"/>
            </w:pPr>
            <w:r w:rsidRPr="00323EAB">
              <w:t>$72,558</w:t>
            </w:r>
          </w:p>
        </w:tc>
      </w:tr>
      <w:tr w:rsidR="00A36745" w14:paraId="56E080E6" w14:textId="77777777" w:rsidTr="006802B7">
        <w:tc>
          <w:tcPr>
            <w:tcW w:w="2349" w:type="dxa"/>
            <w:gridSpan w:val="2"/>
          </w:tcPr>
          <w:p w14:paraId="45E6CD52" w14:textId="77777777" w:rsidR="00A36745" w:rsidRDefault="00A36745">
            <w:pPr>
              <w:keepNext/>
            </w:pPr>
            <w:r>
              <w:t>NT</w:t>
            </w:r>
          </w:p>
        </w:tc>
        <w:tc>
          <w:tcPr>
            <w:tcW w:w="2346" w:type="dxa"/>
          </w:tcPr>
          <w:p w14:paraId="425F9609" w14:textId="77777777" w:rsidR="00A36745" w:rsidRDefault="00A36745">
            <w:pPr>
              <w:keepNext/>
              <w:spacing w:line="240" w:lineRule="auto"/>
              <w:jc w:val="right"/>
            </w:pPr>
            <w:r w:rsidRPr="00323EAB">
              <w:t>26</w:t>
            </w:r>
          </w:p>
        </w:tc>
        <w:tc>
          <w:tcPr>
            <w:tcW w:w="2319" w:type="dxa"/>
          </w:tcPr>
          <w:p w14:paraId="680BA98A" w14:textId="77777777" w:rsidR="00A36745" w:rsidRDefault="00A36745">
            <w:pPr>
              <w:keepNext/>
              <w:spacing w:line="240" w:lineRule="auto"/>
              <w:jc w:val="right"/>
            </w:pPr>
            <w:r w:rsidRPr="00323EAB">
              <w:t>31</w:t>
            </w:r>
          </w:p>
        </w:tc>
        <w:tc>
          <w:tcPr>
            <w:tcW w:w="2012" w:type="dxa"/>
          </w:tcPr>
          <w:p w14:paraId="2273FDE8" w14:textId="77777777" w:rsidR="00A36745" w:rsidRDefault="00A36745">
            <w:pPr>
              <w:keepNext/>
              <w:spacing w:line="240" w:lineRule="auto"/>
              <w:jc w:val="right"/>
            </w:pPr>
            <w:r w:rsidRPr="00323EAB">
              <w:t>$37,669</w:t>
            </w:r>
          </w:p>
        </w:tc>
      </w:tr>
      <w:tr w:rsidR="00A36745" w14:paraId="47EDD31F" w14:textId="77777777" w:rsidTr="006802B7">
        <w:tc>
          <w:tcPr>
            <w:tcW w:w="2349" w:type="dxa"/>
            <w:gridSpan w:val="2"/>
          </w:tcPr>
          <w:p w14:paraId="7DBDECAA" w14:textId="77777777" w:rsidR="00A36745" w:rsidRDefault="00A36745">
            <w:pPr>
              <w:keepNext/>
            </w:pPr>
            <w:r>
              <w:t>ACT</w:t>
            </w:r>
          </w:p>
        </w:tc>
        <w:tc>
          <w:tcPr>
            <w:tcW w:w="2346" w:type="dxa"/>
          </w:tcPr>
          <w:p w14:paraId="7A2D3249" w14:textId="77777777" w:rsidR="00A36745" w:rsidRDefault="00A36745">
            <w:pPr>
              <w:keepNext/>
              <w:spacing w:line="240" w:lineRule="auto"/>
              <w:jc w:val="right"/>
            </w:pPr>
            <w:r w:rsidRPr="00323EAB">
              <w:t>42</w:t>
            </w:r>
          </w:p>
        </w:tc>
        <w:tc>
          <w:tcPr>
            <w:tcW w:w="2319" w:type="dxa"/>
          </w:tcPr>
          <w:p w14:paraId="32EF1687" w14:textId="77777777" w:rsidR="00A36745" w:rsidRDefault="00A36745">
            <w:pPr>
              <w:keepNext/>
              <w:spacing w:line="240" w:lineRule="auto"/>
              <w:jc w:val="right"/>
            </w:pPr>
            <w:r w:rsidRPr="00323EAB">
              <w:t>53</w:t>
            </w:r>
          </w:p>
        </w:tc>
        <w:tc>
          <w:tcPr>
            <w:tcW w:w="2012" w:type="dxa"/>
          </w:tcPr>
          <w:p w14:paraId="19400433" w14:textId="77777777" w:rsidR="00A36745" w:rsidRDefault="00A36745">
            <w:pPr>
              <w:keepNext/>
              <w:spacing w:line="240" w:lineRule="auto"/>
              <w:jc w:val="right"/>
            </w:pPr>
            <w:r w:rsidRPr="00323EAB">
              <w:t>$63,421</w:t>
            </w:r>
          </w:p>
        </w:tc>
      </w:tr>
      <w:tr w:rsidR="00A36745" w14:paraId="5DF36231" w14:textId="77777777" w:rsidTr="006802B7">
        <w:tc>
          <w:tcPr>
            <w:tcW w:w="2349" w:type="dxa"/>
            <w:gridSpan w:val="2"/>
          </w:tcPr>
          <w:p w14:paraId="09C927C1" w14:textId="77777777" w:rsidR="00A36745" w:rsidRPr="00323EAB" w:rsidRDefault="00A36745">
            <w:pPr>
              <w:keepNext/>
              <w:rPr>
                <w:b/>
                <w:bCs/>
              </w:rPr>
            </w:pPr>
            <w:r w:rsidRPr="00323EAB">
              <w:rPr>
                <w:b/>
                <w:bCs/>
              </w:rPr>
              <w:t>Total</w:t>
            </w:r>
          </w:p>
        </w:tc>
        <w:tc>
          <w:tcPr>
            <w:tcW w:w="2346" w:type="dxa"/>
          </w:tcPr>
          <w:p w14:paraId="0506C247" w14:textId="77777777" w:rsidR="00A36745" w:rsidRPr="00323EAB" w:rsidRDefault="00A36745">
            <w:pPr>
              <w:keepNext/>
              <w:spacing w:line="240" w:lineRule="auto"/>
              <w:jc w:val="right"/>
              <w:rPr>
                <w:b/>
                <w:bCs/>
              </w:rPr>
            </w:pPr>
            <w:r w:rsidRPr="00323EAB">
              <w:rPr>
                <w:b/>
                <w:bCs/>
              </w:rPr>
              <w:t>3509</w:t>
            </w:r>
          </w:p>
        </w:tc>
        <w:tc>
          <w:tcPr>
            <w:tcW w:w="2319" w:type="dxa"/>
          </w:tcPr>
          <w:p w14:paraId="6F57C2E1" w14:textId="77777777" w:rsidR="00A36745" w:rsidRPr="00323EAB" w:rsidRDefault="00A36745">
            <w:pPr>
              <w:keepNext/>
              <w:spacing w:line="240" w:lineRule="auto"/>
              <w:jc w:val="right"/>
              <w:rPr>
                <w:b/>
                <w:bCs/>
              </w:rPr>
            </w:pPr>
            <w:r w:rsidRPr="00323EAB">
              <w:rPr>
                <w:b/>
                <w:bCs/>
              </w:rPr>
              <w:t>2775</w:t>
            </w:r>
          </w:p>
        </w:tc>
        <w:tc>
          <w:tcPr>
            <w:tcW w:w="2012" w:type="dxa"/>
          </w:tcPr>
          <w:p w14:paraId="14DC2E92" w14:textId="77777777" w:rsidR="00A36745" w:rsidRPr="00323EAB" w:rsidRDefault="00A36745">
            <w:pPr>
              <w:keepNext/>
              <w:spacing w:line="240" w:lineRule="auto"/>
              <w:jc w:val="right"/>
              <w:rPr>
                <w:b/>
                <w:bCs/>
              </w:rPr>
            </w:pPr>
            <w:r w:rsidRPr="00323EAB">
              <w:rPr>
                <w:b/>
                <w:bCs/>
              </w:rPr>
              <w:t>$4,059,472</w:t>
            </w:r>
          </w:p>
        </w:tc>
      </w:tr>
    </w:tbl>
    <w:p w14:paraId="5D0AD2C2" w14:textId="77777777" w:rsidR="00A36745" w:rsidRDefault="00A36745" w:rsidP="00A36745"/>
    <w:p w14:paraId="034437F8" w14:textId="00044551" w:rsidR="00A36745" w:rsidRDefault="00A36745" w:rsidP="006802B7">
      <w:pPr>
        <w:pStyle w:val="BodyText"/>
      </w:pPr>
      <w:r>
        <w:t>Given that this precedent has not been tested, this cost is not included in the option cost at this time.</w:t>
      </w:r>
    </w:p>
    <w:p w14:paraId="6B23D040" w14:textId="45FEB577" w:rsidR="00A36745" w:rsidRPr="005C79CE" w:rsidRDefault="00A36745" w:rsidP="006802B7">
      <w:pPr>
        <w:pStyle w:val="Heading4"/>
      </w:pPr>
      <w:bookmarkStart w:id="317" w:name="_Ref171288545"/>
      <w:r>
        <w:t xml:space="preserve">Change in </w:t>
      </w:r>
      <w:r w:rsidR="006C1EB6">
        <w:t>eligibility assessment time</w:t>
      </w:r>
      <w:r>
        <w:t xml:space="preserve"> costs for</w:t>
      </w:r>
      <w:r w:rsidR="006C1EB6">
        <w:t xml:space="preserve"> public sector employers for</w:t>
      </w:r>
      <w:r>
        <w:t xml:space="preserve"> other self-regulated health professions</w:t>
      </w:r>
      <w:bookmarkEnd w:id="317"/>
    </w:p>
    <w:p w14:paraId="57F91911" w14:textId="4652B81B" w:rsidR="00A36745" w:rsidRPr="005C79CE" w:rsidRDefault="00A36745" w:rsidP="00517FF1">
      <w:pPr>
        <w:pStyle w:val="BodyText"/>
      </w:pPr>
      <w:r>
        <w:t xml:space="preserve">Similar to rationale presented above, to the extent that other self-regulating health professions offer a certification that requires an assessment of domestic/overseas qualifications and ongoing CPD and recency of practice, this may reduce recruitment time costs associated with these professions. This avoided cost has not been estimated </w:t>
      </w:r>
      <w:r w:rsidR="00ED557E">
        <w:t xml:space="preserve">given uncertainty related to the nature of </w:t>
      </w:r>
      <w:r w:rsidR="006C1EB6">
        <w:t>eligibility assessment time costs for other self-regulated professions.</w:t>
      </w:r>
    </w:p>
    <w:p w14:paraId="0A438EA6" w14:textId="77777777" w:rsidR="00A36745" w:rsidRDefault="00A36745" w:rsidP="00517FF1">
      <w:pPr>
        <w:pStyle w:val="Heading4"/>
      </w:pPr>
      <w:r>
        <w:t xml:space="preserve">Change in government </w:t>
      </w:r>
      <w:r w:rsidRPr="00517FF1">
        <w:t>expenditure</w:t>
      </w:r>
      <w:r>
        <w:t xml:space="preserve"> to fund CPD</w:t>
      </w:r>
    </w:p>
    <w:p w14:paraId="5CC4383D" w14:textId="77777777" w:rsidR="00A36745" w:rsidRDefault="00A36745" w:rsidP="00517FF1">
      <w:pPr>
        <w:pStyle w:val="BodyText"/>
      </w:pPr>
      <w:r>
        <w:t>Under this option, a series of CPD workstreams would be funded at a national government level, and developed in collaboration with the sector. The overall funding envelope for this workstream would be a decision for policy-makers, noting that in FY2021 $1 million of Australia Government funding was provided to the sector to develop:</w:t>
      </w:r>
      <w:r>
        <w:rPr>
          <w:rStyle w:val="FootnoteReference"/>
        </w:rPr>
        <w:footnoteReference w:id="279"/>
      </w:r>
    </w:p>
    <w:p w14:paraId="6EAE765E" w14:textId="77777777" w:rsidR="00A36745" w:rsidRDefault="00A36745" w:rsidP="00517FF1">
      <w:pPr>
        <w:pStyle w:val="ListBullet"/>
      </w:pPr>
      <w:r>
        <w:t>paediatric audiology competency standards</w:t>
      </w:r>
    </w:p>
    <w:p w14:paraId="35FFD7CE" w14:textId="77777777" w:rsidR="00A36745" w:rsidRDefault="00A36745" w:rsidP="00517FF1">
      <w:pPr>
        <w:pStyle w:val="ListBullet"/>
      </w:pPr>
      <w:r>
        <w:t>teleaudiology guidelines</w:t>
      </w:r>
    </w:p>
    <w:p w14:paraId="3306C3CB" w14:textId="77777777" w:rsidR="00A36745" w:rsidRDefault="00A36745" w:rsidP="00517FF1">
      <w:pPr>
        <w:pStyle w:val="ListBullet"/>
      </w:pPr>
      <w:r>
        <w:t>rural/regional hearing healthcare workforce audit.</w:t>
      </w:r>
    </w:p>
    <w:p w14:paraId="259200F0" w14:textId="6E6DBF25" w:rsidR="00A36745" w:rsidRDefault="00A36745" w:rsidP="00517FF1">
      <w:pPr>
        <w:pStyle w:val="BodyText"/>
      </w:pPr>
      <w:r>
        <w:t>As a result of this CPD uplift, it is expected that the quality of audiology services delivered across the public and private sector would be improved due to high uptake from stakeholders that identified this as a key need for the profession.</w:t>
      </w:r>
      <w:r w:rsidR="006C1EB6">
        <w:t xml:space="preserve"> </w:t>
      </w:r>
    </w:p>
    <w:p w14:paraId="695C482C" w14:textId="290EF933" w:rsidR="006C1EB6" w:rsidRDefault="00087E90" w:rsidP="00517FF1">
      <w:pPr>
        <w:pStyle w:val="BodyText"/>
      </w:pPr>
      <w:r>
        <w:t xml:space="preserve">This cost is </w:t>
      </w:r>
      <w:r w:rsidR="00CA77B9">
        <w:t>entirely flexible, and as such as not been included at this time.</w:t>
      </w:r>
    </w:p>
    <w:p w14:paraId="6D3AC7E2" w14:textId="77777777" w:rsidR="00A36745" w:rsidRPr="007A0BCA" w:rsidRDefault="00A36745" w:rsidP="00517FF1">
      <w:pPr>
        <w:pStyle w:val="Heading4"/>
      </w:pPr>
      <w:r>
        <w:t xml:space="preserve">Change in </w:t>
      </w:r>
      <w:r w:rsidRPr="00517FF1">
        <w:t>compensation</w:t>
      </w:r>
      <w:r>
        <w:t xml:space="preserve"> claims and reputational harm</w:t>
      </w:r>
    </w:p>
    <w:p w14:paraId="03131AFF" w14:textId="77777777" w:rsidR="00A36745" w:rsidRDefault="00A36745" w:rsidP="00517FF1">
      <w:pPr>
        <w:pStyle w:val="BodyText"/>
      </w:pPr>
      <w:r>
        <w:t xml:space="preserve">The combination of jurisdictional current clinical certification and an uplift in CPD is expected to improve the quality of services delivered, thereby reducing instances of substandard care. While audiologists nationally may benefit from uplifted CPD (depending on the relevance of the topics selected), only jurisdictions that choose to enact mandatory current clinical certification are likely to improve the quality of services delivered via this mechanism. It is recognised that compensation claims and reputational harm to government is a rare event in the current state. However, to the extent that the risk of these rare events is able to be minimised further, jurisdictions that enact mandatory current clinical certification are theorised to reduce their risk further than those that do not. </w:t>
      </w:r>
    </w:p>
    <w:p w14:paraId="2AF08232" w14:textId="764204D4" w:rsidR="00B44FEB" w:rsidRDefault="002A2567" w:rsidP="00B44FEB">
      <w:pPr>
        <w:pStyle w:val="Heading4"/>
      </w:pPr>
      <w:r>
        <w:t>Competition and labour market impacts</w:t>
      </w:r>
    </w:p>
    <w:p w14:paraId="4AED564B" w14:textId="48DABB9F" w:rsidR="0033463B" w:rsidRDefault="001B7547" w:rsidP="002A2567">
      <w:pPr>
        <w:pStyle w:val="BodyText"/>
      </w:pPr>
      <w:r>
        <w:t xml:space="preserve">Given that </w:t>
      </w:r>
      <w:r w:rsidR="007741A8">
        <w:t>mandatory current clinical certification</w:t>
      </w:r>
      <w:r>
        <w:t xml:space="preserve"> under the </w:t>
      </w:r>
      <w:r w:rsidR="00524719">
        <w:t>S</w:t>
      </w:r>
      <w:r>
        <w:t xml:space="preserve">trengthened </w:t>
      </w:r>
      <w:r w:rsidR="00A80F45">
        <w:t>Status Quo</w:t>
      </w:r>
      <w:r>
        <w:t xml:space="preserve"> option only impacts the public sector, </w:t>
      </w:r>
      <w:r w:rsidR="00ED2317">
        <w:t>this option is</w:t>
      </w:r>
      <w:r w:rsidR="007741A8">
        <w:t xml:space="preserve"> not expected to lead to any material competition effects relative to the </w:t>
      </w:r>
      <w:r w:rsidR="00A80F45">
        <w:t>Status Quo</w:t>
      </w:r>
      <w:r w:rsidR="007741A8">
        <w:t xml:space="preserve">. </w:t>
      </w:r>
      <w:r w:rsidR="00E2699A">
        <w:t xml:space="preserve">However, it is acknowledged that </w:t>
      </w:r>
      <w:r w:rsidR="00E12E2D">
        <w:t>because</w:t>
      </w:r>
      <w:r w:rsidR="00E2699A">
        <w:t xml:space="preserve"> public sector employers would bear the cost of current clinical certification fees, the public sector may become more desirable to </w:t>
      </w:r>
      <w:r w:rsidR="00F756B5">
        <w:t>audiologists’</w:t>
      </w:r>
      <w:r w:rsidR="00E2699A">
        <w:t xml:space="preserve"> seeking employment. In areas with thin markets</w:t>
      </w:r>
      <w:r w:rsidR="00FE1D69">
        <w:t xml:space="preserve"> where the labour market holds the negotiating power</w:t>
      </w:r>
      <w:r w:rsidR="00E2699A">
        <w:t xml:space="preserve">, private providers </w:t>
      </w:r>
      <w:r w:rsidR="00B83017">
        <w:t xml:space="preserve">may </w:t>
      </w:r>
      <w:r w:rsidR="004018C9">
        <w:t xml:space="preserve">be required </w:t>
      </w:r>
      <w:r w:rsidR="004C6DED">
        <w:t>offer higher</w:t>
      </w:r>
      <w:r w:rsidR="00B83017">
        <w:t xml:space="preserve"> wages and/or salary packages to meet the increased competition</w:t>
      </w:r>
      <w:r w:rsidR="00F756B5">
        <w:t xml:space="preserve"> from the public sector</w:t>
      </w:r>
      <w:r w:rsidR="00B83017">
        <w:t>.</w:t>
      </w:r>
      <w:r w:rsidR="007A4BD7">
        <w:t xml:space="preserve"> </w:t>
      </w:r>
      <w:r w:rsidR="001E7506">
        <w:t>However, this</w:t>
      </w:r>
      <w:r w:rsidR="00CE0096">
        <w:t xml:space="preserve"> </w:t>
      </w:r>
      <w:r w:rsidR="00B43752">
        <w:t xml:space="preserve">potential competition </w:t>
      </w:r>
      <w:r w:rsidR="001E7506">
        <w:t>impact</w:t>
      </w:r>
      <w:r w:rsidR="00B43752">
        <w:t xml:space="preserve"> is likely to be</w:t>
      </w:r>
      <w:r w:rsidR="00CE0096">
        <w:t xml:space="preserve"> marginal, given that </w:t>
      </w:r>
      <w:r w:rsidR="00B43752">
        <w:t>there are relatively few public sector audiology positions</w:t>
      </w:r>
      <w:r w:rsidR="00766F7D">
        <w:t xml:space="preserve"> located</w:t>
      </w:r>
      <w:r w:rsidR="00B43752">
        <w:t xml:space="preserve"> in regional and rural areas</w:t>
      </w:r>
      <w:r w:rsidR="00CE0096">
        <w:t>.</w:t>
      </w:r>
    </w:p>
    <w:p w14:paraId="0EFF5FB6" w14:textId="77777777" w:rsidR="00A36745" w:rsidRDefault="00A36745" w:rsidP="00517FF1">
      <w:pPr>
        <w:pStyle w:val="Heading3"/>
      </w:pPr>
      <w:bookmarkStart w:id="318" w:name="_Toc171324798"/>
      <w:bookmarkStart w:id="319" w:name="_Toc198138652"/>
      <w:r>
        <w:t xml:space="preserve">Summary of incremental </w:t>
      </w:r>
      <w:r w:rsidRPr="00517FF1">
        <w:t>impact</w:t>
      </w:r>
      <w:r>
        <w:t xml:space="preserve"> analysis</w:t>
      </w:r>
      <w:bookmarkEnd w:id="318"/>
      <w:bookmarkEnd w:id="319"/>
    </w:p>
    <w:p w14:paraId="76079000" w14:textId="00A2DC62" w:rsidR="00A36745" w:rsidRPr="000A38BA" w:rsidRDefault="00A93661" w:rsidP="00517FF1">
      <w:pPr>
        <w:pStyle w:val="BodyText"/>
      </w:pPr>
      <w:r>
        <w:fldChar w:fldCharType="begin"/>
      </w:r>
      <w:r>
        <w:instrText xml:space="preserve"> REF _Ref172804481 \h </w:instrText>
      </w:r>
      <w:r>
        <w:fldChar w:fldCharType="separate"/>
      </w:r>
      <w:r w:rsidR="00F32107">
        <w:t xml:space="preserve">Table </w:t>
      </w:r>
      <w:r w:rsidR="00F32107">
        <w:rPr>
          <w:noProof/>
        </w:rPr>
        <w:t>8</w:t>
      </w:r>
      <w:r w:rsidR="00F32107">
        <w:t>.</w:t>
      </w:r>
      <w:r w:rsidR="00F32107">
        <w:rPr>
          <w:noProof/>
        </w:rPr>
        <w:t>36</w:t>
      </w:r>
      <w:r>
        <w:fldChar w:fldCharType="end"/>
      </w:r>
      <w:r w:rsidR="00E708AA">
        <w:t xml:space="preserve"> </w:t>
      </w:r>
      <w:r w:rsidR="00A36745">
        <w:t xml:space="preserve">summarises the incremental impact analysis for </w:t>
      </w:r>
      <w:r w:rsidR="008D4FAF">
        <w:t>Strengthened Status Quo</w:t>
      </w:r>
      <w:r w:rsidR="00820AAA">
        <w:t xml:space="preserve"> </w:t>
      </w:r>
      <w:r w:rsidR="00094513">
        <w:t xml:space="preserve">relative to the </w:t>
      </w:r>
      <w:r w:rsidR="00A80F45">
        <w:t>Status Quo</w:t>
      </w:r>
      <w:r w:rsidR="00A36745">
        <w:t>.</w:t>
      </w:r>
    </w:p>
    <w:p w14:paraId="4126DF95" w14:textId="381F7AD2" w:rsidR="00B947CC" w:rsidRDefault="0075061C" w:rsidP="00C0610C">
      <w:pPr>
        <w:pStyle w:val="Caption"/>
        <w:spacing w:after="0"/>
      </w:pPr>
      <w:bookmarkStart w:id="320" w:name="_Ref172804481"/>
      <w:r>
        <w:t xml:space="preserve">Table </w:t>
      </w:r>
      <w:fldSimple w:instr=" STYLEREF 1 \s ">
        <w:r w:rsidR="00F32107">
          <w:rPr>
            <w:noProof/>
          </w:rPr>
          <w:t>8</w:t>
        </w:r>
      </w:fldSimple>
      <w:r w:rsidR="008944FB">
        <w:t>.</w:t>
      </w:r>
      <w:fldSimple w:instr=" SEQ Table \* ARABIC \s 1 ">
        <w:r w:rsidR="00F32107">
          <w:rPr>
            <w:noProof/>
          </w:rPr>
          <w:t>36</w:t>
        </w:r>
      </w:fldSimple>
      <w:bookmarkEnd w:id="320"/>
      <w:r w:rsidR="00C34A3D">
        <w:t xml:space="preserve"> S</w:t>
      </w:r>
      <w:r w:rsidR="00B947CC">
        <w:t xml:space="preserve">ummary of costs and benefits of </w:t>
      </w:r>
      <w:r w:rsidR="008D4FAF">
        <w:t xml:space="preserve">Strengthened Status Quo </w:t>
      </w:r>
      <w:r w:rsidR="00B947CC">
        <w:t xml:space="preserve">relative to the </w:t>
      </w:r>
      <w:r w:rsidR="00A80F45">
        <w:t>Status Quo</w:t>
      </w:r>
      <w:r w:rsidR="00B947CC">
        <w:t xml:space="preserve">.  </w:t>
      </w:r>
    </w:p>
    <w:tbl>
      <w:tblPr>
        <w:tblStyle w:val="BodyTable"/>
        <w:tblpPr w:leftFromText="181" w:rightFromText="181" w:vertAnchor="text" w:horzAnchor="margin" w:tblpY="285"/>
        <w:tblW w:w="9526" w:type="dxa"/>
        <w:tblLook w:val="04A0" w:firstRow="1" w:lastRow="0" w:firstColumn="1" w:lastColumn="0" w:noHBand="0" w:noVBand="1"/>
      </w:tblPr>
      <w:tblGrid>
        <w:gridCol w:w="2268"/>
        <w:gridCol w:w="1134"/>
        <w:gridCol w:w="6048"/>
        <w:gridCol w:w="76"/>
      </w:tblGrid>
      <w:tr w:rsidR="006B0DB9" w14:paraId="38833F14" w14:textId="77777777" w:rsidTr="00C0610C">
        <w:trPr>
          <w:cnfStyle w:val="100000000000" w:firstRow="1" w:lastRow="0" w:firstColumn="0" w:lastColumn="0" w:oddVBand="0" w:evenVBand="0" w:oddHBand="0" w:evenHBand="0" w:firstRowFirstColumn="0" w:firstRowLastColumn="0" w:lastRowFirstColumn="0" w:lastRowLastColumn="0"/>
          <w:trHeight w:val="461"/>
        </w:trPr>
        <w:tc>
          <w:tcPr>
            <w:tcW w:w="2268" w:type="dxa"/>
          </w:tcPr>
          <w:p w14:paraId="29F6180E" w14:textId="77777777" w:rsidR="006B0DB9" w:rsidRPr="00715CC3" w:rsidRDefault="006B0DB9" w:rsidP="00B947CC">
            <w:pPr>
              <w:keepNext/>
              <w:ind w:left="113" w:right="113"/>
              <w:rPr>
                <w:b/>
              </w:rPr>
            </w:pPr>
            <w:r w:rsidRPr="00715CC3">
              <w:rPr>
                <w:b/>
              </w:rPr>
              <w:t>Impact</w:t>
            </w:r>
          </w:p>
        </w:tc>
        <w:tc>
          <w:tcPr>
            <w:tcW w:w="1134" w:type="dxa"/>
          </w:tcPr>
          <w:p w14:paraId="6105A382" w14:textId="77777777" w:rsidR="006B0DB9" w:rsidRPr="00715CC3" w:rsidRDefault="006B0DB9" w:rsidP="00B947CC">
            <w:pPr>
              <w:keepNext/>
              <w:ind w:left="113" w:right="113"/>
              <w:rPr>
                <w:b/>
              </w:rPr>
            </w:pPr>
            <w:r w:rsidRPr="00715CC3">
              <w:rPr>
                <w:b/>
                <w:bCs/>
              </w:rPr>
              <w:t xml:space="preserve">Benefit or </w:t>
            </w:r>
            <w:r>
              <w:rPr>
                <w:b/>
                <w:bCs/>
              </w:rPr>
              <w:t>c</w:t>
            </w:r>
            <w:r w:rsidRPr="00715CC3">
              <w:rPr>
                <w:b/>
                <w:bCs/>
              </w:rPr>
              <w:t>ost</w:t>
            </w:r>
          </w:p>
        </w:tc>
        <w:tc>
          <w:tcPr>
            <w:tcW w:w="6124" w:type="dxa"/>
            <w:gridSpan w:val="2"/>
          </w:tcPr>
          <w:p w14:paraId="305E9B94" w14:textId="77777777" w:rsidR="006B0DB9" w:rsidRPr="00715CC3" w:rsidRDefault="006B0DB9" w:rsidP="00B947CC">
            <w:pPr>
              <w:keepNext/>
              <w:ind w:left="113" w:right="113"/>
              <w:rPr>
                <w:b/>
              </w:rPr>
            </w:pPr>
            <w:r w:rsidRPr="00715CC3">
              <w:rPr>
                <w:b/>
                <w:bCs/>
              </w:rPr>
              <w:t>Key takeaway</w:t>
            </w:r>
          </w:p>
        </w:tc>
      </w:tr>
      <w:tr w:rsidR="006B0DB9" w14:paraId="0E2B19E8" w14:textId="77777777" w:rsidTr="00C0610C">
        <w:trPr>
          <w:trHeight w:val="230"/>
        </w:trPr>
        <w:tc>
          <w:tcPr>
            <w:tcW w:w="9526" w:type="dxa"/>
            <w:gridSpan w:val="4"/>
            <w:shd w:val="clear" w:color="auto" w:fill="F2F2F2" w:themeFill="background1" w:themeFillShade="F2"/>
          </w:tcPr>
          <w:p w14:paraId="1E17B297" w14:textId="77777777" w:rsidR="006B0DB9" w:rsidRDefault="006B0DB9" w:rsidP="00B947CC">
            <w:pPr>
              <w:keepNext/>
              <w:ind w:left="113" w:right="113"/>
            </w:pPr>
            <w:r w:rsidRPr="00F811E2">
              <w:t xml:space="preserve">Economic or social impact </w:t>
            </w:r>
            <w:r>
              <w:t>of harm minimisation</w:t>
            </w:r>
          </w:p>
        </w:tc>
      </w:tr>
      <w:tr w:rsidR="006B0DB9" w14:paraId="7217BCE1" w14:textId="77777777" w:rsidTr="00C0610C">
        <w:trPr>
          <w:trHeight w:val="712"/>
        </w:trPr>
        <w:tc>
          <w:tcPr>
            <w:tcW w:w="2268" w:type="dxa"/>
          </w:tcPr>
          <w:p w14:paraId="268DA4F6" w14:textId="77777777" w:rsidR="006B0DB9" w:rsidRDefault="006B0DB9" w:rsidP="00B947CC">
            <w:pPr>
              <w:keepNext/>
              <w:ind w:left="113" w:right="113"/>
            </w:pPr>
            <w:r>
              <w:t xml:space="preserve">Change in social and economic outcomes associated with substandard care </w:t>
            </w:r>
          </w:p>
        </w:tc>
        <w:tc>
          <w:tcPr>
            <w:tcW w:w="1134" w:type="dxa"/>
            <w:shd w:val="clear" w:color="auto" w:fill="E6F3D9" w:themeFill="accent2" w:themeFillTint="33"/>
          </w:tcPr>
          <w:p w14:paraId="22FE3661" w14:textId="77777777" w:rsidR="006B0DB9" w:rsidRDefault="006B0DB9" w:rsidP="00B947CC">
            <w:pPr>
              <w:keepNext/>
              <w:ind w:left="113" w:right="113"/>
            </w:pPr>
            <w:r>
              <w:t>Benefit</w:t>
            </w:r>
          </w:p>
        </w:tc>
        <w:tc>
          <w:tcPr>
            <w:tcW w:w="6124" w:type="dxa"/>
            <w:gridSpan w:val="2"/>
          </w:tcPr>
          <w:p w14:paraId="0D78E5E2" w14:textId="0F20D7F6" w:rsidR="006B0DB9" w:rsidRDefault="006B0DB9" w:rsidP="00B947CC">
            <w:pPr>
              <w:keepNext/>
              <w:ind w:left="113" w:right="113"/>
            </w:pPr>
            <w:r>
              <w:t xml:space="preserve">Relative to the </w:t>
            </w:r>
            <w:r w:rsidR="00A80F45">
              <w:t>Status Quo</w:t>
            </w:r>
            <w:r>
              <w:t xml:space="preserve">, </w:t>
            </w:r>
            <w:r w:rsidR="003A69E1">
              <w:t>Strengthened Status Quo</w:t>
            </w:r>
            <w:r w:rsidRPr="00371510">
              <w:t xml:space="preserve"> is expected to </w:t>
            </w:r>
            <w:r>
              <w:t xml:space="preserve">reduce the incidence of substandard care and avoid the associated social and economic costs for patients, families/carers and government, such as adverse quality of life impacts, adverse productivity impacts, out of pocket costs and increased </w:t>
            </w:r>
            <w:r w:rsidR="00810E52">
              <w:t>utilisation</w:t>
            </w:r>
            <w:r>
              <w:t xml:space="preserve"> of health and social services.</w:t>
            </w:r>
          </w:p>
        </w:tc>
      </w:tr>
      <w:tr w:rsidR="00765DCD" w14:paraId="3AE455C7" w14:textId="77777777" w:rsidTr="00C0610C">
        <w:trPr>
          <w:trHeight w:val="712"/>
        </w:trPr>
        <w:tc>
          <w:tcPr>
            <w:tcW w:w="2268" w:type="dxa"/>
          </w:tcPr>
          <w:p w14:paraId="6DCEF9A0" w14:textId="65A6814B" w:rsidR="00765DCD" w:rsidRDefault="00765DCD" w:rsidP="00765DCD">
            <w:pPr>
              <w:keepNext/>
              <w:ind w:left="113" w:right="113"/>
            </w:pPr>
            <w:r>
              <w:t>Change in compensation claims and reputational harm</w:t>
            </w:r>
          </w:p>
        </w:tc>
        <w:tc>
          <w:tcPr>
            <w:tcW w:w="1134" w:type="dxa"/>
            <w:shd w:val="clear" w:color="auto" w:fill="E6F3D9" w:themeFill="accent2" w:themeFillTint="33"/>
          </w:tcPr>
          <w:p w14:paraId="384B6882" w14:textId="3FBAFFD9" w:rsidR="00765DCD" w:rsidRDefault="00765DCD" w:rsidP="00765DCD">
            <w:pPr>
              <w:keepNext/>
              <w:ind w:left="113" w:right="113"/>
            </w:pPr>
            <w:r>
              <w:t>Benefit</w:t>
            </w:r>
          </w:p>
        </w:tc>
        <w:tc>
          <w:tcPr>
            <w:tcW w:w="6124" w:type="dxa"/>
            <w:gridSpan w:val="2"/>
          </w:tcPr>
          <w:p w14:paraId="3FF526F5" w14:textId="372EB629" w:rsidR="00765DCD" w:rsidRDefault="003A69E1" w:rsidP="00765DCD">
            <w:pPr>
              <w:keepNext/>
              <w:ind w:left="113" w:right="113"/>
            </w:pPr>
            <w:r>
              <w:t>Strengthened Status Quo</w:t>
            </w:r>
            <w:r w:rsidR="00565938">
              <w:t xml:space="preserve"> </w:t>
            </w:r>
            <w:r w:rsidR="00765DCD">
              <w:t>is</w:t>
            </w:r>
            <w:r w:rsidR="00765DCD" w:rsidRPr="00DD5BC1">
              <w:t xml:space="preserve"> expected to minimise instances of substandard care that could result in compensation claims and reputation harm to the employer.</w:t>
            </w:r>
          </w:p>
        </w:tc>
      </w:tr>
      <w:tr w:rsidR="006B0DB9" w14:paraId="48A82789" w14:textId="77777777" w:rsidTr="00C0610C">
        <w:trPr>
          <w:trHeight w:val="79"/>
        </w:trPr>
        <w:tc>
          <w:tcPr>
            <w:tcW w:w="9526" w:type="dxa"/>
            <w:gridSpan w:val="4"/>
            <w:shd w:val="clear" w:color="auto" w:fill="F2F2F2" w:themeFill="background1" w:themeFillShade="F2"/>
          </w:tcPr>
          <w:p w14:paraId="13B60345" w14:textId="79DF2CDF" w:rsidR="006B0DB9" w:rsidRDefault="006B0DB9" w:rsidP="00B947CC">
            <w:pPr>
              <w:keepNext/>
              <w:ind w:left="113" w:right="113"/>
            </w:pPr>
            <w:r w:rsidRPr="00F811E2">
              <w:t xml:space="preserve">Economic or social impact </w:t>
            </w:r>
            <w:r w:rsidR="0008213C">
              <w:t>due to</w:t>
            </w:r>
            <w:r w:rsidR="0008213C" w:rsidRPr="00F811E2">
              <w:t xml:space="preserve"> </w:t>
            </w:r>
            <w:r w:rsidR="0008213C">
              <w:t xml:space="preserve">other </w:t>
            </w:r>
            <w:r w:rsidRPr="00F811E2">
              <w:t>regulatory function</w:t>
            </w:r>
          </w:p>
        </w:tc>
      </w:tr>
      <w:tr w:rsidR="006B0DB9" w14:paraId="283CCB92" w14:textId="77777777" w:rsidTr="00C0610C">
        <w:trPr>
          <w:gridAfter w:val="1"/>
          <w:wAfter w:w="76" w:type="dxa"/>
          <w:trHeight w:val="712"/>
        </w:trPr>
        <w:tc>
          <w:tcPr>
            <w:tcW w:w="2268" w:type="dxa"/>
          </w:tcPr>
          <w:p w14:paraId="760198D2" w14:textId="77777777" w:rsidR="006B0DB9" w:rsidRPr="009438D4" w:rsidRDefault="006B0DB9" w:rsidP="00B947CC">
            <w:pPr>
              <w:keepNext/>
              <w:ind w:left="113" w:right="113"/>
            </w:pPr>
            <w:r>
              <w:t>Change in time costs associated with CPD</w:t>
            </w:r>
          </w:p>
        </w:tc>
        <w:tc>
          <w:tcPr>
            <w:tcW w:w="1134" w:type="dxa"/>
            <w:shd w:val="clear" w:color="auto" w:fill="FECECE"/>
          </w:tcPr>
          <w:p w14:paraId="36509944" w14:textId="77777777" w:rsidR="006B0DB9" w:rsidRDefault="006B0DB9" w:rsidP="00B947CC">
            <w:pPr>
              <w:keepNext/>
              <w:ind w:left="113" w:right="113"/>
            </w:pPr>
            <w:r>
              <w:t>Cost</w:t>
            </w:r>
          </w:p>
        </w:tc>
        <w:tc>
          <w:tcPr>
            <w:tcW w:w="6048" w:type="dxa"/>
          </w:tcPr>
          <w:p w14:paraId="4D148B9C" w14:textId="160F06EF" w:rsidR="006B0DB9" w:rsidRDefault="006B0DB9" w:rsidP="00B947CC">
            <w:pPr>
              <w:keepNext/>
              <w:ind w:left="113" w:right="113"/>
            </w:pPr>
            <w:r>
              <w:t>It is assumed that approximately 3</w:t>
            </w:r>
            <w:r w:rsidR="0037036D">
              <w:t>0</w:t>
            </w:r>
            <w:r>
              <w:t xml:space="preserve">% of the public sector audiologist workforce does not have current clinical certification and would complete CPD hours during work hours. This equates to a ten-year annualised FY25 NPV of </w:t>
            </w:r>
            <w:r w:rsidR="00A8592F" w:rsidRPr="00A8592F">
              <w:t>$</w:t>
            </w:r>
            <w:r w:rsidR="004B540E" w:rsidRPr="004B540E">
              <w:t xml:space="preserve">106,571 </w:t>
            </w:r>
            <w:r>
              <w:t>across the profession borne by public sector employers.</w:t>
            </w:r>
          </w:p>
        </w:tc>
      </w:tr>
      <w:tr w:rsidR="006B0DB9" w14:paraId="5FD63793" w14:textId="77777777" w:rsidTr="00C0610C">
        <w:trPr>
          <w:gridAfter w:val="1"/>
          <w:wAfter w:w="76" w:type="dxa"/>
          <w:trHeight w:val="712"/>
        </w:trPr>
        <w:tc>
          <w:tcPr>
            <w:tcW w:w="2268" w:type="dxa"/>
          </w:tcPr>
          <w:p w14:paraId="3F5A6918" w14:textId="77777777" w:rsidR="006B0DB9" w:rsidRPr="00D9585F" w:rsidRDefault="006B0DB9" w:rsidP="00B947CC">
            <w:pPr>
              <w:keepNext/>
              <w:ind w:left="113" w:right="113"/>
            </w:pPr>
            <w:r>
              <w:t>Change in eligibility assessment time costs for public sector employers</w:t>
            </w:r>
          </w:p>
        </w:tc>
        <w:tc>
          <w:tcPr>
            <w:tcW w:w="1134" w:type="dxa"/>
            <w:shd w:val="clear" w:color="auto" w:fill="E6F3D9" w:themeFill="accent2" w:themeFillTint="33"/>
          </w:tcPr>
          <w:p w14:paraId="0A7E9B62" w14:textId="77777777" w:rsidR="006B0DB9" w:rsidRDefault="006B0DB9" w:rsidP="00B947CC">
            <w:pPr>
              <w:keepNext/>
              <w:ind w:left="113" w:right="113"/>
            </w:pPr>
            <w:r>
              <w:t>Benefit</w:t>
            </w:r>
          </w:p>
        </w:tc>
        <w:tc>
          <w:tcPr>
            <w:tcW w:w="6048" w:type="dxa"/>
          </w:tcPr>
          <w:p w14:paraId="361BB407" w14:textId="65550117" w:rsidR="006B0DB9" w:rsidRDefault="006B0DB9" w:rsidP="00B947CC">
            <w:pPr>
              <w:keepNext/>
              <w:ind w:left="113"/>
            </w:pPr>
            <w:r>
              <w:t xml:space="preserve">Mandating current clinical certification is expected to save eligibility checking time costs for public sector hiring managers. This equates to an avoided ten-year annualised FY25 NPV cost of </w:t>
            </w:r>
            <w:r w:rsidR="00314BF5" w:rsidRPr="00314BF5">
              <w:t>$</w:t>
            </w:r>
            <w:r w:rsidR="00BE3577" w:rsidRPr="00BE3577">
              <w:t xml:space="preserve">14,267 </w:t>
            </w:r>
            <w:r>
              <w:t>to public sector employers.</w:t>
            </w:r>
          </w:p>
        </w:tc>
      </w:tr>
      <w:tr w:rsidR="006B0DB9" w14:paraId="43C14D16" w14:textId="77777777" w:rsidTr="00C0610C">
        <w:trPr>
          <w:gridAfter w:val="1"/>
          <w:wAfter w:w="76" w:type="dxa"/>
          <w:trHeight w:val="943"/>
        </w:trPr>
        <w:tc>
          <w:tcPr>
            <w:tcW w:w="2268" w:type="dxa"/>
          </w:tcPr>
          <w:p w14:paraId="381EE3BC" w14:textId="77777777" w:rsidR="006B0DB9" w:rsidRPr="00CF20A5" w:rsidRDefault="006B0DB9" w:rsidP="00B947CC">
            <w:pPr>
              <w:keepNext/>
              <w:ind w:left="113" w:right="113"/>
            </w:pPr>
            <w:r>
              <w:t>Change in eligibility assessment time costs for other self-regulated health professions</w:t>
            </w:r>
          </w:p>
        </w:tc>
        <w:tc>
          <w:tcPr>
            <w:tcW w:w="1134" w:type="dxa"/>
            <w:shd w:val="clear" w:color="auto" w:fill="E6F3D9" w:themeFill="accent2" w:themeFillTint="33"/>
          </w:tcPr>
          <w:p w14:paraId="14137B44" w14:textId="77777777" w:rsidR="006B0DB9" w:rsidRDefault="006B0DB9" w:rsidP="00B947CC">
            <w:pPr>
              <w:keepNext/>
              <w:ind w:left="113" w:right="113"/>
            </w:pPr>
            <w:r>
              <w:t>Benefit</w:t>
            </w:r>
          </w:p>
        </w:tc>
        <w:tc>
          <w:tcPr>
            <w:tcW w:w="6048" w:type="dxa"/>
          </w:tcPr>
          <w:p w14:paraId="4A6C9C9F" w14:textId="77777777" w:rsidR="006B0DB9" w:rsidRDefault="006B0DB9" w:rsidP="00B947CC">
            <w:pPr>
              <w:keepNext/>
              <w:ind w:left="113" w:right="113"/>
            </w:pPr>
            <w:r>
              <w:t xml:space="preserve">To the extent that this option sets a precedent of mandatory current clinical certification for other self-regulated health professions, this may save public sector hiring managers further recruitment time costs. </w:t>
            </w:r>
            <w:r w:rsidRPr="009C59BE">
              <w:t>This cost has not been estimated at this time.</w:t>
            </w:r>
          </w:p>
        </w:tc>
      </w:tr>
      <w:tr w:rsidR="006B0DB9" w14:paraId="598EECCD" w14:textId="77777777" w:rsidTr="00C0610C">
        <w:trPr>
          <w:gridAfter w:val="1"/>
          <w:wAfter w:w="76" w:type="dxa"/>
          <w:trHeight w:val="539"/>
        </w:trPr>
        <w:tc>
          <w:tcPr>
            <w:tcW w:w="2268" w:type="dxa"/>
          </w:tcPr>
          <w:p w14:paraId="69B73036" w14:textId="77777777" w:rsidR="006B0DB9" w:rsidRDefault="006B0DB9" w:rsidP="00B947CC">
            <w:pPr>
              <w:keepNext/>
              <w:ind w:left="113" w:right="113"/>
            </w:pPr>
            <w:r>
              <w:t>Competition and labour market impacts</w:t>
            </w:r>
          </w:p>
        </w:tc>
        <w:tc>
          <w:tcPr>
            <w:tcW w:w="1134" w:type="dxa"/>
            <w:shd w:val="clear" w:color="auto" w:fill="FECECE"/>
          </w:tcPr>
          <w:p w14:paraId="33C1850C" w14:textId="77777777" w:rsidR="006B0DB9" w:rsidRDefault="006B0DB9" w:rsidP="00B947CC">
            <w:pPr>
              <w:keepNext/>
              <w:ind w:left="113" w:right="113"/>
            </w:pPr>
            <w:r>
              <w:t>Cost</w:t>
            </w:r>
          </w:p>
        </w:tc>
        <w:tc>
          <w:tcPr>
            <w:tcW w:w="6048" w:type="dxa"/>
          </w:tcPr>
          <w:p w14:paraId="2219F9C0" w14:textId="52208044" w:rsidR="006B0DB9" w:rsidRDefault="006B0DB9" w:rsidP="00B947CC">
            <w:pPr>
              <w:keepNext/>
              <w:ind w:left="113" w:right="113"/>
            </w:pPr>
            <w:r>
              <w:t xml:space="preserve">Given that mandatory current clinical certification under </w:t>
            </w:r>
            <w:r w:rsidR="003A69E1">
              <w:t>Strengthened Status Quo</w:t>
            </w:r>
            <w:r>
              <w:t xml:space="preserve"> only impacts the public sector, it is not expected to lead to any material competition effects relative to the </w:t>
            </w:r>
            <w:r w:rsidR="00A80F45">
              <w:t>Status Quo</w:t>
            </w:r>
            <w:r>
              <w:t xml:space="preserve">. However, it is acknowledged that </w:t>
            </w:r>
            <w:r w:rsidR="00B07173">
              <w:t xml:space="preserve">because </w:t>
            </w:r>
            <w:r>
              <w:t xml:space="preserve">public sector employers would bear the cost of current clinical certification fees, the public sector may become more desirable to audiologists’ seeking employment. </w:t>
            </w:r>
            <w:r w:rsidR="0008213C" w:rsidRPr="008148A2">
              <w:t>However, this potential competition impact is likely to be marginal, given that there are relatively few public sector audiology positions located in regional and rural areas.</w:t>
            </w:r>
          </w:p>
        </w:tc>
      </w:tr>
      <w:tr w:rsidR="006B0DB9" w14:paraId="5CFA8E7D" w14:textId="77777777" w:rsidTr="00C0610C">
        <w:trPr>
          <w:gridAfter w:val="1"/>
          <w:wAfter w:w="76" w:type="dxa"/>
          <w:trHeight w:val="251"/>
        </w:trPr>
        <w:tc>
          <w:tcPr>
            <w:tcW w:w="9450" w:type="dxa"/>
            <w:gridSpan w:val="3"/>
            <w:shd w:val="clear" w:color="auto" w:fill="F1F2F2" w:themeFill="background2"/>
          </w:tcPr>
          <w:p w14:paraId="5B1F5B33" w14:textId="77777777" w:rsidR="006B0DB9" w:rsidRDefault="006B0DB9" w:rsidP="00B947CC">
            <w:pPr>
              <w:keepNext/>
              <w:ind w:left="113" w:right="113"/>
            </w:pPr>
            <w:r>
              <w:t>Financial cost impacts of regulatory burden</w:t>
            </w:r>
          </w:p>
        </w:tc>
      </w:tr>
      <w:tr w:rsidR="006B0DB9" w14:paraId="65EF28F9" w14:textId="77777777" w:rsidTr="00C0610C">
        <w:trPr>
          <w:gridAfter w:val="1"/>
          <w:wAfter w:w="76" w:type="dxa"/>
          <w:trHeight w:val="1173"/>
        </w:trPr>
        <w:tc>
          <w:tcPr>
            <w:tcW w:w="2268" w:type="dxa"/>
          </w:tcPr>
          <w:p w14:paraId="13393EE2" w14:textId="77777777" w:rsidR="006B0DB9" w:rsidRPr="00B97D78" w:rsidRDefault="006B0DB9" w:rsidP="00B947CC">
            <w:pPr>
              <w:keepNext/>
              <w:ind w:left="113" w:right="113"/>
            </w:pPr>
            <w:r>
              <w:t>Change in current clinical certification fees - for audiologists</w:t>
            </w:r>
          </w:p>
        </w:tc>
        <w:tc>
          <w:tcPr>
            <w:tcW w:w="1134" w:type="dxa"/>
            <w:shd w:val="clear" w:color="auto" w:fill="E6F3D9" w:themeFill="accent2" w:themeFillTint="33"/>
          </w:tcPr>
          <w:p w14:paraId="162E260B" w14:textId="77777777" w:rsidR="006B0DB9" w:rsidRDefault="006B0DB9" w:rsidP="00B947CC">
            <w:pPr>
              <w:keepNext/>
              <w:ind w:left="113" w:right="113"/>
            </w:pPr>
            <w:r>
              <w:t>Benefit</w:t>
            </w:r>
          </w:p>
        </w:tc>
        <w:tc>
          <w:tcPr>
            <w:tcW w:w="6048" w:type="dxa"/>
          </w:tcPr>
          <w:p w14:paraId="0376217B" w14:textId="6F158E8E" w:rsidR="006B0DB9" w:rsidRDefault="006B0DB9" w:rsidP="00B947CC">
            <w:pPr>
              <w:keepNext/>
              <w:ind w:left="113"/>
            </w:pPr>
            <w:r w:rsidRPr="00202D74">
              <w:t>For jurisdictions that choose to require current clinical certification for public sector audiologists, audiologists that previously paid for their own current clinical certification would have their fees paid for by their employer instead</w:t>
            </w:r>
            <w:r>
              <w:t xml:space="preserve">. This equates to a ten-year annualised avoided FY25 NPV cost of </w:t>
            </w:r>
            <w:r w:rsidR="00136192" w:rsidRPr="00136192">
              <w:t>$</w:t>
            </w:r>
            <w:r w:rsidR="00BE3577" w:rsidRPr="00BE3577">
              <w:t xml:space="preserve">93,398 </w:t>
            </w:r>
            <w:r>
              <w:t>to public sector audiologists.</w:t>
            </w:r>
          </w:p>
        </w:tc>
      </w:tr>
      <w:tr w:rsidR="006B0DB9" w14:paraId="44047382" w14:textId="77777777" w:rsidTr="00C0610C">
        <w:trPr>
          <w:gridAfter w:val="1"/>
          <w:wAfter w:w="76" w:type="dxa"/>
          <w:trHeight w:val="1173"/>
        </w:trPr>
        <w:tc>
          <w:tcPr>
            <w:tcW w:w="2268" w:type="dxa"/>
          </w:tcPr>
          <w:p w14:paraId="2303C8A0" w14:textId="77777777" w:rsidR="006B0DB9" w:rsidRDefault="006B0DB9" w:rsidP="00B947CC">
            <w:pPr>
              <w:keepNext/>
              <w:ind w:left="113" w:right="113"/>
            </w:pPr>
            <w:r>
              <w:t>Change in current clinical certification fees - for public sector employers</w:t>
            </w:r>
          </w:p>
        </w:tc>
        <w:tc>
          <w:tcPr>
            <w:tcW w:w="1134" w:type="dxa"/>
            <w:shd w:val="clear" w:color="auto" w:fill="FECECE"/>
          </w:tcPr>
          <w:p w14:paraId="633478BE" w14:textId="77777777" w:rsidR="006B0DB9" w:rsidRDefault="006B0DB9" w:rsidP="00B947CC">
            <w:pPr>
              <w:keepNext/>
              <w:ind w:left="113" w:right="113"/>
            </w:pPr>
            <w:r>
              <w:t>Cost</w:t>
            </w:r>
          </w:p>
        </w:tc>
        <w:tc>
          <w:tcPr>
            <w:tcW w:w="6048" w:type="dxa"/>
          </w:tcPr>
          <w:p w14:paraId="6F08E9F6" w14:textId="4CAC3F01" w:rsidR="006B0DB9" w:rsidRPr="00202D74" w:rsidRDefault="006B0DB9" w:rsidP="00B947CC">
            <w:pPr>
              <w:keepNext/>
              <w:ind w:left="113"/>
            </w:pPr>
            <w:r w:rsidRPr="00202D74">
              <w:t>For jurisdictions that choose to require current clinical certification for public sector audiologists, audiologists that previously paid for their own current clinical certification would have their fees paid for by their employer instead</w:t>
            </w:r>
            <w:r>
              <w:t xml:space="preserve"> (i.e., it becomes a compliance cost for the employer). This equates to a ten-year FY25 NPV cost of </w:t>
            </w:r>
            <w:r w:rsidR="00346204" w:rsidRPr="00346204">
              <w:t xml:space="preserve">$132,889 </w:t>
            </w:r>
            <w:r>
              <w:t>to public sector employers.</w:t>
            </w:r>
          </w:p>
        </w:tc>
      </w:tr>
      <w:tr w:rsidR="006B0DB9" w14:paraId="1620ECE0" w14:textId="77777777" w:rsidTr="00C0610C">
        <w:trPr>
          <w:gridAfter w:val="1"/>
          <w:wAfter w:w="76" w:type="dxa"/>
          <w:trHeight w:val="712"/>
        </w:trPr>
        <w:tc>
          <w:tcPr>
            <w:tcW w:w="2268" w:type="dxa"/>
          </w:tcPr>
          <w:p w14:paraId="79D026DA" w14:textId="77777777" w:rsidR="006B0DB9" w:rsidRPr="00B97D78" w:rsidRDefault="006B0DB9" w:rsidP="00B947CC">
            <w:pPr>
              <w:keepNext/>
              <w:ind w:left="113" w:right="113"/>
            </w:pPr>
            <w:r>
              <w:t>Implementation cost for regulatory change</w:t>
            </w:r>
          </w:p>
        </w:tc>
        <w:tc>
          <w:tcPr>
            <w:tcW w:w="1134" w:type="dxa"/>
            <w:shd w:val="clear" w:color="auto" w:fill="FECECE"/>
          </w:tcPr>
          <w:p w14:paraId="416F773A" w14:textId="77777777" w:rsidR="006B0DB9" w:rsidRDefault="006B0DB9" w:rsidP="00B947CC">
            <w:pPr>
              <w:keepNext/>
              <w:ind w:left="113" w:right="113"/>
            </w:pPr>
            <w:r>
              <w:t>Cost</w:t>
            </w:r>
          </w:p>
        </w:tc>
        <w:tc>
          <w:tcPr>
            <w:tcW w:w="6048" w:type="dxa"/>
          </w:tcPr>
          <w:p w14:paraId="6C3DB3A0" w14:textId="290ABEC5" w:rsidR="006B0DB9" w:rsidRPr="007635A1" w:rsidRDefault="006B0DB9" w:rsidP="00B947CC">
            <w:pPr>
              <w:keepNext/>
              <w:ind w:left="113" w:right="113"/>
              <w:rPr>
                <w:i/>
              </w:rPr>
            </w:pPr>
            <w:r>
              <w:t xml:space="preserve">State and </w:t>
            </w:r>
            <w:r w:rsidR="00C0277B">
              <w:t>T</w:t>
            </w:r>
            <w:r>
              <w:t xml:space="preserve">erritory health departments would be required to amend their employment frameworks in order mandate current clinical certification. </w:t>
            </w:r>
            <w:r w:rsidR="008B3803" w:rsidRPr="008B3803">
              <w:t>It is assumed that these changes would occur as part of business-as-usual enterprise bargaining agreement cycles, and hence nil additional cost has been estimated.</w:t>
            </w:r>
          </w:p>
        </w:tc>
      </w:tr>
      <w:tr w:rsidR="006B0DB9" w14:paraId="226224F3" w14:textId="77777777" w:rsidTr="00C0610C">
        <w:trPr>
          <w:gridAfter w:val="1"/>
          <w:wAfter w:w="76" w:type="dxa"/>
          <w:trHeight w:val="431"/>
        </w:trPr>
        <w:tc>
          <w:tcPr>
            <w:tcW w:w="2268" w:type="dxa"/>
          </w:tcPr>
          <w:p w14:paraId="082C08A6" w14:textId="77777777" w:rsidR="006B0DB9" w:rsidRPr="00310DA8" w:rsidRDefault="006B0DB9" w:rsidP="00B947CC">
            <w:pPr>
              <w:keepNext/>
              <w:ind w:left="113" w:right="113"/>
            </w:pPr>
            <w:r>
              <w:t>Change in current clinical certification fees for other self-regulated health professions</w:t>
            </w:r>
          </w:p>
        </w:tc>
        <w:tc>
          <w:tcPr>
            <w:tcW w:w="1134" w:type="dxa"/>
            <w:shd w:val="clear" w:color="auto" w:fill="FECECE"/>
          </w:tcPr>
          <w:p w14:paraId="1C546F6B" w14:textId="77777777" w:rsidR="006B0DB9" w:rsidRDefault="006B0DB9" w:rsidP="00B947CC">
            <w:pPr>
              <w:keepNext/>
              <w:ind w:left="113" w:right="113"/>
            </w:pPr>
            <w:r>
              <w:t>Cost</w:t>
            </w:r>
          </w:p>
        </w:tc>
        <w:tc>
          <w:tcPr>
            <w:tcW w:w="6048" w:type="dxa"/>
          </w:tcPr>
          <w:p w14:paraId="6E432EAA" w14:textId="3A866A9A" w:rsidR="006B0DB9" w:rsidRDefault="006B0DB9" w:rsidP="00B947CC">
            <w:pPr>
              <w:keepNext/>
            </w:pPr>
            <w:r>
              <w:t xml:space="preserve">To the extent that this option sets a precedent of mandatory current clinical certification for other self-regulated health professions, there could be substantial costs for public sector employers if they are required to pay current clinical certification fees (or equivalent) for a range of health professions. </w:t>
            </w:r>
            <w:r w:rsidRPr="00301F8D">
              <w:rPr>
                <w:b/>
                <w:bCs/>
              </w:rPr>
              <w:t>This cost has not been estimated at this time.</w:t>
            </w:r>
          </w:p>
        </w:tc>
      </w:tr>
      <w:tr w:rsidR="006B0DB9" w14:paraId="6F2DC54A" w14:textId="77777777" w:rsidTr="00C0610C">
        <w:trPr>
          <w:gridAfter w:val="1"/>
          <w:wAfter w:w="76" w:type="dxa"/>
          <w:trHeight w:val="298"/>
        </w:trPr>
        <w:tc>
          <w:tcPr>
            <w:tcW w:w="2268" w:type="dxa"/>
          </w:tcPr>
          <w:p w14:paraId="2A30350D" w14:textId="77777777" w:rsidR="006B0DB9" w:rsidRPr="00310DA8" w:rsidRDefault="006B0DB9" w:rsidP="00B947CC">
            <w:pPr>
              <w:keepNext/>
              <w:ind w:left="113" w:right="113"/>
            </w:pPr>
            <w:r>
              <w:t>Change in government expenditure to fund CPD</w:t>
            </w:r>
          </w:p>
        </w:tc>
        <w:tc>
          <w:tcPr>
            <w:tcW w:w="1134" w:type="dxa"/>
            <w:shd w:val="clear" w:color="auto" w:fill="FECECE"/>
          </w:tcPr>
          <w:p w14:paraId="16700519" w14:textId="77777777" w:rsidR="006B0DB9" w:rsidRDefault="006B0DB9" w:rsidP="00B947CC">
            <w:pPr>
              <w:keepNext/>
              <w:ind w:left="113" w:right="113"/>
            </w:pPr>
            <w:r>
              <w:t>Cost</w:t>
            </w:r>
          </w:p>
        </w:tc>
        <w:tc>
          <w:tcPr>
            <w:tcW w:w="6048" w:type="dxa"/>
          </w:tcPr>
          <w:p w14:paraId="62804D99" w14:textId="06F9F87C" w:rsidR="006B0DB9" w:rsidRDefault="006B0DB9" w:rsidP="00B947CC">
            <w:pPr>
              <w:keepNext/>
              <w:ind w:left="113"/>
            </w:pPr>
            <w:r>
              <w:t>Decision-makers would collectively determine the national government funding envelope for CPD, noting that $1 million was provided to the sector in 2021 to develop several pieces of clinical documentation</w:t>
            </w:r>
            <w:r w:rsidRPr="002542DF">
              <w:t xml:space="preserve">. </w:t>
            </w:r>
            <w:r w:rsidRPr="00972F5E">
              <w:t xml:space="preserve">This cost </w:t>
            </w:r>
            <w:r w:rsidR="007467F7" w:rsidRPr="00972F5E">
              <w:t xml:space="preserve">is entirely flexible, and hence has </w:t>
            </w:r>
            <w:r w:rsidRPr="00972F5E">
              <w:t>not been estimated at this time.</w:t>
            </w:r>
          </w:p>
        </w:tc>
      </w:tr>
    </w:tbl>
    <w:p w14:paraId="09A155B6" w14:textId="77777777" w:rsidR="00A36745" w:rsidRDefault="00A36745" w:rsidP="00A36745"/>
    <w:p w14:paraId="34EAD9A2" w14:textId="44FFBB34" w:rsidR="00690E6A" w:rsidRDefault="00D87972" w:rsidP="00690E6A">
      <w:pPr>
        <w:pStyle w:val="BodyText"/>
      </w:pPr>
      <w:r>
        <w:t>The table below</w:t>
      </w:r>
      <w:r w:rsidR="00A36745">
        <w:t xml:space="preserve"> summarises the total estimated financial costs (less the costs offsets) associated with this option relative to the </w:t>
      </w:r>
      <w:r w:rsidR="00A80F45">
        <w:t>Status Quo</w:t>
      </w:r>
      <w:r w:rsidR="00A36745">
        <w:t xml:space="preserve">. </w:t>
      </w:r>
    </w:p>
    <w:p w14:paraId="0D61E264" w14:textId="014AFD7A" w:rsidR="00A36745" w:rsidRPr="0007458C" w:rsidRDefault="00A36745" w:rsidP="00690E6A">
      <w:pPr>
        <w:pStyle w:val="BodyText"/>
      </w:pPr>
      <w:r w:rsidRPr="0007458C">
        <w:t xml:space="preserve">Note that this summary of cost does not include: </w:t>
      </w:r>
    </w:p>
    <w:p w14:paraId="7F36BD70" w14:textId="2C2B03CC" w:rsidR="00A36745" w:rsidRPr="0007458C" w:rsidRDefault="00A36745" w:rsidP="004223DC">
      <w:pPr>
        <w:pStyle w:val="ListBullet"/>
      </w:pPr>
      <w:r w:rsidRPr="0007458C">
        <w:t>any precedent-setting costs associated with other self-regulated health professions</w:t>
      </w:r>
      <w:r w:rsidR="00F653E0" w:rsidRPr="0007458C">
        <w:t xml:space="preserve"> to cover current clinical certification costs on an ongoing basis</w:t>
      </w:r>
    </w:p>
    <w:p w14:paraId="720E6AD8" w14:textId="49BD9C1B" w:rsidR="00A36745" w:rsidRPr="0007458C" w:rsidRDefault="00A36745" w:rsidP="004223DC">
      <w:pPr>
        <w:pStyle w:val="ListBullet"/>
      </w:pPr>
      <w:r w:rsidRPr="0007458C">
        <w:t>the cost associated with expenditure to fund the CPD quality uplift</w:t>
      </w:r>
      <w:r w:rsidR="006A0AAC" w:rsidRPr="0007458C">
        <w:t xml:space="preserve"> (a decision of policy-makers)</w:t>
      </w:r>
      <w:r w:rsidRPr="0007458C">
        <w:t>.</w:t>
      </w:r>
    </w:p>
    <w:p w14:paraId="13A4CF3C" w14:textId="61E4C310" w:rsidR="006A0AAC" w:rsidRDefault="006A0AAC" w:rsidP="00972F5E">
      <w:pPr>
        <w:pStyle w:val="ListBullet"/>
        <w:numPr>
          <w:ilvl w:val="0"/>
          <w:numId w:val="0"/>
        </w:numPr>
      </w:pPr>
      <w:r w:rsidRPr="0007458C">
        <w:t>Both of these costs would accrue to government.</w:t>
      </w:r>
    </w:p>
    <w:p w14:paraId="0C0333AA" w14:textId="6BA36F81" w:rsidR="00516B70" w:rsidRPr="0007458C" w:rsidRDefault="00516B70" w:rsidP="00972F5E">
      <w:pPr>
        <w:pStyle w:val="ListBullet"/>
        <w:numPr>
          <w:ilvl w:val="0"/>
          <w:numId w:val="0"/>
        </w:numPr>
      </w:pPr>
      <w:r w:rsidRPr="00516B70">
        <w:t>As previously stated, this analysis does not consider second-round impacts of costs passed through, however the extent to which costs may be subsequently passed on consumers is discussed for the preferred option in Section 9.2.4.3.</w:t>
      </w:r>
    </w:p>
    <w:p w14:paraId="2E25D5BC" w14:textId="3E6F9C32" w:rsidR="00A36745" w:rsidRPr="00BC4DC2" w:rsidRDefault="004223DC" w:rsidP="007B07E2">
      <w:pPr>
        <w:pStyle w:val="Caption"/>
        <w:keepNext/>
        <w:tabs>
          <w:tab w:val="left" w:pos="6804"/>
        </w:tabs>
      </w:pPr>
      <w:bookmarkStart w:id="321" w:name="_Ref171288817"/>
      <w:r>
        <w:t xml:space="preserve">Table </w:t>
      </w:r>
      <w:fldSimple w:instr=" STYLEREF 1 \s ">
        <w:r w:rsidR="00F32107">
          <w:rPr>
            <w:noProof/>
          </w:rPr>
          <w:t>8</w:t>
        </w:r>
      </w:fldSimple>
      <w:r w:rsidR="008944FB">
        <w:t>.</w:t>
      </w:r>
      <w:fldSimple w:instr=" SEQ Table \* ARABIC \s 1 ">
        <w:r w:rsidR="00F32107">
          <w:rPr>
            <w:noProof/>
          </w:rPr>
          <w:t>37</w:t>
        </w:r>
      </w:fldSimple>
      <w:r>
        <w:t xml:space="preserve"> </w:t>
      </w:r>
      <w:r w:rsidR="00A36745">
        <w:t xml:space="preserve">Estimated ten-year costs associated with </w:t>
      </w:r>
      <w:bookmarkEnd w:id="321"/>
      <w:r w:rsidR="003A69E1">
        <w:t>Strengthened Status Quo</w:t>
      </w:r>
      <w:r w:rsidR="00094513">
        <w:t xml:space="preserve"> relative to the </w:t>
      </w:r>
      <w:r w:rsidR="00A80F45">
        <w:t>Status Quo</w:t>
      </w:r>
      <w:r w:rsidR="00094513">
        <w:t xml:space="preserve"> </w:t>
      </w:r>
    </w:p>
    <w:tbl>
      <w:tblPr>
        <w:tblStyle w:val="BodyTable"/>
        <w:tblW w:w="9428" w:type="dxa"/>
        <w:tblInd w:w="2" w:type="dxa"/>
        <w:tblLayout w:type="fixed"/>
        <w:tblLook w:val="04A0" w:firstRow="1" w:lastRow="0" w:firstColumn="1" w:lastColumn="0" w:noHBand="0" w:noVBand="1"/>
      </w:tblPr>
      <w:tblGrid>
        <w:gridCol w:w="20"/>
        <w:gridCol w:w="1270"/>
        <w:gridCol w:w="3416"/>
        <w:gridCol w:w="1180"/>
        <w:gridCol w:w="1181"/>
        <w:gridCol w:w="1180"/>
        <w:gridCol w:w="1181"/>
      </w:tblGrid>
      <w:tr w:rsidR="001820CE" w:rsidRPr="00466057" w14:paraId="6122BEF6" w14:textId="77777777" w:rsidTr="00356946">
        <w:trPr>
          <w:gridBefore w:val="1"/>
          <w:cnfStyle w:val="100000000000" w:firstRow="1" w:lastRow="0" w:firstColumn="0" w:lastColumn="0" w:oddVBand="0" w:evenVBand="0" w:oddHBand="0" w:evenHBand="0" w:firstRowFirstColumn="0" w:firstRowLastColumn="0" w:lastRowFirstColumn="0" w:lastRowLastColumn="0"/>
          <w:wBefore w:w="20" w:type="dxa"/>
          <w:trHeight w:val="311"/>
        </w:trPr>
        <w:tc>
          <w:tcPr>
            <w:tcW w:w="1270" w:type="dxa"/>
          </w:tcPr>
          <w:p w14:paraId="201BC548" w14:textId="24757F27" w:rsidR="001820CE" w:rsidRPr="00CF77E4" w:rsidRDefault="001820CE" w:rsidP="007A7EF3">
            <w:pPr>
              <w:keepNext/>
              <w:spacing w:line="240" w:lineRule="auto"/>
              <w:rPr>
                <w:b/>
              </w:rPr>
            </w:pPr>
            <w:r w:rsidRPr="00CF77E4">
              <w:rPr>
                <w:b/>
                <w:bCs/>
              </w:rPr>
              <w:t>Stakeholder affected</w:t>
            </w:r>
          </w:p>
        </w:tc>
        <w:tc>
          <w:tcPr>
            <w:tcW w:w="3416" w:type="dxa"/>
            <w:noWrap/>
          </w:tcPr>
          <w:p w14:paraId="7C854B1C" w14:textId="7F8EF2CE" w:rsidR="001820CE" w:rsidRPr="00CF77E4" w:rsidRDefault="001820CE" w:rsidP="007A7EF3">
            <w:pPr>
              <w:keepNext/>
              <w:spacing w:line="240" w:lineRule="auto"/>
              <w:rPr>
                <w:b/>
              </w:rPr>
            </w:pPr>
            <w:r w:rsidRPr="00CF77E4">
              <w:rPr>
                <w:b/>
                <w:bCs/>
              </w:rPr>
              <w:t>Cost type</w:t>
            </w:r>
          </w:p>
        </w:tc>
        <w:tc>
          <w:tcPr>
            <w:tcW w:w="1180" w:type="dxa"/>
            <w:noWrap/>
          </w:tcPr>
          <w:p w14:paraId="350BB360" w14:textId="77777777" w:rsidR="001820CE" w:rsidRPr="00FD0A8E" w:rsidRDefault="001820CE" w:rsidP="007A7EF3">
            <w:pPr>
              <w:keepNext/>
              <w:spacing w:line="240" w:lineRule="auto"/>
              <w:ind w:left="113" w:right="113"/>
              <w:jc w:val="right"/>
              <w:rPr>
                <w:b/>
                <w:bCs/>
              </w:rPr>
            </w:pPr>
            <w:r w:rsidRPr="00FD0A8E">
              <w:rPr>
                <w:b/>
                <w:bCs/>
              </w:rPr>
              <w:t>Total NPV cost in establishment years</w:t>
            </w:r>
          </w:p>
          <w:p w14:paraId="1EF5AB40" w14:textId="32D398EC" w:rsidR="001820CE" w:rsidRPr="00466057" w:rsidRDefault="001820CE" w:rsidP="007A7EF3">
            <w:pPr>
              <w:keepNext/>
              <w:spacing w:line="240" w:lineRule="auto"/>
              <w:jc w:val="right"/>
              <w:rPr>
                <w:rFonts w:eastAsia="Times New Roman" w:cs="Calibri Light"/>
                <w:color w:val="000000"/>
                <w:szCs w:val="20"/>
                <w:lang w:eastAsia="en-AU"/>
              </w:rPr>
            </w:pPr>
            <w:r w:rsidRPr="00FD0A8E">
              <w:rPr>
                <w:b/>
                <w:bCs/>
              </w:rPr>
              <w:t>(FY25-28)</w:t>
            </w:r>
          </w:p>
        </w:tc>
        <w:tc>
          <w:tcPr>
            <w:tcW w:w="1181" w:type="dxa"/>
            <w:noWrap/>
          </w:tcPr>
          <w:p w14:paraId="2EE5C5A4" w14:textId="77777777" w:rsidR="001820CE" w:rsidRPr="00FD0A8E" w:rsidRDefault="001820CE" w:rsidP="007A7EF3">
            <w:pPr>
              <w:keepNext/>
              <w:spacing w:line="240" w:lineRule="auto"/>
              <w:ind w:left="113" w:right="113"/>
              <w:jc w:val="right"/>
              <w:rPr>
                <w:b/>
                <w:bCs/>
              </w:rPr>
            </w:pPr>
            <w:r w:rsidRPr="00FD0A8E">
              <w:rPr>
                <w:b/>
                <w:bCs/>
              </w:rPr>
              <w:t>Total NPV cost in operational years</w:t>
            </w:r>
          </w:p>
          <w:p w14:paraId="04A1F346" w14:textId="3AA9D26D" w:rsidR="001820CE" w:rsidRPr="00466057" w:rsidRDefault="001820CE" w:rsidP="007A7EF3">
            <w:pPr>
              <w:keepNext/>
              <w:spacing w:line="240" w:lineRule="auto"/>
              <w:jc w:val="right"/>
              <w:rPr>
                <w:rFonts w:eastAsia="Times New Roman" w:cs="Calibri Light"/>
                <w:color w:val="000000"/>
                <w:szCs w:val="20"/>
                <w:lang w:eastAsia="en-AU"/>
              </w:rPr>
            </w:pPr>
            <w:r w:rsidRPr="00FD0A8E">
              <w:rPr>
                <w:b/>
                <w:bCs/>
              </w:rPr>
              <w:t>(FY29-34)</w:t>
            </w:r>
          </w:p>
        </w:tc>
        <w:tc>
          <w:tcPr>
            <w:tcW w:w="1180" w:type="dxa"/>
            <w:noWrap/>
          </w:tcPr>
          <w:p w14:paraId="5987FE1C" w14:textId="77777777" w:rsidR="001820CE" w:rsidRPr="00FD0A8E" w:rsidRDefault="001820CE" w:rsidP="007A7EF3">
            <w:pPr>
              <w:keepNext/>
              <w:spacing w:line="240" w:lineRule="auto"/>
              <w:ind w:left="113" w:right="113"/>
              <w:jc w:val="right"/>
              <w:rPr>
                <w:b/>
                <w:bCs/>
              </w:rPr>
            </w:pPr>
            <w:r w:rsidRPr="00FD0A8E">
              <w:rPr>
                <w:b/>
                <w:bCs/>
              </w:rPr>
              <w:t>Total NPV cost over ten-year period</w:t>
            </w:r>
          </w:p>
          <w:p w14:paraId="6184D0E5" w14:textId="218F862F" w:rsidR="001820CE" w:rsidRPr="00466057" w:rsidRDefault="001820CE" w:rsidP="007A7EF3">
            <w:pPr>
              <w:keepNext/>
              <w:spacing w:line="240" w:lineRule="auto"/>
              <w:jc w:val="right"/>
              <w:rPr>
                <w:rFonts w:eastAsia="Times New Roman" w:cs="Calibri Light"/>
                <w:color w:val="000000"/>
                <w:szCs w:val="20"/>
                <w:lang w:eastAsia="en-AU"/>
              </w:rPr>
            </w:pPr>
            <w:r w:rsidRPr="00FD0A8E">
              <w:rPr>
                <w:b/>
                <w:bCs/>
              </w:rPr>
              <w:t>(FY25-34)</w:t>
            </w:r>
          </w:p>
        </w:tc>
        <w:tc>
          <w:tcPr>
            <w:tcW w:w="1181" w:type="dxa"/>
          </w:tcPr>
          <w:p w14:paraId="124296F6" w14:textId="77777777" w:rsidR="001820CE" w:rsidRPr="00FD0A8E" w:rsidRDefault="001820CE" w:rsidP="007A7EF3">
            <w:pPr>
              <w:keepNext/>
              <w:spacing w:line="240" w:lineRule="auto"/>
              <w:ind w:left="113" w:right="113"/>
              <w:jc w:val="right"/>
              <w:rPr>
                <w:b/>
                <w:bCs/>
              </w:rPr>
            </w:pPr>
            <w:r w:rsidRPr="00FD0A8E">
              <w:rPr>
                <w:b/>
                <w:bCs/>
              </w:rPr>
              <w:t>Annualised NPV cost over ten-year period</w:t>
            </w:r>
          </w:p>
          <w:p w14:paraId="4D69710C" w14:textId="259F5F1E" w:rsidR="001820CE" w:rsidRPr="006A1D83" w:rsidRDefault="001820CE" w:rsidP="007A7EF3">
            <w:pPr>
              <w:keepNext/>
              <w:spacing w:line="240" w:lineRule="auto"/>
              <w:ind w:left="113" w:right="113"/>
              <w:jc w:val="right"/>
              <w:rPr>
                <w:b/>
              </w:rPr>
            </w:pPr>
            <w:r w:rsidRPr="00FD0A8E">
              <w:rPr>
                <w:b/>
                <w:bCs/>
              </w:rPr>
              <w:t>(FY25-34)</w:t>
            </w:r>
          </w:p>
        </w:tc>
      </w:tr>
      <w:tr w:rsidR="005E1BE9" w:rsidRPr="00466057" w14:paraId="1308D07B" w14:textId="77777777" w:rsidTr="00356946">
        <w:trPr>
          <w:gridBefore w:val="1"/>
          <w:wBefore w:w="20" w:type="dxa"/>
          <w:trHeight w:val="311"/>
        </w:trPr>
        <w:tc>
          <w:tcPr>
            <w:tcW w:w="1270" w:type="dxa"/>
            <w:tcBorders>
              <w:bottom w:val="single" w:sz="4" w:space="0" w:color="000000" w:themeColor="text1"/>
            </w:tcBorders>
          </w:tcPr>
          <w:p w14:paraId="09277E2B" w14:textId="11D95741" w:rsidR="005E1BE9" w:rsidRPr="00E419D7" w:rsidRDefault="005E1BE9" w:rsidP="007A7EF3">
            <w:pPr>
              <w:keepNext/>
              <w:spacing w:line="240" w:lineRule="auto"/>
              <w:rPr>
                <w:color w:val="7F7F7F" w:themeColor="text1" w:themeTint="80"/>
              </w:rPr>
            </w:pPr>
            <w:r>
              <w:rPr>
                <w:color w:val="7F7F7F" w:themeColor="text1" w:themeTint="80"/>
              </w:rPr>
              <w:t>Government</w:t>
            </w:r>
          </w:p>
        </w:tc>
        <w:tc>
          <w:tcPr>
            <w:tcW w:w="3416" w:type="dxa"/>
            <w:tcBorders>
              <w:bottom w:val="single" w:sz="4" w:space="0" w:color="000000" w:themeColor="text1"/>
            </w:tcBorders>
            <w:noWrap/>
          </w:tcPr>
          <w:p w14:paraId="0D04C8E6" w14:textId="0E31420E" w:rsidR="005E1BE9" w:rsidRPr="00E419D7" w:rsidRDefault="005E1BE9" w:rsidP="007A7EF3">
            <w:pPr>
              <w:keepNext/>
              <w:spacing w:line="240" w:lineRule="auto"/>
              <w:rPr>
                <w:iCs/>
              </w:rPr>
            </w:pPr>
            <w:r w:rsidRPr="00E419D7">
              <w:rPr>
                <w:color w:val="7F7F7F" w:themeColor="text1" w:themeTint="80"/>
              </w:rPr>
              <w:t>Implementation cost for regulatory change</w:t>
            </w:r>
            <w:r>
              <w:rPr>
                <w:color w:val="7F7F7F" w:themeColor="text1" w:themeTint="80"/>
              </w:rPr>
              <w:t>^</w:t>
            </w:r>
          </w:p>
        </w:tc>
        <w:tc>
          <w:tcPr>
            <w:tcW w:w="1180" w:type="dxa"/>
            <w:tcBorders>
              <w:bottom w:val="single" w:sz="4" w:space="0" w:color="000000" w:themeColor="text1"/>
            </w:tcBorders>
            <w:noWrap/>
            <w:vAlign w:val="center"/>
          </w:tcPr>
          <w:p w14:paraId="0B9BD7C1" w14:textId="6E10D584" w:rsidR="005E1BE9" w:rsidRPr="009D737B" w:rsidRDefault="005E1BE9" w:rsidP="007A7EF3">
            <w:pPr>
              <w:keepNext/>
              <w:spacing w:line="240" w:lineRule="auto"/>
              <w:jc w:val="right"/>
              <w:rPr>
                <w:color w:val="7F7F7F" w:themeColor="text1" w:themeTint="80"/>
              </w:rPr>
            </w:pPr>
            <w:r w:rsidRPr="00972F5E">
              <w:rPr>
                <w:color w:val="7F7F7F" w:themeColor="text1" w:themeTint="80"/>
              </w:rPr>
              <w:t xml:space="preserve"> $-   </w:t>
            </w:r>
          </w:p>
        </w:tc>
        <w:tc>
          <w:tcPr>
            <w:tcW w:w="1181" w:type="dxa"/>
            <w:tcBorders>
              <w:bottom w:val="single" w:sz="4" w:space="0" w:color="000000" w:themeColor="text1"/>
            </w:tcBorders>
            <w:noWrap/>
            <w:vAlign w:val="center"/>
          </w:tcPr>
          <w:p w14:paraId="74B0C36D" w14:textId="16DC1E12" w:rsidR="005E1BE9" w:rsidRPr="009D737B" w:rsidRDefault="005E1BE9" w:rsidP="007A7EF3">
            <w:pPr>
              <w:keepNext/>
              <w:spacing w:line="240" w:lineRule="auto"/>
              <w:jc w:val="right"/>
              <w:rPr>
                <w:color w:val="7F7F7F" w:themeColor="text1" w:themeTint="80"/>
              </w:rPr>
            </w:pPr>
            <w:r w:rsidRPr="00972F5E">
              <w:rPr>
                <w:color w:val="7F7F7F" w:themeColor="text1" w:themeTint="80"/>
              </w:rPr>
              <w:t xml:space="preserve"> $-   </w:t>
            </w:r>
          </w:p>
        </w:tc>
        <w:tc>
          <w:tcPr>
            <w:tcW w:w="1180" w:type="dxa"/>
            <w:tcBorders>
              <w:bottom w:val="single" w:sz="4" w:space="0" w:color="000000" w:themeColor="text1"/>
            </w:tcBorders>
            <w:noWrap/>
            <w:vAlign w:val="center"/>
          </w:tcPr>
          <w:p w14:paraId="3C463544" w14:textId="157A486C" w:rsidR="005E1BE9" w:rsidRPr="009D737B" w:rsidRDefault="005E1BE9" w:rsidP="007A7EF3">
            <w:pPr>
              <w:keepNext/>
              <w:spacing w:line="240" w:lineRule="auto"/>
              <w:jc w:val="right"/>
              <w:rPr>
                <w:color w:val="7F7F7F" w:themeColor="text1" w:themeTint="80"/>
              </w:rPr>
            </w:pPr>
            <w:r w:rsidRPr="00972F5E">
              <w:rPr>
                <w:color w:val="7F7F7F" w:themeColor="text1" w:themeTint="80"/>
              </w:rPr>
              <w:t xml:space="preserve"> $-   </w:t>
            </w:r>
          </w:p>
        </w:tc>
        <w:tc>
          <w:tcPr>
            <w:tcW w:w="1181" w:type="dxa"/>
            <w:tcBorders>
              <w:bottom w:val="single" w:sz="4" w:space="0" w:color="000000" w:themeColor="text1"/>
            </w:tcBorders>
            <w:vAlign w:val="center"/>
          </w:tcPr>
          <w:p w14:paraId="6C765787" w14:textId="0F390D56" w:rsidR="005E1BE9" w:rsidRPr="009D737B" w:rsidRDefault="005E1BE9" w:rsidP="007A7EF3">
            <w:pPr>
              <w:keepNext/>
              <w:spacing w:line="240" w:lineRule="auto"/>
              <w:jc w:val="right"/>
              <w:rPr>
                <w:color w:val="7F7F7F" w:themeColor="text1" w:themeTint="80"/>
              </w:rPr>
            </w:pPr>
            <w:r w:rsidRPr="00972F5E">
              <w:rPr>
                <w:color w:val="7F7F7F" w:themeColor="text1" w:themeTint="80"/>
              </w:rPr>
              <w:t xml:space="preserve"> $-   </w:t>
            </w:r>
          </w:p>
        </w:tc>
      </w:tr>
      <w:tr w:rsidR="00D85430" w:rsidRPr="00466057" w14:paraId="440CDE51" w14:textId="77777777" w:rsidTr="00EE3AA4">
        <w:trPr>
          <w:gridBefore w:val="1"/>
          <w:wBefore w:w="20" w:type="dxa"/>
          <w:trHeight w:val="311"/>
        </w:trPr>
        <w:tc>
          <w:tcPr>
            <w:tcW w:w="0" w:type="dxa"/>
            <w:tcBorders>
              <w:top w:val="single" w:sz="4" w:space="0" w:color="000000" w:themeColor="text1"/>
              <w:bottom w:val="single" w:sz="4" w:space="0" w:color="auto"/>
            </w:tcBorders>
          </w:tcPr>
          <w:p w14:paraId="5D148543" w14:textId="1C6C71BC" w:rsidR="00D85430" w:rsidRPr="006B45B9" w:rsidRDefault="00D85430" w:rsidP="007A7EF3">
            <w:pPr>
              <w:keepNext/>
              <w:spacing w:line="240" w:lineRule="auto"/>
            </w:pPr>
            <w:r>
              <w:t>Audiologists</w:t>
            </w:r>
          </w:p>
        </w:tc>
        <w:tc>
          <w:tcPr>
            <w:tcW w:w="0" w:type="dxa"/>
            <w:tcBorders>
              <w:top w:val="single" w:sz="4" w:space="0" w:color="000000" w:themeColor="text1"/>
              <w:bottom w:val="single" w:sz="4" w:space="0" w:color="auto"/>
            </w:tcBorders>
            <w:noWrap/>
            <w:vAlign w:val="center"/>
          </w:tcPr>
          <w:p w14:paraId="5432AAAA" w14:textId="1890CEAA" w:rsidR="00D85430" w:rsidRPr="006B45B9" w:rsidRDefault="00D85430" w:rsidP="007A7EF3">
            <w:pPr>
              <w:keepNext/>
              <w:spacing w:line="240" w:lineRule="auto"/>
            </w:pPr>
            <w:r w:rsidRPr="006B45B9">
              <w:t xml:space="preserve">Avoided current clinical certification fees </w:t>
            </w:r>
            <w:r>
              <w:t xml:space="preserve">– </w:t>
            </w:r>
            <w:r w:rsidRPr="006B45B9">
              <w:t xml:space="preserve">for </w:t>
            </w:r>
            <w:r>
              <w:t>public sector</w:t>
            </w:r>
            <w:r w:rsidRPr="006B45B9">
              <w:t xml:space="preserve"> audiol</w:t>
            </w:r>
            <w:r>
              <w:t>o</w:t>
            </w:r>
            <w:r w:rsidRPr="006B45B9">
              <w:t>gists</w:t>
            </w:r>
          </w:p>
        </w:tc>
        <w:tc>
          <w:tcPr>
            <w:tcW w:w="0" w:type="dxa"/>
            <w:tcBorders>
              <w:top w:val="single" w:sz="4" w:space="0" w:color="000000" w:themeColor="text1"/>
              <w:left w:val="nil"/>
              <w:bottom w:val="single" w:sz="4" w:space="0" w:color="auto"/>
              <w:right w:val="nil"/>
            </w:tcBorders>
            <w:shd w:val="clear" w:color="000000" w:fill="FFFFFF"/>
            <w:noWrap/>
            <w:vAlign w:val="center"/>
          </w:tcPr>
          <w:p w14:paraId="36CA2D80" w14:textId="1C4555AC" w:rsidR="00D85430" w:rsidRPr="006B45B9" w:rsidRDefault="0007103C" w:rsidP="007A7EF3">
            <w:pPr>
              <w:keepNext/>
              <w:spacing w:line="240" w:lineRule="auto"/>
              <w:jc w:val="right"/>
            </w:pPr>
            <w:r w:rsidRPr="00141868">
              <w:t xml:space="preserve"> $-   </w:t>
            </w:r>
          </w:p>
        </w:tc>
        <w:tc>
          <w:tcPr>
            <w:tcW w:w="0" w:type="dxa"/>
            <w:tcBorders>
              <w:top w:val="single" w:sz="4" w:space="0" w:color="000000" w:themeColor="text1"/>
              <w:left w:val="nil"/>
              <w:bottom w:val="single" w:sz="4" w:space="0" w:color="auto"/>
              <w:right w:val="nil"/>
            </w:tcBorders>
            <w:shd w:val="clear" w:color="000000" w:fill="FFFFFF"/>
            <w:noWrap/>
            <w:vAlign w:val="center"/>
          </w:tcPr>
          <w:p w14:paraId="05405701" w14:textId="2AF4739D" w:rsidR="00D85430" w:rsidRPr="006B45B9" w:rsidRDefault="0007103C" w:rsidP="007A7EF3">
            <w:pPr>
              <w:keepNext/>
              <w:spacing w:line="240" w:lineRule="auto"/>
              <w:jc w:val="right"/>
            </w:pPr>
            <w:r w:rsidRPr="00141868">
              <w:t xml:space="preserve">-$933,981 </w:t>
            </w:r>
          </w:p>
        </w:tc>
        <w:tc>
          <w:tcPr>
            <w:tcW w:w="0" w:type="dxa"/>
            <w:tcBorders>
              <w:top w:val="single" w:sz="4" w:space="0" w:color="000000" w:themeColor="text1"/>
              <w:left w:val="nil"/>
              <w:bottom w:val="single" w:sz="4" w:space="0" w:color="auto"/>
              <w:right w:val="nil"/>
            </w:tcBorders>
            <w:shd w:val="clear" w:color="000000" w:fill="FFFFFF"/>
            <w:noWrap/>
            <w:vAlign w:val="center"/>
          </w:tcPr>
          <w:p w14:paraId="10566A21" w14:textId="7F04167D" w:rsidR="00D85430" w:rsidRPr="006B45B9" w:rsidRDefault="0007103C" w:rsidP="007A7EF3">
            <w:pPr>
              <w:keepNext/>
              <w:spacing w:line="240" w:lineRule="auto"/>
              <w:jc w:val="right"/>
            </w:pPr>
            <w:r w:rsidRPr="00141868">
              <w:t xml:space="preserve">-$933,981 </w:t>
            </w:r>
          </w:p>
        </w:tc>
        <w:tc>
          <w:tcPr>
            <w:tcW w:w="0" w:type="dxa"/>
            <w:tcBorders>
              <w:top w:val="single" w:sz="4" w:space="0" w:color="000000" w:themeColor="text1"/>
              <w:left w:val="nil"/>
              <w:bottom w:val="single" w:sz="4" w:space="0" w:color="auto"/>
              <w:right w:val="nil"/>
            </w:tcBorders>
            <w:shd w:val="clear" w:color="000000" w:fill="FFFFFF"/>
            <w:vAlign w:val="center"/>
          </w:tcPr>
          <w:p w14:paraId="5E322045" w14:textId="5ADFAC0D" w:rsidR="00D85430" w:rsidRPr="006B45B9" w:rsidRDefault="0007103C" w:rsidP="007A7EF3">
            <w:pPr>
              <w:keepNext/>
              <w:spacing w:line="240" w:lineRule="auto"/>
              <w:jc w:val="right"/>
            </w:pPr>
            <w:r w:rsidRPr="00141868">
              <w:t xml:space="preserve">-$93,398 </w:t>
            </w:r>
          </w:p>
        </w:tc>
      </w:tr>
      <w:tr w:rsidR="0007103C" w:rsidRPr="00466057" w14:paraId="3D72D8DD" w14:textId="77777777" w:rsidTr="00EE3AA4">
        <w:trPr>
          <w:trHeight w:val="311"/>
        </w:trPr>
        <w:tc>
          <w:tcPr>
            <w:tcW w:w="0" w:type="dxa"/>
            <w:gridSpan w:val="2"/>
            <w:tcBorders>
              <w:top w:val="single" w:sz="4" w:space="0" w:color="000000" w:themeColor="text1"/>
              <w:bottom w:val="single" w:sz="4" w:space="0" w:color="auto"/>
            </w:tcBorders>
          </w:tcPr>
          <w:p w14:paraId="170A921E" w14:textId="29953223" w:rsidR="0007103C" w:rsidRDefault="0007103C" w:rsidP="007A7EF3">
            <w:pPr>
              <w:keepNext/>
              <w:spacing w:line="240" w:lineRule="auto"/>
            </w:pPr>
            <w:r>
              <w:t>Employers</w:t>
            </w:r>
          </w:p>
        </w:tc>
        <w:tc>
          <w:tcPr>
            <w:tcW w:w="0" w:type="dxa"/>
            <w:tcBorders>
              <w:top w:val="single" w:sz="4" w:space="0" w:color="000000" w:themeColor="text1"/>
              <w:bottom w:val="single" w:sz="4" w:space="0" w:color="auto"/>
            </w:tcBorders>
            <w:noWrap/>
            <w:vAlign w:val="center"/>
          </w:tcPr>
          <w:p w14:paraId="0B9451CF" w14:textId="2BA025B8" w:rsidR="0007103C" w:rsidRPr="006B45B9" w:rsidRDefault="0007103C" w:rsidP="007A7EF3">
            <w:pPr>
              <w:keepNext/>
              <w:spacing w:line="240" w:lineRule="auto"/>
            </w:pPr>
            <w:r>
              <w:t>Cost of c</w:t>
            </w:r>
            <w:r w:rsidRPr="006B45B9">
              <w:t>linical certification fees</w:t>
            </w:r>
            <w:r>
              <w:t xml:space="preserve"> – for public sector employers</w:t>
            </w:r>
          </w:p>
        </w:tc>
        <w:tc>
          <w:tcPr>
            <w:tcW w:w="0" w:type="dxa"/>
            <w:tcBorders>
              <w:top w:val="single" w:sz="4" w:space="0" w:color="000000" w:themeColor="text1"/>
              <w:left w:val="nil"/>
              <w:bottom w:val="single" w:sz="4" w:space="0" w:color="auto"/>
              <w:right w:val="nil"/>
            </w:tcBorders>
            <w:shd w:val="clear" w:color="000000" w:fill="FFFFFF"/>
            <w:noWrap/>
            <w:vAlign w:val="center"/>
          </w:tcPr>
          <w:p w14:paraId="54131B8F" w14:textId="51D84544" w:rsidR="0007103C" w:rsidRPr="003D2A72" w:rsidRDefault="0007103C" w:rsidP="007A7EF3">
            <w:pPr>
              <w:keepNext/>
              <w:spacing w:line="240" w:lineRule="auto"/>
              <w:jc w:val="right"/>
            </w:pPr>
            <w:r w:rsidRPr="00141868">
              <w:t xml:space="preserve"> $-   </w:t>
            </w:r>
          </w:p>
        </w:tc>
        <w:tc>
          <w:tcPr>
            <w:tcW w:w="0" w:type="dxa"/>
            <w:tcBorders>
              <w:top w:val="single" w:sz="4" w:space="0" w:color="000000" w:themeColor="text1"/>
              <w:left w:val="nil"/>
              <w:bottom w:val="single" w:sz="4" w:space="0" w:color="auto"/>
              <w:right w:val="nil"/>
            </w:tcBorders>
            <w:shd w:val="clear" w:color="000000" w:fill="FFFFFF"/>
            <w:noWrap/>
            <w:vAlign w:val="center"/>
          </w:tcPr>
          <w:p w14:paraId="7C1520FA" w14:textId="70E613AC" w:rsidR="0007103C" w:rsidRPr="003D2A72" w:rsidRDefault="0007103C" w:rsidP="007A7EF3">
            <w:pPr>
              <w:keepNext/>
              <w:spacing w:line="240" w:lineRule="auto"/>
              <w:jc w:val="right"/>
            </w:pPr>
            <w:r w:rsidRPr="00141868">
              <w:t xml:space="preserve"> $1,328,886 </w:t>
            </w:r>
          </w:p>
        </w:tc>
        <w:tc>
          <w:tcPr>
            <w:tcW w:w="0" w:type="dxa"/>
            <w:tcBorders>
              <w:top w:val="single" w:sz="4" w:space="0" w:color="000000" w:themeColor="text1"/>
              <w:left w:val="nil"/>
              <w:bottom w:val="single" w:sz="4" w:space="0" w:color="auto"/>
              <w:right w:val="nil"/>
            </w:tcBorders>
            <w:shd w:val="clear" w:color="000000" w:fill="FFFFFF"/>
            <w:noWrap/>
            <w:vAlign w:val="center"/>
          </w:tcPr>
          <w:p w14:paraId="519F0377" w14:textId="458DA2BF" w:rsidR="0007103C" w:rsidRPr="003D2A72" w:rsidRDefault="0007103C" w:rsidP="007A7EF3">
            <w:pPr>
              <w:keepNext/>
              <w:spacing w:line="240" w:lineRule="auto"/>
              <w:jc w:val="right"/>
            </w:pPr>
            <w:r w:rsidRPr="00141868">
              <w:t xml:space="preserve"> $1,328,886 </w:t>
            </w:r>
          </w:p>
        </w:tc>
        <w:tc>
          <w:tcPr>
            <w:tcW w:w="0" w:type="dxa"/>
            <w:tcBorders>
              <w:top w:val="single" w:sz="4" w:space="0" w:color="000000" w:themeColor="text1"/>
              <w:left w:val="nil"/>
              <w:bottom w:val="single" w:sz="4" w:space="0" w:color="auto"/>
              <w:right w:val="nil"/>
            </w:tcBorders>
            <w:shd w:val="clear" w:color="000000" w:fill="FFFFFF"/>
            <w:vAlign w:val="center"/>
          </w:tcPr>
          <w:p w14:paraId="5C54D4C1" w14:textId="65A95D90" w:rsidR="0007103C" w:rsidRPr="003D2A72" w:rsidRDefault="0007103C" w:rsidP="007A7EF3">
            <w:pPr>
              <w:keepNext/>
              <w:spacing w:line="240" w:lineRule="auto"/>
              <w:jc w:val="right"/>
            </w:pPr>
            <w:r w:rsidRPr="00141868">
              <w:t xml:space="preserve"> $132,889 </w:t>
            </w:r>
          </w:p>
        </w:tc>
      </w:tr>
      <w:tr w:rsidR="00D85430" w:rsidRPr="00466057" w14:paraId="32DA4A8D" w14:textId="77777777" w:rsidTr="00EE3AA4">
        <w:trPr>
          <w:gridBefore w:val="1"/>
          <w:wBefore w:w="20" w:type="dxa"/>
          <w:trHeight w:val="311"/>
        </w:trPr>
        <w:tc>
          <w:tcPr>
            <w:tcW w:w="0" w:type="dxa"/>
            <w:tcBorders>
              <w:top w:val="single" w:sz="4" w:space="0" w:color="auto"/>
              <w:bottom w:val="single" w:sz="4" w:space="0" w:color="auto"/>
            </w:tcBorders>
          </w:tcPr>
          <w:p w14:paraId="6B7EAD5A" w14:textId="67E3CAF4" w:rsidR="00D85430" w:rsidRPr="006B45B9" w:rsidRDefault="00D85430" w:rsidP="007A7EF3">
            <w:pPr>
              <w:keepNext/>
              <w:spacing w:line="240" w:lineRule="auto"/>
            </w:pPr>
            <w:r>
              <w:t>Employer</w:t>
            </w:r>
          </w:p>
        </w:tc>
        <w:tc>
          <w:tcPr>
            <w:tcW w:w="0" w:type="dxa"/>
            <w:tcBorders>
              <w:top w:val="single" w:sz="4" w:space="0" w:color="auto"/>
              <w:bottom w:val="single" w:sz="4" w:space="0" w:color="auto"/>
            </w:tcBorders>
            <w:noWrap/>
            <w:vAlign w:val="center"/>
          </w:tcPr>
          <w:p w14:paraId="3CB9AECE" w14:textId="1123ED20" w:rsidR="00D85430" w:rsidRPr="006B45B9" w:rsidRDefault="00D85430" w:rsidP="007A7EF3">
            <w:pPr>
              <w:keepNext/>
              <w:spacing w:line="240" w:lineRule="auto"/>
            </w:pPr>
            <w:r w:rsidRPr="006B45B9">
              <w:t>Increase in CPD time costs</w:t>
            </w:r>
          </w:p>
        </w:tc>
        <w:tc>
          <w:tcPr>
            <w:tcW w:w="0" w:type="dxa"/>
            <w:tcBorders>
              <w:top w:val="single" w:sz="4" w:space="0" w:color="auto"/>
              <w:left w:val="nil"/>
              <w:bottom w:val="single" w:sz="4" w:space="0" w:color="auto"/>
              <w:right w:val="nil"/>
            </w:tcBorders>
            <w:shd w:val="clear" w:color="000000" w:fill="FFFFFF"/>
            <w:noWrap/>
            <w:vAlign w:val="center"/>
          </w:tcPr>
          <w:p w14:paraId="3A73E576" w14:textId="2D7757E6" w:rsidR="00D85430" w:rsidRPr="006B45B9" w:rsidRDefault="0007103C" w:rsidP="007A7EF3">
            <w:pPr>
              <w:keepNext/>
              <w:spacing w:line="240" w:lineRule="auto"/>
              <w:jc w:val="right"/>
            </w:pPr>
            <w:r w:rsidRPr="00141868">
              <w:t xml:space="preserve"> $-   </w:t>
            </w:r>
          </w:p>
        </w:tc>
        <w:tc>
          <w:tcPr>
            <w:tcW w:w="0" w:type="dxa"/>
            <w:tcBorders>
              <w:top w:val="single" w:sz="4" w:space="0" w:color="auto"/>
              <w:left w:val="nil"/>
              <w:bottom w:val="single" w:sz="4" w:space="0" w:color="auto"/>
              <w:right w:val="nil"/>
            </w:tcBorders>
            <w:shd w:val="clear" w:color="000000" w:fill="FFFFFF"/>
            <w:noWrap/>
            <w:vAlign w:val="center"/>
          </w:tcPr>
          <w:p w14:paraId="0B36A46E" w14:textId="5673CC53" w:rsidR="00D85430" w:rsidRPr="006B45B9" w:rsidRDefault="0007103C" w:rsidP="007A7EF3">
            <w:pPr>
              <w:keepNext/>
              <w:spacing w:line="240" w:lineRule="auto"/>
              <w:jc w:val="right"/>
            </w:pPr>
            <w:r w:rsidRPr="00141868">
              <w:t xml:space="preserve"> $1,065,711 </w:t>
            </w:r>
          </w:p>
        </w:tc>
        <w:tc>
          <w:tcPr>
            <w:tcW w:w="0" w:type="dxa"/>
            <w:tcBorders>
              <w:top w:val="single" w:sz="4" w:space="0" w:color="auto"/>
              <w:left w:val="nil"/>
              <w:bottom w:val="single" w:sz="4" w:space="0" w:color="auto"/>
              <w:right w:val="nil"/>
            </w:tcBorders>
            <w:shd w:val="clear" w:color="000000" w:fill="FFFFFF"/>
            <w:noWrap/>
            <w:vAlign w:val="center"/>
          </w:tcPr>
          <w:p w14:paraId="4A4ECB27" w14:textId="337267B7" w:rsidR="00D85430" w:rsidRPr="006B45B9" w:rsidRDefault="0007103C" w:rsidP="007A7EF3">
            <w:pPr>
              <w:keepNext/>
              <w:spacing w:line="240" w:lineRule="auto"/>
              <w:jc w:val="right"/>
            </w:pPr>
            <w:r w:rsidRPr="00141868">
              <w:t xml:space="preserve"> $1,065,711 </w:t>
            </w:r>
          </w:p>
        </w:tc>
        <w:tc>
          <w:tcPr>
            <w:tcW w:w="0" w:type="dxa"/>
            <w:tcBorders>
              <w:top w:val="single" w:sz="4" w:space="0" w:color="auto"/>
              <w:left w:val="nil"/>
              <w:bottom w:val="single" w:sz="4" w:space="0" w:color="auto"/>
              <w:right w:val="nil"/>
            </w:tcBorders>
            <w:shd w:val="clear" w:color="000000" w:fill="FFFFFF"/>
            <w:vAlign w:val="center"/>
          </w:tcPr>
          <w:p w14:paraId="4BD4840A" w14:textId="4701AFF8" w:rsidR="00D85430" w:rsidRPr="006B45B9" w:rsidRDefault="0007103C" w:rsidP="007A7EF3">
            <w:pPr>
              <w:keepNext/>
              <w:spacing w:line="240" w:lineRule="auto"/>
              <w:jc w:val="right"/>
            </w:pPr>
            <w:r w:rsidRPr="00141868">
              <w:t xml:space="preserve"> $106,571 </w:t>
            </w:r>
          </w:p>
        </w:tc>
      </w:tr>
      <w:tr w:rsidR="00D85430" w:rsidRPr="00466057" w14:paraId="566E2D25" w14:textId="77777777" w:rsidTr="00EE3AA4">
        <w:trPr>
          <w:gridBefore w:val="1"/>
          <w:wBefore w:w="20" w:type="dxa"/>
          <w:trHeight w:val="311"/>
        </w:trPr>
        <w:tc>
          <w:tcPr>
            <w:tcW w:w="0" w:type="dxa"/>
            <w:tcBorders>
              <w:top w:val="single" w:sz="4" w:space="0" w:color="auto"/>
              <w:bottom w:val="single" w:sz="4" w:space="0" w:color="auto"/>
            </w:tcBorders>
          </w:tcPr>
          <w:p w14:paraId="50F72353" w14:textId="5BFFF05F" w:rsidR="00D85430" w:rsidRPr="006B45B9" w:rsidRDefault="00D85430" w:rsidP="007A7EF3">
            <w:pPr>
              <w:keepNext/>
              <w:spacing w:line="240" w:lineRule="auto"/>
            </w:pPr>
            <w:r>
              <w:t>Employer</w:t>
            </w:r>
          </w:p>
        </w:tc>
        <w:tc>
          <w:tcPr>
            <w:tcW w:w="0" w:type="dxa"/>
            <w:tcBorders>
              <w:top w:val="single" w:sz="4" w:space="0" w:color="auto"/>
              <w:bottom w:val="single" w:sz="4" w:space="0" w:color="auto"/>
            </w:tcBorders>
            <w:noWrap/>
            <w:vAlign w:val="center"/>
          </w:tcPr>
          <w:p w14:paraId="1F1F3612" w14:textId="13173327" w:rsidR="00D85430" w:rsidRPr="006B45B9" w:rsidRDefault="00D85430" w:rsidP="007A7EF3">
            <w:pPr>
              <w:keepNext/>
              <w:spacing w:line="240" w:lineRule="auto"/>
            </w:pPr>
            <w:r w:rsidRPr="006B45B9">
              <w:t xml:space="preserve">Avoided public sector </w:t>
            </w:r>
            <w:r>
              <w:t>eligibility assessment time costs for public sector employers</w:t>
            </w:r>
          </w:p>
        </w:tc>
        <w:tc>
          <w:tcPr>
            <w:tcW w:w="0" w:type="dxa"/>
            <w:tcBorders>
              <w:top w:val="single" w:sz="4" w:space="0" w:color="auto"/>
              <w:left w:val="nil"/>
              <w:bottom w:val="single" w:sz="4" w:space="0" w:color="auto"/>
              <w:right w:val="nil"/>
            </w:tcBorders>
            <w:shd w:val="clear" w:color="000000" w:fill="FFFFFF"/>
            <w:noWrap/>
            <w:vAlign w:val="center"/>
          </w:tcPr>
          <w:p w14:paraId="0B6A194C" w14:textId="26C8AACA" w:rsidR="00D85430" w:rsidRPr="006B45B9" w:rsidRDefault="0007103C" w:rsidP="007A7EF3">
            <w:pPr>
              <w:keepNext/>
              <w:spacing w:line="240" w:lineRule="auto"/>
              <w:jc w:val="right"/>
            </w:pPr>
            <w:r w:rsidRPr="00141868">
              <w:t xml:space="preserve"> $-   </w:t>
            </w:r>
          </w:p>
        </w:tc>
        <w:tc>
          <w:tcPr>
            <w:tcW w:w="0" w:type="dxa"/>
            <w:tcBorders>
              <w:top w:val="single" w:sz="4" w:space="0" w:color="auto"/>
              <w:left w:val="nil"/>
              <w:bottom w:val="single" w:sz="4" w:space="0" w:color="auto"/>
              <w:right w:val="nil"/>
            </w:tcBorders>
            <w:shd w:val="clear" w:color="000000" w:fill="FFFFFF"/>
            <w:noWrap/>
            <w:vAlign w:val="center"/>
          </w:tcPr>
          <w:p w14:paraId="00593A67" w14:textId="7B4CDE39" w:rsidR="00D85430" w:rsidRPr="006B45B9" w:rsidRDefault="0007103C" w:rsidP="007A7EF3">
            <w:pPr>
              <w:keepNext/>
              <w:spacing w:line="240" w:lineRule="auto"/>
              <w:jc w:val="right"/>
            </w:pPr>
            <w:r w:rsidRPr="00141868">
              <w:t xml:space="preserve">-$142,671 </w:t>
            </w:r>
          </w:p>
        </w:tc>
        <w:tc>
          <w:tcPr>
            <w:tcW w:w="0" w:type="dxa"/>
            <w:tcBorders>
              <w:top w:val="single" w:sz="4" w:space="0" w:color="auto"/>
              <w:left w:val="nil"/>
              <w:bottom w:val="single" w:sz="4" w:space="0" w:color="auto"/>
              <w:right w:val="nil"/>
            </w:tcBorders>
            <w:shd w:val="clear" w:color="000000" w:fill="FFFFFF"/>
            <w:noWrap/>
            <w:vAlign w:val="center"/>
          </w:tcPr>
          <w:p w14:paraId="7A2220F6" w14:textId="4EF61E8D" w:rsidR="00D85430" w:rsidRPr="006B45B9" w:rsidRDefault="0007103C" w:rsidP="007A7EF3">
            <w:pPr>
              <w:keepNext/>
              <w:spacing w:line="240" w:lineRule="auto"/>
              <w:jc w:val="right"/>
            </w:pPr>
            <w:r w:rsidRPr="00141868">
              <w:t xml:space="preserve">-$142,671 </w:t>
            </w:r>
          </w:p>
        </w:tc>
        <w:tc>
          <w:tcPr>
            <w:tcW w:w="0" w:type="dxa"/>
            <w:tcBorders>
              <w:top w:val="single" w:sz="4" w:space="0" w:color="auto"/>
              <w:left w:val="nil"/>
              <w:bottom w:val="single" w:sz="4" w:space="0" w:color="auto"/>
              <w:right w:val="nil"/>
            </w:tcBorders>
            <w:shd w:val="clear" w:color="000000" w:fill="FFFFFF"/>
            <w:vAlign w:val="center"/>
          </w:tcPr>
          <w:p w14:paraId="0A576945" w14:textId="52FEEC26" w:rsidR="00D85430" w:rsidRPr="006B45B9" w:rsidRDefault="0007103C" w:rsidP="007A7EF3">
            <w:pPr>
              <w:keepNext/>
              <w:spacing w:line="240" w:lineRule="auto"/>
              <w:jc w:val="right"/>
            </w:pPr>
            <w:r w:rsidRPr="00141868">
              <w:t xml:space="preserve">-$14,267 </w:t>
            </w:r>
          </w:p>
        </w:tc>
      </w:tr>
      <w:tr w:rsidR="00B23D6F" w:rsidRPr="00466057" w14:paraId="37D59807" w14:textId="77777777" w:rsidTr="00EE3AA4">
        <w:trPr>
          <w:trHeight w:val="311"/>
        </w:trPr>
        <w:tc>
          <w:tcPr>
            <w:tcW w:w="0" w:type="dxa"/>
            <w:tcBorders>
              <w:top w:val="single" w:sz="4" w:space="0" w:color="auto"/>
              <w:bottom w:val="single" w:sz="4" w:space="0" w:color="auto"/>
            </w:tcBorders>
          </w:tcPr>
          <w:p w14:paraId="1AD91367" w14:textId="77777777" w:rsidR="00B23D6F" w:rsidRDefault="00B23D6F" w:rsidP="007A7EF3">
            <w:pPr>
              <w:keepNext/>
              <w:spacing w:line="240" w:lineRule="auto"/>
              <w:rPr>
                <w:rFonts w:eastAsia="Times New Roman" w:cs="Calibri Light"/>
                <w:b/>
                <w:color w:val="000000"/>
                <w:szCs w:val="20"/>
                <w:shd w:val="clear" w:color="auto" w:fill="F2F2F2" w:themeFill="background1" w:themeFillShade="F2"/>
                <w:lang w:eastAsia="en-AU"/>
              </w:rPr>
            </w:pPr>
          </w:p>
        </w:tc>
        <w:tc>
          <w:tcPr>
            <w:tcW w:w="0" w:type="dxa"/>
            <w:gridSpan w:val="2"/>
            <w:tcBorders>
              <w:top w:val="single" w:sz="4" w:space="0" w:color="auto"/>
              <w:bottom w:val="single" w:sz="4" w:space="0" w:color="auto"/>
            </w:tcBorders>
            <w:noWrap/>
            <w:vAlign w:val="center"/>
          </w:tcPr>
          <w:p w14:paraId="5BC6BD4E" w14:textId="32632371" w:rsidR="00B23D6F" w:rsidRPr="00143CE7" w:rsidRDefault="00B23D6F" w:rsidP="007A7EF3">
            <w:pPr>
              <w:keepNext/>
              <w:spacing w:line="240" w:lineRule="auto"/>
              <w:rPr>
                <w:rFonts w:eastAsia="Times New Roman" w:cs="Calibri Light"/>
                <w:b/>
                <w:color w:val="000000"/>
                <w:szCs w:val="20"/>
                <w:shd w:val="clear" w:color="auto" w:fill="F2F2F2" w:themeFill="background1" w:themeFillShade="F2"/>
                <w:lang w:eastAsia="en-AU"/>
              </w:rPr>
            </w:pPr>
            <w:r>
              <w:rPr>
                <w:rFonts w:eastAsia="Times New Roman" w:cs="Calibri Light"/>
                <w:b/>
                <w:color w:val="000000"/>
                <w:szCs w:val="20"/>
                <w:shd w:val="clear" w:color="auto" w:fill="F2F2F2" w:themeFill="background1" w:themeFillShade="F2"/>
                <w:lang w:eastAsia="en-AU"/>
              </w:rPr>
              <w:t>Total</w:t>
            </w:r>
          </w:p>
        </w:tc>
        <w:tc>
          <w:tcPr>
            <w:tcW w:w="0" w:type="dxa"/>
            <w:tcBorders>
              <w:top w:val="single" w:sz="4" w:space="0" w:color="auto"/>
              <w:left w:val="nil"/>
              <w:bottom w:val="single" w:sz="4" w:space="0" w:color="auto"/>
              <w:right w:val="nil"/>
            </w:tcBorders>
            <w:shd w:val="clear" w:color="auto" w:fill="auto"/>
            <w:noWrap/>
            <w:vAlign w:val="center"/>
          </w:tcPr>
          <w:p w14:paraId="72594382" w14:textId="18B66159" w:rsidR="00B23D6F" w:rsidRPr="00B23D6F" w:rsidRDefault="00927BC5" w:rsidP="007A7EF3">
            <w:pPr>
              <w:keepNext/>
              <w:spacing w:line="240" w:lineRule="auto"/>
              <w:jc w:val="right"/>
              <w:rPr>
                <w:b/>
                <w:bCs/>
                <w:color w:val="000000" w:themeColor="text1"/>
              </w:rPr>
            </w:pPr>
            <w:r w:rsidRPr="00EE3AA4">
              <w:rPr>
                <w:b/>
                <w:bCs/>
              </w:rPr>
              <w:t xml:space="preserve"> $-   </w:t>
            </w:r>
          </w:p>
        </w:tc>
        <w:tc>
          <w:tcPr>
            <w:tcW w:w="0" w:type="dxa"/>
            <w:tcBorders>
              <w:top w:val="single" w:sz="4" w:space="0" w:color="auto"/>
              <w:left w:val="nil"/>
              <w:bottom w:val="single" w:sz="4" w:space="0" w:color="auto"/>
              <w:right w:val="nil"/>
            </w:tcBorders>
            <w:shd w:val="clear" w:color="auto" w:fill="auto"/>
            <w:noWrap/>
            <w:vAlign w:val="center"/>
          </w:tcPr>
          <w:p w14:paraId="657FBAD3" w14:textId="27C14A42" w:rsidR="00B23D6F" w:rsidRPr="00B23D6F" w:rsidRDefault="00927BC5" w:rsidP="007A7EF3">
            <w:pPr>
              <w:keepNext/>
              <w:spacing w:line="240" w:lineRule="auto"/>
              <w:ind w:left="0"/>
              <w:jc w:val="right"/>
              <w:rPr>
                <w:b/>
                <w:bCs/>
                <w:color w:val="000000" w:themeColor="text1"/>
              </w:rPr>
            </w:pPr>
            <w:r w:rsidRPr="00EE3AA4">
              <w:rPr>
                <w:b/>
                <w:bCs/>
              </w:rPr>
              <w:t xml:space="preserve"> $1,317,945 </w:t>
            </w:r>
          </w:p>
        </w:tc>
        <w:tc>
          <w:tcPr>
            <w:tcW w:w="0" w:type="dxa"/>
            <w:tcBorders>
              <w:top w:val="single" w:sz="4" w:space="0" w:color="auto"/>
              <w:left w:val="nil"/>
              <w:bottom w:val="single" w:sz="4" w:space="0" w:color="auto"/>
              <w:right w:val="nil"/>
            </w:tcBorders>
            <w:shd w:val="clear" w:color="auto" w:fill="auto"/>
            <w:noWrap/>
            <w:vAlign w:val="center"/>
          </w:tcPr>
          <w:p w14:paraId="702F205E" w14:textId="3D4A7EEC" w:rsidR="00B23D6F" w:rsidRPr="00B23D6F" w:rsidRDefault="00927BC5" w:rsidP="007A7EF3">
            <w:pPr>
              <w:keepNext/>
              <w:spacing w:line="240" w:lineRule="auto"/>
              <w:jc w:val="right"/>
              <w:rPr>
                <w:b/>
                <w:bCs/>
                <w:color w:val="000000" w:themeColor="text1"/>
              </w:rPr>
            </w:pPr>
            <w:r w:rsidRPr="00EE3AA4">
              <w:rPr>
                <w:b/>
                <w:bCs/>
              </w:rPr>
              <w:t xml:space="preserve"> $1,317,945 </w:t>
            </w:r>
          </w:p>
        </w:tc>
        <w:tc>
          <w:tcPr>
            <w:tcW w:w="0" w:type="dxa"/>
            <w:tcBorders>
              <w:top w:val="single" w:sz="4" w:space="0" w:color="auto"/>
              <w:left w:val="nil"/>
              <w:bottom w:val="single" w:sz="4" w:space="0" w:color="auto"/>
              <w:right w:val="nil"/>
            </w:tcBorders>
            <w:shd w:val="clear" w:color="auto" w:fill="auto"/>
            <w:vAlign w:val="center"/>
          </w:tcPr>
          <w:p w14:paraId="5AF9AFAE" w14:textId="6DF3FF5F" w:rsidR="00B23D6F" w:rsidRPr="00B23D6F" w:rsidRDefault="00927BC5" w:rsidP="007A7EF3">
            <w:pPr>
              <w:keepNext/>
              <w:spacing w:line="240" w:lineRule="auto"/>
              <w:jc w:val="right"/>
              <w:rPr>
                <w:b/>
                <w:bCs/>
                <w:color w:val="000000" w:themeColor="text1"/>
              </w:rPr>
            </w:pPr>
            <w:r w:rsidRPr="00EE3AA4">
              <w:rPr>
                <w:b/>
                <w:bCs/>
              </w:rPr>
              <w:t xml:space="preserve"> $131,795 </w:t>
            </w:r>
          </w:p>
        </w:tc>
      </w:tr>
    </w:tbl>
    <w:p w14:paraId="18361B03" w14:textId="77777777" w:rsidR="00A36745" w:rsidRDefault="00A36745" w:rsidP="00A36745">
      <w:pPr>
        <w:rPr>
          <w:color w:val="808080" w:themeColor="background1" w:themeShade="80"/>
          <w:sz w:val="18"/>
        </w:rPr>
      </w:pPr>
      <w:r w:rsidRPr="00961B36">
        <w:rPr>
          <w:color w:val="808080" w:themeColor="background1" w:themeShade="80"/>
          <w:sz w:val="18"/>
        </w:rPr>
        <w:t>Note:</w:t>
      </w:r>
      <w:r>
        <w:rPr>
          <w:color w:val="808080" w:themeColor="background1" w:themeShade="80"/>
          <w:sz w:val="18"/>
        </w:rPr>
        <w:t xml:space="preserve"> ^</w:t>
      </w:r>
      <w:r w:rsidRPr="00961B36">
        <w:rPr>
          <w:color w:val="808080" w:themeColor="background1" w:themeShade="80"/>
          <w:sz w:val="18"/>
        </w:rPr>
        <w:t xml:space="preserve">As per OIA’s guidance on regulatory costs accruing to government under a regulatory change, these costs </w:t>
      </w:r>
      <w:r>
        <w:rPr>
          <w:color w:val="808080" w:themeColor="background1" w:themeShade="80"/>
          <w:sz w:val="18"/>
        </w:rPr>
        <w:t>are</w:t>
      </w:r>
      <w:r w:rsidRPr="00961B36">
        <w:rPr>
          <w:color w:val="808080" w:themeColor="background1" w:themeShade="80"/>
          <w:sz w:val="18"/>
        </w:rPr>
        <w:t xml:space="preserve"> excluded from the estimate of the cos</w:t>
      </w:r>
      <w:r>
        <w:rPr>
          <w:color w:val="808080" w:themeColor="background1" w:themeShade="80"/>
          <w:sz w:val="18"/>
        </w:rPr>
        <w:t>ts associated with regulatory burden</w:t>
      </w:r>
      <w:r w:rsidRPr="00961B36">
        <w:rPr>
          <w:color w:val="808080" w:themeColor="background1" w:themeShade="80"/>
          <w:sz w:val="18"/>
        </w:rPr>
        <w:t>.</w:t>
      </w:r>
    </w:p>
    <w:p w14:paraId="6EB70D17" w14:textId="77777777" w:rsidR="00A36745" w:rsidRDefault="00A36745" w:rsidP="00A36745"/>
    <w:p w14:paraId="204C4BD7" w14:textId="4126165C" w:rsidR="0075061C" w:rsidRPr="00BC4DC2" w:rsidRDefault="0075061C" w:rsidP="00EE3AA4">
      <w:pPr>
        <w:pStyle w:val="Caption"/>
        <w:keepNext/>
        <w:tabs>
          <w:tab w:val="left" w:pos="6804"/>
        </w:tabs>
      </w:pPr>
      <w:r>
        <w:t xml:space="preserve">Table </w:t>
      </w:r>
      <w:fldSimple w:instr=" STYLEREF 1 \s ">
        <w:r w:rsidR="00F32107">
          <w:rPr>
            <w:noProof/>
          </w:rPr>
          <w:t>8</w:t>
        </w:r>
      </w:fldSimple>
      <w:r w:rsidR="008944FB">
        <w:t>.</w:t>
      </w:r>
      <w:fldSimple w:instr=" SEQ Table \* ARABIC \s 1 ">
        <w:r w:rsidR="00F32107">
          <w:rPr>
            <w:noProof/>
          </w:rPr>
          <w:t>38</w:t>
        </w:r>
      </w:fldSimple>
      <w:r>
        <w:t xml:space="preserve"> Estimated ten-year costs associated with the </w:t>
      </w:r>
      <w:r w:rsidR="00524719">
        <w:t>S</w:t>
      </w:r>
      <w:r>
        <w:t xml:space="preserve">trengthened </w:t>
      </w:r>
      <w:r w:rsidR="00A80F45">
        <w:t>Status Quo</w:t>
      </w:r>
      <w:r>
        <w:t xml:space="preserve"> relative to the </w:t>
      </w:r>
      <w:r w:rsidR="00A80F45">
        <w:t>Status Quo</w:t>
      </w:r>
      <w:r>
        <w:t xml:space="preserve"> – distributional impacts by stakeholder</w:t>
      </w:r>
    </w:p>
    <w:tbl>
      <w:tblPr>
        <w:tblStyle w:val="BodyTable"/>
        <w:tblW w:w="0" w:type="auto"/>
        <w:tblLook w:val="04A0" w:firstRow="1" w:lastRow="0" w:firstColumn="1" w:lastColumn="0" w:noHBand="0" w:noVBand="1"/>
      </w:tblPr>
      <w:tblGrid>
        <w:gridCol w:w="1893"/>
        <w:gridCol w:w="1737"/>
        <w:gridCol w:w="1738"/>
        <w:gridCol w:w="1738"/>
        <w:gridCol w:w="1738"/>
      </w:tblGrid>
      <w:tr w:rsidR="004D709D" w14:paraId="4FC50211" w14:textId="77777777" w:rsidTr="002A7BD4">
        <w:trPr>
          <w:cnfStyle w:val="100000000000" w:firstRow="1" w:lastRow="0" w:firstColumn="0" w:lastColumn="0" w:oddVBand="0" w:evenVBand="0" w:oddHBand="0" w:evenHBand="0" w:firstRowFirstColumn="0" w:firstRowLastColumn="0" w:lastRowFirstColumn="0" w:lastRowLastColumn="0"/>
        </w:trPr>
        <w:tc>
          <w:tcPr>
            <w:tcW w:w="1893" w:type="dxa"/>
            <w:tcBorders>
              <w:bottom w:val="single" w:sz="4" w:space="0" w:color="000000" w:themeColor="text1"/>
            </w:tcBorders>
          </w:tcPr>
          <w:p w14:paraId="1F870F28" w14:textId="77777777" w:rsidR="004D709D" w:rsidRDefault="004D709D" w:rsidP="002A7BD4">
            <w:pPr>
              <w:pStyle w:val="BodyText"/>
              <w:spacing w:before="0" w:after="0"/>
            </w:pPr>
          </w:p>
        </w:tc>
        <w:tc>
          <w:tcPr>
            <w:tcW w:w="1737" w:type="dxa"/>
            <w:tcBorders>
              <w:bottom w:val="single" w:sz="4" w:space="0" w:color="000000" w:themeColor="text1"/>
            </w:tcBorders>
          </w:tcPr>
          <w:p w14:paraId="1B5D2529" w14:textId="77777777" w:rsidR="004D709D" w:rsidRPr="00AD1F2D" w:rsidRDefault="004D709D" w:rsidP="002A7BD4">
            <w:pPr>
              <w:pStyle w:val="BodyText"/>
              <w:spacing w:before="0" w:after="0"/>
              <w:jc w:val="right"/>
              <w:rPr>
                <w:b/>
                <w:bCs/>
                <w:kern w:val="0"/>
                <w:lang w:val="en-US"/>
                <w14:numSpacing w14:val="default"/>
              </w:rPr>
            </w:pPr>
            <w:r w:rsidRPr="00AD1F2D">
              <w:rPr>
                <w:b/>
                <w:bCs/>
                <w:kern w:val="0"/>
                <w:lang w:val="en-US"/>
                <w14:numSpacing w14:val="default"/>
              </w:rPr>
              <w:t>Government</w:t>
            </w:r>
          </w:p>
        </w:tc>
        <w:tc>
          <w:tcPr>
            <w:tcW w:w="1738" w:type="dxa"/>
            <w:tcBorders>
              <w:bottom w:val="single" w:sz="4" w:space="0" w:color="000000" w:themeColor="text1"/>
            </w:tcBorders>
          </w:tcPr>
          <w:p w14:paraId="5F674F23" w14:textId="77777777" w:rsidR="004D709D" w:rsidRPr="00AD1F2D" w:rsidRDefault="004D709D" w:rsidP="002A7BD4">
            <w:pPr>
              <w:pStyle w:val="BodyText"/>
              <w:spacing w:before="0" w:after="0"/>
              <w:jc w:val="right"/>
              <w:rPr>
                <w:b/>
                <w:bCs/>
                <w:kern w:val="0"/>
                <w:lang w:val="en-US"/>
                <w14:numSpacing w14:val="default"/>
              </w:rPr>
            </w:pPr>
            <w:r w:rsidRPr="00AD1F2D">
              <w:rPr>
                <w:b/>
                <w:bCs/>
                <w:kern w:val="0"/>
                <w:lang w:val="en-US"/>
                <w14:numSpacing w14:val="default"/>
              </w:rPr>
              <w:t>Employer</w:t>
            </w:r>
          </w:p>
        </w:tc>
        <w:tc>
          <w:tcPr>
            <w:tcW w:w="1738" w:type="dxa"/>
            <w:tcBorders>
              <w:bottom w:val="single" w:sz="4" w:space="0" w:color="000000" w:themeColor="text1"/>
            </w:tcBorders>
          </w:tcPr>
          <w:p w14:paraId="1953E93A" w14:textId="77777777" w:rsidR="004D709D" w:rsidRPr="00AD1F2D" w:rsidRDefault="004D709D" w:rsidP="002A7BD4">
            <w:pPr>
              <w:pStyle w:val="BodyText"/>
              <w:spacing w:before="0" w:after="0"/>
              <w:jc w:val="right"/>
              <w:rPr>
                <w:b/>
                <w:bCs/>
                <w:kern w:val="0"/>
                <w:lang w:val="en-US"/>
                <w14:numSpacing w14:val="default"/>
              </w:rPr>
            </w:pPr>
            <w:r w:rsidRPr="00AD1F2D">
              <w:rPr>
                <w:b/>
                <w:bCs/>
                <w:kern w:val="0"/>
                <w:lang w:val="en-US"/>
                <w14:numSpacing w14:val="default"/>
              </w:rPr>
              <w:t xml:space="preserve">Audiologists </w:t>
            </w:r>
          </w:p>
        </w:tc>
        <w:tc>
          <w:tcPr>
            <w:tcW w:w="1738" w:type="dxa"/>
            <w:tcBorders>
              <w:bottom w:val="single" w:sz="4" w:space="0" w:color="000000" w:themeColor="text1"/>
            </w:tcBorders>
          </w:tcPr>
          <w:p w14:paraId="4327250B" w14:textId="77777777" w:rsidR="004D709D" w:rsidRPr="00AD1F2D" w:rsidRDefault="004D709D" w:rsidP="002A7BD4">
            <w:pPr>
              <w:pStyle w:val="BodyText"/>
              <w:spacing w:before="0" w:after="0"/>
              <w:jc w:val="right"/>
              <w:rPr>
                <w:b/>
                <w:bCs/>
                <w:kern w:val="0"/>
                <w:lang w:val="en-US"/>
                <w14:numSpacing w14:val="default"/>
              </w:rPr>
            </w:pPr>
            <w:r w:rsidRPr="00AD1F2D">
              <w:rPr>
                <w:b/>
                <w:bCs/>
                <w:kern w:val="0"/>
                <w:lang w:val="en-US"/>
                <w14:numSpacing w14:val="default"/>
              </w:rPr>
              <w:t>Universities</w:t>
            </w:r>
          </w:p>
        </w:tc>
      </w:tr>
      <w:tr w:rsidR="00B23D6F" w14:paraId="4C7F5559" w14:textId="77777777" w:rsidTr="00EE3AA4">
        <w:tc>
          <w:tcPr>
            <w:tcW w:w="1893" w:type="dxa"/>
            <w:tcBorders>
              <w:top w:val="single" w:sz="4" w:space="0" w:color="000000" w:themeColor="text1"/>
              <w:bottom w:val="single" w:sz="4" w:space="0" w:color="auto"/>
            </w:tcBorders>
          </w:tcPr>
          <w:p w14:paraId="53ED35AB" w14:textId="77777777" w:rsidR="00B23D6F" w:rsidRPr="00AD1F2D" w:rsidRDefault="00B23D6F" w:rsidP="00B23D6F">
            <w:pPr>
              <w:keepNext/>
              <w:spacing w:line="240" w:lineRule="auto"/>
              <w:ind w:left="0" w:right="113"/>
              <w:rPr>
                <w:rFonts w:cs="Calibri Light"/>
                <w:b/>
                <w:bCs/>
                <w:color w:val="000000"/>
                <w:szCs w:val="20"/>
              </w:rPr>
            </w:pPr>
            <w:r w:rsidRPr="00AD1F2D">
              <w:rPr>
                <w:rFonts w:cs="Calibri Light"/>
                <w:b/>
                <w:bCs/>
                <w:color w:val="000000"/>
                <w:szCs w:val="20"/>
              </w:rPr>
              <w:t>Total NPV cost over ten year period</w:t>
            </w:r>
          </w:p>
          <w:p w14:paraId="4E30C5C0" w14:textId="77777777" w:rsidR="00B23D6F" w:rsidRPr="00AD1F2D" w:rsidRDefault="00B23D6F" w:rsidP="00B23D6F">
            <w:pPr>
              <w:pStyle w:val="BodyText"/>
              <w:spacing w:before="0" w:after="0"/>
              <w:ind w:left="0"/>
              <w:rPr>
                <w:rFonts w:cs="Calibri Light"/>
                <w:color w:val="000000"/>
                <w:kern w:val="0"/>
                <w:szCs w:val="20"/>
                <w:lang w:val="en-US"/>
                <w14:numSpacing w14:val="default"/>
              </w:rPr>
            </w:pPr>
            <w:r w:rsidRPr="00AD1F2D">
              <w:rPr>
                <w:rFonts w:cs="Calibri Light"/>
                <w:b/>
                <w:bCs/>
                <w:color w:val="000000"/>
                <w:kern w:val="0"/>
                <w:szCs w:val="20"/>
                <w:lang w:val="en-US"/>
                <w14:numSpacing w14:val="default"/>
              </w:rPr>
              <w:t>(FY25-34)</w:t>
            </w:r>
          </w:p>
        </w:tc>
        <w:tc>
          <w:tcPr>
            <w:tcW w:w="1737" w:type="dxa"/>
            <w:tcBorders>
              <w:top w:val="single" w:sz="4" w:space="0" w:color="000000" w:themeColor="text1"/>
              <w:left w:val="nil"/>
              <w:bottom w:val="single" w:sz="4" w:space="0" w:color="auto"/>
              <w:right w:val="nil"/>
            </w:tcBorders>
            <w:shd w:val="clear" w:color="000000" w:fill="FFFFFF"/>
            <w:vAlign w:val="center"/>
          </w:tcPr>
          <w:p w14:paraId="401F2E6B" w14:textId="4498BEF8" w:rsidR="00B23D6F" w:rsidRPr="00AD1F2D" w:rsidRDefault="00927BC5" w:rsidP="00B23D6F">
            <w:pPr>
              <w:spacing w:line="240" w:lineRule="auto"/>
              <w:jc w:val="right"/>
              <w:rPr>
                <w:rFonts w:cs="Calibri Light"/>
                <w:color w:val="000000"/>
                <w:szCs w:val="20"/>
              </w:rPr>
            </w:pPr>
            <w:r w:rsidRPr="00E8290E">
              <w:t xml:space="preserve"> $-   </w:t>
            </w:r>
          </w:p>
        </w:tc>
        <w:tc>
          <w:tcPr>
            <w:tcW w:w="1738" w:type="dxa"/>
            <w:tcBorders>
              <w:top w:val="single" w:sz="4" w:space="0" w:color="000000" w:themeColor="text1"/>
              <w:left w:val="nil"/>
              <w:bottom w:val="single" w:sz="4" w:space="0" w:color="auto"/>
              <w:right w:val="nil"/>
            </w:tcBorders>
            <w:shd w:val="clear" w:color="000000" w:fill="FFFFFF"/>
            <w:vAlign w:val="center"/>
          </w:tcPr>
          <w:p w14:paraId="07448648" w14:textId="32E319D2" w:rsidR="00B23D6F" w:rsidRPr="00AD1F2D" w:rsidRDefault="00927BC5" w:rsidP="00B23D6F">
            <w:pPr>
              <w:spacing w:line="240" w:lineRule="auto"/>
              <w:jc w:val="right"/>
              <w:rPr>
                <w:rFonts w:cs="Calibri Light"/>
                <w:color w:val="000000"/>
                <w:szCs w:val="20"/>
              </w:rPr>
            </w:pPr>
            <w:r w:rsidRPr="00E8290E">
              <w:t xml:space="preserve"> $2,251,927 </w:t>
            </w:r>
          </w:p>
        </w:tc>
        <w:tc>
          <w:tcPr>
            <w:tcW w:w="1738" w:type="dxa"/>
            <w:tcBorders>
              <w:top w:val="single" w:sz="4" w:space="0" w:color="000000" w:themeColor="text1"/>
              <w:left w:val="nil"/>
              <w:bottom w:val="single" w:sz="4" w:space="0" w:color="auto"/>
              <w:right w:val="nil"/>
            </w:tcBorders>
            <w:shd w:val="clear" w:color="000000" w:fill="FFFFFF"/>
            <w:vAlign w:val="center"/>
          </w:tcPr>
          <w:p w14:paraId="6AE02F9A" w14:textId="4D624C14" w:rsidR="00B23D6F" w:rsidRPr="00AD1F2D" w:rsidRDefault="00927BC5" w:rsidP="00B23D6F">
            <w:pPr>
              <w:spacing w:line="240" w:lineRule="auto"/>
              <w:jc w:val="right"/>
              <w:rPr>
                <w:rFonts w:cs="Calibri Light"/>
                <w:color w:val="000000"/>
                <w:szCs w:val="20"/>
              </w:rPr>
            </w:pPr>
            <w:r w:rsidRPr="00E8290E">
              <w:t xml:space="preserve">-$933,981 </w:t>
            </w:r>
          </w:p>
        </w:tc>
        <w:tc>
          <w:tcPr>
            <w:tcW w:w="1738" w:type="dxa"/>
            <w:tcBorders>
              <w:top w:val="single" w:sz="4" w:space="0" w:color="000000" w:themeColor="text1"/>
              <w:left w:val="nil"/>
              <w:bottom w:val="single" w:sz="4" w:space="0" w:color="auto"/>
              <w:right w:val="nil"/>
            </w:tcBorders>
            <w:shd w:val="clear" w:color="000000" w:fill="FFFFFF"/>
            <w:vAlign w:val="center"/>
          </w:tcPr>
          <w:p w14:paraId="358F10AC" w14:textId="4F0D7D59" w:rsidR="00B23D6F" w:rsidRPr="00AD1F2D" w:rsidRDefault="00927BC5" w:rsidP="00B23D6F">
            <w:pPr>
              <w:spacing w:line="240" w:lineRule="auto"/>
              <w:jc w:val="right"/>
              <w:rPr>
                <w:rFonts w:cs="Calibri Light"/>
                <w:color w:val="000000"/>
                <w:szCs w:val="20"/>
              </w:rPr>
            </w:pPr>
            <w:r w:rsidRPr="00E8290E">
              <w:t xml:space="preserve"> $-   </w:t>
            </w:r>
          </w:p>
        </w:tc>
      </w:tr>
    </w:tbl>
    <w:p w14:paraId="1C0C5602" w14:textId="77777777" w:rsidR="0075061C" w:rsidRPr="0075061C" w:rsidRDefault="0075061C" w:rsidP="00A36745">
      <w:pPr>
        <w:rPr>
          <w:lang w:val="en-AU"/>
        </w:rPr>
      </w:pPr>
    </w:p>
    <w:p w14:paraId="7F7E24BC" w14:textId="77777777" w:rsidR="00A36745" w:rsidRDefault="00A36745" w:rsidP="004223DC">
      <w:pPr>
        <w:pStyle w:val="Heading3"/>
      </w:pPr>
      <w:bookmarkStart w:id="322" w:name="_Toc171324799"/>
      <w:bookmarkStart w:id="323" w:name="_Toc198138653"/>
      <w:r w:rsidRPr="004223DC">
        <w:t>Multi</w:t>
      </w:r>
      <w:r>
        <w:t>-criteria assessment</w:t>
      </w:r>
      <w:bookmarkEnd w:id="322"/>
      <w:bookmarkEnd w:id="323"/>
    </w:p>
    <w:p w14:paraId="25544A64" w14:textId="48B29F7D" w:rsidR="00A36745" w:rsidRDefault="00A36745" w:rsidP="004223DC">
      <w:pPr>
        <w:pStyle w:val="BodyText"/>
      </w:pPr>
      <w:r>
        <w:t xml:space="preserve">The MCA provided in </w:t>
      </w:r>
      <w:r w:rsidR="003A07AA">
        <w:t xml:space="preserve">the table below </w:t>
      </w:r>
      <w:r>
        <w:t>considers the extent to which the option responds to the previously outlined objectives for action. To allow for comparison, the following scoring system was applied across each objective and option:</w:t>
      </w:r>
    </w:p>
    <w:p w14:paraId="2DB6AF2D" w14:textId="77777777" w:rsidR="00A36745" w:rsidRDefault="00A36745" w:rsidP="004223DC">
      <w:pPr>
        <w:pStyle w:val="ListBullet"/>
      </w:pPr>
      <w:r>
        <w:t>Not at all (1)</w:t>
      </w:r>
    </w:p>
    <w:p w14:paraId="546B2AD0" w14:textId="77777777" w:rsidR="00A36745" w:rsidRDefault="00A36745" w:rsidP="004223DC">
      <w:pPr>
        <w:pStyle w:val="ListBullet"/>
      </w:pPr>
      <w:r>
        <w:t>Somewhat (2)</w:t>
      </w:r>
    </w:p>
    <w:p w14:paraId="2E5642C2" w14:textId="77777777" w:rsidR="00A36745" w:rsidRDefault="00A36745" w:rsidP="004223DC">
      <w:pPr>
        <w:pStyle w:val="ListBullet"/>
      </w:pPr>
      <w:r>
        <w:t>Mostly (3)</w:t>
      </w:r>
    </w:p>
    <w:p w14:paraId="3E4BD41C" w14:textId="77777777" w:rsidR="00A36745" w:rsidRDefault="00A36745" w:rsidP="004223DC">
      <w:pPr>
        <w:pStyle w:val="ListBullet"/>
      </w:pPr>
      <w:r>
        <w:t>Fully (4)</w:t>
      </w:r>
    </w:p>
    <w:p w14:paraId="5D6A3CEC" w14:textId="77777777" w:rsidR="004223DC" w:rsidRDefault="004223DC" w:rsidP="00623382">
      <w:pPr>
        <w:pStyle w:val="BodyText"/>
        <w:sectPr w:rsidR="004223DC" w:rsidSect="00FC3329">
          <w:pgSz w:w="11906" w:h="16838" w:code="9"/>
          <w:pgMar w:top="1531" w:right="1531" w:bottom="1531" w:left="1531" w:header="709" w:footer="709" w:gutter="0"/>
          <w:cols w:space="708"/>
          <w:docGrid w:linePitch="360"/>
        </w:sectPr>
      </w:pPr>
    </w:p>
    <w:p w14:paraId="20E7AE42" w14:textId="27E04D99" w:rsidR="009B4E17" w:rsidRDefault="00F90BEC" w:rsidP="00F90BEC">
      <w:pPr>
        <w:pStyle w:val="Caption"/>
      </w:pPr>
      <w:bookmarkStart w:id="324" w:name="_Ref171317596"/>
      <w:r>
        <w:t xml:space="preserve">Table </w:t>
      </w:r>
      <w:fldSimple w:instr=" STYLEREF 1 \s ">
        <w:r w:rsidR="00F32107">
          <w:rPr>
            <w:noProof/>
          </w:rPr>
          <w:t>8</w:t>
        </w:r>
      </w:fldSimple>
      <w:r w:rsidR="008944FB">
        <w:t>.</w:t>
      </w:r>
      <w:fldSimple w:instr=" SEQ Table \* ARABIC \s 1 ">
        <w:r w:rsidR="00F32107">
          <w:rPr>
            <w:noProof/>
          </w:rPr>
          <w:t>39</w:t>
        </w:r>
      </w:fldSimple>
      <w:r>
        <w:t xml:space="preserve"> </w:t>
      </w:r>
      <w:r w:rsidR="009B4E17">
        <w:t xml:space="preserve">Multi-criteria analysis for </w:t>
      </w:r>
      <w:bookmarkEnd w:id="324"/>
      <w:r w:rsidR="003A69E1">
        <w:t>Strengthened Status Quo</w:t>
      </w:r>
    </w:p>
    <w:tbl>
      <w:tblPr>
        <w:tblStyle w:val="BodyTable"/>
        <w:tblW w:w="0" w:type="auto"/>
        <w:tblLook w:val="04A0" w:firstRow="1" w:lastRow="0" w:firstColumn="1" w:lastColumn="0" w:noHBand="0" w:noVBand="1"/>
      </w:tblPr>
      <w:tblGrid>
        <w:gridCol w:w="3119"/>
        <w:gridCol w:w="5245"/>
        <w:gridCol w:w="4961"/>
      </w:tblGrid>
      <w:tr w:rsidR="009B4E17" w:rsidRPr="0064446C" w14:paraId="7CCDF3FD" w14:textId="77777777" w:rsidTr="00F90BEC">
        <w:trPr>
          <w:cnfStyle w:val="100000000000" w:firstRow="1" w:lastRow="0" w:firstColumn="0" w:lastColumn="0" w:oddVBand="0" w:evenVBand="0" w:oddHBand="0" w:evenHBand="0" w:firstRowFirstColumn="0" w:firstRowLastColumn="0" w:lastRowFirstColumn="0" w:lastRowLastColumn="0"/>
          <w:tblHeader/>
        </w:trPr>
        <w:tc>
          <w:tcPr>
            <w:tcW w:w="3119" w:type="dxa"/>
          </w:tcPr>
          <w:p w14:paraId="7314E115" w14:textId="77777777" w:rsidR="009B4E17" w:rsidRPr="00972F5E" w:rsidRDefault="009B4E17">
            <w:pPr>
              <w:rPr>
                <w:b/>
                <w:bCs/>
                <w:sz w:val="15"/>
                <w:szCs w:val="15"/>
              </w:rPr>
            </w:pPr>
            <w:r w:rsidRPr="00972F5E">
              <w:rPr>
                <w:b/>
                <w:bCs/>
                <w:sz w:val="15"/>
                <w:szCs w:val="15"/>
              </w:rPr>
              <w:t>Objective</w:t>
            </w:r>
          </w:p>
        </w:tc>
        <w:tc>
          <w:tcPr>
            <w:tcW w:w="5245" w:type="dxa"/>
          </w:tcPr>
          <w:p w14:paraId="030BCAEF" w14:textId="77777777" w:rsidR="009B4E17" w:rsidRPr="00972F5E" w:rsidRDefault="009B4E17">
            <w:pPr>
              <w:rPr>
                <w:b/>
                <w:bCs/>
                <w:sz w:val="15"/>
                <w:szCs w:val="15"/>
              </w:rPr>
            </w:pPr>
            <w:r w:rsidRPr="00972F5E">
              <w:rPr>
                <w:b/>
                <w:bCs/>
                <w:sz w:val="15"/>
                <w:szCs w:val="15"/>
              </w:rPr>
              <w:t>Option: Status Quo</w:t>
            </w:r>
          </w:p>
        </w:tc>
        <w:tc>
          <w:tcPr>
            <w:tcW w:w="4961" w:type="dxa"/>
          </w:tcPr>
          <w:p w14:paraId="7674E04D" w14:textId="2C150C1F" w:rsidR="009B4E17" w:rsidRPr="00972F5E" w:rsidRDefault="003A69E1">
            <w:pPr>
              <w:rPr>
                <w:b/>
                <w:bCs/>
                <w:sz w:val="15"/>
                <w:szCs w:val="15"/>
              </w:rPr>
            </w:pPr>
            <w:r>
              <w:rPr>
                <w:b/>
                <w:bCs/>
                <w:sz w:val="15"/>
                <w:szCs w:val="15"/>
              </w:rPr>
              <w:t>Strengthened Status Quo</w:t>
            </w:r>
          </w:p>
        </w:tc>
      </w:tr>
      <w:tr w:rsidR="00C5064C" w:rsidRPr="0064446C" w14:paraId="33FB3581" w14:textId="77777777" w:rsidTr="00F90BEC">
        <w:tc>
          <w:tcPr>
            <w:tcW w:w="3119" w:type="dxa"/>
          </w:tcPr>
          <w:p w14:paraId="63752B20" w14:textId="41BDE31C" w:rsidR="00C5064C" w:rsidRPr="00972F5E" w:rsidRDefault="00C5064C" w:rsidP="00C5064C">
            <w:pPr>
              <w:rPr>
                <w:i/>
                <w:iCs/>
                <w:sz w:val="15"/>
                <w:szCs w:val="15"/>
              </w:rPr>
            </w:pPr>
            <w:r w:rsidRPr="00972F5E">
              <w:rPr>
                <w:b/>
                <w:bCs/>
                <w:sz w:val="15"/>
                <w:szCs w:val="15"/>
              </w:rPr>
              <w:t>Care quality assurance.</w:t>
            </w:r>
            <w:r w:rsidRPr="00972F5E">
              <w:rPr>
                <w:sz w:val="15"/>
                <w:szCs w:val="15"/>
              </w:rPr>
              <w:t xml:space="preserve"> </w:t>
            </w:r>
            <w:r w:rsidRPr="00972F5E">
              <w:rPr>
                <w:i/>
                <w:iCs/>
                <w:sz w:val="15"/>
                <w:szCs w:val="15"/>
              </w:rPr>
              <w:t>Ensure audiology services are delivered by practitioners who are supported by a clear scope of practice and profession-level goods.</w:t>
            </w:r>
            <w:r w:rsidRPr="00972F5E">
              <w:rPr>
                <w:sz w:val="15"/>
                <w:szCs w:val="15"/>
              </w:rPr>
              <w:t xml:space="preserve"> </w:t>
            </w:r>
          </w:p>
        </w:tc>
        <w:tc>
          <w:tcPr>
            <w:tcW w:w="5245" w:type="dxa"/>
          </w:tcPr>
          <w:p w14:paraId="6C7C6149" w14:textId="77777777" w:rsidR="00C5064C" w:rsidRPr="00C5064C" w:rsidRDefault="00C5064C" w:rsidP="00C5064C">
            <w:pPr>
              <w:rPr>
                <w:sz w:val="15"/>
                <w:szCs w:val="15"/>
              </w:rPr>
            </w:pPr>
            <w:r w:rsidRPr="00C5064C">
              <w:rPr>
                <w:sz w:val="15"/>
                <w:szCs w:val="15"/>
              </w:rPr>
              <w:t>Somewhat (2)</w:t>
            </w:r>
          </w:p>
          <w:p w14:paraId="3C2DB61E" w14:textId="026DF612" w:rsidR="00C5064C" w:rsidRPr="00972F5E" w:rsidRDefault="00C5064C" w:rsidP="00C5064C">
            <w:pPr>
              <w:rPr>
                <w:sz w:val="15"/>
                <w:szCs w:val="15"/>
              </w:rPr>
            </w:pPr>
            <w:r w:rsidRPr="00C5064C">
              <w:rPr>
                <w:sz w:val="15"/>
                <w:szCs w:val="15"/>
              </w:rPr>
              <w:t>Clinical certification provided by the PPBs, university accreditation provided through the AAUACC, and HPCCB processes and outcomes provides some assurance of the quality and competence of the majority of current practicing audiologists.</w:t>
            </w:r>
          </w:p>
        </w:tc>
        <w:tc>
          <w:tcPr>
            <w:tcW w:w="4961" w:type="dxa"/>
          </w:tcPr>
          <w:p w14:paraId="40B07743" w14:textId="77777777" w:rsidR="00C5064C" w:rsidRPr="00972F5E" w:rsidRDefault="00C5064C" w:rsidP="00C5064C">
            <w:pPr>
              <w:rPr>
                <w:sz w:val="15"/>
                <w:szCs w:val="15"/>
              </w:rPr>
            </w:pPr>
            <w:r w:rsidRPr="00972F5E">
              <w:rPr>
                <w:sz w:val="15"/>
                <w:szCs w:val="15"/>
              </w:rPr>
              <w:t>Mostly (3)</w:t>
            </w:r>
          </w:p>
          <w:p w14:paraId="4CDC216D" w14:textId="77777777" w:rsidR="00C5064C" w:rsidRPr="00972F5E" w:rsidRDefault="00C5064C" w:rsidP="00C5064C">
            <w:pPr>
              <w:rPr>
                <w:sz w:val="15"/>
                <w:szCs w:val="15"/>
              </w:rPr>
            </w:pPr>
            <w:r w:rsidRPr="00972F5E">
              <w:rPr>
                <w:sz w:val="15"/>
                <w:szCs w:val="15"/>
              </w:rPr>
              <w:t xml:space="preserve">This option directly invests in CPD to improve the quality of services delivered for public sector and private sector audiologists. </w:t>
            </w:r>
          </w:p>
        </w:tc>
      </w:tr>
      <w:tr w:rsidR="00C5064C" w:rsidRPr="0064446C" w14:paraId="42AA1E4A" w14:textId="77777777" w:rsidTr="00F90BEC">
        <w:tc>
          <w:tcPr>
            <w:tcW w:w="3119" w:type="dxa"/>
          </w:tcPr>
          <w:p w14:paraId="0CB12D96" w14:textId="25304AB1" w:rsidR="00C5064C" w:rsidRPr="00972F5E" w:rsidRDefault="00C5064C" w:rsidP="00C5064C">
            <w:pPr>
              <w:rPr>
                <w:i/>
                <w:iCs/>
                <w:sz w:val="15"/>
                <w:szCs w:val="15"/>
              </w:rPr>
            </w:pPr>
            <w:r w:rsidRPr="00972F5E">
              <w:rPr>
                <w:b/>
                <w:bCs/>
                <w:sz w:val="15"/>
                <w:szCs w:val="15"/>
              </w:rPr>
              <w:t>Regulatory consistency.</w:t>
            </w:r>
            <w:r w:rsidRPr="00972F5E">
              <w:rPr>
                <w:sz w:val="15"/>
                <w:szCs w:val="15"/>
              </w:rPr>
              <w:t xml:space="preserve"> </w:t>
            </w:r>
            <w:r w:rsidRPr="00972F5E">
              <w:rPr>
                <w:i/>
                <w:iCs/>
                <w:sz w:val="15"/>
                <w:szCs w:val="15"/>
              </w:rPr>
              <w:t>A regulatory context that provides consistent oversight of the whole profession, regardless of jurisdiction, elective membership or employment type.</w:t>
            </w:r>
          </w:p>
        </w:tc>
        <w:tc>
          <w:tcPr>
            <w:tcW w:w="5245" w:type="dxa"/>
          </w:tcPr>
          <w:p w14:paraId="05C25EAD" w14:textId="77777777" w:rsidR="00C5064C" w:rsidRPr="00C5064C" w:rsidRDefault="00C5064C" w:rsidP="00C5064C">
            <w:pPr>
              <w:rPr>
                <w:sz w:val="15"/>
                <w:szCs w:val="15"/>
              </w:rPr>
            </w:pPr>
            <w:r w:rsidRPr="00C5064C">
              <w:rPr>
                <w:sz w:val="15"/>
                <w:szCs w:val="15"/>
              </w:rPr>
              <w:t>Somewhat (2)</w:t>
            </w:r>
          </w:p>
          <w:p w14:paraId="074A71CA" w14:textId="65B627B9" w:rsidR="00C5064C" w:rsidRPr="00972F5E" w:rsidRDefault="00C5064C" w:rsidP="00C5064C">
            <w:pPr>
              <w:rPr>
                <w:sz w:val="15"/>
                <w:szCs w:val="15"/>
              </w:rPr>
            </w:pPr>
            <w:r w:rsidRPr="00C5064C">
              <w:rPr>
                <w:sz w:val="15"/>
                <w:szCs w:val="15"/>
              </w:rPr>
              <w:t>Regulatory oversight provided by the PPBs covers most but not all audiologists. In addition, the National Code of Conduct provides mutual recognition of sanctions where it is in effect.</w:t>
            </w:r>
          </w:p>
        </w:tc>
        <w:tc>
          <w:tcPr>
            <w:tcW w:w="4961" w:type="dxa"/>
          </w:tcPr>
          <w:p w14:paraId="4DFBF85F" w14:textId="77777777" w:rsidR="00C5064C" w:rsidRPr="00972F5E" w:rsidRDefault="00C5064C" w:rsidP="00C5064C">
            <w:pPr>
              <w:rPr>
                <w:sz w:val="15"/>
                <w:szCs w:val="15"/>
              </w:rPr>
            </w:pPr>
            <w:r w:rsidRPr="00972F5E">
              <w:rPr>
                <w:sz w:val="15"/>
                <w:szCs w:val="15"/>
              </w:rPr>
              <w:t>Somewhat (2)</w:t>
            </w:r>
          </w:p>
          <w:p w14:paraId="567431DF" w14:textId="7130C437" w:rsidR="00C5064C" w:rsidRPr="00972F5E" w:rsidRDefault="00C5064C" w:rsidP="00C5064C">
            <w:pPr>
              <w:rPr>
                <w:sz w:val="15"/>
                <w:szCs w:val="15"/>
              </w:rPr>
            </w:pPr>
            <w:r w:rsidRPr="00972F5E">
              <w:rPr>
                <w:sz w:val="15"/>
                <w:szCs w:val="15"/>
              </w:rPr>
              <w:t xml:space="preserve">This option increases slightly the proportion of public sector audiologists that are within the remit of the </w:t>
            </w:r>
            <w:r w:rsidR="00FD1236">
              <w:rPr>
                <w:sz w:val="15"/>
                <w:szCs w:val="15"/>
              </w:rPr>
              <w:t>HPCCB</w:t>
            </w:r>
            <w:r w:rsidRPr="00972F5E">
              <w:rPr>
                <w:sz w:val="15"/>
                <w:szCs w:val="15"/>
              </w:rPr>
              <w:t xml:space="preserve">. However, this effect is considered marginal given the high rate of the profession that was included within the </w:t>
            </w:r>
            <w:r w:rsidR="00FD1236">
              <w:rPr>
                <w:sz w:val="15"/>
                <w:szCs w:val="15"/>
              </w:rPr>
              <w:t>HPCCB’s</w:t>
            </w:r>
            <w:r w:rsidRPr="00972F5E">
              <w:rPr>
                <w:sz w:val="15"/>
                <w:szCs w:val="15"/>
              </w:rPr>
              <w:t xml:space="preserve"> remit due to membership already.</w:t>
            </w:r>
          </w:p>
        </w:tc>
      </w:tr>
      <w:tr w:rsidR="00C5064C" w:rsidRPr="0064446C" w14:paraId="50900B86" w14:textId="77777777" w:rsidTr="00F90BEC">
        <w:tc>
          <w:tcPr>
            <w:tcW w:w="3119" w:type="dxa"/>
          </w:tcPr>
          <w:p w14:paraId="51D92CE3" w14:textId="5F127D6C" w:rsidR="00C5064C" w:rsidRPr="00972F5E" w:rsidRDefault="00C5064C" w:rsidP="00C5064C">
            <w:pPr>
              <w:rPr>
                <w:i/>
                <w:iCs/>
                <w:sz w:val="15"/>
                <w:szCs w:val="15"/>
              </w:rPr>
            </w:pPr>
            <w:r w:rsidRPr="00972F5E">
              <w:rPr>
                <w:b/>
                <w:bCs/>
                <w:sz w:val="15"/>
                <w:szCs w:val="15"/>
              </w:rPr>
              <w:t>Escalation systems</w:t>
            </w:r>
            <w:r w:rsidRPr="00972F5E">
              <w:rPr>
                <w:sz w:val="15"/>
                <w:szCs w:val="15"/>
              </w:rPr>
              <w:t xml:space="preserve">. </w:t>
            </w:r>
            <w:r w:rsidRPr="00972F5E">
              <w:rPr>
                <w:i/>
                <w:iCs/>
                <w:sz w:val="15"/>
                <w:szCs w:val="15"/>
              </w:rPr>
              <w:t>Robust regulatory systems that maximise the identification of cases of substandard care and ensure they are appropriately treated.</w:t>
            </w:r>
            <w:r w:rsidRPr="00972F5E">
              <w:rPr>
                <w:sz w:val="15"/>
                <w:szCs w:val="15"/>
              </w:rPr>
              <w:t xml:space="preserve"> </w:t>
            </w:r>
          </w:p>
        </w:tc>
        <w:tc>
          <w:tcPr>
            <w:tcW w:w="5245" w:type="dxa"/>
          </w:tcPr>
          <w:p w14:paraId="37158D0A" w14:textId="77777777" w:rsidR="00C5064C" w:rsidRPr="00C5064C" w:rsidRDefault="00C5064C" w:rsidP="00C5064C">
            <w:pPr>
              <w:rPr>
                <w:sz w:val="15"/>
                <w:szCs w:val="15"/>
              </w:rPr>
            </w:pPr>
            <w:r w:rsidRPr="00C5064C">
              <w:rPr>
                <w:sz w:val="15"/>
                <w:szCs w:val="15"/>
              </w:rPr>
              <w:t>Somewhat (2)</w:t>
            </w:r>
          </w:p>
          <w:p w14:paraId="5EE73EED" w14:textId="04FCB7A9" w:rsidR="00C5064C" w:rsidRPr="00972F5E" w:rsidRDefault="00C5064C" w:rsidP="00C5064C">
            <w:pPr>
              <w:rPr>
                <w:sz w:val="15"/>
                <w:szCs w:val="15"/>
              </w:rPr>
            </w:pPr>
            <w:r w:rsidRPr="00C5064C">
              <w:rPr>
                <w:sz w:val="15"/>
                <w:szCs w:val="15"/>
              </w:rPr>
              <w:t xml:space="preserve">There was a disconnect seen in the consultation responses received from audiologists between the observation of harms occurring in practice and reporting of these issues to existing entities. Further, practitioners are able to work with private full-fee paying clients if they elect not to engage with the sectoral PPBs, removing them from the HPCCB remit. </w:t>
            </w:r>
          </w:p>
        </w:tc>
        <w:tc>
          <w:tcPr>
            <w:tcW w:w="4961" w:type="dxa"/>
          </w:tcPr>
          <w:p w14:paraId="6865F64B" w14:textId="77777777" w:rsidR="00C5064C" w:rsidRPr="00972F5E" w:rsidRDefault="00C5064C" w:rsidP="00C5064C">
            <w:pPr>
              <w:rPr>
                <w:sz w:val="15"/>
                <w:szCs w:val="15"/>
              </w:rPr>
            </w:pPr>
            <w:r w:rsidRPr="00972F5E">
              <w:rPr>
                <w:sz w:val="15"/>
                <w:szCs w:val="15"/>
              </w:rPr>
              <w:t>Somewhat (2)</w:t>
            </w:r>
          </w:p>
          <w:p w14:paraId="2AA6802D" w14:textId="6E1E8ADC" w:rsidR="00C5064C" w:rsidRPr="00972F5E" w:rsidRDefault="00C5064C" w:rsidP="00C5064C">
            <w:pPr>
              <w:rPr>
                <w:sz w:val="15"/>
                <w:szCs w:val="15"/>
              </w:rPr>
            </w:pPr>
            <w:r w:rsidRPr="00972F5E">
              <w:rPr>
                <w:sz w:val="15"/>
                <w:szCs w:val="15"/>
              </w:rPr>
              <w:t xml:space="preserve">There is a small change under this option compared to the current state, noting that some public sector audiologists may now fall within the remit of the </w:t>
            </w:r>
            <w:r w:rsidR="009B6B92">
              <w:rPr>
                <w:sz w:val="15"/>
                <w:szCs w:val="15"/>
              </w:rPr>
              <w:t>HPCCB</w:t>
            </w:r>
            <w:r w:rsidR="009B6B92" w:rsidRPr="00972F5E">
              <w:rPr>
                <w:sz w:val="15"/>
                <w:szCs w:val="15"/>
              </w:rPr>
              <w:t xml:space="preserve"> </w:t>
            </w:r>
            <w:r w:rsidRPr="00972F5E">
              <w:rPr>
                <w:sz w:val="15"/>
                <w:szCs w:val="15"/>
              </w:rPr>
              <w:t>where previously they did not.</w:t>
            </w:r>
          </w:p>
        </w:tc>
      </w:tr>
      <w:tr w:rsidR="00C5064C" w:rsidRPr="0064446C" w14:paraId="046CA520" w14:textId="77777777" w:rsidTr="00F90BEC">
        <w:tc>
          <w:tcPr>
            <w:tcW w:w="3119" w:type="dxa"/>
          </w:tcPr>
          <w:p w14:paraId="2827130B" w14:textId="55B5F26E" w:rsidR="00C5064C" w:rsidRPr="00972F5E" w:rsidRDefault="00C5064C" w:rsidP="00C5064C">
            <w:pPr>
              <w:rPr>
                <w:i/>
                <w:iCs/>
                <w:sz w:val="15"/>
                <w:szCs w:val="15"/>
              </w:rPr>
            </w:pPr>
            <w:r w:rsidRPr="00972F5E">
              <w:rPr>
                <w:b/>
                <w:bCs/>
                <w:sz w:val="15"/>
                <w:szCs w:val="15"/>
              </w:rPr>
              <w:t xml:space="preserve">Market awareness. </w:t>
            </w:r>
            <w:r w:rsidRPr="00972F5E">
              <w:rPr>
                <w:i/>
                <w:iCs/>
                <w:sz w:val="15"/>
                <w:szCs w:val="15"/>
              </w:rPr>
              <w:t>Mechanisms that increase market signalling, with a view to raising consumer and employer understanding of who is fit and proper to deliver different types of hearing health services.</w:t>
            </w:r>
          </w:p>
        </w:tc>
        <w:tc>
          <w:tcPr>
            <w:tcW w:w="5245" w:type="dxa"/>
          </w:tcPr>
          <w:p w14:paraId="2FA7AC28" w14:textId="77777777" w:rsidR="00C5064C" w:rsidRPr="00C5064C" w:rsidRDefault="00C5064C" w:rsidP="00C5064C">
            <w:pPr>
              <w:rPr>
                <w:sz w:val="15"/>
                <w:szCs w:val="15"/>
              </w:rPr>
            </w:pPr>
            <w:r w:rsidRPr="00C5064C">
              <w:rPr>
                <w:sz w:val="15"/>
                <w:szCs w:val="15"/>
              </w:rPr>
              <w:t>Not at all (1)</w:t>
            </w:r>
          </w:p>
          <w:p w14:paraId="1D853087" w14:textId="1213F1A3" w:rsidR="00C5064C" w:rsidRPr="00972F5E" w:rsidRDefault="00C5064C" w:rsidP="00C5064C">
            <w:pPr>
              <w:rPr>
                <w:sz w:val="15"/>
                <w:szCs w:val="15"/>
              </w:rPr>
            </w:pPr>
            <w:r w:rsidRPr="00C5064C">
              <w:rPr>
                <w:sz w:val="15"/>
                <w:szCs w:val="15"/>
              </w:rPr>
              <w:t>There is currently a lack of protected title for audiologists, leading to stakeholder concerns of confusion for consumers</w:t>
            </w:r>
            <w:r>
              <w:rPr>
                <w:sz w:val="15"/>
                <w:szCs w:val="15"/>
              </w:rPr>
              <w:t>.</w:t>
            </w:r>
          </w:p>
        </w:tc>
        <w:tc>
          <w:tcPr>
            <w:tcW w:w="4961" w:type="dxa"/>
          </w:tcPr>
          <w:p w14:paraId="19A36E68" w14:textId="77777777" w:rsidR="00C5064C" w:rsidRPr="00972F5E" w:rsidRDefault="00C5064C" w:rsidP="00C5064C">
            <w:pPr>
              <w:rPr>
                <w:sz w:val="15"/>
                <w:szCs w:val="15"/>
              </w:rPr>
            </w:pPr>
            <w:r w:rsidRPr="00972F5E">
              <w:rPr>
                <w:sz w:val="15"/>
                <w:szCs w:val="15"/>
              </w:rPr>
              <w:t>Not at all (1)</w:t>
            </w:r>
          </w:p>
          <w:p w14:paraId="2DCF4A93" w14:textId="77777777" w:rsidR="00C5064C" w:rsidRPr="00972F5E" w:rsidRDefault="00C5064C" w:rsidP="00C5064C">
            <w:pPr>
              <w:rPr>
                <w:sz w:val="15"/>
                <w:szCs w:val="15"/>
              </w:rPr>
            </w:pPr>
            <w:r w:rsidRPr="00972F5E">
              <w:rPr>
                <w:sz w:val="15"/>
                <w:szCs w:val="15"/>
              </w:rPr>
              <w:t>There is nil change under this option compared to the current state.</w:t>
            </w:r>
          </w:p>
        </w:tc>
      </w:tr>
      <w:tr w:rsidR="00C5064C" w:rsidRPr="0064446C" w14:paraId="757EC867" w14:textId="77777777" w:rsidTr="00F90BEC">
        <w:tc>
          <w:tcPr>
            <w:tcW w:w="3119" w:type="dxa"/>
          </w:tcPr>
          <w:p w14:paraId="520E5682" w14:textId="00940381" w:rsidR="00C5064C" w:rsidRPr="00972F5E" w:rsidRDefault="00C5064C" w:rsidP="00C5064C">
            <w:pPr>
              <w:rPr>
                <w:b/>
                <w:bCs/>
                <w:i/>
                <w:iCs/>
                <w:sz w:val="15"/>
                <w:szCs w:val="15"/>
              </w:rPr>
            </w:pPr>
            <w:r w:rsidRPr="00972F5E">
              <w:rPr>
                <w:b/>
                <w:bCs/>
                <w:sz w:val="15"/>
                <w:szCs w:val="15"/>
              </w:rPr>
              <w:t xml:space="preserve">Ethical practice. </w:t>
            </w:r>
            <w:r w:rsidRPr="00972F5E">
              <w:rPr>
                <w:i/>
                <w:iCs/>
                <w:sz w:val="15"/>
                <w:szCs w:val="15"/>
              </w:rPr>
              <w:t xml:space="preserve">Mechanisms that seek to minimise undue commercial influence on clinical practice, with the goal of preventing </w:t>
            </w:r>
            <w:r w:rsidRPr="00972F5E">
              <w:rPr>
                <w:i/>
                <w:sz w:val="15"/>
                <w:szCs w:val="15"/>
              </w:rPr>
              <w:t>practitioner</w:t>
            </w:r>
            <w:r w:rsidRPr="00972F5E">
              <w:rPr>
                <w:i/>
                <w:iCs/>
                <w:sz w:val="15"/>
                <w:szCs w:val="15"/>
              </w:rPr>
              <w:t xml:space="preserve"> behaviours that are unethical or unsafe.</w:t>
            </w:r>
            <w:r w:rsidRPr="00972F5E">
              <w:rPr>
                <w:b/>
                <w:bCs/>
                <w:i/>
                <w:iCs/>
                <w:sz w:val="15"/>
                <w:szCs w:val="15"/>
              </w:rPr>
              <w:t xml:space="preserve"> </w:t>
            </w:r>
          </w:p>
        </w:tc>
        <w:tc>
          <w:tcPr>
            <w:tcW w:w="5245" w:type="dxa"/>
          </w:tcPr>
          <w:p w14:paraId="76D0DDD3" w14:textId="77777777" w:rsidR="00C5064C" w:rsidRPr="00C5064C" w:rsidRDefault="00C5064C" w:rsidP="00C5064C">
            <w:pPr>
              <w:rPr>
                <w:sz w:val="15"/>
                <w:szCs w:val="15"/>
              </w:rPr>
            </w:pPr>
            <w:r w:rsidRPr="00C5064C">
              <w:rPr>
                <w:sz w:val="15"/>
                <w:szCs w:val="15"/>
              </w:rPr>
              <w:t>Somewhat (2)</w:t>
            </w:r>
          </w:p>
          <w:p w14:paraId="6DDB73FA" w14:textId="12A0C0A3" w:rsidR="00C5064C" w:rsidRPr="00972F5E" w:rsidRDefault="00C5064C" w:rsidP="00C5064C">
            <w:pPr>
              <w:rPr>
                <w:sz w:val="15"/>
                <w:szCs w:val="15"/>
              </w:rPr>
            </w:pPr>
            <w:r w:rsidRPr="00C5064C">
              <w:rPr>
                <w:sz w:val="15"/>
                <w:szCs w:val="15"/>
              </w:rPr>
              <w:t>HCEs are the most appropriate entity to investigate concerns about health systems or health service providers. At present, there is limited practitioner awareness about these powers, and there are some jurisdictions without the National Code.</w:t>
            </w:r>
          </w:p>
        </w:tc>
        <w:tc>
          <w:tcPr>
            <w:tcW w:w="4961" w:type="dxa"/>
          </w:tcPr>
          <w:p w14:paraId="16FD2D04" w14:textId="77777777" w:rsidR="00C5064C" w:rsidRPr="00972F5E" w:rsidRDefault="00C5064C" w:rsidP="00C5064C">
            <w:pPr>
              <w:rPr>
                <w:sz w:val="15"/>
                <w:szCs w:val="15"/>
              </w:rPr>
            </w:pPr>
            <w:r w:rsidRPr="00972F5E">
              <w:rPr>
                <w:sz w:val="15"/>
                <w:szCs w:val="15"/>
              </w:rPr>
              <w:t>Somewhat (2)</w:t>
            </w:r>
          </w:p>
          <w:p w14:paraId="09B4BB36" w14:textId="77777777" w:rsidR="00C5064C" w:rsidRPr="00972F5E" w:rsidRDefault="00C5064C" w:rsidP="00C5064C">
            <w:pPr>
              <w:rPr>
                <w:sz w:val="15"/>
                <w:szCs w:val="15"/>
              </w:rPr>
            </w:pPr>
            <w:r w:rsidRPr="00972F5E">
              <w:rPr>
                <w:sz w:val="15"/>
                <w:szCs w:val="15"/>
              </w:rPr>
              <w:t>There is nil change under this option compared to the current state.</w:t>
            </w:r>
          </w:p>
        </w:tc>
      </w:tr>
      <w:tr w:rsidR="009B4E17" w:rsidRPr="0064446C" w14:paraId="78F0FDA8" w14:textId="77777777" w:rsidTr="00F90BEC">
        <w:trPr>
          <w:trHeight w:val="31"/>
        </w:trPr>
        <w:tc>
          <w:tcPr>
            <w:tcW w:w="3119" w:type="dxa"/>
          </w:tcPr>
          <w:p w14:paraId="1BDB03B1" w14:textId="77777777" w:rsidR="009B4E17" w:rsidRPr="00972F5E" w:rsidRDefault="009B4E17">
            <w:pPr>
              <w:rPr>
                <w:b/>
                <w:bCs/>
                <w:sz w:val="15"/>
                <w:szCs w:val="15"/>
              </w:rPr>
            </w:pPr>
            <w:r w:rsidRPr="00972F5E">
              <w:rPr>
                <w:b/>
                <w:bCs/>
                <w:sz w:val="15"/>
                <w:szCs w:val="15"/>
              </w:rPr>
              <w:t>Total score (20 max)</w:t>
            </w:r>
          </w:p>
        </w:tc>
        <w:tc>
          <w:tcPr>
            <w:tcW w:w="5245" w:type="dxa"/>
          </w:tcPr>
          <w:p w14:paraId="3C2962E9" w14:textId="77777777" w:rsidR="009B4E17" w:rsidRPr="00972F5E" w:rsidRDefault="009B4E17">
            <w:pPr>
              <w:rPr>
                <w:b/>
                <w:bCs/>
                <w:sz w:val="15"/>
                <w:szCs w:val="15"/>
              </w:rPr>
            </w:pPr>
            <w:r w:rsidRPr="00972F5E">
              <w:rPr>
                <w:b/>
                <w:bCs/>
                <w:sz w:val="15"/>
                <w:szCs w:val="15"/>
              </w:rPr>
              <w:t>9</w:t>
            </w:r>
          </w:p>
        </w:tc>
        <w:tc>
          <w:tcPr>
            <w:tcW w:w="4961" w:type="dxa"/>
          </w:tcPr>
          <w:p w14:paraId="1AC454AC" w14:textId="77777777" w:rsidR="009B4E17" w:rsidRPr="00972F5E" w:rsidRDefault="009B4E17">
            <w:pPr>
              <w:rPr>
                <w:b/>
                <w:bCs/>
                <w:sz w:val="15"/>
                <w:szCs w:val="15"/>
              </w:rPr>
            </w:pPr>
            <w:r w:rsidRPr="00972F5E">
              <w:rPr>
                <w:b/>
                <w:sz w:val="15"/>
                <w:szCs w:val="15"/>
              </w:rPr>
              <w:t>10</w:t>
            </w:r>
          </w:p>
        </w:tc>
      </w:tr>
    </w:tbl>
    <w:p w14:paraId="304899B6" w14:textId="77777777" w:rsidR="001A1732" w:rsidRDefault="001A1732" w:rsidP="00623382">
      <w:pPr>
        <w:pStyle w:val="BodyText"/>
        <w:sectPr w:rsidR="001A1732" w:rsidSect="004223DC">
          <w:pgSz w:w="16838" w:h="11906" w:orient="landscape" w:code="9"/>
          <w:pgMar w:top="1531" w:right="1531" w:bottom="1531" w:left="1531" w:header="709" w:footer="709" w:gutter="0"/>
          <w:cols w:space="708"/>
          <w:docGrid w:linePitch="360"/>
        </w:sectPr>
      </w:pPr>
    </w:p>
    <w:p w14:paraId="7CCB1861" w14:textId="77777777" w:rsidR="00840995" w:rsidRDefault="00840995" w:rsidP="00840995">
      <w:pPr>
        <w:pStyle w:val="Heading2"/>
      </w:pPr>
      <w:bookmarkStart w:id="325" w:name="_Toc171324800"/>
      <w:bookmarkStart w:id="326" w:name="_Toc198138654"/>
      <w:r w:rsidRPr="00422CCB">
        <w:t>Summary</w:t>
      </w:r>
      <w:bookmarkEnd w:id="325"/>
      <w:bookmarkEnd w:id="326"/>
    </w:p>
    <w:p w14:paraId="1D7DB4F6" w14:textId="77777777" w:rsidR="00840995" w:rsidRDefault="00840995" w:rsidP="00840995">
      <w:pPr>
        <w:pStyle w:val="BodyText"/>
      </w:pPr>
      <w:r>
        <w:t>A summary of the MCA results across options is shown in the table below.</w:t>
      </w:r>
    </w:p>
    <w:p w14:paraId="02A3CF95" w14:textId="264C596E" w:rsidR="00BB0106" w:rsidRPr="00AE5E17" w:rsidRDefault="00840995" w:rsidP="00840995">
      <w:pPr>
        <w:pStyle w:val="BodyText"/>
        <w:rPr>
          <w:i/>
          <w:iCs/>
          <w:color w:val="183C5D" w:themeColor="text2"/>
          <w:sz w:val="18"/>
          <w:szCs w:val="18"/>
        </w:rPr>
      </w:pPr>
      <w:bookmarkStart w:id="327" w:name="_Ref172051516"/>
      <w:r w:rsidRPr="00E9710C">
        <w:rPr>
          <w:i/>
          <w:color w:val="183C5D" w:themeColor="text2"/>
          <w:sz w:val="18"/>
          <w:szCs w:val="18"/>
        </w:rPr>
        <w:t xml:space="preserve">Table </w:t>
      </w:r>
      <w:r w:rsidR="008944FB">
        <w:rPr>
          <w:i/>
          <w:color w:val="183C5D" w:themeColor="text2"/>
          <w:sz w:val="18"/>
          <w:szCs w:val="18"/>
        </w:rPr>
        <w:fldChar w:fldCharType="begin"/>
      </w:r>
      <w:r w:rsidR="008944FB">
        <w:rPr>
          <w:i/>
          <w:color w:val="183C5D" w:themeColor="text2"/>
          <w:sz w:val="18"/>
          <w:szCs w:val="18"/>
        </w:rPr>
        <w:instrText xml:space="preserve"> STYLEREF 1 \s </w:instrText>
      </w:r>
      <w:r w:rsidR="008944FB">
        <w:rPr>
          <w:i/>
          <w:color w:val="183C5D" w:themeColor="text2"/>
          <w:sz w:val="18"/>
          <w:szCs w:val="18"/>
        </w:rPr>
        <w:fldChar w:fldCharType="separate"/>
      </w:r>
      <w:r w:rsidR="00F32107">
        <w:rPr>
          <w:i/>
          <w:noProof/>
          <w:color w:val="183C5D" w:themeColor="text2"/>
          <w:sz w:val="18"/>
          <w:szCs w:val="18"/>
        </w:rPr>
        <w:t>8</w:t>
      </w:r>
      <w:r w:rsidR="008944FB">
        <w:rPr>
          <w:i/>
          <w:color w:val="183C5D" w:themeColor="text2"/>
          <w:sz w:val="18"/>
          <w:szCs w:val="18"/>
        </w:rPr>
        <w:fldChar w:fldCharType="end"/>
      </w:r>
      <w:r w:rsidR="008944FB">
        <w:rPr>
          <w:i/>
          <w:color w:val="183C5D" w:themeColor="text2"/>
          <w:sz w:val="18"/>
          <w:szCs w:val="18"/>
        </w:rPr>
        <w:t>.</w:t>
      </w:r>
      <w:r w:rsidR="008944FB">
        <w:rPr>
          <w:i/>
          <w:color w:val="183C5D" w:themeColor="text2"/>
          <w:sz w:val="18"/>
          <w:szCs w:val="18"/>
        </w:rPr>
        <w:fldChar w:fldCharType="begin"/>
      </w:r>
      <w:r w:rsidR="008944FB">
        <w:rPr>
          <w:i/>
          <w:color w:val="183C5D" w:themeColor="text2"/>
          <w:sz w:val="18"/>
          <w:szCs w:val="18"/>
        </w:rPr>
        <w:instrText xml:space="preserve"> SEQ Table \* ARABIC \s 1 </w:instrText>
      </w:r>
      <w:r w:rsidR="008944FB">
        <w:rPr>
          <w:i/>
          <w:color w:val="183C5D" w:themeColor="text2"/>
          <w:sz w:val="18"/>
          <w:szCs w:val="18"/>
        </w:rPr>
        <w:fldChar w:fldCharType="separate"/>
      </w:r>
      <w:r w:rsidR="00F32107">
        <w:rPr>
          <w:i/>
          <w:noProof/>
          <w:color w:val="183C5D" w:themeColor="text2"/>
          <w:sz w:val="18"/>
          <w:szCs w:val="18"/>
        </w:rPr>
        <w:t>40</w:t>
      </w:r>
      <w:r w:rsidR="008944FB">
        <w:rPr>
          <w:i/>
          <w:color w:val="183C5D" w:themeColor="text2"/>
          <w:sz w:val="18"/>
          <w:szCs w:val="18"/>
        </w:rPr>
        <w:fldChar w:fldCharType="end"/>
      </w:r>
      <w:bookmarkEnd w:id="327"/>
      <w:r w:rsidRPr="00AE5E17">
        <w:rPr>
          <w:i/>
          <w:color w:val="183C5D" w:themeColor="text2"/>
          <w:sz w:val="18"/>
          <w:szCs w:val="18"/>
        </w:rPr>
        <w:t xml:space="preserve"> Summary - MCA across options</w:t>
      </w:r>
    </w:p>
    <w:tbl>
      <w:tblPr>
        <w:tblStyle w:val="BodyTable"/>
        <w:tblpPr w:leftFromText="181" w:rightFromText="181" w:vertAnchor="text" w:horzAnchor="margin" w:tblpY="1"/>
        <w:tblW w:w="13467" w:type="dxa"/>
        <w:tblLook w:val="04A0" w:firstRow="1" w:lastRow="0" w:firstColumn="1" w:lastColumn="0" w:noHBand="0" w:noVBand="1"/>
      </w:tblPr>
      <w:tblGrid>
        <w:gridCol w:w="1560"/>
        <w:gridCol w:w="1088"/>
        <w:gridCol w:w="4419"/>
        <w:gridCol w:w="3353"/>
        <w:gridCol w:w="3047"/>
      </w:tblGrid>
      <w:tr w:rsidR="00BB0106" w:rsidRPr="0018576E" w14:paraId="13543057" w14:textId="77777777" w:rsidTr="0018576E">
        <w:trPr>
          <w:cnfStyle w:val="100000000000" w:firstRow="1" w:lastRow="0" w:firstColumn="0" w:lastColumn="0" w:oddVBand="0" w:evenVBand="0" w:oddHBand="0" w:evenHBand="0" w:firstRowFirstColumn="0" w:firstRowLastColumn="0" w:lastRowFirstColumn="0" w:lastRowLastColumn="0"/>
          <w:trHeight w:val="310"/>
        </w:trPr>
        <w:tc>
          <w:tcPr>
            <w:tcW w:w="1560" w:type="dxa"/>
          </w:tcPr>
          <w:p w14:paraId="615F2E04" w14:textId="77777777" w:rsidR="00BB0106" w:rsidRPr="0018576E" w:rsidRDefault="00BB0106" w:rsidP="00560877">
            <w:pPr>
              <w:rPr>
                <w:b/>
                <w:sz w:val="14"/>
                <w:szCs w:val="14"/>
              </w:rPr>
            </w:pPr>
            <w:bookmarkStart w:id="328" w:name="_Hlk171323907"/>
            <w:r w:rsidRPr="0018576E">
              <w:rPr>
                <w:b/>
                <w:bCs/>
                <w:sz w:val="14"/>
                <w:szCs w:val="14"/>
              </w:rPr>
              <w:t>Criterion</w:t>
            </w:r>
          </w:p>
        </w:tc>
        <w:tc>
          <w:tcPr>
            <w:tcW w:w="1088" w:type="dxa"/>
          </w:tcPr>
          <w:p w14:paraId="1B7533B6" w14:textId="77777777" w:rsidR="00BB0106" w:rsidRPr="0018576E" w:rsidRDefault="00BB0106" w:rsidP="00560877">
            <w:pPr>
              <w:rPr>
                <w:b/>
                <w:sz w:val="14"/>
                <w:szCs w:val="14"/>
              </w:rPr>
            </w:pPr>
            <w:r w:rsidRPr="0018576E">
              <w:rPr>
                <w:b/>
                <w:sz w:val="14"/>
                <w:szCs w:val="14"/>
              </w:rPr>
              <w:t xml:space="preserve">Current </w:t>
            </w:r>
            <w:r w:rsidRPr="0018576E">
              <w:rPr>
                <w:b/>
                <w:bCs/>
                <w:sz w:val="14"/>
                <w:szCs w:val="14"/>
              </w:rPr>
              <w:t>S</w:t>
            </w:r>
            <w:r w:rsidRPr="0018576E">
              <w:rPr>
                <w:b/>
                <w:sz w:val="14"/>
                <w:szCs w:val="14"/>
              </w:rPr>
              <w:t>tate</w:t>
            </w:r>
          </w:p>
        </w:tc>
        <w:tc>
          <w:tcPr>
            <w:tcW w:w="4419" w:type="dxa"/>
          </w:tcPr>
          <w:p w14:paraId="7A4D98F1" w14:textId="77777777" w:rsidR="00BB0106" w:rsidRPr="0018576E" w:rsidRDefault="00BB0106" w:rsidP="00560877">
            <w:pPr>
              <w:rPr>
                <w:b/>
                <w:sz w:val="14"/>
                <w:szCs w:val="14"/>
              </w:rPr>
            </w:pPr>
            <w:r w:rsidRPr="0018576E">
              <w:rPr>
                <w:b/>
                <w:sz w:val="14"/>
                <w:szCs w:val="14"/>
              </w:rPr>
              <w:t>Strengthened Status Quo</w:t>
            </w:r>
          </w:p>
        </w:tc>
        <w:tc>
          <w:tcPr>
            <w:tcW w:w="3353" w:type="dxa"/>
          </w:tcPr>
          <w:p w14:paraId="0DF14EDD" w14:textId="32E28AFF" w:rsidR="00BB0106" w:rsidRPr="0018576E" w:rsidRDefault="00BB0106" w:rsidP="00560877">
            <w:pPr>
              <w:rPr>
                <w:b/>
                <w:sz w:val="14"/>
                <w:szCs w:val="14"/>
              </w:rPr>
            </w:pPr>
            <w:r w:rsidRPr="0018576E">
              <w:rPr>
                <w:b/>
                <w:sz w:val="14"/>
                <w:szCs w:val="14"/>
              </w:rPr>
              <w:t xml:space="preserve">Jurisdictional </w:t>
            </w:r>
            <w:r w:rsidR="008D0265">
              <w:rPr>
                <w:b/>
                <w:sz w:val="14"/>
                <w:szCs w:val="14"/>
              </w:rPr>
              <w:t>R</w:t>
            </w:r>
            <w:r w:rsidR="00791E1D" w:rsidRPr="0018576E">
              <w:rPr>
                <w:b/>
                <w:sz w:val="14"/>
                <w:szCs w:val="14"/>
              </w:rPr>
              <w:t>egistration</w:t>
            </w:r>
          </w:p>
        </w:tc>
        <w:tc>
          <w:tcPr>
            <w:tcW w:w="3047" w:type="dxa"/>
          </w:tcPr>
          <w:p w14:paraId="7D6B2AC1" w14:textId="37FB3819" w:rsidR="00BB0106" w:rsidRPr="0018576E" w:rsidRDefault="00BB0106" w:rsidP="00560877">
            <w:pPr>
              <w:rPr>
                <w:b/>
                <w:sz w:val="14"/>
                <w:szCs w:val="14"/>
              </w:rPr>
            </w:pPr>
            <w:r w:rsidRPr="0018576E">
              <w:rPr>
                <w:b/>
                <w:sz w:val="14"/>
                <w:szCs w:val="14"/>
              </w:rPr>
              <w:t xml:space="preserve">National </w:t>
            </w:r>
            <w:r w:rsidR="008D0265">
              <w:rPr>
                <w:b/>
                <w:sz w:val="14"/>
                <w:szCs w:val="14"/>
              </w:rPr>
              <w:t>R</w:t>
            </w:r>
            <w:r w:rsidRPr="0018576E">
              <w:rPr>
                <w:b/>
                <w:sz w:val="14"/>
                <w:szCs w:val="14"/>
              </w:rPr>
              <w:t>egistration</w:t>
            </w:r>
          </w:p>
        </w:tc>
      </w:tr>
      <w:tr w:rsidR="00BB0106" w:rsidRPr="0018576E" w14:paraId="0B059208" w14:textId="77777777" w:rsidTr="0018576E">
        <w:trPr>
          <w:trHeight w:val="411"/>
        </w:trPr>
        <w:tc>
          <w:tcPr>
            <w:tcW w:w="1560" w:type="dxa"/>
          </w:tcPr>
          <w:p w14:paraId="1FCF47C2" w14:textId="77777777" w:rsidR="00BB0106" w:rsidRPr="0018576E" w:rsidRDefault="00BB0106" w:rsidP="0018576E">
            <w:pPr>
              <w:spacing w:line="240" w:lineRule="auto"/>
              <w:rPr>
                <w:i/>
                <w:sz w:val="14"/>
                <w:szCs w:val="14"/>
              </w:rPr>
            </w:pPr>
            <w:r w:rsidRPr="0018576E">
              <w:rPr>
                <w:i/>
                <w:sz w:val="14"/>
                <w:szCs w:val="14"/>
              </w:rPr>
              <w:t>Care quality assurance</w:t>
            </w:r>
          </w:p>
        </w:tc>
        <w:tc>
          <w:tcPr>
            <w:tcW w:w="1088" w:type="dxa"/>
          </w:tcPr>
          <w:p w14:paraId="6E00A242" w14:textId="77777777" w:rsidR="00BB0106" w:rsidRPr="0018576E" w:rsidRDefault="00BB0106" w:rsidP="0018576E">
            <w:pPr>
              <w:spacing w:line="240" w:lineRule="auto"/>
              <w:rPr>
                <w:sz w:val="14"/>
                <w:szCs w:val="14"/>
              </w:rPr>
            </w:pPr>
            <w:r w:rsidRPr="0018576E">
              <w:rPr>
                <w:sz w:val="14"/>
                <w:szCs w:val="14"/>
              </w:rPr>
              <w:t>Somewhat (2)</w:t>
            </w:r>
          </w:p>
        </w:tc>
        <w:tc>
          <w:tcPr>
            <w:tcW w:w="4419" w:type="dxa"/>
          </w:tcPr>
          <w:p w14:paraId="295DB471" w14:textId="77777777" w:rsidR="00BB0106" w:rsidRPr="0018576E" w:rsidRDefault="00BB0106" w:rsidP="0018576E">
            <w:pPr>
              <w:spacing w:line="240" w:lineRule="auto"/>
              <w:rPr>
                <w:sz w:val="14"/>
                <w:szCs w:val="14"/>
              </w:rPr>
            </w:pPr>
            <w:r w:rsidRPr="0018576E">
              <w:rPr>
                <w:sz w:val="14"/>
                <w:szCs w:val="14"/>
              </w:rPr>
              <w:t>Mostly (3)</w:t>
            </w:r>
          </w:p>
        </w:tc>
        <w:tc>
          <w:tcPr>
            <w:tcW w:w="3353" w:type="dxa"/>
          </w:tcPr>
          <w:p w14:paraId="0AE00D46" w14:textId="77777777" w:rsidR="00BB0106" w:rsidRPr="0018576E" w:rsidRDefault="00BB0106" w:rsidP="0018576E">
            <w:pPr>
              <w:spacing w:line="240" w:lineRule="auto"/>
              <w:rPr>
                <w:sz w:val="14"/>
                <w:szCs w:val="14"/>
              </w:rPr>
            </w:pPr>
            <w:r w:rsidRPr="0018576E">
              <w:rPr>
                <w:sz w:val="14"/>
                <w:szCs w:val="14"/>
              </w:rPr>
              <w:t>Mostly (3)</w:t>
            </w:r>
          </w:p>
        </w:tc>
        <w:tc>
          <w:tcPr>
            <w:tcW w:w="3047" w:type="dxa"/>
          </w:tcPr>
          <w:p w14:paraId="5069EF13" w14:textId="77777777" w:rsidR="00BB0106" w:rsidRPr="0018576E" w:rsidRDefault="00BB0106" w:rsidP="0018576E">
            <w:pPr>
              <w:spacing w:line="240" w:lineRule="auto"/>
              <w:rPr>
                <w:sz w:val="14"/>
                <w:szCs w:val="14"/>
              </w:rPr>
            </w:pPr>
            <w:r w:rsidRPr="0018576E">
              <w:rPr>
                <w:sz w:val="14"/>
                <w:szCs w:val="14"/>
              </w:rPr>
              <w:t>Mostly (3)</w:t>
            </w:r>
          </w:p>
        </w:tc>
      </w:tr>
      <w:tr w:rsidR="00BB0106" w:rsidRPr="0018576E" w14:paraId="7C54E168" w14:textId="77777777" w:rsidTr="0018576E">
        <w:trPr>
          <w:trHeight w:val="411"/>
        </w:trPr>
        <w:tc>
          <w:tcPr>
            <w:tcW w:w="1560" w:type="dxa"/>
          </w:tcPr>
          <w:p w14:paraId="6FC0067C" w14:textId="77777777" w:rsidR="00BB0106" w:rsidRPr="0018576E" w:rsidRDefault="00BB0106" w:rsidP="0018576E">
            <w:pPr>
              <w:spacing w:line="240" w:lineRule="auto"/>
              <w:rPr>
                <w:i/>
                <w:sz w:val="14"/>
                <w:szCs w:val="14"/>
              </w:rPr>
            </w:pPr>
            <w:r w:rsidRPr="0018576E">
              <w:rPr>
                <w:i/>
                <w:sz w:val="14"/>
                <w:szCs w:val="14"/>
              </w:rPr>
              <w:t>Regulatory consistency</w:t>
            </w:r>
          </w:p>
        </w:tc>
        <w:tc>
          <w:tcPr>
            <w:tcW w:w="1088" w:type="dxa"/>
          </w:tcPr>
          <w:p w14:paraId="34C5AB20" w14:textId="77777777" w:rsidR="00BB0106" w:rsidRPr="0018576E" w:rsidRDefault="00BB0106" w:rsidP="0018576E">
            <w:pPr>
              <w:spacing w:line="240" w:lineRule="auto"/>
              <w:rPr>
                <w:sz w:val="14"/>
                <w:szCs w:val="14"/>
              </w:rPr>
            </w:pPr>
            <w:r w:rsidRPr="0018576E">
              <w:rPr>
                <w:sz w:val="14"/>
                <w:szCs w:val="14"/>
              </w:rPr>
              <w:t>Somewhat (2)</w:t>
            </w:r>
          </w:p>
        </w:tc>
        <w:tc>
          <w:tcPr>
            <w:tcW w:w="4419" w:type="dxa"/>
          </w:tcPr>
          <w:p w14:paraId="1E42A9A4" w14:textId="77777777" w:rsidR="00BB0106" w:rsidRPr="0018576E" w:rsidRDefault="00BB0106" w:rsidP="0018576E">
            <w:pPr>
              <w:spacing w:line="240" w:lineRule="auto"/>
              <w:rPr>
                <w:sz w:val="14"/>
                <w:szCs w:val="14"/>
              </w:rPr>
            </w:pPr>
            <w:r w:rsidRPr="0018576E">
              <w:rPr>
                <w:sz w:val="14"/>
                <w:szCs w:val="14"/>
              </w:rPr>
              <w:t>Somewhat (2)</w:t>
            </w:r>
          </w:p>
        </w:tc>
        <w:tc>
          <w:tcPr>
            <w:tcW w:w="3353" w:type="dxa"/>
          </w:tcPr>
          <w:p w14:paraId="7E72C933" w14:textId="77777777" w:rsidR="00BB0106" w:rsidRPr="0018576E" w:rsidRDefault="00BB0106" w:rsidP="0018576E">
            <w:pPr>
              <w:spacing w:line="240" w:lineRule="auto"/>
              <w:rPr>
                <w:sz w:val="14"/>
                <w:szCs w:val="14"/>
              </w:rPr>
            </w:pPr>
            <w:r w:rsidRPr="0018576E">
              <w:rPr>
                <w:sz w:val="14"/>
                <w:szCs w:val="14"/>
              </w:rPr>
              <w:t>Somewhat (2)</w:t>
            </w:r>
          </w:p>
        </w:tc>
        <w:tc>
          <w:tcPr>
            <w:tcW w:w="3047" w:type="dxa"/>
          </w:tcPr>
          <w:p w14:paraId="149D9474" w14:textId="77777777" w:rsidR="00BB0106" w:rsidRPr="0018576E" w:rsidRDefault="00BB0106" w:rsidP="0018576E">
            <w:pPr>
              <w:spacing w:line="240" w:lineRule="auto"/>
              <w:rPr>
                <w:sz w:val="14"/>
                <w:szCs w:val="14"/>
              </w:rPr>
            </w:pPr>
            <w:r w:rsidRPr="0018576E">
              <w:rPr>
                <w:sz w:val="14"/>
                <w:szCs w:val="14"/>
              </w:rPr>
              <w:t>Mostly (3)</w:t>
            </w:r>
          </w:p>
        </w:tc>
      </w:tr>
      <w:tr w:rsidR="00BB0106" w:rsidRPr="0018576E" w14:paraId="45B2677A" w14:textId="77777777" w:rsidTr="0018576E">
        <w:trPr>
          <w:trHeight w:val="411"/>
        </w:trPr>
        <w:tc>
          <w:tcPr>
            <w:tcW w:w="1560" w:type="dxa"/>
          </w:tcPr>
          <w:p w14:paraId="5F58469E" w14:textId="77777777" w:rsidR="00BB0106" w:rsidRPr="0018576E" w:rsidRDefault="00BB0106" w:rsidP="0018576E">
            <w:pPr>
              <w:spacing w:line="240" w:lineRule="auto"/>
              <w:rPr>
                <w:i/>
                <w:sz w:val="14"/>
                <w:szCs w:val="14"/>
              </w:rPr>
            </w:pPr>
            <w:r w:rsidRPr="0018576E">
              <w:rPr>
                <w:i/>
                <w:sz w:val="14"/>
                <w:szCs w:val="14"/>
              </w:rPr>
              <w:t xml:space="preserve">Escalation systems </w:t>
            </w:r>
          </w:p>
        </w:tc>
        <w:tc>
          <w:tcPr>
            <w:tcW w:w="1088" w:type="dxa"/>
          </w:tcPr>
          <w:p w14:paraId="589A14B5" w14:textId="77777777" w:rsidR="00BB0106" w:rsidRPr="0018576E" w:rsidRDefault="00BB0106" w:rsidP="0018576E">
            <w:pPr>
              <w:spacing w:line="240" w:lineRule="auto"/>
              <w:rPr>
                <w:sz w:val="14"/>
                <w:szCs w:val="14"/>
              </w:rPr>
            </w:pPr>
            <w:r w:rsidRPr="0018576E">
              <w:rPr>
                <w:sz w:val="14"/>
                <w:szCs w:val="14"/>
              </w:rPr>
              <w:t>Somewhat (2)</w:t>
            </w:r>
          </w:p>
        </w:tc>
        <w:tc>
          <w:tcPr>
            <w:tcW w:w="4419" w:type="dxa"/>
          </w:tcPr>
          <w:p w14:paraId="2A194084" w14:textId="77777777" w:rsidR="00BB0106" w:rsidRPr="0018576E" w:rsidRDefault="00BB0106" w:rsidP="0018576E">
            <w:pPr>
              <w:spacing w:line="240" w:lineRule="auto"/>
              <w:rPr>
                <w:sz w:val="14"/>
                <w:szCs w:val="14"/>
              </w:rPr>
            </w:pPr>
            <w:r w:rsidRPr="0018576E">
              <w:rPr>
                <w:sz w:val="14"/>
                <w:szCs w:val="14"/>
              </w:rPr>
              <w:t>Somewhat (2)</w:t>
            </w:r>
          </w:p>
        </w:tc>
        <w:tc>
          <w:tcPr>
            <w:tcW w:w="3353" w:type="dxa"/>
          </w:tcPr>
          <w:p w14:paraId="25CCDCD9" w14:textId="77777777" w:rsidR="00BB0106" w:rsidRPr="0018576E" w:rsidRDefault="00BB0106" w:rsidP="0018576E">
            <w:pPr>
              <w:spacing w:line="240" w:lineRule="auto"/>
              <w:rPr>
                <w:sz w:val="14"/>
                <w:szCs w:val="14"/>
              </w:rPr>
            </w:pPr>
            <w:r w:rsidRPr="0018576E">
              <w:rPr>
                <w:sz w:val="14"/>
                <w:szCs w:val="14"/>
              </w:rPr>
              <w:t>Somewhat (2)</w:t>
            </w:r>
          </w:p>
        </w:tc>
        <w:tc>
          <w:tcPr>
            <w:tcW w:w="3047" w:type="dxa"/>
          </w:tcPr>
          <w:p w14:paraId="3F4142F4" w14:textId="77777777" w:rsidR="00BB0106" w:rsidRPr="0018576E" w:rsidRDefault="00BB0106" w:rsidP="0018576E">
            <w:pPr>
              <w:spacing w:line="240" w:lineRule="auto"/>
              <w:rPr>
                <w:sz w:val="14"/>
                <w:szCs w:val="14"/>
              </w:rPr>
            </w:pPr>
            <w:r w:rsidRPr="0018576E">
              <w:rPr>
                <w:sz w:val="14"/>
                <w:szCs w:val="14"/>
              </w:rPr>
              <w:t>Mostly (3)</w:t>
            </w:r>
          </w:p>
        </w:tc>
      </w:tr>
      <w:tr w:rsidR="00BB0106" w:rsidRPr="0018576E" w14:paraId="5F07CE6F" w14:textId="77777777" w:rsidTr="0018576E">
        <w:trPr>
          <w:trHeight w:val="411"/>
        </w:trPr>
        <w:tc>
          <w:tcPr>
            <w:tcW w:w="1560" w:type="dxa"/>
          </w:tcPr>
          <w:p w14:paraId="68388F2E" w14:textId="77777777" w:rsidR="00BB0106" w:rsidRPr="0018576E" w:rsidRDefault="00BB0106" w:rsidP="0018576E">
            <w:pPr>
              <w:spacing w:line="240" w:lineRule="auto"/>
              <w:rPr>
                <w:i/>
                <w:sz w:val="14"/>
                <w:szCs w:val="14"/>
              </w:rPr>
            </w:pPr>
            <w:r w:rsidRPr="0018576E">
              <w:rPr>
                <w:i/>
                <w:sz w:val="14"/>
                <w:szCs w:val="14"/>
              </w:rPr>
              <w:t>Market awareness</w:t>
            </w:r>
          </w:p>
        </w:tc>
        <w:tc>
          <w:tcPr>
            <w:tcW w:w="1088" w:type="dxa"/>
          </w:tcPr>
          <w:p w14:paraId="5CD9CC13" w14:textId="77777777" w:rsidR="00BB0106" w:rsidRPr="0018576E" w:rsidRDefault="00BB0106" w:rsidP="0018576E">
            <w:pPr>
              <w:spacing w:line="240" w:lineRule="auto"/>
              <w:rPr>
                <w:sz w:val="14"/>
                <w:szCs w:val="14"/>
              </w:rPr>
            </w:pPr>
            <w:r w:rsidRPr="0018576E">
              <w:rPr>
                <w:sz w:val="14"/>
                <w:szCs w:val="14"/>
              </w:rPr>
              <w:t>Not at all (1)</w:t>
            </w:r>
          </w:p>
        </w:tc>
        <w:tc>
          <w:tcPr>
            <w:tcW w:w="4419" w:type="dxa"/>
          </w:tcPr>
          <w:p w14:paraId="2A76D21D" w14:textId="77777777" w:rsidR="00BB0106" w:rsidRPr="0018576E" w:rsidRDefault="00BB0106" w:rsidP="0018576E">
            <w:pPr>
              <w:spacing w:line="240" w:lineRule="auto"/>
              <w:rPr>
                <w:sz w:val="14"/>
                <w:szCs w:val="14"/>
              </w:rPr>
            </w:pPr>
            <w:r w:rsidRPr="0018576E">
              <w:rPr>
                <w:sz w:val="14"/>
                <w:szCs w:val="14"/>
              </w:rPr>
              <w:t>Not at all (1)</w:t>
            </w:r>
          </w:p>
        </w:tc>
        <w:tc>
          <w:tcPr>
            <w:tcW w:w="3353" w:type="dxa"/>
          </w:tcPr>
          <w:p w14:paraId="2B677AE1" w14:textId="77777777" w:rsidR="00BB0106" w:rsidRPr="0018576E" w:rsidRDefault="00BB0106" w:rsidP="0018576E">
            <w:pPr>
              <w:spacing w:line="240" w:lineRule="auto"/>
              <w:rPr>
                <w:sz w:val="14"/>
                <w:szCs w:val="14"/>
              </w:rPr>
            </w:pPr>
            <w:r w:rsidRPr="0018576E">
              <w:rPr>
                <w:sz w:val="14"/>
                <w:szCs w:val="14"/>
              </w:rPr>
              <w:t>Somewhat (2)</w:t>
            </w:r>
          </w:p>
        </w:tc>
        <w:tc>
          <w:tcPr>
            <w:tcW w:w="3047" w:type="dxa"/>
          </w:tcPr>
          <w:p w14:paraId="3BE1C322" w14:textId="77777777" w:rsidR="00BB0106" w:rsidRPr="0018576E" w:rsidRDefault="00BB0106" w:rsidP="0018576E">
            <w:pPr>
              <w:spacing w:line="240" w:lineRule="auto"/>
              <w:rPr>
                <w:sz w:val="14"/>
                <w:szCs w:val="14"/>
              </w:rPr>
            </w:pPr>
            <w:r w:rsidRPr="0018576E">
              <w:rPr>
                <w:sz w:val="14"/>
                <w:szCs w:val="14"/>
              </w:rPr>
              <w:t>Somewhat (2)</w:t>
            </w:r>
          </w:p>
        </w:tc>
      </w:tr>
      <w:tr w:rsidR="00BB0106" w:rsidRPr="0018576E" w14:paraId="012F08D9" w14:textId="77777777" w:rsidTr="0018576E">
        <w:trPr>
          <w:trHeight w:val="411"/>
        </w:trPr>
        <w:tc>
          <w:tcPr>
            <w:tcW w:w="1560" w:type="dxa"/>
          </w:tcPr>
          <w:p w14:paraId="4987656B" w14:textId="77777777" w:rsidR="00BB0106" w:rsidRPr="0018576E" w:rsidRDefault="00BB0106" w:rsidP="0018576E">
            <w:pPr>
              <w:spacing w:line="240" w:lineRule="auto"/>
              <w:rPr>
                <w:i/>
                <w:sz w:val="14"/>
                <w:szCs w:val="14"/>
              </w:rPr>
            </w:pPr>
            <w:r w:rsidRPr="0018576E">
              <w:rPr>
                <w:i/>
                <w:sz w:val="14"/>
                <w:szCs w:val="14"/>
              </w:rPr>
              <w:t>Ethical practice</w:t>
            </w:r>
          </w:p>
        </w:tc>
        <w:tc>
          <w:tcPr>
            <w:tcW w:w="1088" w:type="dxa"/>
          </w:tcPr>
          <w:p w14:paraId="6A4AA5B1" w14:textId="77777777" w:rsidR="00BB0106" w:rsidRPr="0018576E" w:rsidRDefault="00BB0106" w:rsidP="0018576E">
            <w:pPr>
              <w:spacing w:line="240" w:lineRule="auto"/>
              <w:rPr>
                <w:sz w:val="14"/>
                <w:szCs w:val="14"/>
              </w:rPr>
            </w:pPr>
            <w:r w:rsidRPr="0018576E">
              <w:rPr>
                <w:sz w:val="14"/>
                <w:szCs w:val="14"/>
              </w:rPr>
              <w:t>Somewhat (2)</w:t>
            </w:r>
          </w:p>
        </w:tc>
        <w:tc>
          <w:tcPr>
            <w:tcW w:w="4419" w:type="dxa"/>
          </w:tcPr>
          <w:p w14:paraId="4CC35FC0" w14:textId="77777777" w:rsidR="00BB0106" w:rsidRPr="0018576E" w:rsidRDefault="00BB0106" w:rsidP="0018576E">
            <w:pPr>
              <w:spacing w:line="240" w:lineRule="auto"/>
              <w:rPr>
                <w:sz w:val="14"/>
                <w:szCs w:val="14"/>
              </w:rPr>
            </w:pPr>
            <w:r w:rsidRPr="0018576E">
              <w:rPr>
                <w:sz w:val="14"/>
                <w:szCs w:val="14"/>
              </w:rPr>
              <w:t>Somewhat (2)</w:t>
            </w:r>
          </w:p>
        </w:tc>
        <w:tc>
          <w:tcPr>
            <w:tcW w:w="3353" w:type="dxa"/>
          </w:tcPr>
          <w:p w14:paraId="7E3D2A87" w14:textId="77777777" w:rsidR="00BB0106" w:rsidRPr="0018576E" w:rsidRDefault="00BB0106" w:rsidP="0018576E">
            <w:pPr>
              <w:spacing w:line="240" w:lineRule="auto"/>
              <w:rPr>
                <w:sz w:val="14"/>
                <w:szCs w:val="14"/>
              </w:rPr>
            </w:pPr>
            <w:r w:rsidRPr="0018576E">
              <w:rPr>
                <w:sz w:val="14"/>
                <w:szCs w:val="14"/>
              </w:rPr>
              <w:t>Somewhat (2)</w:t>
            </w:r>
          </w:p>
        </w:tc>
        <w:tc>
          <w:tcPr>
            <w:tcW w:w="3047" w:type="dxa"/>
          </w:tcPr>
          <w:p w14:paraId="0B957ED3" w14:textId="77777777" w:rsidR="00BB0106" w:rsidRPr="0018576E" w:rsidRDefault="00BB0106" w:rsidP="0018576E">
            <w:pPr>
              <w:spacing w:line="240" w:lineRule="auto"/>
              <w:rPr>
                <w:sz w:val="14"/>
                <w:szCs w:val="14"/>
              </w:rPr>
            </w:pPr>
            <w:r w:rsidRPr="0018576E">
              <w:rPr>
                <w:sz w:val="14"/>
                <w:szCs w:val="14"/>
              </w:rPr>
              <w:t>Somewhat (2)</w:t>
            </w:r>
          </w:p>
        </w:tc>
      </w:tr>
      <w:tr w:rsidR="00BB0106" w:rsidRPr="0018576E" w14:paraId="4229471C" w14:textId="77777777" w:rsidTr="0018576E">
        <w:trPr>
          <w:trHeight w:val="319"/>
        </w:trPr>
        <w:tc>
          <w:tcPr>
            <w:tcW w:w="1560" w:type="dxa"/>
          </w:tcPr>
          <w:p w14:paraId="0473160C" w14:textId="6259A64E" w:rsidR="00BB0106" w:rsidRPr="0018576E" w:rsidRDefault="00BB0106" w:rsidP="0018576E">
            <w:pPr>
              <w:spacing w:line="240" w:lineRule="auto"/>
              <w:rPr>
                <w:b/>
                <w:sz w:val="14"/>
                <w:szCs w:val="14"/>
              </w:rPr>
            </w:pPr>
            <w:r w:rsidRPr="0018576E">
              <w:rPr>
                <w:b/>
                <w:sz w:val="14"/>
                <w:szCs w:val="14"/>
              </w:rPr>
              <w:t>Total</w:t>
            </w:r>
            <w:r w:rsidR="00BE40FA" w:rsidRPr="0018576E">
              <w:rPr>
                <w:b/>
                <w:sz w:val="14"/>
                <w:szCs w:val="14"/>
              </w:rPr>
              <w:t xml:space="preserve"> (out of 20)</w:t>
            </w:r>
          </w:p>
        </w:tc>
        <w:tc>
          <w:tcPr>
            <w:tcW w:w="1088" w:type="dxa"/>
          </w:tcPr>
          <w:p w14:paraId="4E217A17" w14:textId="77777777" w:rsidR="00BB0106" w:rsidRPr="0018576E" w:rsidRDefault="00BB0106" w:rsidP="0018576E">
            <w:pPr>
              <w:spacing w:line="240" w:lineRule="auto"/>
              <w:rPr>
                <w:b/>
                <w:sz w:val="14"/>
                <w:szCs w:val="14"/>
              </w:rPr>
            </w:pPr>
            <w:r w:rsidRPr="0018576E">
              <w:rPr>
                <w:b/>
                <w:sz w:val="14"/>
                <w:szCs w:val="14"/>
              </w:rPr>
              <w:t>9</w:t>
            </w:r>
          </w:p>
        </w:tc>
        <w:tc>
          <w:tcPr>
            <w:tcW w:w="4419" w:type="dxa"/>
          </w:tcPr>
          <w:p w14:paraId="75559E60" w14:textId="77777777" w:rsidR="00BB0106" w:rsidRPr="0018576E" w:rsidRDefault="00BB0106" w:rsidP="0018576E">
            <w:pPr>
              <w:spacing w:line="240" w:lineRule="auto"/>
              <w:rPr>
                <w:b/>
                <w:sz w:val="14"/>
                <w:szCs w:val="14"/>
              </w:rPr>
            </w:pPr>
            <w:r w:rsidRPr="0018576E">
              <w:rPr>
                <w:b/>
                <w:sz w:val="14"/>
                <w:szCs w:val="14"/>
              </w:rPr>
              <w:t>10</w:t>
            </w:r>
          </w:p>
        </w:tc>
        <w:tc>
          <w:tcPr>
            <w:tcW w:w="3353" w:type="dxa"/>
          </w:tcPr>
          <w:p w14:paraId="70A9B78B" w14:textId="77777777" w:rsidR="00BB0106" w:rsidRPr="0018576E" w:rsidRDefault="00BB0106" w:rsidP="0018576E">
            <w:pPr>
              <w:spacing w:line="240" w:lineRule="auto"/>
              <w:rPr>
                <w:b/>
                <w:sz w:val="14"/>
                <w:szCs w:val="14"/>
              </w:rPr>
            </w:pPr>
            <w:r w:rsidRPr="0018576E">
              <w:rPr>
                <w:b/>
                <w:sz w:val="14"/>
                <w:szCs w:val="14"/>
              </w:rPr>
              <w:t>11</w:t>
            </w:r>
          </w:p>
        </w:tc>
        <w:tc>
          <w:tcPr>
            <w:tcW w:w="3047" w:type="dxa"/>
          </w:tcPr>
          <w:p w14:paraId="39F33446" w14:textId="77777777" w:rsidR="00BB0106" w:rsidRPr="0018576E" w:rsidRDefault="00BB0106" w:rsidP="0018576E">
            <w:pPr>
              <w:spacing w:line="240" w:lineRule="auto"/>
              <w:rPr>
                <w:b/>
                <w:sz w:val="14"/>
                <w:szCs w:val="14"/>
              </w:rPr>
            </w:pPr>
            <w:r w:rsidRPr="0018576E">
              <w:rPr>
                <w:b/>
                <w:sz w:val="14"/>
                <w:szCs w:val="14"/>
              </w:rPr>
              <w:t>13</w:t>
            </w:r>
          </w:p>
        </w:tc>
      </w:tr>
      <w:tr w:rsidR="00BB0106" w:rsidRPr="0018576E" w14:paraId="720F78CE" w14:textId="77777777" w:rsidTr="0018576E">
        <w:trPr>
          <w:trHeight w:val="411"/>
        </w:trPr>
        <w:tc>
          <w:tcPr>
            <w:tcW w:w="1560" w:type="dxa"/>
          </w:tcPr>
          <w:p w14:paraId="4499C34E" w14:textId="77777777" w:rsidR="00BB0106" w:rsidRPr="0018576E" w:rsidRDefault="00BB0106" w:rsidP="00560877">
            <w:pPr>
              <w:rPr>
                <w:b/>
                <w:sz w:val="14"/>
                <w:szCs w:val="14"/>
              </w:rPr>
            </w:pPr>
            <w:r w:rsidRPr="0018576E">
              <w:rPr>
                <w:b/>
                <w:sz w:val="14"/>
                <w:szCs w:val="14"/>
              </w:rPr>
              <w:t xml:space="preserve">Incremental NPV cost over ten-year period (FY25-34) relative to </w:t>
            </w:r>
            <w:r w:rsidRPr="0018576E">
              <w:rPr>
                <w:b/>
                <w:bCs/>
                <w:sz w:val="14"/>
                <w:szCs w:val="14"/>
              </w:rPr>
              <w:t>Status Quo</w:t>
            </w:r>
          </w:p>
        </w:tc>
        <w:tc>
          <w:tcPr>
            <w:tcW w:w="1088" w:type="dxa"/>
          </w:tcPr>
          <w:p w14:paraId="59E661C6" w14:textId="77777777" w:rsidR="00BB0106" w:rsidRPr="0018576E" w:rsidRDefault="00BB0106" w:rsidP="00560877">
            <w:pPr>
              <w:rPr>
                <w:sz w:val="14"/>
                <w:szCs w:val="14"/>
              </w:rPr>
            </w:pPr>
          </w:p>
        </w:tc>
        <w:tc>
          <w:tcPr>
            <w:tcW w:w="4419" w:type="dxa"/>
          </w:tcPr>
          <w:p w14:paraId="2D618CF4" w14:textId="7E1BF2B5" w:rsidR="00ED3BA2" w:rsidRDefault="00ED3BA2" w:rsidP="00560877">
            <w:pPr>
              <w:rPr>
                <w:sz w:val="14"/>
                <w:szCs w:val="14"/>
              </w:rPr>
            </w:pPr>
            <w:r w:rsidRPr="00ED3BA2">
              <w:rPr>
                <w:b/>
                <w:sz w:val="14"/>
                <w:szCs w:val="14"/>
              </w:rPr>
              <w:t xml:space="preserve">$1,317,945 </w:t>
            </w:r>
          </w:p>
          <w:p w14:paraId="553B6155" w14:textId="17EE55E2" w:rsidR="00BB0106" w:rsidRPr="0018576E" w:rsidRDefault="00BB0106" w:rsidP="00560877">
            <w:pPr>
              <w:rPr>
                <w:sz w:val="14"/>
                <w:szCs w:val="14"/>
              </w:rPr>
            </w:pPr>
            <w:r w:rsidRPr="0018576E">
              <w:rPr>
                <w:sz w:val="14"/>
                <w:szCs w:val="14"/>
              </w:rPr>
              <w:t>(If precedent setting, costs increase per eligible profession</w:t>
            </w:r>
            <w:r w:rsidR="00193DBD" w:rsidRPr="0018576E">
              <w:rPr>
                <w:sz w:val="14"/>
                <w:szCs w:val="14"/>
              </w:rPr>
              <w:t xml:space="preserve"> which is not included in this estimate</w:t>
            </w:r>
            <w:r w:rsidRPr="0018576E">
              <w:rPr>
                <w:sz w:val="14"/>
                <w:szCs w:val="14"/>
              </w:rPr>
              <w:t xml:space="preserve">. </w:t>
            </w:r>
            <w:r w:rsidR="00C66297" w:rsidRPr="0018576E">
              <w:rPr>
                <w:sz w:val="14"/>
                <w:szCs w:val="14"/>
              </w:rPr>
              <w:t>Funding envelope for CPD uplift not included</w:t>
            </w:r>
            <w:r w:rsidR="00193DBD" w:rsidRPr="0018576E">
              <w:rPr>
                <w:sz w:val="14"/>
                <w:szCs w:val="14"/>
              </w:rPr>
              <w:t xml:space="preserve"> but is a flexible decision for policy-makers</w:t>
            </w:r>
            <w:r w:rsidRPr="0018576E">
              <w:rPr>
                <w:sz w:val="14"/>
                <w:szCs w:val="14"/>
              </w:rPr>
              <w:t>).</w:t>
            </w:r>
          </w:p>
        </w:tc>
        <w:tc>
          <w:tcPr>
            <w:tcW w:w="3353" w:type="dxa"/>
          </w:tcPr>
          <w:p w14:paraId="6211CB2D" w14:textId="73A0D009" w:rsidR="00BB0106" w:rsidRPr="0018576E" w:rsidRDefault="00ED3BA2" w:rsidP="00560877">
            <w:pPr>
              <w:rPr>
                <w:b/>
                <w:sz w:val="14"/>
                <w:szCs w:val="14"/>
              </w:rPr>
            </w:pPr>
            <w:r w:rsidRPr="00ED3BA2">
              <w:rPr>
                <w:b/>
                <w:sz w:val="14"/>
                <w:szCs w:val="14"/>
              </w:rPr>
              <w:t xml:space="preserve">$23,694,654 </w:t>
            </w:r>
          </w:p>
        </w:tc>
        <w:tc>
          <w:tcPr>
            <w:tcW w:w="3047" w:type="dxa"/>
          </w:tcPr>
          <w:p w14:paraId="5FAC5A42" w14:textId="316A3978" w:rsidR="00BB0106" w:rsidRPr="0018576E" w:rsidRDefault="00A00E60" w:rsidP="00560877">
            <w:pPr>
              <w:rPr>
                <w:b/>
                <w:sz w:val="14"/>
                <w:szCs w:val="14"/>
              </w:rPr>
            </w:pPr>
            <w:r w:rsidRPr="00A00E60">
              <w:rPr>
                <w:b/>
                <w:sz w:val="14"/>
                <w:szCs w:val="14"/>
              </w:rPr>
              <w:t>$21,545,567</w:t>
            </w:r>
          </w:p>
        </w:tc>
      </w:tr>
      <w:tr w:rsidR="00BB0106" w:rsidRPr="0018576E" w14:paraId="20F40D8B" w14:textId="77777777" w:rsidTr="00801B86">
        <w:trPr>
          <w:trHeight w:val="411"/>
        </w:trPr>
        <w:tc>
          <w:tcPr>
            <w:tcW w:w="0" w:type="dxa"/>
          </w:tcPr>
          <w:p w14:paraId="569A6714" w14:textId="77777777" w:rsidR="00BB0106" w:rsidRPr="0018576E" w:rsidRDefault="00BB0106" w:rsidP="00801B86">
            <w:pPr>
              <w:rPr>
                <w:b/>
                <w:sz w:val="14"/>
                <w:szCs w:val="14"/>
              </w:rPr>
            </w:pPr>
            <w:r w:rsidRPr="0018576E">
              <w:rPr>
                <w:b/>
                <w:sz w:val="14"/>
                <w:szCs w:val="14"/>
              </w:rPr>
              <w:t>Notes on cost estimates</w:t>
            </w:r>
          </w:p>
        </w:tc>
        <w:tc>
          <w:tcPr>
            <w:tcW w:w="0" w:type="dxa"/>
          </w:tcPr>
          <w:p w14:paraId="7C7147FF" w14:textId="77777777" w:rsidR="00BB0106" w:rsidRPr="0018576E" w:rsidRDefault="00BB0106" w:rsidP="00560877">
            <w:pPr>
              <w:rPr>
                <w:sz w:val="14"/>
                <w:szCs w:val="14"/>
              </w:rPr>
            </w:pPr>
          </w:p>
        </w:tc>
        <w:tc>
          <w:tcPr>
            <w:tcW w:w="0" w:type="dxa"/>
          </w:tcPr>
          <w:p w14:paraId="677D7789" w14:textId="532B7A9F" w:rsidR="00BB0106" w:rsidRPr="0018576E" w:rsidRDefault="00BB0106" w:rsidP="00972F5E">
            <w:pPr>
              <w:keepNext/>
              <w:rPr>
                <w:sz w:val="14"/>
                <w:szCs w:val="14"/>
              </w:rPr>
            </w:pPr>
            <w:r w:rsidRPr="0018576E">
              <w:rPr>
                <w:sz w:val="14"/>
                <w:szCs w:val="14"/>
              </w:rPr>
              <w:t xml:space="preserve">Cost estimates assume that public sector health services pay for current clinical certification fees for public sector audiologists. It does not include any fees associated with precedent setting of requiring current clinical certification of other self-regulated professions. These costs would be required to be borne by jurisdictional public sector employers. </w:t>
            </w:r>
            <w:r w:rsidR="00650E0F">
              <w:t xml:space="preserve"> </w:t>
            </w:r>
            <w:r w:rsidR="00650E0F" w:rsidRPr="00650E0F">
              <w:rPr>
                <w:sz w:val="14"/>
                <w:szCs w:val="14"/>
              </w:rPr>
              <w:t>Preliminary national calculations on two potential eligible professions – speech pathology and dietetics are of a range between $18-$29 million depending on the timing of jurisdictional enterprise bargaining cycles between FY26-FY29.</w:t>
            </w:r>
          </w:p>
        </w:tc>
        <w:tc>
          <w:tcPr>
            <w:tcW w:w="0" w:type="dxa"/>
          </w:tcPr>
          <w:p w14:paraId="535FB269" w14:textId="77777777" w:rsidR="00BB0106" w:rsidRPr="0018576E" w:rsidRDefault="00BB0106" w:rsidP="00560877">
            <w:pPr>
              <w:rPr>
                <w:sz w:val="14"/>
                <w:szCs w:val="14"/>
              </w:rPr>
            </w:pPr>
            <w:r w:rsidRPr="0018576E">
              <w:rPr>
                <w:sz w:val="14"/>
                <w:szCs w:val="14"/>
              </w:rPr>
              <w:t>Cost estimate assume all jurisdictions would establish a separate Board, sharing fixed costs. If only some jurisdictions establish a Board, costs borne by each individual jurisdiction would be higher.</w:t>
            </w:r>
          </w:p>
        </w:tc>
        <w:tc>
          <w:tcPr>
            <w:tcW w:w="0" w:type="dxa"/>
          </w:tcPr>
          <w:p w14:paraId="194C58B6" w14:textId="77777777" w:rsidR="00BB0106" w:rsidRPr="0018576E" w:rsidRDefault="00BB0106" w:rsidP="00560877">
            <w:pPr>
              <w:rPr>
                <w:sz w:val="14"/>
                <w:szCs w:val="14"/>
              </w:rPr>
            </w:pPr>
            <w:r w:rsidRPr="0018576E">
              <w:rPr>
                <w:sz w:val="14"/>
                <w:szCs w:val="14"/>
              </w:rPr>
              <w:t>The cost estimates are based on a single National Board structure. An alternate Board structure (e.g., National Board with two professions) would be expected to reduce the abovementioned cost.</w:t>
            </w:r>
          </w:p>
        </w:tc>
      </w:tr>
      <w:tr w:rsidR="00BB0106" w:rsidRPr="0018576E" w14:paraId="112519B4" w14:textId="77777777" w:rsidTr="0018576E">
        <w:trPr>
          <w:trHeight w:val="411"/>
        </w:trPr>
        <w:tc>
          <w:tcPr>
            <w:tcW w:w="1560" w:type="dxa"/>
          </w:tcPr>
          <w:p w14:paraId="4DB855A7" w14:textId="77777777" w:rsidR="00BB0106" w:rsidRPr="0018576E" w:rsidRDefault="00BB0106" w:rsidP="00560877">
            <w:pPr>
              <w:rPr>
                <w:b/>
                <w:sz w:val="14"/>
                <w:szCs w:val="14"/>
              </w:rPr>
            </w:pPr>
            <w:r w:rsidRPr="0018576E">
              <w:rPr>
                <w:b/>
                <w:bCs/>
                <w:sz w:val="14"/>
                <w:szCs w:val="14"/>
              </w:rPr>
              <w:t>Competition risks</w:t>
            </w:r>
          </w:p>
        </w:tc>
        <w:tc>
          <w:tcPr>
            <w:tcW w:w="1088" w:type="dxa"/>
          </w:tcPr>
          <w:p w14:paraId="33BABE70" w14:textId="77777777" w:rsidR="00BB0106" w:rsidRPr="0018576E" w:rsidRDefault="00BB0106" w:rsidP="00560877">
            <w:pPr>
              <w:rPr>
                <w:sz w:val="14"/>
                <w:szCs w:val="14"/>
              </w:rPr>
            </w:pPr>
          </w:p>
        </w:tc>
        <w:tc>
          <w:tcPr>
            <w:tcW w:w="4419" w:type="dxa"/>
          </w:tcPr>
          <w:p w14:paraId="1E288F34" w14:textId="3BA3DA4B" w:rsidR="00BB0106" w:rsidRPr="0018576E" w:rsidRDefault="00BB0106" w:rsidP="00560877">
            <w:pPr>
              <w:rPr>
                <w:sz w:val="14"/>
                <w:szCs w:val="14"/>
              </w:rPr>
            </w:pPr>
            <w:r w:rsidRPr="0018576E">
              <w:rPr>
                <w:sz w:val="14"/>
                <w:szCs w:val="14"/>
              </w:rPr>
              <w:t xml:space="preserve">Given that mandatory current clinical certification under the </w:t>
            </w:r>
            <w:r w:rsidR="00524719">
              <w:rPr>
                <w:sz w:val="14"/>
                <w:szCs w:val="14"/>
              </w:rPr>
              <w:t>S</w:t>
            </w:r>
            <w:r w:rsidRPr="0018576E">
              <w:rPr>
                <w:sz w:val="14"/>
                <w:szCs w:val="14"/>
              </w:rPr>
              <w:t xml:space="preserve">trengthened </w:t>
            </w:r>
            <w:r w:rsidR="00A80F45" w:rsidRPr="0018576E">
              <w:rPr>
                <w:sz w:val="14"/>
                <w:szCs w:val="14"/>
              </w:rPr>
              <w:t>Status Quo</w:t>
            </w:r>
            <w:r w:rsidRPr="0018576E">
              <w:rPr>
                <w:sz w:val="14"/>
                <w:szCs w:val="14"/>
              </w:rPr>
              <w:t xml:space="preserve"> option only impacts the public sector, it is not expected to lead to any material competition effects relative to the </w:t>
            </w:r>
            <w:r w:rsidR="00A80F45" w:rsidRPr="0018576E">
              <w:rPr>
                <w:sz w:val="14"/>
                <w:szCs w:val="14"/>
              </w:rPr>
              <w:t>Status Quo</w:t>
            </w:r>
            <w:r w:rsidRPr="0018576E">
              <w:rPr>
                <w:sz w:val="14"/>
                <w:szCs w:val="14"/>
              </w:rPr>
              <w:t>.</w:t>
            </w:r>
          </w:p>
        </w:tc>
        <w:tc>
          <w:tcPr>
            <w:tcW w:w="3353" w:type="dxa"/>
          </w:tcPr>
          <w:p w14:paraId="150A806E" w14:textId="0A5F1E82" w:rsidR="00BB0106" w:rsidRPr="0018576E" w:rsidRDefault="00BB0106" w:rsidP="00560877">
            <w:pPr>
              <w:rPr>
                <w:sz w:val="14"/>
                <w:szCs w:val="14"/>
              </w:rPr>
            </w:pPr>
            <w:r w:rsidRPr="0018576E">
              <w:rPr>
                <w:sz w:val="14"/>
                <w:szCs w:val="14"/>
              </w:rPr>
              <w:t xml:space="preserve">Competition impacts </w:t>
            </w:r>
            <w:r w:rsidR="005C3CDF" w:rsidRPr="0018576E">
              <w:rPr>
                <w:sz w:val="14"/>
                <w:szCs w:val="14"/>
              </w:rPr>
              <w:t xml:space="preserve">and labour shortages may impact small jurisdictions with high registration fees, and providers in regional, </w:t>
            </w:r>
            <w:r w:rsidR="004349B4" w:rsidRPr="0018576E">
              <w:rPr>
                <w:sz w:val="14"/>
                <w:szCs w:val="14"/>
              </w:rPr>
              <w:t>rural</w:t>
            </w:r>
            <w:r w:rsidR="005C3CDF" w:rsidRPr="0018576E">
              <w:rPr>
                <w:sz w:val="14"/>
                <w:szCs w:val="14"/>
              </w:rPr>
              <w:t xml:space="preserve"> and remote communities who rely on locum audiologists practicing across jurisdictional boundaries may experience additional frictions due to the second registration fee required.</w:t>
            </w:r>
          </w:p>
        </w:tc>
        <w:tc>
          <w:tcPr>
            <w:tcW w:w="3047" w:type="dxa"/>
          </w:tcPr>
          <w:p w14:paraId="4EEDBAD3" w14:textId="026C0E59" w:rsidR="00BB0106" w:rsidRPr="0018576E" w:rsidRDefault="00B357C8" w:rsidP="00560877">
            <w:pPr>
              <w:rPr>
                <w:sz w:val="14"/>
                <w:szCs w:val="14"/>
              </w:rPr>
            </w:pPr>
            <w:r w:rsidRPr="0018576E">
              <w:rPr>
                <w:sz w:val="14"/>
                <w:szCs w:val="14"/>
              </w:rPr>
              <w:t>Option 7 may have some effect on competition and labour market impacts</w:t>
            </w:r>
            <w:r w:rsidR="00F642CD" w:rsidRPr="0018576E">
              <w:rPr>
                <w:sz w:val="14"/>
                <w:szCs w:val="14"/>
              </w:rPr>
              <w:t>.</w:t>
            </w:r>
            <w:r w:rsidRPr="0018576E">
              <w:rPr>
                <w:sz w:val="14"/>
                <w:szCs w:val="14"/>
              </w:rPr>
              <w:t xml:space="preserve"> </w:t>
            </w:r>
            <w:r w:rsidR="00F642CD" w:rsidRPr="0018576E">
              <w:rPr>
                <w:sz w:val="14"/>
                <w:szCs w:val="14"/>
              </w:rPr>
              <w:t>Stakeholders</w:t>
            </w:r>
            <w:r w:rsidRPr="0018576E">
              <w:rPr>
                <w:sz w:val="14"/>
                <w:szCs w:val="14"/>
              </w:rPr>
              <w:t xml:space="preserve"> had significant disagreement as to the direction of these impacts</w:t>
            </w:r>
            <w:r w:rsidR="00155E25" w:rsidRPr="0018576E">
              <w:rPr>
                <w:sz w:val="14"/>
                <w:szCs w:val="14"/>
              </w:rPr>
              <w:t xml:space="preserve"> (i.e. </w:t>
            </w:r>
            <w:r w:rsidR="00F642CD" w:rsidRPr="0018576E">
              <w:rPr>
                <w:sz w:val="14"/>
                <w:szCs w:val="14"/>
              </w:rPr>
              <w:t xml:space="preserve">whether labour dynamics would prefer </w:t>
            </w:r>
            <w:r w:rsidR="00155E25" w:rsidRPr="0018576E">
              <w:rPr>
                <w:sz w:val="14"/>
                <w:szCs w:val="14"/>
              </w:rPr>
              <w:t>audiologists or audiometrists)</w:t>
            </w:r>
            <w:r w:rsidRPr="0018576E">
              <w:rPr>
                <w:sz w:val="14"/>
                <w:szCs w:val="14"/>
              </w:rPr>
              <w:t>, and raised factors under the Status Quo which are likely to contribute to competition and labour market impacts</w:t>
            </w:r>
            <w:r w:rsidR="00EA4402" w:rsidRPr="0018576E">
              <w:rPr>
                <w:sz w:val="14"/>
                <w:szCs w:val="14"/>
              </w:rPr>
              <w:t xml:space="preserve"> as well</w:t>
            </w:r>
            <w:r w:rsidR="00155E25" w:rsidRPr="0018576E">
              <w:rPr>
                <w:sz w:val="14"/>
                <w:szCs w:val="14"/>
              </w:rPr>
              <w:t>.</w:t>
            </w:r>
          </w:p>
        </w:tc>
      </w:tr>
      <w:bookmarkEnd w:id="328"/>
    </w:tbl>
    <w:p w14:paraId="16732964" w14:textId="1D0FCFCE" w:rsidR="00840995" w:rsidRDefault="00840995" w:rsidP="00840995">
      <w:pPr>
        <w:pStyle w:val="BodyText"/>
        <w:rPr>
          <w:i/>
          <w:iCs/>
          <w:color w:val="183C5D" w:themeColor="text2"/>
          <w:sz w:val="18"/>
          <w:szCs w:val="18"/>
          <w:lang w:val="en-US"/>
        </w:rPr>
      </w:pPr>
    </w:p>
    <w:p w14:paraId="71732EC9" w14:textId="5F53E544" w:rsidR="005C24A9" w:rsidRPr="0007458C" w:rsidRDefault="00A36053" w:rsidP="00840995">
      <w:pPr>
        <w:pStyle w:val="BodyText"/>
      </w:pPr>
      <w:r w:rsidRPr="0007458C">
        <w:t xml:space="preserve">A summary of costs </w:t>
      </w:r>
      <w:r w:rsidR="00665215">
        <w:t xml:space="preserve">by option and stakeholder is shown below in </w:t>
      </w:r>
      <w:r w:rsidR="00665215">
        <w:fldChar w:fldCharType="begin"/>
      </w:r>
      <w:r w:rsidR="00665215">
        <w:instrText xml:space="preserve"> REF _Ref196819641 \h </w:instrText>
      </w:r>
      <w:r w:rsidR="00665215">
        <w:fldChar w:fldCharType="separate"/>
      </w:r>
      <w:r w:rsidR="00F32107">
        <w:t xml:space="preserve">Table </w:t>
      </w:r>
      <w:r w:rsidR="00F32107">
        <w:rPr>
          <w:noProof/>
        </w:rPr>
        <w:t>8</w:t>
      </w:r>
      <w:r w:rsidR="00F32107">
        <w:t>.</w:t>
      </w:r>
      <w:r w:rsidR="00F32107">
        <w:rPr>
          <w:noProof/>
        </w:rPr>
        <w:t>41</w:t>
      </w:r>
      <w:r w:rsidR="00665215">
        <w:fldChar w:fldCharType="end"/>
      </w:r>
      <w:r w:rsidR="00665215">
        <w:t xml:space="preserve">. </w:t>
      </w:r>
    </w:p>
    <w:p w14:paraId="4E8C5D5E" w14:textId="474E61D9" w:rsidR="00D2425F" w:rsidRDefault="00D2425F" w:rsidP="0007458C">
      <w:pPr>
        <w:pStyle w:val="Caption"/>
        <w:keepNext/>
      </w:pPr>
      <w:bookmarkStart w:id="329" w:name="_Ref196819641"/>
      <w:r>
        <w:t xml:space="preserve">Table </w:t>
      </w:r>
      <w:fldSimple w:instr=" STYLEREF 1 \s ">
        <w:r w:rsidR="00F32107">
          <w:rPr>
            <w:noProof/>
          </w:rPr>
          <w:t>8</w:t>
        </w:r>
      </w:fldSimple>
      <w:r w:rsidR="008944FB">
        <w:t>.</w:t>
      </w:r>
      <w:fldSimple w:instr=" SEQ Table \* ARABIC \s 1 ">
        <w:r w:rsidR="00F32107">
          <w:rPr>
            <w:noProof/>
          </w:rPr>
          <w:t>41</w:t>
        </w:r>
      </w:fldSimple>
      <w:bookmarkEnd w:id="329"/>
      <w:r>
        <w:t xml:space="preserve"> Summary costs, by option and stakeholder</w:t>
      </w:r>
    </w:p>
    <w:tbl>
      <w:tblPr>
        <w:tblStyle w:val="BodyTable"/>
        <w:tblpPr w:leftFromText="181" w:rightFromText="181" w:vertAnchor="text" w:horzAnchor="margin" w:tblpY="1"/>
        <w:tblW w:w="13776" w:type="dxa"/>
        <w:tblLook w:val="04A0" w:firstRow="1" w:lastRow="0" w:firstColumn="1" w:lastColumn="0" w:noHBand="0" w:noVBand="1"/>
      </w:tblPr>
      <w:tblGrid>
        <w:gridCol w:w="4536"/>
        <w:gridCol w:w="1328"/>
        <w:gridCol w:w="2153"/>
        <w:gridCol w:w="2151"/>
        <w:gridCol w:w="1851"/>
        <w:gridCol w:w="1757"/>
      </w:tblGrid>
      <w:tr w:rsidR="00A63030" w:rsidRPr="0018576E" w14:paraId="374F783A" w14:textId="252EA977" w:rsidTr="0007458C">
        <w:trPr>
          <w:cnfStyle w:val="100000000000" w:firstRow="1" w:lastRow="0" w:firstColumn="0" w:lastColumn="0" w:oddVBand="0" w:evenVBand="0" w:oddHBand="0" w:evenHBand="0" w:firstRowFirstColumn="0" w:firstRowLastColumn="0" w:lastRowFirstColumn="0" w:lastRowLastColumn="0"/>
          <w:trHeight w:val="314"/>
        </w:trPr>
        <w:tc>
          <w:tcPr>
            <w:tcW w:w="4536" w:type="dxa"/>
          </w:tcPr>
          <w:p w14:paraId="4112B600" w14:textId="6442F0A7" w:rsidR="00A63030" w:rsidRPr="0018576E" w:rsidRDefault="00A63030" w:rsidP="0007458C">
            <w:pPr>
              <w:ind w:left="0"/>
              <w:rPr>
                <w:b/>
                <w:sz w:val="14"/>
                <w:szCs w:val="14"/>
              </w:rPr>
            </w:pPr>
            <w:r w:rsidRPr="008C12CB">
              <w:rPr>
                <w:b/>
                <w:sz w:val="14"/>
                <w:szCs w:val="14"/>
              </w:rPr>
              <w:t xml:space="preserve">Total </w:t>
            </w:r>
            <w:r>
              <w:rPr>
                <w:b/>
                <w:sz w:val="14"/>
                <w:szCs w:val="14"/>
              </w:rPr>
              <w:t xml:space="preserve">incremental </w:t>
            </w:r>
            <w:r w:rsidRPr="008C12CB">
              <w:rPr>
                <w:b/>
                <w:sz w:val="14"/>
                <w:szCs w:val="14"/>
              </w:rPr>
              <w:t>NPV cost over ten year period</w:t>
            </w:r>
            <w:r>
              <w:rPr>
                <w:b/>
                <w:sz w:val="14"/>
                <w:szCs w:val="14"/>
              </w:rPr>
              <w:t xml:space="preserve"> </w:t>
            </w:r>
            <w:r w:rsidRPr="008C12CB">
              <w:rPr>
                <w:b/>
                <w:sz w:val="14"/>
                <w:szCs w:val="14"/>
              </w:rPr>
              <w:t>(FY25-34)</w:t>
            </w:r>
            <w:r>
              <w:rPr>
                <w:b/>
                <w:sz w:val="14"/>
                <w:szCs w:val="14"/>
              </w:rPr>
              <w:t>, by stakeholder</w:t>
            </w:r>
          </w:p>
        </w:tc>
        <w:tc>
          <w:tcPr>
            <w:tcW w:w="1328" w:type="dxa"/>
          </w:tcPr>
          <w:p w14:paraId="05DD05DB" w14:textId="77777777" w:rsidR="00A63030" w:rsidRPr="0018576E" w:rsidRDefault="00A63030" w:rsidP="0007458C">
            <w:pPr>
              <w:jc w:val="right"/>
              <w:rPr>
                <w:b/>
                <w:sz w:val="14"/>
                <w:szCs w:val="14"/>
              </w:rPr>
            </w:pPr>
            <w:r w:rsidRPr="0018576E">
              <w:rPr>
                <w:b/>
                <w:sz w:val="14"/>
                <w:szCs w:val="14"/>
              </w:rPr>
              <w:t xml:space="preserve">Current </w:t>
            </w:r>
            <w:r w:rsidRPr="0018576E">
              <w:rPr>
                <w:b/>
                <w:bCs/>
                <w:sz w:val="14"/>
                <w:szCs w:val="14"/>
              </w:rPr>
              <w:t>S</w:t>
            </w:r>
            <w:r w:rsidRPr="0018576E">
              <w:rPr>
                <w:b/>
                <w:sz w:val="14"/>
                <w:szCs w:val="14"/>
              </w:rPr>
              <w:t>tate</w:t>
            </w:r>
          </w:p>
        </w:tc>
        <w:tc>
          <w:tcPr>
            <w:tcW w:w="2153" w:type="dxa"/>
          </w:tcPr>
          <w:p w14:paraId="0B364C99" w14:textId="77777777" w:rsidR="00A63030" w:rsidRPr="0018576E" w:rsidRDefault="00A63030" w:rsidP="0007458C">
            <w:pPr>
              <w:jc w:val="right"/>
              <w:rPr>
                <w:b/>
                <w:sz w:val="14"/>
                <w:szCs w:val="14"/>
              </w:rPr>
            </w:pPr>
            <w:r w:rsidRPr="0018576E">
              <w:rPr>
                <w:b/>
                <w:sz w:val="14"/>
                <w:szCs w:val="14"/>
              </w:rPr>
              <w:t>Strengthened Status Quo</w:t>
            </w:r>
          </w:p>
        </w:tc>
        <w:tc>
          <w:tcPr>
            <w:tcW w:w="2151" w:type="dxa"/>
          </w:tcPr>
          <w:p w14:paraId="3D25393D" w14:textId="4E0021D9" w:rsidR="00A63030" w:rsidRPr="0018576E" w:rsidRDefault="00A63030" w:rsidP="0007458C">
            <w:pPr>
              <w:jc w:val="right"/>
              <w:rPr>
                <w:b/>
                <w:sz w:val="14"/>
                <w:szCs w:val="14"/>
              </w:rPr>
            </w:pPr>
            <w:r w:rsidRPr="0018576E">
              <w:rPr>
                <w:b/>
                <w:sz w:val="14"/>
                <w:szCs w:val="14"/>
              </w:rPr>
              <w:t xml:space="preserve">Jurisdictional </w:t>
            </w:r>
            <w:r>
              <w:rPr>
                <w:b/>
                <w:sz w:val="14"/>
                <w:szCs w:val="14"/>
              </w:rPr>
              <w:t>R</w:t>
            </w:r>
            <w:r w:rsidRPr="0018576E">
              <w:rPr>
                <w:b/>
                <w:sz w:val="14"/>
                <w:szCs w:val="14"/>
              </w:rPr>
              <w:t>egistration</w:t>
            </w:r>
          </w:p>
        </w:tc>
        <w:tc>
          <w:tcPr>
            <w:tcW w:w="1851" w:type="dxa"/>
          </w:tcPr>
          <w:p w14:paraId="5811A0B7" w14:textId="72FC03DC" w:rsidR="00A63030" w:rsidRPr="0018576E" w:rsidRDefault="00A63030" w:rsidP="0007458C">
            <w:pPr>
              <w:jc w:val="right"/>
              <w:rPr>
                <w:b/>
                <w:sz w:val="14"/>
                <w:szCs w:val="14"/>
              </w:rPr>
            </w:pPr>
            <w:r w:rsidRPr="0018576E">
              <w:rPr>
                <w:b/>
                <w:sz w:val="14"/>
                <w:szCs w:val="14"/>
              </w:rPr>
              <w:t xml:space="preserve">National </w:t>
            </w:r>
            <w:r>
              <w:rPr>
                <w:b/>
                <w:sz w:val="14"/>
                <w:szCs w:val="14"/>
              </w:rPr>
              <w:t>R</w:t>
            </w:r>
            <w:r w:rsidRPr="0018576E">
              <w:rPr>
                <w:b/>
                <w:sz w:val="14"/>
                <w:szCs w:val="14"/>
              </w:rPr>
              <w:t>egistration</w:t>
            </w:r>
            <w:r>
              <w:rPr>
                <w:b/>
                <w:sz w:val="14"/>
                <w:szCs w:val="14"/>
              </w:rPr>
              <w:t xml:space="preserve">  (Single Profession Board)</w:t>
            </w:r>
          </w:p>
        </w:tc>
        <w:tc>
          <w:tcPr>
            <w:tcW w:w="1757" w:type="dxa"/>
          </w:tcPr>
          <w:p w14:paraId="0A28102D" w14:textId="335434A7" w:rsidR="00A63030" w:rsidRPr="0018576E" w:rsidRDefault="00A63030" w:rsidP="006C04F4">
            <w:pPr>
              <w:jc w:val="right"/>
              <w:rPr>
                <w:b/>
                <w:sz w:val="14"/>
                <w:szCs w:val="14"/>
              </w:rPr>
            </w:pPr>
            <w:r>
              <w:rPr>
                <w:b/>
                <w:sz w:val="14"/>
                <w:szCs w:val="14"/>
              </w:rPr>
              <w:t>National Registration (</w:t>
            </w:r>
            <w:r w:rsidR="00B7207B">
              <w:rPr>
                <w:b/>
                <w:sz w:val="14"/>
                <w:szCs w:val="14"/>
              </w:rPr>
              <w:t>National Board with Multiple Professions</w:t>
            </w:r>
            <w:r>
              <w:rPr>
                <w:b/>
                <w:sz w:val="14"/>
                <w:szCs w:val="14"/>
              </w:rPr>
              <w:t>)</w:t>
            </w:r>
          </w:p>
        </w:tc>
      </w:tr>
      <w:tr w:rsidR="001826CA" w:rsidRPr="0018576E" w14:paraId="7EB00B2A" w14:textId="0FF96569" w:rsidTr="0007458C">
        <w:trPr>
          <w:trHeight w:val="416"/>
        </w:trPr>
        <w:tc>
          <w:tcPr>
            <w:tcW w:w="4536" w:type="dxa"/>
          </w:tcPr>
          <w:p w14:paraId="7EC42A8C" w14:textId="1A3C82AC" w:rsidR="001826CA" w:rsidRPr="0007458C" w:rsidRDefault="001826CA" w:rsidP="001826CA">
            <w:pPr>
              <w:spacing w:line="240" w:lineRule="auto"/>
              <w:rPr>
                <w:iCs/>
                <w:sz w:val="14"/>
                <w:szCs w:val="14"/>
              </w:rPr>
            </w:pPr>
            <w:r>
              <w:rPr>
                <w:iCs/>
                <w:sz w:val="14"/>
                <w:szCs w:val="14"/>
              </w:rPr>
              <w:t>Government</w:t>
            </w:r>
          </w:p>
        </w:tc>
        <w:tc>
          <w:tcPr>
            <w:tcW w:w="1328" w:type="dxa"/>
          </w:tcPr>
          <w:p w14:paraId="46A14920" w14:textId="264A555A" w:rsidR="001826CA" w:rsidRPr="0018576E" w:rsidRDefault="001826CA" w:rsidP="0007458C">
            <w:pPr>
              <w:spacing w:line="240" w:lineRule="auto"/>
              <w:jc w:val="right"/>
              <w:rPr>
                <w:sz w:val="14"/>
                <w:szCs w:val="14"/>
              </w:rPr>
            </w:pPr>
            <w:r>
              <w:rPr>
                <w:sz w:val="14"/>
                <w:szCs w:val="14"/>
              </w:rPr>
              <w:t>-</w:t>
            </w:r>
          </w:p>
        </w:tc>
        <w:tc>
          <w:tcPr>
            <w:tcW w:w="2153" w:type="dxa"/>
          </w:tcPr>
          <w:p w14:paraId="347F2BAA" w14:textId="73A333D4" w:rsidR="001826CA" w:rsidRPr="00DF73F0" w:rsidRDefault="001826CA" w:rsidP="0007458C">
            <w:pPr>
              <w:spacing w:line="240" w:lineRule="auto"/>
              <w:jc w:val="right"/>
              <w:rPr>
                <w:sz w:val="14"/>
                <w:szCs w:val="14"/>
              </w:rPr>
            </w:pPr>
            <w:r w:rsidRPr="0007458C">
              <w:rPr>
                <w:sz w:val="14"/>
                <w:szCs w:val="14"/>
              </w:rPr>
              <w:t xml:space="preserve"> $-</w:t>
            </w:r>
            <w:r>
              <w:rPr>
                <w:sz w:val="14"/>
                <w:szCs w:val="14"/>
              </w:rPr>
              <w:t xml:space="preserve"> ^</w:t>
            </w:r>
            <w:r w:rsidRPr="0007458C">
              <w:rPr>
                <w:sz w:val="14"/>
                <w:szCs w:val="14"/>
              </w:rPr>
              <w:t xml:space="preserve">   </w:t>
            </w:r>
          </w:p>
        </w:tc>
        <w:tc>
          <w:tcPr>
            <w:tcW w:w="2151" w:type="dxa"/>
          </w:tcPr>
          <w:p w14:paraId="0DBAE6D6" w14:textId="454BDE22" w:rsidR="001826CA" w:rsidRPr="00DF73F0" w:rsidRDefault="001826CA" w:rsidP="0007458C">
            <w:pPr>
              <w:spacing w:line="240" w:lineRule="auto"/>
              <w:jc w:val="right"/>
              <w:rPr>
                <w:sz w:val="14"/>
                <w:szCs w:val="14"/>
              </w:rPr>
            </w:pPr>
            <w:r w:rsidRPr="0007458C">
              <w:rPr>
                <w:sz w:val="14"/>
                <w:szCs w:val="14"/>
              </w:rPr>
              <w:t xml:space="preserve"> $23,691,805 </w:t>
            </w:r>
          </w:p>
        </w:tc>
        <w:tc>
          <w:tcPr>
            <w:tcW w:w="1851" w:type="dxa"/>
          </w:tcPr>
          <w:p w14:paraId="56365D8F" w14:textId="0A95A562" w:rsidR="001826CA" w:rsidRPr="00DF73F0" w:rsidRDefault="001826CA" w:rsidP="0007458C">
            <w:pPr>
              <w:spacing w:line="240" w:lineRule="auto"/>
              <w:jc w:val="right"/>
              <w:rPr>
                <w:sz w:val="14"/>
                <w:szCs w:val="14"/>
              </w:rPr>
            </w:pPr>
            <w:r w:rsidRPr="0007458C">
              <w:rPr>
                <w:sz w:val="14"/>
                <w:szCs w:val="14"/>
              </w:rPr>
              <w:t xml:space="preserve"> $4,578,428 </w:t>
            </w:r>
          </w:p>
        </w:tc>
        <w:tc>
          <w:tcPr>
            <w:tcW w:w="1757" w:type="dxa"/>
          </w:tcPr>
          <w:p w14:paraId="6DB43034" w14:textId="2D4F9860" w:rsidR="001826CA" w:rsidRPr="00A63030" w:rsidRDefault="001826CA" w:rsidP="001826CA">
            <w:pPr>
              <w:spacing w:line="240" w:lineRule="auto"/>
              <w:jc w:val="right"/>
              <w:rPr>
                <w:sz w:val="14"/>
                <w:szCs w:val="14"/>
              </w:rPr>
            </w:pPr>
            <w:r w:rsidRPr="0007458C">
              <w:rPr>
                <w:sz w:val="14"/>
                <w:szCs w:val="14"/>
              </w:rPr>
              <w:t xml:space="preserve"> $4,578,428 </w:t>
            </w:r>
          </w:p>
        </w:tc>
      </w:tr>
      <w:tr w:rsidR="001826CA" w:rsidRPr="0018576E" w14:paraId="1DB42B8A" w14:textId="394200A0" w:rsidTr="0007458C">
        <w:trPr>
          <w:trHeight w:val="416"/>
        </w:trPr>
        <w:tc>
          <w:tcPr>
            <w:tcW w:w="4536" w:type="dxa"/>
          </w:tcPr>
          <w:p w14:paraId="42A950C1" w14:textId="1075BC2D" w:rsidR="001826CA" w:rsidRPr="0007458C" w:rsidRDefault="001826CA" w:rsidP="001826CA">
            <w:pPr>
              <w:spacing w:line="240" w:lineRule="auto"/>
              <w:rPr>
                <w:iCs/>
                <w:sz w:val="14"/>
                <w:szCs w:val="14"/>
              </w:rPr>
            </w:pPr>
            <w:r w:rsidRPr="0007458C">
              <w:rPr>
                <w:iCs/>
                <w:sz w:val="14"/>
                <w:szCs w:val="14"/>
              </w:rPr>
              <w:t>Employer</w:t>
            </w:r>
          </w:p>
        </w:tc>
        <w:tc>
          <w:tcPr>
            <w:tcW w:w="1328" w:type="dxa"/>
          </w:tcPr>
          <w:p w14:paraId="748BD7BF" w14:textId="7960EE9C" w:rsidR="001826CA" w:rsidRPr="0018576E" w:rsidRDefault="001826CA" w:rsidP="0007458C">
            <w:pPr>
              <w:spacing w:line="240" w:lineRule="auto"/>
              <w:jc w:val="right"/>
              <w:rPr>
                <w:sz w:val="14"/>
                <w:szCs w:val="14"/>
              </w:rPr>
            </w:pPr>
            <w:r>
              <w:rPr>
                <w:sz w:val="14"/>
                <w:szCs w:val="14"/>
              </w:rPr>
              <w:t>-</w:t>
            </w:r>
          </w:p>
        </w:tc>
        <w:tc>
          <w:tcPr>
            <w:tcW w:w="2153" w:type="dxa"/>
          </w:tcPr>
          <w:p w14:paraId="33E0C036" w14:textId="5D24C25F" w:rsidR="001826CA" w:rsidRPr="00DF73F0" w:rsidRDefault="001826CA" w:rsidP="0007458C">
            <w:pPr>
              <w:spacing w:line="240" w:lineRule="auto"/>
              <w:jc w:val="right"/>
              <w:rPr>
                <w:sz w:val="14"/>
                <w:szCs w:val="14"/>
              </w:rPr>
            </w:pPr>
            <w:r w:rsidRPr="0007458C">
              <w:rPr>
                <w:sz w:val="14"/>
                <w:szCs w:val="14"/>
              </w:rPr>
              <w:t xml:space="preserve"> $2,251,927</w:t>
            </w:r>
            <w:r w:rsidR="00FF3231">
              <w:rPr>
                <w:sz w:val="14"/>
                <w:szCs w:val="14"/>
              </w:rPr>
              <w:t>*</w:t>
            </w:r>
            <w:r w:rsidRPr="0007458C">
              <w:rPr>
                <w:sz w:val="14"/>
                <w:szCs w:val="14"/>
              </w:rPr>
              <w:t xml:space="preserve"> </w:t>
            </w:r>
          </w:p>
        </w:tc>
        <w:tc>
          <w:tcPr>
            <w:tcW w:w="2151" w:type="dxa"/>
          </w:tcPr>
          <w:p w14:paraId="503A9AFA" w14:textId="689D051A" w:rsidR="001826CA" w:rsidRPr="00DF73F0" w:rsidRDefault="001826CA" w:rsidP="0007458C">
            <w:pPr>
              <w:spacing w:line="240" w:lineRule="auto"/>
              <w:jc w:val="right"/>
              <w:rPr>
                <w:sz w:val="14"/>
                <w:szCs w:val="14"/>
              </w:rPr>
            </w:pPr>
            <w:r w:rsidRPr="0007458C">
              <w:rPr>
                <w:sz w:val="14"/>
                <w:szCs w:val="14"/>
              </w:rPr>
              <w:t xml:space="preserve"> $8,574,719 </w:t>
            </w:r>
          </w:p>
        </w:tc>
        <w:tc>
          <w:tcPr>
            <w:tcW w:w="1851" w:type="dxa"/>
          </w:tcPr>
          <w:p w14:paraId="73584DF8" w14:textId="6AD9A03E" w:rsidR="001826CA" w:rsidRPr="00DF73F0" w:rsidRDefault="001826CA" w:rsidP="0007458C">
            <w:pPr>
              <w:spacing w:line="240" w:lineRule="auto"/>
              <w:jc w:val="right"/>
              <w:rPr>
                <w:sz w:val="14"/>
                <w:szCs w:val="14"/>
              </w:rPr>
            </w:pPr>
            <w:r w:rsidRPr="0007458C">
              <w:rPr>
                <w:sz w:val="14"/>
                <w:szCs w:val="14"/>
              </w:rPr>
              <w:t xml:space="preserve"> $8,574,719 </w:t>
            </w:r>
          </w:p>
        </w:tc>
        <w:tc>
          <w:tcPr>
            <w:tcW w:w="1757" w:type="dxa"/>
          </w:tcPr>
          <w:p w14:paraId="341EBA31" w14:textId="61955983" w:rsidR="001826CA" w:rsidRPr="00A63030" w:rsidRDefault="001826CA" w:rsidP="001826CA">
            <w:pPr>
              <w:spacing w:line="240" w:lineRule="auto"/>
              <w:jc w:val="right"/>
              <w:rPr>
                <w:sz w:val="14"/>
                <w:szCs w:val="14"/>
              </w:rPr>
            </w:pPr>
            <w:r w:rsidRPr="0007458C">
              <w:rPr>
                <w:sz w:val="14"/>
                <w:szCs w:val="14"/>
              </w:rPr>
              <w:t xml:space="preserve"> $8,574,719 </w:t>
            </w:r>
          </w:p>
        </w:tc>
      </w:tr>
      <w:tr w:rsidR="001826CA" w:rsidRPr="0018576E" w14:paraId="00E50E91" w14:textId="6D070B7A" w:rsidTr="0007458C">
        <w:trPr>
          <w:trHeight w:val="416"/>
        </w:trPr>
        <w:tc>
          <w:tcPr>
            <w:tcW w:w="4536" w:type="dxa"/>
          </w:tcPr>
          <w:p w14:paraId="23F71E22" w14:textId="57E7C827" w:rsidR="001826CA" w:rsidRPr="0007458C" w:rsidRDefault="001826CA" w:rsidP="001826CA">
            <w:pPr>
              <w:spacing w:line="240" w:lineRule="auto"/>
              <w:rPr>
                <w:iCs/>
                <w:sz w:val="14"/>
                <w:szCs w:val="14"/>
              </w:rPr>
            </w:pPr>
            <w:r w:rsidRPr="0007458C">
              <w:rPr>
                <w:iCs/>
                <w:sz w:val="14"/>
                <w:szCs w:val="14"/>
              </w:rPr>
              <w:t>Audiologists</w:t>
            </w:r>
          </w:p>
        </w:tc>
        <w:tc>
          <w:tcPr>
            <w:tcW w:w="1328" w:type="dxa"/>
          </w:tcPr>
          <w:p w14:paraId="5A4BBF63" w14:textId="3C9C4D58" w:rsidR="001826CA" w:rsidRPr="0018576E" w:rsidRDefault="001826CA" w:rsidP="0007458C">
            <w:pPr>
              <w:spacing w:line="240" w:lineRule="auto"/>
              <w:jc w:val="right"/>
              <w:rPr>
                <w:sz w:val="14"/>
                <w:szCs w:val="14"/>
              </w:rPr>
            </w:pPr>
            <w:r>
              <w:rPr>
                <w:sz w:val="14"/>
                <w:szCs w:val="14"/>
              </w:rPr>
              <w:t>-</w:t>
            </w:r>
          </w:p>
        </w:tc>
        <w:tc>
          <w:tcPr>
            <w:tcW w:w="2153" w:type="dxa"/>
          </w:tcPr>
          <w:p w14:paraId="26FA2C48" w14:textId="39E556A5" w:rsidR="001826CA" w:rsidRPr="00DF73F0" w:rsidRDefault="001826CA" w:rsidP="0007458C">
            <w:pPr>
              <w:spacing w:line="240" w:lineRule="auto"/>
              <w:jc w:val="right"/>
              <w:rPr>
                <w:sz w:val="14"/>
                <w:szCs w:val="14"/>
              </w:rPr>
            </w:pPr>
            <w:r w:rsidRPr="0007458C">
              <w:rPr>
                <w:sz w:val="14"/>
                <w:szCs w:val="14"/>
              </w:rPr>
              <w:t xml:space="preserve">-$933,981 </w:t>
            </w:r>
          </w:p>
        </w:tc>
        <w:tc>
          <w:tcPr>
            <w:tcW w:w="2151" w:type="dxa"/>
          </w:tcPr>
          <w:p w14:paraId="66818E89" w14:textId="2E39D5FA" w:rsidR="001826CA" w:rsidRPr="00DF73F0" w:rsidRDefault="001826CA" w:rsidP="0007458C">
            <w:pPr>
              <w:spacing w:line="240" w:lineRule="auto"/>
              <w:jc w:val="right"/>
              <w:rPr>
                <w:sz w:val="14"/>
                <w:szCs w:val="14"/>
              </w:rPr>
            </w:pPr>
            <w:r w:rsidRPr="0007458C">
              <w:rPr>
                <w:sz w:val="14"/>
                <w:szCs w:val="14"/>
              </w:rPr>
              <w:t xml:space="preserve"> $15,039,749 </w:t>
            </w:r>
          </w:p>
        </w:tc>
        <w:tc>
          <w:tcPr>
            <w:tcW w:w="1851" w:type="dxa"/>
          </w:tcPr>
          <w:p w14:paraId="13460972" w14:textId="7BD2B015" w:rsidR="001826CA" w:rsidRPr="00DF73F0" w:rsidRDefault="001826CA" w:rsidP="0007458C">
            <w:pPr>
              <w:spacing w:line="240" w:lineRule="auto"/>
              <w:jc w:val="right"/>
              <w:rPr>
                <w:sz w:val="14"/>
                <w:szCs w:val="14"/>
              </w:rPr>
            </w:pPr>
            <w:r w:rsidRPr="0007458C">
              <w:rPr>
                <w:sz w:val="14"/>
                <w:szCs w:val="14"/>
              </w:rPr>
              <w:t xml:space="preserve"> $12,890,662 </w:t>
            </w:r>
          </w:p>
        </w:tc>
        <w:tc>
          <w:tcPr>
            <w:tcW w:w="1757" w:type="dxa"/>
          </w:tcPr>
          <w:p w14:paraId="42503A7C" w14:textId="3997F119" w:rsidR="001826CA" w:rsidRPr="00A63030" w:rsidRDefault="001826CA" w:rsidP="001826CA">
            <w:pPr>
              <w:spacing w:line="240" w:lineRule="auto"/>
              <w:jc w:val="right"/>
              <w:rPr>
                <w:sz w:val="14"/>
                <w:szCs w:val="14"/>
              </w:rPr>
            </w:pPr>
            <w:r w:rsidRPr="0007458C">
              <w:rPr>
                <w:sz w:val="14"/>
                <w:szCs w:val="14"/>
              </w:rPr>
              <w:t xml:space="preserve"> $11,797,235 </w:t>
            </w:r>
          </w:p>
        </w:tc>
      </w:tr>
      <w:tr w:rsidR="001826CA" w:rsidRPr="0018576E" w14:paraId="1491A421" w14:textId="457937D4" w:rsidTr="0007458C">
        <w:trPr>
          <w:trHeight w:val="416"/>
        </w:trPr>
        <w:tc>
          <w:tcPr>
            <w:tcW w:w="4536" w:type="dxa"/>
          </w:tcPr>
          <w:p w14:paraId="6E6C9455" w14:textId="080A476D" w:rsidR="001826CA" w:rsidRPr="0007458C" w:rsidRDefault="001826CA" w:rsidP="001826CA">
            <w:pPr>
              <w:spacing w:line="240" w:lineRule="auto"/>
              <w:rPr>
                <w:iCs/>
                <w:sz w:val="14"/>
                <w:szCs w:val="14"/>
              </w:rPr>
            </w:pPr>
            <w:r w:rsidRPr="0007458C">
              <w:rPr>
                <w:iCs/>
                <w:sz w:val="14"/>
                <w:szCs w:val="14"/>
              </w:rPr>
              <w:t>Universities</w:t>
            </w:r>
          </w:p>
        </w:tc>
        <w:tc>
          <w:tcPr>
            <w:tcW w:w="1328" w:type="dxa"/>
          </w:tcPr>
          <w:p w14:paraId="568381E8" w14:textId="476ACB8F" w:rsidR="001826CA" w:rsidRPr="0018576E" w:rsidRDefault="001826CA" w:rsidP="0007458C">
            <w:pPr>
              <w:spacing w:line="240" w:lineRule="auto"/>
              <w:jc w:val="right"/>
              <w:rPr>
                <w:sz w:val="14"/>
                <w:szCs w:val="14"/>
              </w:rPr>
            </w:pPr>
            <w:r>
              <w:rPr>
                <w:sz w:val="14"/>
                <w:szCs w:val="14"/>
              </w:rPr>
              <w:t>-</w:t>
            </w:r>
          </w:p>
        </w:tc>
        <w:tc>
          <w:tcPr>
            <w:tcW w:w="2153" w:type="dxa"/>
          </w:tcPr>
          <w:p w14:paraId="0E1B7E6C" w14:textId="5CBA14C8" w:rsidR="001826CA" w:rsidRPr="00DF73F0" w:rsidRDefault="001826CA" w:rsidP="0007458C">
            <w:pPr>
              <w:spacing w:line="240" w:lineRule="auto"/>
              <w:jc w:val="right"/>
              <w:rPr>
                <w:sz w:val="14"/>
                <w:szCs w:val="14"/>
              </w:rPr>
            </w:pPr>
            <w:r w:rsidRPr="0007458C">
              <w:rPr>
                <w:sz w:val="14"/>
                <w:szCs w:val="14"/>
              </w:rPr>
              <w:t xml:space="preserve"> $-   </w:t>
            </w:r>
          </w:p>
        </w:tc>
        <w:tc>
          <w:tcPr>
            <w:tcW w:w="2151" w:type="dxa"/>
          </w:tcPr>
          <w:p w14:paraId="4FCDA03E" w14:textId="69BC1FEF" w:rsidR="001826CA" w:rsidRPr="00DF73F0" w:rsidRDefault="001826CA" w:rsidP="0007458C">
            <w:pPr>
              <w:spacing w:line="240" w:lineRule="auto"/>
              <w:jc w:val="right"/>
              <w:rPr>
                <w:sz w:val="14"/>
                <w:szCs w:val="14"/>
              </w:rPr>
            </w:pPr>
            <w:r w:rsidRPr="0007458C">
              <w:rPr>
                <w:sz w:val="14"/>
                <w:szCs w:val="14"/>
              </w:rPr>
              <w:t xml:space="preserve"> $80,186 </w:t>
            </w:r>
          </w:p>
        </w:tc>
        <w:tc>
          <w:tcPr>
            <w:tcW w:w="1851" w:type="dxa"/>
          </w:tcPr>
          <w:p w14:paraId="1E894E68" w14:textId="71220783" w:rsidR="001826CA" w:rsidRPr="00DF73F0" w:rsidRDefault="001826CA" w:rsidP="0007458C">
            <w:pPr>
              <w:spacing w:line="240" w:lineRule="auto"/>
              <w:jc w:val="right"/>
              <w:rPr>
                <w:sz w:val="14"/>
                <w:szCs w:val="14"/>
              </w:rPr>
            </w:pPr>
            <w:r w:rsidRPr="0007458C">
              <w:rPr>
                <w:sz w:val="14"/>
                <w:szCs w:val="14"/>
              </w:rPr>
              <w:t xml:space="preserve"> $80,186 </w:t>
            </w:r>
          </w:p>
        </w:tc>
        <w:tc>
          <w:tcPr>
            <w:tcW w:w="1757" w:type="dxa"/>
          </w:tcPr>
          <w:p w14:paraId="565F8B18" w14:textId="15092540" w:rsidR="001826CA" w:rsidRPr="00A63030" w:rsidRDefault="001826CA" w:rsidP="001826CA">
            <w:pPr>
              <w:spacing w:line="240" w:lineRule="auto"/>
              <w:jc w:val="right"/>
              <w:rPr>
                <w:sz w:val="14"/>
                <w:szCs w:val="14"/>
              </w:rPr>
            </w:pPr>
            <w:r w:rsidRPr="0007458C">
              <w:rPr>
                <w:sz w:val="14"/>
                <w:szCs w:val="14"/>
              </w:rPr>
              <w:t xml:space="preserve"> $80,186 </w:t>
            </w:r>
          </w:p>
        </w:tc>
      </w:tr>
    </w:tbl>
    <w:p w14:paraId="4A51F79E" w14:textId="7E9E61DA" w:rsidR="00FF3231" w:rsidRPr="0007458C" w:rsidRDefault="00D70545" w:rsidP="0007458C">
      <w:pPr>
        <w:pStyle w:val="BodyText"/>
        <w:spacing w:after="0"/>
        <w:rPr>
          <w:sz w:val="17"/>
          <w:szCs w:val="17"/>
        </w:rPr>
      </w:pPr>
      <w:r w:rsidRPr="0007458C">
        <w:rPr>
          <w:sz w:val="17"/>
          <w:szCs w:val="17"/>
        </w:rPr>
        <w:t>^This cost does not include the funding envelope for the CPD uplift (</w:t>
      </w:r>
      <w:r w:rsidR="00E871B8" w:rsidRPr="0007458C">
        <w:rPr>
          <w:sz w:val="17"/>
          <w:szCs w:val="17"/>
        </w:rPr>
        <w:t>a flexible choice</w:t>
      </w:r>
      <w:r w:rsidR="00FF3231" w:rsidRPr="0007458C">
        <w:rPr>
          <w:sz w:val="17"/>
          <w:szCs w:val="17"/>
        </w:rPr>
        <w:t xml:space="preserve"> for government as the decision-maker</w:t>
      </w:r>
      <w:r w:rsidR="00CC70F5">
        <w:rPr>
          <w:sz w:val="17"/>
          <w:szCs w:val="17"/>
        </w:rPr>
        <w:t>)</w:t>
      </w:r>
      <w:r w:rsidR="00FF3231" w:rsidRPr="0007458C">
        <w:rPr>
          <w:sz w:val="17"/>
          <w:szCs w:val="17"/>
        </w:rPr>
        <w:t xml:space="preserve">. </w:t>
      </w:r>
    </w:p>
    <w:p w14:paraId="36565524" w14:textId="32E295F0" w:rsidR="006C04F4" w:rsidRPr="0007458C" w:rsidRDefault="00FF3231" w:rsidP="00623382">
      <w:pPr>
        <w:pStyle w:val="BodyText"/>
        <w:rPr>
          <w:sz w:val="17"/>
          <w:szCs w:val="17"/>
        </w:rPr>
      </w:pPr>
      <w:r w:rsidRPr="0007458C">
        <w:rPr>
          <w:sz w:val="17"/>
          <w:szCs w:val="17"/>
        </w:rPr>
        <w:t xml:space="preserve">*This cost does not include </w:t>
      </w:r>
      <w:r w:rsidR="0030487C" w:rsidRPr="0007458C">
        <w:rPr>
          <w:sz w:val="17"/>
          <w:szCs w:val="17"/>
        </w:rPr>
        <w:t xml:space="preserve">any precedent-setting costs associated with </w:t>
      </w:r>
      <w:r w:rsidR="00AA2131" w:rsidRPr="0007458C">
        <w:rPr>
          <w:sz w:val="17"/>
          <w:szCs w:val="17"/>
        </w:rPr>
        <w:t xml:space="preserve">public sector employers paying </w:t>
      </w:r>
      <w:r w:rsidR="0030487C" w:rsidRPr="0007458C">
        <w:rPr>
          <w:sz w:val="17"/>
          <w:szCs w:val="17"/>
        </w:rPr>
        <w:t>clinical certification fees for other self-registered professions.</w:t>
      </w:r>
    </w:p>
    <w:p w14:paraId="0CDC6C4C" w14:textId="612E3822" w:rsidR="00AD7D44" w:rsidRDefault="00AD7D44" w:rsidP="00623382">
      <w:pPr>
        <w:pStyle w:val="BodyText"/>
      </w:pPr>
      <w:r>
        <w:t>Please refer to Appendix E for</w:t>
      </w:r>
      <w:r w:rsidR="00CA1789">
        <w:t xml:space="preserve"> additional </w:t>
      </w:r>
      <w:r w:rsidR="0003723D">
        <w:t>cost</w:t>
      </w:r>
      <w:r w:rsidR="00CA1789">
        <w:t xml:space="preserve"> tables.</w:t>
      </w:r>
    </w:p>
    <w:p w14:paraId="5BC2351D" w14:textId="77777777" w:rsidR="00D70545" w:rsidRDefault="00D70545" w:rsidP="00623382">
      <w:pPr>
        <w:pStyle w:val="BodyText"/>
      </w:pPr>
    </w:p>
    <w:p w14:paraId="23F22EC6" w14:textId="77777777" w:rsidR="006C04F4" w:rsidRDefault="006C04F4" w:rsidP="00623382">
      <w:pPr>
        <w:pStyle w:val="BodyText"/>
        <w:sectPr w:rsidR="006C04F4" w:rsidSect="00972F5E">
          <w:pgSz w:w="16838" w:h="11906" w:orient="landscape" w:code="9"/>
          <w:pgMar w:top="1531" w:right="1531" w:bottom="1531" w:left="1531" w:header="709" w:footer="709" w:gutter="0"/>
          <w:cols w:space="708"/>
          <w:docGrid w:linePitch="360"/>
        </w:sectPr>
      </w:pPr>
    </w:p>
    <w:p w14:paraId="0547D87B" w14:textId="5D335F7F" w:rsidR="008D346B" w:rsidRDefault="00133EC8" w:rsidP="00AE5E17">
      <w:pPr>
        <w:pStyle w:val="Heading1"/>
      </w:pPr>
      <w:bookmarkStart w:id="330" w:name="_Toc198138655"/>
      <w:r>
        <w:t>What is the best option from th</w:t>
      </w:r>
      <w:r w:rsidR="00914CE3">
        <w:t>o</w:t>
      </w:r>
      <w:r>
        <w:t>se considered and how will it be implemented?</w:t>
      </w:r>
      <w:bookmarkEnd w:id="330"/>
    </w:p>
    <w:tbl>
      <w:tblPr>
        <w:tblStyle w:val="TableGrid"/>
        <w:tblW w:w="0" w:type="auto"/>
        <w:tblLook w:val="04A0" w:firstRow="1" w:lastRow="0" w:firstColumn="1" w:lastColumn="0" w:noHBand="0" w:noVBand="1"/>
      </w:tblPr>
      <w:tblGrid>
        <w:gridCol w:w="8834"/>
      </w:tblGrid>
      <w:tr w:rsidR="00E440D2" w14:paraId="0F3FCA99" w14:textId="77777777" w:rsidTr="00E440D2">
        <w:tc>
          <w:tcPr>
            <w:tcW w:w="8834" w:type="dxa"/>
          </w:tcPr>
          <w:p w14:paraId="4BC2D163" w14:textId="02030F89" w:rsidR="00CC0DA6" w:rsidRPr="001815FA" w:rsidRDefault="00024A11" w:rsidP="00CC0DA6">
            <w:pPr>
              <w:pStyle w:val="ListBullet"/>
              <w:numPr>
                <w:ilvl w:val="0"/>
                <w:numId w:val="0"/>
              </w:numPr>
              <w:ind w:left="360" w:hanging="360"/>
              <w:rPr>
                <w:b/>
              </w:rPr>
            </w:pPr>
            <w:r w:rsidRPr="001815FA">
              <w:rPr>
                <w:b/>
              </w:rPr>
              <w:t>Chapter summary</w:t>
            </w:r>
          </w:p>
          <w:p w14:paraId="295C10A8" w14:textId="0156C6FB" w:rsidR="00D84236" w:rsidRDefault="006607E8" w:rsidP="00164A9F">
            <w:pPr>
              <w:pStyle w:val="ListBullet"/>
            </w:pPr>
            <w:bookmarkStart w:id="331" w:name="_Hlk172795185"/>
            <w:r>
              <w:t xml:space="preserve">The summary of the MCA results identified </w:t>
            </w:r>
            <w:r w:rsidR="009D65B6">
              <w:t>National Registration</w:t>
            </w:r>
            <w:r>
              <w:t xml:space="preserve"> as the preferred approach with the highest </w:t>
            </w:r>
            <w:r w:rsidR="002D41E0">
              <w:t>qualitative</w:t>
            </w:r>
            <w:r>
              <w:t xml:space="preserve"> benefit.</w:t>
            </w:r>
            <w:r w:rsidR="00E63925">
              <w:t xml:space="preserve"> </w:t>
            </w:r>
          </w:p>
          <w:p w14:paraId="138D064A" w14:textId="6E0A571F" w:rsidR="00D24D75" w:rsidRDefault="00790FCC" w:rsidP="00164A9F">
            <w:pPr>
              <w:pStyle w:val="ListBullet"/>
            </w:pPr>
            <w:r>
              <w:t xml:space="preserve">The relative ranking of incremental cost of </w:t>
            </w:r>
            <w:r w:rsidR="009D65B6">
              <w:t>National Registration</w:t>
            </w:r>
            <w:r>
              <w:t xml:space="preserve"> compared to </w:t>
            </w:r>
            <w:r w:rsidR="007215D9">
              <w:t>Strengthened Status Quo</w:t>
            </w:r>
            <w:r w:rsidR="00A44684">
              <w:t xml:space="preserve"> and </w:t>
            </w:r>
            <w:r w:rsidR="009D65B6">
              <w:t>Jurisdictional Registration</w:t>
            </w:r>
            <w:r w:rsidR="00A44684">
              <w:t xml:space="preserve"> depends on the individual decision-making of jurisdictions</w:t>
            </w:r>
            <w:r w:rsidR="00D84236">
              <w:t>.</w:t>
            </w:r>
            <w:r>
              <w:t xml:space="preserve"> </w:t>
            </w:r>
            <w:r w:rsidR="001C5B44">
              <w:t xml:space="preserve">Cost considerations are outlined below. </w:t>
            </w:r>
          </w:p>
          <w:p w14:paraId="79250F4B" w14:textId="434AE11F" w:rsidR="00BF7E9C" w:rsidRDefault="00040F09" w:rsidP="00962BB1">
            <w:pPr>
              <w:pStyle w:val="BulletList2Column"/>
            </w:pPr>
            <w:r>
              <w:t xml:space="preserve">The number of jurisdictions that elect to enact </w:t>
            </w:r>
            <w:r w:rsidR="009D65B6">
              <w:t>Jurisdictional Registration</w:t>
            </w:r>
            <w:r w:rsidR="00B579AD">
              <w:t xml:space="preserve"> </w:t>
            </w:r>
            <w:r w:rsidR="00611E45">
              <w:t xml:space="preserve">determines whether the total cost exceeds </w:t>
            </w:r>
            <w:r w:rsidR="009D65B6">
              <w:t>National Registration</w:t>
            </w:r>
            <w:r w:rsidR="00611E45">
              <w:t xml:space="preserve">. </w:t>
            </w:r>
            <w:r w:rsidR="00A7479E">
              <w:t xml:space="preserve">Nation-wide regulatory coverage </w:t>
            </w:r>
            <w:r w:rsidR="00063D4A">
              <w:t xml:space="preserve">is less expensive under the National Scheme than </w:t>
            </w:r>
            <w:r w:rsidR="00505679">
              <w:t xml:space="preserve">Australian-wide implementation of </w:t>
            </w:r>
            <w:r w:rsidR="009D65B6">
              <w:t>Jurisdictional Registration</w:t>
            </w:r>
            <w:r w:rsidR="00505679">
              <w:t xml:space="preserve">. If only certain jurisdictions </w:t>
            </w:r>
            <w:r w:rsidR="00CA31CE">
              <w:t xml:space="preserve">enact </w:t>
            </w:r>
            <w:r w:rsidR="009D65B6">
              <w:t>Jurisdictional Registration</w:t>
            </w:r>
            <w:r w:rsidR="00CA31CE">
              <w:t xml:space="preserve">, </w:t>
            </w:r>
            <w:r w:rsidR="00A82272">
              <w:t xml:space="preserve">regulatory inconsistency may create issues </w:t>
            </w:r>
            <w:r w:rsidR="006E0EB9">
              <w:t>including workforce supply challenges.</w:t>
            </w:r>
          </w:p>
          <w:p w14:paraId="1F545499" w14:textId="4DF5313F" w:rsidR="00E440D2" w:rsidRDefault="008D146E" w:rsidP="00962BB1">
            <w:pPr>
              <w:pStyle w:val="BulletList2Column"/>
            </w:pPr>
            <w:r>
              <w:t>The number of jurisdictions enacting Strengthened Status Quo</w:t>
            </w:r>
            <w:r w:rsidR="00B66E49">
              <w:t xml:space="preserve"> </w:t>
            </w:r>
            <w:r w:rsidR="00D918A2">
              <w:t xml:space="preserve">and the </w:t>
            </w:r>
            <w:r>
              <w:t>extent</w:t>
            </w:r>
            <w:r w:rsidR="00D918A2">
              <w:t xml:space="preserve"> of any precedent-setting </w:t>
            </w:r>
            <w:r w:rsidR="00B66E49">
              <w:t xml:space="preserve">determines whether the total cost </w:t>
            </w:r>
            <w:r w:rsidR="004E54FD">
              <w:t xml:space="preserve">exceeds </w:t>
            </w:r>
            <w:r w:rsidR="009D65B6">
              <w:t>National Registration</w:t>
            </w:r>
            <w:r w:rsidR="004E54FD">
              <w:t xml:space="preserve">. </w:t>
            </w:r>
            <w:r w:rsidR="00CF5CE3">
              <w:t xml:space="preserve">For any jurisdiction that enacts this option, </w:t>
            </w:r>
            <w:r w:rsidR="00D36B84">
              <w:t>any</w:t>
            </w:r>
            <w:r w:rsidR="00CF5CE3">
              <w:t xml:space="preserve"> other professions </w:t>
            </w:r>
            <w:r w:rsidR="00AA2D82">
              <w:t xml:space="preserve">deemed eligible </w:t>
            </w:r>
            <w:r w:rsidR="009A5295">
              <w:t>for comparable changes</w:t>
            </w:r>
            <w:r w:rsidR="00D36B84">
              <w:t xml:space="preserve"> will</w:t>
            </w:r>
            <w:r w:rsidR="00AA2D82">
              <w:t xml:space="preserve"> increase the cost of this option. </w:t>
            </w:r>
            <w:r w:rsidR="00DF539A" w:rsidRPr="00DF539A">
              <w:t>Preliminary national calculations on two potential eligible professions – speech pathology and dietetics are of a range between $18-$29 million depending on the timing of jurisdictional enterprise bargaining cycles between FY26-FY29.</w:t>
            </w:r>
            <w:r w:rsidR="00DF539A">
              <w:t xml:space="preserve"> </w:t>
            </w:r>
            <w:r w:rsidR="00831A00">
              <w:t>Governments also directly set the funding envelope for the CPD uplift, impacting overall cost of the option.</w:t>
            </w:r>
          </w:p>
          <w:bookmarkEnd w:id="331"/>
          <w:p w14:paraId="07C59263" w14:textId="47216FB1" w:rsidR="00E83352" w:rsidRDefault="00E83352" w:rsidP="003653E4">
            <w:pPr>
              <w:pStyle w:val="ListBullet"/>
            </w:pPr>
            <w:r>
              <w:t>The distribution of regulatory burden under National Registration primarily falls on audiologists in terms financial burden (compliance fees) and regulatory burden associated with mandatory notifications.</w:t>
            </w:r>
            <w:r w:rsidR="008716CC">
              <w:t xml:space="preserve"> </w:t>
            </w:r>
            <w:r>
              <w:t xml:space="preserve">However, it also falls on employers in relation to compliance costs, time costs associated with CPD and mandatory notifications. </w:t>
            </w:r>
          </w:p>
          <w:p w14:paraId="617DC586" w14:textId="184D7FD6" w:rsidR="003972FE" w:rsidRDefault="00687C16" w:rsidP="003972FE">
            <w:pPr>
              <w:pStyle w:val="ListBullet"/>
            </w:pPr>
            <w:r w:rsidRPr="00687C16">
              <w:t>This Decision RIS has analysed a set of options that are considered viable within the current policy settings. As stated in Section 1.2.2.1, in the short-term the findings of the Complexity Review may materially change this analysis by introducing a ‘middle-tier’ option for health profession regulation that has a different distribution of costs and benefits for key stakeholders</w:t>
            </w:r>
            <w:r w:rsidR="003972FE">
              <w:t xml:space="preserve">. As per the Department of Health’s website, the review will be completed by </w:t>
            </w:r>
            <w:r w:rsidR="009F3AE3">
              <w:t>July</w:t>
            </w:r>
            <w:r w:rsidR="003972FE">
              <w:t xml:space="preserve"> 2025 (i.e., </w:t>
            </w:r>
            <w:r w:rsidR="00482C06">
              <w:t>two</w:t>
            </w:r>
            <w:r w:rsidR="008D461B">
              <w:t xml:space="preserve"> </w:t>
            </w:r>
            <w:r w:rsidR="003972FE">
              <w:t>months from the time of writing). If the Complexity Review recommendations are accepted in a manner which creates a viable additional option for regulation of the audiology profession, strong consideration should be given to whether the Decision RIS is amended to include this option. Benefits of this approach would include:</w:t>
            </w:r>
          </w:p>
          <w:p w14:paraId="310F8C7C" w14:textId="77777777" w:rsidR="003972FE" w:rsidRDefault="003972FE" w:rsidP="00A27AE0">
            <w:pPr>
              <w:pStyle w:val="BulletList2Column"/>
            </w:pPr>
            <w:r>
              <w:t>providing stakeholders within the profession with a more complete set of viable options, which may change the benefits and costs among groups</w:t>
            </w:r>
          </w:p>
          <w:p w14:paraId="4552AE5D" w14:textId="0455EEAF" w:rsidR="0071068A" w:rsidRDefault="003972FE" w:rsidP="00A27AE0">
            <w:pPr>
              <w:pStyle w:val="BulletList2Column"/>
            </w:pPr>
            <w:r>
              <w:t>ensuring audiology’s regulatory approach is considered consistently with other professions moving forward.</w:t>
            </w:r>
          </w:p>
          <w:p w14:paraId="3E21B8F0" w14:textId="5A107B2F" w:rsidR="00391FD1" w:rsidRDefault="00387633" w:rsidP="00D55066">
            <w:pPr>
              <w:pStyle w:val="ListBullet"/>
            </w:pPr>
            <w:r>
              <w:t xml:space="preserve">Implementation risks at this time </w:t>
            </w:r>
            <w:r w:rsidR="000A7779">
              <w:t>include:</w:t>
            </w:r>
          </w:p>
          <w:p w14:paraId="6E61CD54" w14:textId="77777777" w:rsidR="00CA2E72" w:rsidRDefault="00CA2E72" w:rsidP="00CA2E72">
            <w:pPr>
              <w:pStyle w:val="BulletList2Column"/>
            </w:pPr>
            <w:r>
              <w:t>Increased ongoing regulatory costs lead to workforce substitution of audiologists for audiometrists in private sector adult rehabilitation</w:t>
            </w:r>
          </w:p>
          <w:p w14:paraId="56E58023" w14:textId="21711042" w:rsidR="00010E98" w:rsidRDefault="00CA2E72" w:rsidP="00F26291">
            <w:pPr>
              <w:pStyle w:val="BulletList2Column"/>
            </w:pPr>
            <w:r>
              <w:t>Ongoing professional tension between audiologists and audiometrists working in private sector adult rehabilitation leads to reduced consumer confidence in audiometrist services</w:t>
            </w:r>
          </w:p>
          <w:p w14:paraId="7E61F6A3" w14:textId="2C857B39" w:rsidR="00010E98" w:rsidRDefault="00C4455F" w:rsidP="00F26291">
            <w:pPr>
              <w:pStyle w:val="BulletList2Column"/>
            </w:pPr>
            <w:r>
              <w:t xml:space="preserve">Loss of PPB revenue </w:t>
            </w:r>
            <w:r w:rsidR="00F8036B">
              <w:t>leads to reduction in profession-level goods</w:t>
            </w:r>
            <w:r w:rsidR="00004BC9">
              <w:t>.</w:t>
            </w:r>
          </w:p>
        </w:tc>
      </w:tr>
    </w:tbl>
    <w:p w14:paraId="6AABBE72" w14:textId="7DC95798" w:rsidR="00D308EA" w:rsidRDefault="00995ABB" w:rsidP="009B608C">
      <w:pPr>
        <w:pStyle w:val="Heading2"/>
      </w:pPr>
      <w:bookmarkStart w:id="332" w:name="_Toc171324803"/>
      <w:bookmarkStart w:id="333" w:name="_Ref193035408"/>
      <w:bookmarkStart w:id="334" w:name="_Toc198138656"/>
      <w:r>
        <w:t>Preferred</w:t>
      </w:r>
      <w:r w:rsidR="00D308EA">
        <w:t xml:space="preserve"> option</w:t>
      </w:r>
      <w:bookmarkEnd w:id="332"/>
      <w:r w:rsidR="00ED474C">
        <w:t xml:space="preserve"> and timing considerations of final decision</w:t>
      </w:r>
      <w:bookmarkEnd w:id="333"/>
      <w:bookmarkEnd w:id="334"/>
    </w:p>
    <w:p w14:paraId="638E1D43" w14:textId="312A3ACC" w:rsidR="00F45C6A" w:rsidRPr="00544AC6" w:rsidRDefault="00F45C6A" w:rsidP="00A42943">
      <w:pPr>
        <w:pStyle w:val="Heading3"/>
      </w:pPr>
      <w:bookmarkStart w:id="335" w:name="_Toc198138657"/>
      <w:r>
        <w:t>Preferred option</w:t>
      </w:r>
      <w:bookmarkEnd w:id="335"/>
    </w:p>
    <w:p w14:paraId="59B614CC" w14:textId="4B6E7859" w:rsidR="00D308EA" w:rsidRDefault="00D308EA" w:rsidP="009B608C">
      <w:pPr>
        <w:pStyle w:val="BodyText"/>
      </w:pPr>
      <w:r>
        <w:t xml:space="preserve">The summary of the MCA results shown in </w:t>
      </w:r>
      <w:r w:rsidR="00F93427">
        <w:fldChar w:fldCharType="begin"/>
      </w:r>
      <w:r w:rsidR="00F93427">
        <w:instrText xml:space="preserve"> REF _Ref172051516 \h </w:instrText>
      </w:r>
      <w:r w:rsidR="001671F4">
        <w:instrText xml:space="preserve"> \* MERGEFORMAT </w:instrText>
      </w:r>
      <w:r w:rsidR="00F93427">
        <w:fldChar w:fldCharType="separate"/>
      </w:r>
      <w:r w:rsidR="00F32107" w:rsidRPr="00F32107">
        <w:t>Table 8.40</w:t>
      </w:r>
      <w:r w:rsidR="00F93427">
        <w:fldChar w:fldCharType="end"/>
      </w:r>
      <w:r>
        <w:t xml:space="preserve"> identifies </w:t>
      </w:r>
      <w:r w:rsidR="00A2137D">
        <w:t>National Registration</w:t>
      </w:r>
      <w:r>
        <w:t xml:space="preserve"> as the preferred approach</w:t>
      </w:r>
      <w:r w:rsidR="004A62B0">
        <w:t xml:space="preserve"> with the highest </w:t>
      </w:r>
      <w:r w:rsidR="00B53F8F">
        <w:t>qualitative</w:t>
      </w:r>
      <w:r w:rsidR="004A62B0">
        <w:t xml:space="preserve"> benefit</w:t>
      </w:r>
      <w:r>
        <w:t>, as it matches or outperforms all other options across all criteria.</w:t>
      </w:r>
    </w:p>
    <w:p w14:paraId="3948B9D7" w14:textId="0D5AF050" w:rsidR="00D308EA" w:rsidRDefault="00D308EA" w:rsidP="00DD6E7F">
      <w:pPr>
        <w:pStyle w:val="ListBullet"/>
      </w:pPr>
      <w:r w:rsidRPr="00411D44">
        <w:rPr>
          <w:b/>
          <w:bCs/>
        </w:rPr>
        <w:t>Care quality assurance</w:t>
      </w:r>
      <w:r>
        <w:t xml:space="preserve">. Under </w:t>
      </w:r>
      <w:r w:rsidR="009D65B6">
        <w:t>National Registration</w:t>
      </w:r>
      <w:r>
        <w:t>, there is strengthened university accreditation standards and mandatory CPD and recency of practice requirements for all audiologists with general registration.</w:t>
      </w:r>
    </w:p>
    <w:p w14:paraId="360E3DE1" w14:textId="799E41A5" w:rsidR="00D308EA" w:rsidRDefault="00D308EA" w:rsidP="00DD6E7F">
      <w:pPr>
        <w:pStyle w:val="ListBullet"/>
      </w:pPr>
      <w:r w:rsidRPr="001E3E4C">
        <w:rPr>
          <w:b/>
          <w:bCs/>
        </w:rPr>
        <w:t>Regulatory consistency</w:t>
      </w:r>
      <w:r>
        <w:t xml:space="preserve">. National </w:t>
      </w:r>
      <w:r w:rsidR="005A400A">
        <w:t>R</w:t>
      </w:r>
      <w:r>
        <w:t>egistration is the preferred option relative to all other options, as it establishes a single compulsory national approach to regulating audiology as a profession. An issue left unresolved across all options at this time is regulatory consistency in relation to business practices, as Tasmania and the Northern Territory are assumed to not have implemented the National Code of Conduct across the evaluation period.</w:t>
      </w:r>
    </w:p>
    <w:p w14:paraId="5B68B33C" w14:textId="5FB8A531" w:rsidR="00D308EA" w:rsidRPr="00DF221F" w:rsidRDefault="00D308EA" w:rsidP="00DD6E7F">
      <w:pPr>
        <w:pStyle w:val="ListBullet"/>
      </w:pPr>
      <w:r>
        <w:rPr>
          <w:b/>
          <w:bCs/>
        </w:rPr>
        <w:t xml:space="preserve">Escalation systems. </w:t>
      </w:r>
      <w:r>
        <w:t xml:space="preserve">National </w:t>
      </w:r>
      <w:r w:rsidR="005A400A">
        <w:t>R</w:t>
      </w:r>
      <w:r>
        <w:t xml:space="preserve">egistration establishes a regulatory burden of mandatory notifications however also has notifier protections. The introduction of these two elements (alongside greater awareness generally of </w:t>
      </w:r>
      <w:r w:rsidR="001358EA">
        <w:t>Ahpra</w:t>
      </w:r>
      <w:r>
        <w:t xml:space="preserve"> requirements relative to requirements under the National Code of Conduct) are theorised to increase the likelihood of reporting instances of substandard care. Hence, </w:t>
      </w:r>
      <w:r w:rsidR="009D65B6">
        <w:t>National Registration</w:t>
      </w:r>
      <w:r>
        <w:t xml:space="preserve"> is expected to increase notifications of substandard care explicitly due to regulatory burden on audiologists, and employers as well.</w:t>
      </w:r>
    </w:p>
    <w:p w14:paraId="5AB0DE1C" w14:textId="0256D270" w:rsidR="00D308EA" w:rsidRPr="00C030D4" w:rsidRDefault="00D308EA" w:rsidP="00DD6E7F">
      <w:pPr>
        <w:pStyle w:val="ListBullet"/>
      </w:pPr>
      <w:r>
        <w:rPr>
          <w:b/>
          <w:bCs/>
        </w:rPr>
        <w:t xml:space="preserve">Market awareness. </w:t>
      </w:r>
      <w:r w:rsidR="00CD721A">
        <w:t>N</w:t>
      </w:r>
      <w:r>
        <w:t xml:space="preserve">ational </w:t>
      </w:r>
      <w:r w:rsidR="00E155FE">
        <w:t>R</w:t>
      </w:r>
      <w:r>
        <w:t xml:space="preserve">egistration </w:t>
      </w:r>
      <w:r w:rsidR="00CD721A">
        <w:t>offers</w:t>
      </w:r>
      <w:r>
        <w:t xml:space="preserve"> protection of title, which is expected to provide increased market awareness for consumers. </w:t>
      </w:r>
    </w:p>
    <w:p w14:paraId="4E45C5CB" w14:textId="3A2273F2" w:rsidR="00D308EA" w:rsidRDefault="00D308EA" w:rsidP="00DD6E7F">
      <w:pPr>
        <w:pStyle w:val="ListBullet"/>
      </w:pPr>
      <w:r>
        <w:rPr>
          <w:b/>
          <w:bCs/>
        </w:rPr>
        <w:t>Ethical practice</w:t>
      </w:r>
      <w:r w:rsidR="009B05E1">
        <w:rPr>
          <w:b/>
          <w:bCs/>
        </w:rPr>
        <w:t xml:space="preserve">. </w:t>
      </w:r>
      <w:r w:rsidR="00553D0F">
        <w:t xml:space="preserve">National </w:t>
      </w:r>
      <w:r w:rsidR="00081DAA">
        <w:t>R</w:t>
      </w:r>
      <w:r w:rsidR="00553D0F">
        <w:t>egistration scores equally to the Status Quo</w:t>
      </w:r>
      <w:r>
        <w:t xml:space="preserve"> under this criteria, as there isn’t a clear mechanism to resolve this issue under any of the options presented. Here, it is observed that powers to take action against business practices that result in substandard care currently exist under the National Code and through the ACCC.</w:t>
      </w:r>
    </w:p>
    <w:p w14:paraId="7C51E6B4" w14:textId="25EC812D" w:rsidR="005A6CE1" w:rsidRDefault="005A6CE1" w:rsidP="005A6CE1">
      <w:pPr>
        <w:pStyle w:val="ListBullet"/>
      </w:pPr>
      <w:r>
        <w:t xml:space="preserve">The relative ranking of incremental cost of </w:t>
      </w:r>
      <w:r w:rsidR="009D65B6">
        <w:t>National Registration</w:t>
      </w:r>
      <w:r>
        <w:t xml:space="preserve"> compared to Strengthened Status Quo and </w:t>
      </w:r>
      <w:r w:rsidR="009D65B6">
        <w:t>Jurisdictional Registration</w:t>
      </w:r>
      <w:r>
        <w:t xml:space="preserve"> depends on the individual decision-making of jurisdictions. Cost considerations are outlined below. </w:t>
      </w:r>
    </w:p>
    <w:p w14:paraId="6D0C8AE4" w14:textId="7468AE75" w:rsidR="005A6CE1" w:rsidRDefault="005A6CE1" w:rsidP="005A6CE1">
      <w:pPr>
        <w:pStyle w:val="BulletList2Column"/>
      </w:pPr>
      <w:r>
        <w:t xml:space="preserve">The number of jurisdictions that elect to enact </w:t>
      </w:r>
      <w:r w:rsidR="009D65B6">
        <w:t>Jurisdictional Registration</w:t>
      </w:r>
      <w:r>
        <w:t xml:space="preserve"> determines whether the total cost exceeds </w:t>
      </w:r>
      <w:r w:rsidR="009D65B6">
        <w:t>National Registration</w:t>
      </w:r>
      <w:r>
        <w:t xml:space="preserve">. Nation-wide regulatory coverage is less expensive under the National Scheme than Australian-wide implementation of </w:t>
      </w:r>
      <w:r w:rsidR="009D65B6">
        <w:t>Jurisdictional Registration</w:t>
      </w:r>
      <w:r>
        <w:t xml:space="preserve">. If only certain jurisdictions enact </w:t>
      </w:r>
      <w:r w:rsidR="009D65B6">
        <w:t>Jurisdictional Registration</w:t>
      </w:r>
      <w:r>
        <w:t>, regulatory inconsistency may create issues including workforce supply challenges.</w:t>
      </w:r>
    </w:p>
    <w:p w14:paraId="19372D97" w14:textId="66FE8197" w:rsidR="0030054C" w:rsidRPr="00D31A52" w:rsidRDefault="0030054C" w:rsidP="00DF539A">
      <w:pPr>
        <w:pStyle w:val="BulletList2Column"/>
      </w:pPr>
      <w:r w:rsidRPr="00D31A52">
        <w:t xml:space="preserve">The number of jurisdictions enacting Strengthened Status Quo and the extent of any precedent-setting determines whether the total cost exceeds </w:t>
      </w:r>
      <w:r w:rsidR="009D65B6">
        <w:t>National Registration</w:t>
      </w:r>
      <w:r w:rsidR="005A6CE1">
        <w:t>.</w:t>
      </w:r>
      <w:r w:rsidRPr="00D31A52">
        <w:t xml:space="preserve"> For any jurisdiction that enacts this option, </w:t>
      </w:r>
      <w:r w:rsidR="005A6CE1">
        <w:t>any</w:t>
      </w:r>
      <w:r w:rsidRPr="00D31A52">
        <w:t xml:space="preserve"> other professions deemed eligible </w:t>
      </w:r>
      <w:r w:rsidR="005A6CE1">
        <w:t>for comparable changes will increase</w:t>
      </w:r>
      <w:r w:rsidRPr="00D31A52">
        <w:t xml:space="preserve"> the cost of this option. </w:t>
      </w:r>
      <w:r w:rsidR="00DF539A" w:rsidRPr="00DF539A">
        <w:t>Preliminary national calculations on two potential eligible professions – speech pathology and dietetics are of a range between $18-$29 million depending on the timing of jurisdictional enterprise bargaining cycles between FY26-FY29.</w:t>
      </w:r>
      <w:r w:rsidR="00DF539A">
        <w:t xml:space="preserve"> </w:t>
      </w:r>
      <w:r w:rsidR="005A6CE1">
        <w:t>Governments also directly set the funding envelope for the CPD uplift, impacting overall cost of the option</w:t>
      </w:r>
      <w:r w:rsidRPr="00D31A52">
        <w:t xml:space="preserve">. </w:t>
      </w:r>
    </w:p>
    <w:p w14:paraId="5234395A" w14:textId="2B5283D7" w:rsidR="00110311" w:rsidRDefault="00D308EA" w:rsidP="00110311">
      <w:pPr>
        <w:pStyle w:val="BodyText"/>
      </w:pPr>
      <w:r>
        <w:t xml:space="preserve">The distribution of regulatory burden under </w:t>
      </w:r>
      <w:r w:rsidR="00A2137D">
        <w:t>National Registration</w:t>
      </w:r>
      <w:r>
        <w:t xml:space="preserve"> primarily falls on audiologists in terms financial burden (compliance fees) and regulatory burden associated with mandatory notifications</w:t>
      </w:r>
      <w:r w:rsidR="0079565F">
        <w:t>.</w:t>
      </w:r>
      <w:r>
        <w:rPr>
          <w:rStyle w:val="FootnoteReference"/>
        </w:rPr>
        <w:footnoteReference w:id="280"/>
      </w:r>
      <w:r>
        <w:t xml:space="preserve"> However, it also falls on employers in relation to compliance costs</w:t>
      </w:r>
      <w:r w:rsidR="00C84353">
        <w:t xml:space="preserve">, </w:t>
      </w:r>
      <w:r>
        <w:t>time costs associated with CPD</w:t>
      </w:r>
      <w:r w:rsidR="003B2009">
        <w:t xml:space="preserve"> and mandatory notification</w:t>
      </w:r>
      <w:r w:rsidR="00E83352">
        <w:t>s</w:t>
      </w:r>
      <w:r>
        <w:t xml:space="preserve">. </w:t>
      </w:r>
    </w:p>
    <w:p w14:paraId="025D0B40" w14:textId="243C7A99" w:rsidR="00B30858" w:rsidRDefault="00B30858" w:rsidP="00110311">
      <w:pPr>
        <w:pStyle w:val="BodyText"/>
      </w:pPr>
      <w:r>
        <w:t xml:space="preserve">It is </w:t>
      </w:r>
      <w:r w:rsidR="00006AFA">
        <w:t>acknowledged</w:t>
      </w:r>
      <w:r>
        <w:t xml:space="preserve"> that </w:t>
      </w:r>
      <w:r w:rsidR="00A2137D">
        <w:t>National Registration</w:t>
      </w:r>
      <w:r>
        <w:t xml:space="preserve"> does not address all issues identified </w:t>
      </w:r>
      <w:r w:rsidR="00006AFA">
        <w:t xml:space="preserve">in the problem statements (please refer to </w:t>
      </w:r>
      <w:r w:rsidR="00006AFA">
        <w:fldChar w:fldCharType="begin"/>
      </w:r>
      <w:r w:rsidR="00006AFA">
        <w:instrText xml:space="preserve"> REF _Ref172714672 \h </w:instrText>
      </w:r>
      <w:r w:rsidR="00006AFA">
        <w:fldChar w:fldCharType="separate"/>
      </w:r>
      <w:r w:rsidR="00F32107">
        <w:t xml:space="preserve">Table </w:t>
      </w:r>
      <w:r w:rsidR="00F32107">
        <w:rPr>
          <w:noProof/>
        </w:rPr>
        <w:t>5</w:t>
      </w:r>
      <w:r w:rsidR="00F32107">
        <w:t>.</w:t>
      </w:r>
      <w:r w:rsidR="00F32107">
        <w:rPr>
          <w:noProof/>
        </w:rPr>
        <w:t>6</w:t>
      </w:r>
      <w:r w:rsidR="00006AFA">
        <w:fldChar w:fldCharType="end"/>
      </w:r>
      <w:r w:rsidR="00006AFA">
        <w:t>)</w:t>
      </w:r>
      <w:r w:rsidR="00527056">
        <w:t xml:space="preserve">, particularly in relation to the organisational pressures faced by audiologists in the delivery of care. </w:t>
      </w:r>
    </w:p>
    <w:p w14:paraId="55A0AE3D" w14:textId="405AECFB" w:rsidR="00F45C6A" w:rsidRDefault="00F45C6A" w:rsidP="00A42943">
      <w:pPr>
        <w:pStyle w:val="Heading3"/>
      </w:pPr>
      <w:bookmarkStart w:id="336" w:name="_Ref191576946"/>
      <w:bookmarkStart w:id="337" w:name="_Toc198138658"/>
      <w:r>
        <w:t>Timing considerations of final decision</w:t>
      </w:r>
      <w:bookmarkEnd w:id="336"/>
      <w:bookmarkEnd w:id="337"/>
    </w:p>
    <w:p w14:paraId="69D92C83" w14:textId="620F65A0" w:rsidR="0004715E" w:rsidRDefault="00403827" w:rsidP="00BC6E1A">
      <w:pPr>
        <w:pStyle w:val="BodyText"/>
      </w:pPr>
      <w:bookmarkStart w:id="338" w:name="_Hlk193273010"/>
      <w:r>
        <w:t xml:space="preserve">This Decision </w:t>
      </w:r>
      <w:r w:rsidR="00AD4F72">
        <w:t xml:space="preserve">RIS </w:t>
      </w:r>
      <w:r w:rsidR="00BD7081">
        <w:t>has analysed</w:t>
      </w:r>
      <w:r w:rsidR="00AD4F72">
        <w:t xml:space="preserve"> a set of options that </w:t>
      </w:r>
      <w:r w:rsidR="001A72D8">
        <w:t xml:space="preserve">are </w:t>
      </w:r>
      <w:r w:rsidR="008C6268">
        <w:t>considered</w:t>
      </w:r>
      <w:r w:rsidR="00C258F7">
        <w:t xml:space="preserve"> viable within the current policy setting</w:t>
      </w:r>
      <w:r w:rsidR="0035635E">
        <w:t xml:space="preserve">s. </w:t>
      </w:r>
      <w:r w:rsidR="00706785">
        <w:t xml:space="preserve">As stated in </w:t>
      </w:r>
      <w:r w:rsidR="006812AB">
        <w:t xml:space="preserve">Section </w:t>
      </w:r>
      <w:r w:rsidR="00366722">
        <w:fldChar w:fldCharType="begin"/>
      </w:r>
      <w:r w:rsidR="00366722">
        <w:instrText xml:space="preserve"> REF _Ref191559361 \r \h </w:instrText>
      </w:r>
      <w:r w:rsidR="00366722">
        <w:fldChar w:fldCharType="separate"/>
      </w:r>
      <w:r w:rsidR="00F32107">
        <w:t>1.2.2.1</w:t>
      </w:r>
      <w:r w:rsidR="00366722">
        <w:fldChar w:fldCharType="end"/>
      </w:r>
      <w:r w:rsidR="006812AB">
        <w:t xml:space="preserve">, </w:t>
      </w:r>
      <w:r w:rsidR="00DC1D18">
        <w:t>in the short-term the</w:t>
      </w:r>
      <w:r w:rsidR="009B7131">
        <w:t xml:space="preserve"> findings of the Complexity </w:t>
      </w:r>
      <w:r w:rsidR="0035635E">
        <w:t xml:space="preserve">Review may materially change </w:t>
      </w:r>
      <w:r w:rsidR="00292AAF">
        <w:t>this analysis by introducing a</w:t>
      </w:r>
      <w:r w:rsidR="002A2E60">
        <w:t xml:space="preserve"> ‘middle-tier’ option </w:t>
      </w:r>
      <w:r w:rsidR="00051995">
        <w:t xml:space="preserve">for </w:t>
      </w:r>
      <w:r w:rsidR="003B1A54">
        <w:t xml:space="preserve">health profession regulation that </w:t>
      </w:r>
      <w:r w:rsidR="00E8208D">
        <w:t xml:space="preserve">has a different </w:t>
      </w:r>
      <w:r w:rsidR="003D3670">
        <w:t xml:space="preserve">distribution of costs and benefits for key stakeholders. </w:t>
      </w:r>
      <w:r w:rsidR="004D2C1A">
        <w:t xml:space="preserve">In consultation, stakeholders that </w:t>
      </w:r>
      <w:r w:rsidR="008F585A">
        <w:t xml:space="preserve">supported </w:t>
      </w:r>
      <w:r w:rsidR="009D65B6">
        <w:t>National Registration</w:t>
      </w:r>
      <w:r w:rsidR="008F585A">
        <w:t xml:space="preserve"> </w:t>
      </w:r>
      <w:r w:rsidR="0090590B">
        <w:t xml:space="preserve">for audiologists </w:t>
      </w:r>
      <w:r w:rsidR="008F585A">
        <w:t xml:space="preserve">tended to </w:t>
      </w:r>
      <w:r w:rsidR="0004715E">
        <w:t xml:space="preserve">raise concerns with the </w:t>
      </w:r>
      <w:r w:rsidR="00F42924">
        <w:t>middle tier of the</w:t>
      </w:r>
      <w:r w:rsidR="005B09E7">
        <w:t xml:space="preserve"> Complexity Review’s </w:t>
      </w:r>
      <w:r w:rsidR="00F42924">
        <w:t>potential three-tier structure, including:</w:t>
      </w:r>
    </w:p>
    <w:p w14:paraId="6FC29681" w14:textId="557DC632" w:rsidR="00F42924" w:rsidRDefault="00AB2FD0" w:rsidP="00886145">
      <w:pPr>
        <w:pStyle w:val="ListBullet"/>
      </w:pPr>
      <w:r>
        <w:t>s</w:t>
      </w:r>
      <w:r w:rsidR="00E2634B">
        <w:t xml:space="preserve">cepticism </w:t>
      </w:r>
      <w:r>
        <w:t>regarding a voluntary register</w:t>
      </w:r>
      <w:r w:rsidR="00622470">
        <w:t xml:space="preserve"> and the effectiveness of this approach</w:t>
      </w:r>
    </w:p>
    <w:p w14:paraId="11CC7F93" w14:textId="2317CC81" w:rsidR="000758DF" w:rsidRDefault="009906B2" w:rsidP="007176F0">
      <w:pPr>
        <w:pStyle w:val="ListBullet"/>
      </w:pPr>
      <w:r>
        <w:t>concern that tiers reinforce a class structure for professions (part</w:t>
      </w:r>
      <w:r w:rsidR="000758DF">
        <w:t>icularly if allied health professions continued to be present across multiple tiers</w:t>
      </w:r>
      <w:r w:rsidR="00935CE7">
        <w:t xml:space="preserve">). </w:t>
      </w:r>
    </w:p>
    <w:p w14:paraId="2D9C0C99" w14:textId="7000CE3D" w:rsidR="00DD6B98" w:rsidRDefault="00935CE7" w:rsidP="00BC6E1A">
      <w:pPr>
        <w:pStyle w:val="BodyText"/>
      </w:pPr>
      <w:r>
        <w:t xml:space="preserve">For stakeholders that </w:t>
      </w:r>
      <w:r w:rsidR="004D2C1A">
        <w:t xml:space="preserve">did not support </w:t>
      </w:r>
      <w:r w:rsidR="009D65B6">
        <w:t>National Registration</w:t>
      </w:r>
      <w:r>
        <w:t>,</w:t>
      </w:r>
      <w:r w:rsidR="00A35FD0">
        <w:t xml:space="preserve"> </w:t>
      </w:r>
      <w:r w:rsidR="00DD6B98">
        <w:t>benefits of the</w:t>
      </w:r>
      <w:r>
        <w:t xml:space="preserve"> middle tier approach for audiology </w:t>
      </w:r>
      <w:r w:rsidR="00DD6B98">
        <w:t>were viewed to include:</w:t>
      </w:r>
    </w:p>
    <w:p w14:paraId="7EDE1630" w14:textId="5923B58A" w:rsidR="00366722" w:rsidRDefault="00620C36" w:rsidP="00DD6B98">
      <w:pPr>
        <w:pStyle w:val="ListBullet"/>
      </w:pPr>
      <w:r>
        <w:t>a</w:t>
      </w:r>
      <w:r w:rsidR="00EE0921">
        <w:t xml:space="preserve"> proportional</w:t>
      </w:r>
      <w:r w:rsidR="0032664E">
        <w:t xml:space="preserve"> and balanced response (where several stakeholders observed that th</w:t>
      </w:r>
      <w:r w:rsidR="005573CE">
        <w:t>ere are multiple professions that wish to gain entry into Ahpra</w:t>
      </w:r>
      <w:r w:rsidR="007A027E">
        <w:t xml:space="preserve">, and as such a three-tiered approach may provide greater ability to </w:t>
      </w:r>
      <w:r w:rsidR="00187D9B">
        <w:t xml:space="preserve">manage </w:t>
      </w:r>
      <w:r w:rsidR="006B192A">
        <w:t>different profession’s inherent risk more consistently</w:t>
      </w:r>
      <w:r w:rsidR="00387189">
        <w:t>)</w:t>
      </w:r>
    </w:p>
    <w:p w14:paraId="3BE6024A" w14:textId="76ED8B41" w:rsidR="00366722" w:rsidRDefault="00B14365" w:rsidP="007176F0">
      <w:pPr>
        <w:pStyle w:val="ListBullet"/>
      </w:pPr>
      <w:r>
        <w:t xml:space="preserve">a more sustainable response </w:t>
      </w:r>
      <w:r w:rsidR="006B06EE">
        <w:t xml:space="preserve">relative to costs associated with </w:t>
      </w:r>
      <w:r w:rsidR="009D65B6">
        <w:t>National Registration</w:t>
      </w:r>
      <w:r w:rsidR="009A72BF">
        <w:t>.</w:t>
      </w:r>
    </w:p>
    <w:p w14:paraId="2B9E292A" w14:textId="7E9B19EA" w:rsidR="004558DF" w:rsidRDefault="00DD7C43" w:rsidP="00BC6E1A">
      <w:pPr>
        <w:pStyle w:val="BodyText"/>
      </w:pPr>
      <w:r>
        <w:t>Broadly however, stakeholders agreed that additional information was required to provide an informed</w:t>
      </w:r>
      <w:r w:rsidR="00A649A7">
        <w:t xml:space="preserve"> </w:t>
      </w:r>
      <w:r w:rsidR="006F1A61">
        <w:t xml:space="preserve">view </w:t>
      </w:r>
      <w:r w:rsidR="008D0CE0">
        <w:t>regarding their</w:t>
      </w:r>
      <w:r w:rsidR="006F1A61">
        <w:t xml:space="preserve"> overall preference.</w:t>
      </w:r>
    </w:p>
    <w:p w14:paraId="575192D6" w14:textId="5E960FB3" w:rsidR="006A2A6A" w:rsidRDefault="005618B1" w:rsidP="006A2A6A">
      <w:pPr>
        <w:pStyle w:val="BodyText"/>
      </w:pPr>
      <w:r>
        <w:t xml:space="preserve">As per the Department of Health’s website, </w:t>
      </w:r>
      <w:r w:rsidR="00554008">
        <w:t xml:space="preserve">the review will be completed by </w:t>
      </w:r>
      <w:r w:rsidR="00316AEA">
        <w:t>July</w:t>
      </w:r>
      <w:r w:rsidR="00BC6E1A">
        <w:t xml:space="preserve"> 2025</w:t>
      </w:r>
      <w:r w:rsidR="006A2A6A">
        <w:t xml:space="preserve"> (i.e., </w:t>
      </w:r>
      <w:r w:rsidR="001425BA">
        <w:t>two</w:t>
      </w:r>
      <w:r w:rsidR="0085611B">
        <w:t xml:space="preserve"> </w:t>
      </w:r>
      <w:r w:rsidR="006A2A6A">
        <w:t xml:space="preserve">months from the time of writing). </w:t>
      </w:r>
      <w:r w:rsidR="009A3AB6">
        <w:t>If the</w:t>
      </w:r>
      <w:r w:rsidR="006A2A6A">
        <w:t xml:space="preserve"> Complexity Review </w:t>
      </w:r>
      <w:r w:rsidR="00855C81">
        <w:t xml:space="preserve">recommendations are accepted in a manner which creates a viable </w:t>
      </w:r>
      <w:r w:rsidR="0078573E">
        <w:t xml:space="preserve">additional option for regulation of the </w:t>
      </w:r>
      <w:r w:rsidR="001D04D9">
        <w:t xml:space="preserve">audiology profession, </w:t>
      </w:r>
      <w:r w:rsidR="004A7248">
        <w:t xml:space="preserve">strong consideration should be given to </w:t>
      </w:r>
      <w:r w:rsidR="00A814EF">
        <w:t xml:space="preserve">whether </w:t>
      </w:r>
      <w:r w:rsidR="002E092A">
        <w:t>the Decision RIS is amended to include this option</w:t>
      </w:r>
      <w:r w:rsidR="00F34772">
        <w:t>. Benefits of this approach would include:</w:t>
      </w:r>
    </w:p>
    <w:p w14:paraId="28C43F36" w14:textId="03537807" w:rsidR="00C769A9" w:rsidRDefault="008E500C" w:rsidP="00C769A9">
      <w:pPr>
        <w:pStyle w:val="ListBullet"/>
      </w:pPr>
      <w:r>
        <w:t xml:space="preserve">providing </w:t>
      </w:r>
      <w:r w:rsidR="001D121C">
        <w:t>stakeholders within the profession</w:t>
      </w:r>
      <w:r>
        <w:t xml:space="preserve"> with </w:t>
      </w:r>
      <w:r w:rsidR="001060B1">
        <w:t xml:space="preserve">a more complete set of viable options, which may change the benefits and costs </w:t>
      </w:r>
      <w:r w:rsidR="00132419">
        <w:t>among groups</w:t>
      </w:r>
    </w:p>
    <w:p w14:paraId="4FACDCF1" w14:textId="51A63CE1" w:rsidR="000D6730" w:rsidRDefault="00E81488" w:rsidP="003772BD">
      <w:pPr>
        <w:pStyle w:val="ListBullet"/>
      </w:pPr>
      <w:r>
        <w:t xml:space="preserve">ensuring audiology’s regulatory </w:t>
      </w:r>
      <w:r w:rsidR="00E649A3">
        <w:t xml:space="preserve">approach is considered consistently with </w:t>
      </w:r>
      <w:r w:rsidR="0082369E">
        <w:t xml:space="preserve">other </w:t>
      </w:r>
      <w:r w:rsidR="00E649A3">
        <w:t xml:space="preserve">professions </w:t>
      </w:r>
      <w:r w:rsidR="000D6730">
        <w:t xml:space="preserve">moving </w:t>
      </w:r>
      <w:r w:rsidR="0082369E">
        <w:t>forwar</w:t>
      </w:r>
      <w:r w:rsidR="003772BD">
        <w:t>d.</w:t>
      </w:r>
    </w:p>
    <w:p w14:paraId="45C7C828" w14:textId="43903E6F" w:rsidR="00F45C6A" w:rsidRPr="00F45C6A" w:rsidRDefault="005025D5" w:rsidP="00A42943">
      <w:pPr>
        <w:pStyle w:val="ListBullet"/>
        <w:numPr>
          <w:ilvl w:val="0"/>
          <w:numId w:val="0"/>
        </w:numPr>
      </w:pPr>
      <w:r>
        <w:t xml:space="preserve">While recognising the timing considerations of the final decision, the remainder of </w:t>
      </w:r>
      <w:r w:rsidR="00CE7692">
        <w:t xml:space="preserve">the Decision RIS </w:t>
      </w:r>
      <w:r w:rsidR="00960238">
        <w:t xml:space="preserve">has been completed in relation to RIS Questions 6 and 7, as </w:t>
      </w:r>
      <w:r w:rsidR="009D65B6">
        <w:t>National Registration</w:t>
      </w:r>
      <w:r w:rsidR="00960238">
        <w:t xml:space="preserve"> of the audiology profession is the preferred option of the viable option set at this time.</w:t>
      </w:r>
      <w:r>
        <w:t xml:space="preserve"> </w:t>
      </w:r>
    </w:p>
    <w:p w14:paraId="2C46C82B" w14:textId="77777777" w:rsidR="00D308EA" w:rsidRPr="00A344E2" w:rsidRDefault="00D308EA" w:rsidP="00DD6E7F">
      <w:pPr>
        <w:pStyle w:val="Heading2"/>
      </w:pPr>
      <w:bookmarkStart w:id="339" w:name="_Toc171324804"/>
      <w:bookmarkStart w:id="340" w:name="_Ref193032188"/>
      <w:bookmarkStart w:id="341" w:name="_Toc198138659"/>
      <w:bookmarkEnd w:id="338"/>
      <w:r w:rsidRPr="00DD6E7F">
        <w:t>Implementation</w:t>
      </w:r>
      <w:bookmarkEnd w:id="339"/>
      <w:bookmarkEnd w:id="340"/>
      <w:bookmarkEnd w:id="341"/>
      <w:r>
        <w:t xml:space="preserve"> </w:t>
      </w:r>
    </w:p>
    <w:p w14:paraId="4629AB2D" w14:textId="07FC2C15" w:rsidR="007D24D0" w:rsidRDefault="00643FA3" w:rsidP="00DD6E7F">
      <w:pPr>
        <w:pStyle w:val="BodyText"/>
      </w:pPr>
      <w:r>
        <w:t>Implementation of this option will be guided by th</w:t>
      </w:r>
      <w:r w:rsidR="00D73B7B">
        <w:t xml:space="preserve">e experience of transitioning </w:t>
      </w:r>
      <w:r w:rsidR="00EB68BB">
        <w:t>paramedicine</w:t>
      </w:r>
      <w:r w:rsidR="00606C07">
        <w:t xml:space="preserve"> into the</w:t>
      </w:r>
      <w:r w:rsidR="00D73B7B">
        <w:t xml:space="preserve"> National Scheme</w:t>
      </w:r>
      <w:r w:rsidR="008C1B4C">
        <w:t xml:space="preserve">. In consultation, while stakeholders noted </w:t>
      </w:r>
      <w:r w:rsidR="00EB68BB">
        <w:t xml:space="preserve">material </w:t>
      </w:r>
      <w:r w:rsidR="008C1B4C">
        <w:t xml:space="preserve">differences between paramedicine and audiology, </w:t>
      </w:r>
      <w:r w:rsidR="00EB68BB">
        <w:t>key lessons learned</w:t>
      </w:r>
      <w:r w:rsidR="0050496A">
        <w:t xml:space="preserve"> from the previous experience</w:t>
      </w:r>
      <w:r w:rsidR="00EB68BB">
        <w:t xml:space="preserve"> have b</w:t>
      </w:r>
      <w:r w:rsidR="00224D8B">
        <w:t>ee</w:t>
      </w:r>
      <w:r w:rsidR="004F0F25">
        <w:t>n</w:t>
      </w:r>
      <w:r w:rsidR="0049102C">
        <w:t xml:space="preserve"> provided </w:t>
      </w:r>
      <w:r w:rsidR="0050496A">
        <w:t>for inclusion here</w:t>
      </w:r>
      <w:r w:rsidR="004432FF">
        <w:t xml:space="preserve">. Where </w:t>
      </w:r>
      <w:r w:rsidR="004F0F25">
        <w:t xml:space="preserve">differences </w:t>
      </w:r>
      <w:r w:rsidR="004432FF">
        <w:t xml:space="preserve">were </w:t>
      </w:r>
      <w:r w:rsidR="004F0F25">
        <w:t xml:space="preserve">noted </w:t>
      </w:r>
      <w:r w:rsidR="004432FF">
        <w:t xml:space="preserve">between the two professions, stakeholders provided advice </w:t>
      </w:r>
      <w:r w:rsidR="004F0F25">
        <w:t>where additional effort or an alternative approach may be required.</w:t>
      </w:r>
    </w:p>
    <w:p w14:paraId="7231D423" w14:textId="6650B8EF" w:rsidR="00222299" w:rsidRDefault="00222299" w:rsidP="00DD6E7F">
      <w:pPr>
        <w:pStyle w:val="Heading3"/>
      </w:pPr>
      <w:bookmarkStart w:id="342" w:name="_Ref191400809"/>
      <w:bookmarkStart w:id="343" w:name="_Toc198138660"/>
      <w:bookmarkStart w:id="344" w:name="_Toc171324805"/>
      <w:bookmarkStart w:id="345" w:name="_Ref172108156"/>
      <w:r>
        <w:t>Implementation milestones</w:t>
      </w:r>
      <w:bookmarkEnd w:id="342"/>
      <w:bookmarkEnd w:id="343"/>
    </w:p>
    <w:p w14:paraId="47A8D720" w14:textId="68CDBBD6" w:rsidR="00D36C3B" w:rsidRPr="007176F0" w:rsidRDefault="00D36C3B" w:rsidP="00D36C3B">
      <w:pPr>
        <w:pStyle w:val="BodyText"/>
        <w:rPr>
          <w:vertAlign w:val="superscript"/>
          <w:lang w:eastAsia="en-AU"/>
        </w:rPr>
      </w:pPr>
      <w:r>
        <w:rPr>
          <w:lang w:eastAsia="en-AU"/>
        </w:rPr>
        <w:t xml:space="preserve">As per </w:t>
      </w:r>
      <w:r w:rsidR="001358EA">
        <w:rPr>
          <w:lang w:eastAsia="en-AU"/>
        </w:rPr>
        <w:t>Ahpra</w:t>
      </w:r>
      <w:r>
        <w:rPr>
          <w:lang w:eastAsia="en-AU"/>
        </w:rPr>
        <w:t xml:space="preserve">’s </w:t>
      </w:r>
      <w:r w:rsidR="00B96143">
        <w:rPr>
          <w:lang w:eastAsia="en-AU"/>
        </w:rPr>
        <w:t>guidance</w:t>
      </w:r>
      <w:r w:rsidR="00C26401">
        <w:rPr>
          <w:lang w:eastAsia="en-AU"/>
        </w:rPr>
        <w:t>,</w:t>
      </w:r>
      <w:r w:rsidR="004042D6">
        <w:rPr>
          <w:lang w:eastAsia="en-AU"/>
        </w:rPr>
        <w:t xml:space="preserve"> </w:t>
      </w:r>
      <w:r w:rsidR="003A239B">
        <w:rPr>
          <w:lang w:eastAsia="en-AU"/>
        </w:rPr>
        <w:t xml:space="preserve">based on the </w:t>
      </w:r>
      <w:r w:rsidR="004042D6">
        <w:rPr>
          <w:lang w:eastAsia="en-AU"/>
        </w:rPr>
        <w:t xml:space="preserve">addition of paramedicine </w:t>
      </w:r>
      <w:r w:rsidR="0041061B">
        <w:rPr>
          <w:lang w:eastAsia="en-AU"/>
        </w:rPr>
        <w:t>into the National Scheme</w:t>
      </w:r>
      <w:r w:rsidR="003A239B">
        <w:rPr>
          <w:lang w:eastAsia="en-AU"/>
        </w:rPr>
        <w:t xml:space="preserve"> there </w:t>
      </w:r>
      <w:r w:rsidR="00B839D9">
        <w:rPr>
          <w:lang w:eastAsia="en-AU"/>
        </w:rPr>
        <w:t xml:space="preserve">are four </w:t>
      </w:r>
      <w:r w:rsidR="00D816D1">
        <w:rPr>
          <w:lang w:eastAsia="en-AU"/>
        </w:rPr>
        <w:t xml:space="preserve">key phases to transitioning a profession into the National Scheme. </w:t>
      </w:r>
      <w:r w:rsidR="004F5976">
        <w:rPr>
          <w:rStyle w:val="FootnoteReference"/>
          <w:lang w:eastAsia="en-AU"/>
        </w:rPr>
        <w:footnoteReference w:id="281"/>
      </w:r>
      <w:r w:rsidR="00086BCF">
        <w:rPr>
          <w:vertAlign w:val="superscript"/>
          <w:lang w:eastAsia="en-AU"/>
        </w:rPr>
        <w:t>,</w:t>
      </w:r>
      <w:r w:rsidR="00086BCF">
        <w:rPr>
          <w:rStyle w:val="FootnoteReference"/>
          <w:lang w:eastAsia="en-AU"/>
        </w:rPr>
        <w:footnoteReference w:id="282"/>
      </w:r>
    </w:p>
    <w:p w14:paraId="1A9687EB" w14:textId="26F057EF" w:rsidR="00D816D1" w:rsidRDefault="00492BAC" w:rsidP="00492BAC">
      <w:pPr>
        <w:pStyle w:val="Heading4"/>
      </w:pPr>
      <w:r>
        <w:t xml:space="preserve">Phase 1: Project Scoping </w:t>
      </w:r>
      <w:r w:rsidR="00C3188D">
        <w:t>and Phase 2: Settlement of Policy Parameters (</w:t>
      </w:r>
      <w:r w:rsidR="003B6AA6">
        <w:t>~8 months)</w:t>
      </w:r>
    </w:p>
    <w:p w14:paraId="0097493E" w14:textId="74412A6A" w:rsidR="002B5872" w:rsidRDefault="00D6469A" w:rsidP="00644545">
      <w:pPr>
        <w:pStyle w:val="BodyText"/>
        <w:keepNext/>
      </w:pPr>
      <w:r>
        <w:t xml:space="preserve">The </w:t>
      </w:r>
      <w:r w:rsidR="00E77BE6" w:rsidRPr="007176F0">
        <w:rPr>
          <w:b/>
          <w:bCs/>
        </w:rPr>
        <w:t xml:space="preserve">lead jurisdiction </w:t>
      </w:r>
      <w:r w:rsidRPr="007176F0">
        <w:rPr>
          <w:b/>
          <w:bCs/>
        </w:rPr>
        <w:t>governmental policy team</w:t>
      </w:r>
      <w:r>
        <w:t>:</w:t>
      </w:r>
    </w:p>
    <w:p w14:paraId="06F3D051" w14:textId="7571E97E" w:rsidR="002B5872" w:rsidRDefault="00D6469A" w:rsidP="007176F0">
      <w:pPr>
        <w:pStyle w:val="ListBullet"/>
      </w:pPr>
      <w:r>
        <w:t>l</w:t>
      </w:r>
      <w:r w:rsidR="008B1029">
        <w:t xml:space="preserve">eads </w:t>
      </w:r>
      <w:r w:rsidR="00CD3FB1">
        <w:t>scoping of the profession for regulatory purposes to support policy development and le</w:t>
      </w:r>
      <w:r w:rsidR="00B20011">
        <w:t>gislative amendments</w:t>
      </w:r>
    </w:p>
    <w:p w14:paraId="17451187" w14:textId="60BDBFCD" w:rsidR="002B5872" w:rsidRDefault="00D6469A" w:rsidP="007176F0">
      <w:pPr>
        <w:pStyle w:val="ListBullet"/>
      </w:pPr>
      <w:r>
        <w:t>d</w:t>
      </w:r>
      <w:r w:rsidR="006418EA">
        <w:t>iscusses and finalises policy issues</w:t>
      </w:r>
      <w:r w:rsidR="003B6AA6">
        <w:t xml:space="preserve"> with key stakeholders (</w:t>
      </w:r>
      <w:r w:rsidR="003C3EB4">
        <w:t xml:space="preserve">e.g., </w:t>
      </w:r>
      <w:r w:rsidR="003B6AA6">
        <w:t>Ahpra, members of the profession, unions and PPBs)</w:t>
      </w:r>
      <w:r>
        <w:t>.</w:t>
      </w:r>
    </w:p>
    <w:p w14:paraId="20D446D9" w14:textId="71710120" w:rsidR="00B20011" w:rsidRDefault="00B20011" w:rsidP="007176F0">
      <w:pPr>
        <w:pStyle w:val="BodyText"/>
      </w:pPr>
      <w:r>
        <w:t xml:space="preserve">This work is funded through the </w:t>
      </w:r>
      <w:r w:rsidR="00950F76">
        <w:t xml:space="preserve">HCEF-cost share budget, for which jurisdictions contribute their population share. </w:t>
      </w:r>
    </w:p>
    <w:p w14:paraId="2B01678A" w14:textId="08EBDB97" w:rsidR="004B4B52" w:rsidRPr="007176F0" w:rsidRDefault="00D6469A" w:rsidP="007176F0">
      <w:pPr>
        <w:pStyle w:val="BodyText"/>
      </w:pPr>
      <w:r>
        <w:t xml:space="preserve">The </w:t>
      </w:r>
      <w:r w:rsidRPr="007176F0">
        <w:rPr>
          <w:b/>
          <w:bCs/>
        </w:rPr>
        <w:t>Ministerial Council</w:t>
      </w:r>
      <w:r>
        <w:t>:</w:t>
      </w:r>
    </w:p>
    <w:p w14:paraId="6E42F986" w14:textId="5BDDB918" w:rsidR="00A7248A" w:rsidRDefault="0027075D" w:rsidP="00F9435E">
      <w:pPr>
        <w:pStyle w:val="ListBullet"/>
      </w:pPr>
      <w:r>
        <w:t>approves</w:t>
      </w:r>
      <w:r w:rsidR="007E217D">
        <w:t xml:space="preserve"> amendments to be made to the National Law.</w:t>
      </w:r>
    </w:p>
    <w:p w14:paraId="0B60B7D1" w14:textId="368225C4" w:rsidR="008D5855" w:rsidRDefault="00937506" w:rsidP="00937506">
      <w:pPr>
        <w:pStyle w:val="Heading4"/>
      </w:pPr>
      <w:r>
        <w:t>Phase</w:t>
      </w:r>
      <w:r w:rsidR="008A62BA">
        <w:t xml:space="preserve"> 3: Legislative Process (~2 months)</w:t>
      </w:r>
    </w:p>
    <w:p w14:paraId="0DABA152" w14:textId="4934F61D" w:rsidR="0027075D" w:rsidRDefault="0027075D" w:rsidP="007176F0">
      <w:pPr>
        <w:pStyle w:val="BodyText"/>
      </w:pPr>
      <w:r>
        <w:t>The inclusion of audiology in the National Scheme would require legislative changes to the National Law</w:t>
      </w:r>
      <w:r w:rsidR="006E39E1">
        <w:t>, where Queensland is the lead jurisdiction for implementing the National Law</w:t>
      </w:r>
      <w:r>
        <w:t>. As per the National Health Practitioner Ombudsman</w:t>
      </w:r>
      <w:r>
        <w:rPr>
          <w:rStyle w:val="FootnoteReference"/>
        </w:rPr>
        <w:footnoteReference w:id="283"/>
      </w:r>
      <w:r>
        <w:t xml:space="preserve">, </w:t>
      </w:r>
      <w:r w:rsidR="006E39E1">
        <w:t xml:space="preserve">if </w:t>
      </w:r>
      <w:r w:rsidRPr="00340338">
        <w:t xml:space="preserve">amendments are made to the National Law after approval by the Ministerial Council, </w:t>
      </w:r>
      <w:r w:rsidRPr="007176F0">
        <w:rPr>
          <w:b/>
          <w:bCs/>
        </w:rPr>
        <w:t>Queensland</w:t>
      </w:r>
      <w:r w:rsidR="00A526B3" w:rsidRPr="007176F0">
        <w:rPr>
          <w:b/>
          <w:bCs/>
        </w:rPr>
        <w:t xml:space="preserve"> jurisdiction</w:t>
      </w:r>
      <w:r>
        <w:t>:</w:t>
      </w:r>
    </w:p>
    <w:p w14:paraId="0C588AFA" w14:textId="77777777" w:rsidR="0027075D" w:rsidRPr="00B354F2" w:rsidRDefault="0027075D" w:rsidP="007176F0">
      <w:pPr>
        <w:pStyle w:val="ListBullet"/>
      </w:pPr>
      <w:r w:rsidRPr="00B354F2">
        <w:t>submits a Bill to its parliament, in a form agreed by the Ministerial Council, which has the effect of amending the legislation in the manner agreed</w:t>
      </w:r>
    </w:p>
    <w:p w14:paraId="3BD85789" w14:textId="77777777" w:rsidR="0027075D" w:rsidRPr="00B354F2" w:rsidRDefault="0027075D" w:rsidP="007176F0">
      <w:pPr>
        <w:pStyle w:val="ListBullet"/>
      </w:pPr>
      <w:r w:rsidRPr="00B354F2">
        <w:t>takes all reasonable steps to secure the passage of the Bill and bring it into force in accordance with a timetable agreed by the Ministerial Council.</w:t>
      </w:r>
    </w:p>
    <w:p w14:paraId="1BEDD491" w14:textId="0A1A4A43" w:rsidR="00937506" w:rsidRDefault="0027075D" w:rsidP="00542F6A">
      <w:pPr>
        <w:pStyle w:val="BodyText"/>
      </w:pPr>
      <w:r w:rsidRPr="008E5587">
        <w:t xml:space="preserve">These changes are automatically applied in all other parliaments that are part of the National Scheme, except South Australia (which enacts a regulation to modify the </w:t>
      </w:r>
      <w:r w:rsidRPr="005E19C5">
        <w:rPr>
          <w:i/>
        </w:rPr>
        <w:t>Health Practitioner Regulation National Law (South Australia) 2010</w:t>
      </w:r>
      <w:r w:rsidRPr="008E5587">
        <w:t>).</w:t>
      </w:r>
    </w:p>
    <w:p w14:paraId="3DDBC4AC" w14:textId="7E49F971" w:rsidR="00937506" w:rsidRPr="00937506" w:rsidRDefault="008A62BA" w:rsidP="007176F0">
      <w:pPr>
        <w:pStyle w:val="Heading4"/>
      </w:pPr>
      <w:r>
        <w:t>Phase 4</w:t>
      </w:r>
      <w:r w:rsidR="00696365">
        <w:t>:</w:t>
      </w:r>
      <w:r>
        <w:t xml:space="preserve"> Ahpra Establishing Administrative Arrangements and Implementing Regulation (</w:t>
      </w:r>
      <w:r w:rsidR="00B1027C">
        <w:t>~24 months)</w:t>
      </w:r>
    </w:p>
    <w:p w14:paraId="7F02CD81" w14:textId="61EB69FF" w:rsidR="00D65B97" w:rsidRDefault="00C2154F" w:rsidP="007948DE">
      <w:pPr>
        <w:pStyle w:val="BodyText"/>
      </w:pPr>
      <w:r>
        <w:t>Following legislative processes which create the National Board</w:t>
      </w:r>
      <w:r w:rsidR="00B8479B">
        <w:t xml:space="preserve"> (granting </w:t>
      </w:r>
      <w:r w:rsidR="00CB05C8">
        <w:t xml:space="preserve">the Board </w:t>
      </w:r>
      <w:r w:rsidR="00B8479B">
        <w:t xml:space="preserve">power to exercise </w:t>
      </w:r>
      <w:r w:rsidR="00CB05C8">
        <w:t>its</w:t>
      </w:r>
      <w:r w:rsidR="00B8479B">
        <w:t xml:space="preserve"> legislated functions), the </w:t>
      </w:r>
      <w:r w:rsidR="00B8479B" w:rsidRPr="007176F0">
        <w:rPr>
          <w:b/>
          <w:bCs/>
        </w:rPr>
        <w:t>National Board</w:t>
      </w:r>
      <w:r w:rsidR="00CB05C8">
        <w:t xml:space="preserve"> is </w:t>
      </w:r>
      <w:r w:rsidR="00D65B97">
        <w:t>required to:</w:t>
      </w:r>
    </w:p>
    <w:p w14:paraId="0E66D6CA" w14:textId="3B453923" w:rsidR="00A21E92" w:rsidRDefault="00FF6725" w:rsidP="007176F0">
      <w:pPr>
        <w:pStyle w:val="ListBullet"/>
      </w:pPr>
      <w:r>
        <w:t xml:space="preserve">undertake an expression of interest process to determine </w:t>
      </w:r>
      <w:r w:rsidR="00A21E92">
        <w:t>an accreditation authority (</w:t>
      </w:r>
      <w:r w:rsidR="00BE3D5E">
        <w:t xml:space="preserve">an Accreditation Authority may be </w:t>
      </w:r>
      <w:r w:rsidR="005102B1">
        <w:t>a committee that works with a National Board according to that committee’s Terms of Reference, or an external council where the council works with the National Board to deliver specified accreditation fun</w:t>
      </w:r>
      <w:r w:rsidR="00D4787D">
        <w:t>ctions under a formal agreement with Ahpra on the Board’s behalf)</w:t>
      </w:r>
      <w:r w:rsidR="007948DE">
        <w:rPr>
          <w:rStyle w:val="FootnoteReference"/>
        </w:rPr>
        <w:footnoteReference w:id="284"/>
      </w:r>
    </w:p>
    <w:p w14:paraId="5195EA33" w14:textId="3B76DFBD" w:rsidR="00964284" w:rsidRDefault="00964284" w:rsidP="007948DE">
      <w:pPr>
        <w:pStyle w:val="ListBullet"/>
      </w:pPr>
      <w:r>
        <w:t>approve accreditation and competency sta</w:t>
      </w:r>
      <w:r w:rsidR="008A11FC">
        <w:t>ndards</w:t>
      </w:r>
    </w:p>
    <w:p w14:paraId="49E8D705" w14:textId="0EAB02C5" w:rsidR="006B2887" w:rsidRDefault="00333BDE" w:rsidP="007176F0">
      <w:pPr>
        <w:pStyle w:val="ListBullet"/>
      </w:pPr>
      <w:r>
        <w:t>approves programs of study for the purposes of registration</w:t>
      </w:r>
    </w:p>
    <w:p w14:paraId="6FF803D4" w14:textId="4F2E3113" w:rsidR="008D4ADE" w:rsidRDefault="00D32764" w:rsidP="007948DE">
      <w:pPr>
        <w:pStyle w:val="ListBullet"/>
      </w:pPr>
      <w:r>
        <w:t>develop the set of mandatory registration standards for approval by the Ministerial Council</w:t>
      </w:r>
      <w:r w:rsidR="008D4ADE">
        <w:t xml:space="preserve"> including:</w:t>
      </w:r>
    </w:p>
    <w:p w14:paraId="3A43F79B" w14:textId="21AB2387" w:rsidR="00D32764" w:rsidRDefault="00AB2EF2" w:rsidP="008D4ADE">
      <w:pPr>
        <w:pStyle w:val="BulletList2Column"/>
      </w:pPr>
      <w:r>
        <w:t xml:space="preserve"> </w:t>
      </w:r>
      <w:r w:rsidR="001904A2">
        <w:t>CPD</w:t>
      </w:r>
    </w:p>
    <w:p w14:paraId="0869DDBE" w14:textId="677EB42B" w:rsidR="001904A2" w:rsidRDefault="001904A2" w:rsidP="008D4ADE">
      <w:pPr>
        <w:pStyle w:val="BulletList2Column"/>
      </w:pPr>
      <w:r>
        <w:t>Criminal history</w:t>
      </w:r>
    </w:p>
    <w:p w14:paraId="3BB0EBC8" w14:textId="29AA8FBF" w:rsidR="001904A2" w:rsidRDefault="001904A2" w:rsidP="008D4ADE">
      <w:pPr>
        <w:pStyle w:val="BulletList2Column"/>
      </w:pPr>
      <w:r>
        <w:t>English language skills</w:t>
      </w:r>
    </w:p>
    <w:p w14:paraId="228B5B6C" w14:textId="37C12396" w:rsidR="001904A2" w:rsidRDefault="001904A2" w:rsidP="008D4ADE">
      <w:pPr>
        <w:pStyle w:val="BulletList2Column"/>
      </w:pPr>
      <w:r>
        <w:t>Professional indemnity insurance arrangements</w:t>
      </w:r>
    </w:p>
    <w:p w14:paraId="176EEA8C" w14:textId="6748A117" w:rsidR="001904A2" w:rsidRDefault="001904A2" w:rsidP="008D4ADE">
      <w:pPr>
        <w:pStyle w:val="BulletList2Column"/>
      </w:pPr>
      <w:r>
        <w:t>Recency of practice</w:t>
      </w:r>
    </w:p>
    <w:p w14:paraId="0D46763A" w14:textId="016D033C" w:rsidR="00A458C6" w:rsidRDefault="00A458C6" w:rsidP="00333BDE">
      <w:pPr>
        <w:pStyle w:val="ListBullet"/>
      </w:pPr>
      <w:r>
        <w:t>develop grandparenting registration standards</w:t>
      </w:r>
    </w:p>
    <w:p w14:paraId="0331F01B" w14:textId="77777777" w:rsidR="00BD6CE6" w:rsidRDefault="00BD6CE6" w:rsidP="00BD6CE6">
      <w:pPr>
        <w:pStyle w:val="ListBullet"/>
      </w:pPr>
      <w:r>
        <w:t>oversee the assessment of overseas trained applicants for registration</w:t>
      </w:r>
    </w:p>
    <w:p w14:paraId="19234968" w14:textId="277E1C90" w:rsidR="006259CC" w:rsidRDefault="006259CC" w:rsidP="00333BDE">
      <w:pPr>
        <w:pStyle w:val="ListBullet"/>
      </w:pPr>
      <w:r>
        <w:t xml:space="preserve">develop (with Ahpra) </w:t>
      </w:r>
      <w:r w:rsidR="00D715C0">
        <w:t>a Code of Conduct for the profession which is approved by the National Board</w:t>
      </w:r>
      <w:r w:rsidR="00F916FE">
        <w:t xml:space="preserve"> (noting twelve professions currently share a Code of Conduct)</w:t>
      </w:r>
    </w:p>
    <w:p w14:paraId="3C476B40" w14:textId="4A5385E7" w:rsidR="00C671A7" w:rsidRDefault="00C671A7" w:rsidP="00404E68">
      <w:pPr>
        <w:pStyle w:val="ListBullet"/>
      </w:pPr>
      <w:r>
        <w:t xml:space="preserve">engage and agree with Ahpra </w:t>
      </w:r>
      <w:r w:rsidR="001F3E80">
        <w:t xml:space="preserve">on fees and financial issues (e.g., consideration of a </w:t>
      </w:r>
      <w:r w:rsidR="00E547C3">
        <w:t>5-year equity timeframe) to ensure that the initial application fee and initial registration fe</w:t>
      </w:r>
      <w:r w:rsidR="0047300A">
        <w:t>e supports the National Board to start in a financially sustainable position</w:t>
      </w:r>
    </w:p>
    <w:p w14:paraId="7037359A" w14:textId="06C83211" w:rsidR="00FC29A6" w:rsidRDefault="00FC29A6" w:rsidP="00404E68">
      <w:pPr>
        <w:pStyle w:val="ListBullet"/>
      </w:pPr>
      <w:r>
        <w:t xml:space="preserve">engage and </w:t>
      </w:r>
      <w:r w:rsidR="00FF0E7D">
        <w:t>enter into a Health Professions Agreement</w:t>
      </w:r>
      <w:r>
        <w:t xml:space="preserve"> with Ahpra</w:t>
      </w:r>
    </w:p>
    <w:p w14:paraId="7F8DFD17" w14:textId="65DA5AAF" w:rsidR="00B07F84" w:rsidRDefault="00B07F84" w:rsidP="00404E68">
      <w:pPr>
        <w:pStyle w:val="ListBullet"/>
      </w:pPr>
      <w:r>
        <w:t>engage with Ahpra to implement systems and processes for registration</w:t>
      </w:r>
      <w:r w:rsidR="0067655B">
        <w:t>, and management of complaints and notifications</w:t>
      </w:r>
    </w:p>
    <w:p w14:paraId="0BACBB4D" w14:textId="0F998451" w:rsidR="00816CF1" w:rsidRDefault="00816CF1" w:rsidP="00404E68">
      <w:pPr>
        <w:pStyle w:val="ListBullet"/>
      </w:pPr>
      <w:r>
        <w:t xml:space="preserve">engage with HCEs, co-regulatory bodies and key stakeholders to enable </w:t>
      </w:r>
      <w:r w:rsidR="004124A4">
        <w:t>transition of profession</w:t>
      </w:r>
    </w:p>
    <w:p w14:paraId="12F9BA57" w14:textId="077B9DB7" w:rsidR="00A02648" w:rsidRDefault="00376005" w:rsidP="007176F0">
      <w:pPr>
        <w:pStyle w:val="ListBullet"/>
      </w:pPr>
      <w:r>
        <w:t xml:space="preserve">develop and implement a communication strategy </w:t>
      </w:r>
      <w:r w:rsidR="002602E5">
        <w:t>for</w:t>
      </w:r>
      <w:r w:rsidR="00BC5268">
        <w:t xml:space="preserve"> stakeholders to ensure smoothest possible transition into the National Scheme</w:t>
      </w:r>
      <w:r w:rsidR="00413B2E">
        <w:t>.</w:t>
      </w:r>
    </w:p>
    <w:p w14:paraId="377F3186" w14:textId="03742A49" w:rsidR="004409D3" w:rsidRDefault="0032393F" w:rsidP="007176F0">
      <w:pPr>
        <w:pStyle w:val="BodyText"/>
      </w:pPr>
      <w:r>
        <w:t xml:space="preserve">The </w:t>
      </w:r>
      <w:r w:rsidR="0068197E">
        <w:t xml:space="preserve">appointed </w:t>
      </w:r>
      <w:r w:rsidRPr="007176F0">
        <w:rPr>
          <w:b/>
          <w:bCs/>
        </w:rPr>
        <w:t>accreditation authority</w:t>
      </w:r>
      <w:r w:rsidR="00E77BE6">
        <w:t>:</w:t>
      </w:r>
    </w:p>
    <w:p w14:paraId="081C8B22" w14:textId="7A63EF16" w:rsidR="00A27B21" w:rsidRDefault="00402C2C" w:rsidP="000F75EF">
      <w:pPr>
        <w:pStyle w:val="ListBullet"/>
      </w:pPr>
      <w:r>
        <w:t>d</w:t>
      </w:r>
      <w:r w:rsidR="007F4A13">
        <w:t>evelop, review and submit accreditation</w:t>
      </w:r>
      <w:r w:rsidR="008A11FC">
        <w:t xml:space="preserve"> and competency</w:t>
      </w:r>
      <w:r w:rsidR="007F4A13">
        <w:t xml:space="preserve"> standards to the National Board for approval</w:t>
      </w:r>
    </w:p>
    <w:p w14:paraId="238DBE42" w14:textId="7F8D77A6" w:rsidR="00A21E92" w:rsidRDefault="00402C2C" w:rsidP="007176F0">
      <w:pPr>
        <w:pStyle w:val="ListBullet"/>
      </w:pPr>
      <w:r>
        <w:t>a</w:t>
      </w:r>
      <w:r w:rsidR="00A27B21">
        <w:t xml:space="preserve">ssess and accredit education providers and programs of study against approved </w:t>
      </w:r>
      <w:r w:rsidR="006E71BB">
        <w:t>standards, and often assess overseas-trained practitioners.</w:t>
      </w:r>
      <w:r w:rsidR="000F75EF">
        <w:t xml:space="preserve"> </w:t>
      </w:r>
    </w:p>
    <w:p w14:paraId="724AA316" w14:textId="6D9F520C" w:rsidR="00172FDF" w:rsidRDefault="00172FDF" w:rsidP="00A02648">
      <w:pPr>
        <w:pStyle w:val="BodyText"/>
      </w:pPr>
      <w:r>
        <w:rPr>
          <w:b/>
          <w:bCs/>
        </w:rPr>
        <w:t>Ahpra</w:t>
      </w:r>
      <w:r w:rsidRPr="007176F0">
        <w:t>:</w:t>
      </w:r>
    </w:p>
    <w:p w14:paraId="10D6369B" w14:textId="50AE11AC" w:rsidR="00942CC4" w:rsidRDefault="00506CCF" w:rsidP="00942CC4">
      <w:pPr>
        <w:pStyle w:val="ListBullet"/>
      </w:pPr>
      <w:r>
        <w:t>enter</w:t>
      </w:r>
      <w:r w:rsidR="001A6774">
        <w:t>s</w:t>
      </w:r>
      <w:r>
        <w:t xml:space="preserve"> into a Health Professions Agreement with the National Board </w:t>
      </w:r>
      <w:r w:rsidR="00F65995">
        <w:t xml:space="preserve">which outlines the fees payable by health practitioners, </w:t>
      </w:r>
      <w:r w:rsidR="00E81D62">
        <w:t xml:space="preserve">the National Board’s annual budget and the services to be provided </w:t>
      </w:r>
      <w:r w:rsidR="00BB36D3">
        <w:t>to</w:t>
      </w:r>
      <w:r w:rsidR="00E81D62">
        <w:t xml:space="preserve"> the National Board by Ahpra to enable the National Board to carry out its functions</w:t>
      </w:r>
    </w:p>
    <w:p w14:paraId="2FB4398C" w14:textId="1351560C" w:rsidR="00365734" w:rsidRDefault="002602E5" w:rsidP="00942CC4">
      <w:pPr>
        <w:pStyle w:val="ListBullet"/>
      </w:pPr>
      <w:r>
        <w:t>engage</w:t>
      </w:r>
      <w:r w:rsidR="001A6774">
        <w:t>s</w:t>
      </w:r>
      <w:r>
        <w:t xml:space="preserve"> with the National Board to implement systems and processes for registration, and management of complaints and notifications</w:t>
      </w:r>
    </w:p>
    <w:p w14:paraId="3CE0143F" w14:textId="545E6A03" w:rsidR="0047175C" w:rsidRDefault="00365734" w:rsidP="00942CC4">
      <w:pPr>
        <w:pStyle w:val="ListBullet"/>
      </w:pPr>
      <w:r>
        <w:t>engage</w:t>
      </w:r>
      <w:r w:rsidR="001A6774">
        <w:t>s</w:t>
      </w:r>
      <w:r>
        <w:t xml:space="preserve"> with </w:t>
      </w:r>
      <w:r w:rsidR="00431E60">
        <w:t xml:space="preserve">Queensland </w:t>
      </w:r>
      <w:r w:rsidR="007D6478">
        <w:t xml:space="preserve">jurisdiction </w:t>
      </w:r>
      <w:r>
        <w:t>to</w:t>
      </w:r>
      <w:r w:rsidR="0047175C">
        <w:t>:</w:t>
      </w:r>
    </w:p>
    <w:p w14:paraId="6E3E163B" w14:textId="77777777" w:rsidR="0047175C" w:rsidRDefault="009E6140" w:rsidP="0047175C">
      <w:pPr>
        <w:pStyle w:val="BulletList2Column"/>
      </w:pPr>
      <w:r>
        <w:t>implement management of complaints and notifications processes</w:t>
      </w:r>
    </w:p>
    <w:p w14:paraId="41570CF8" w14:textId="6DDB8230" w:rsidR="00942CC4" w:rsidRDefault="009E6140" w:rsidP="0047175C">
      <w:pPr>
        <w:pStyle w:val="BulletList2Column"/>
      </w:pPr>
      <w:r>
        <w:t xml:space="preserve">update the </w:t>
      </w:r>
      <w:r w:rsidR="0047175C">
        <w:t>Ahpra-Queensland funding agreement to recognise new activity (</w:t>
      </w:r>
      <w:r w:rsidR="008F6304">
        <w:t xml:space="preserve">i.e. share of registration fees </w:t>
      </w:r>
      <w:r w:rsidR="00625106">
        <w:t>paid</w:t>
      </w:r>
      <w:r w:rsidR="008F6304">
        <w:t xml:space="preserve"> to Ahpra that are returned to Queensland </w:t>
      </w:r>
      <w:r w:rsidR="00FF43FF">
        <w:t>to recognise complaints management activity undertaken by OHO)</w:t>
      </w:r>
    </w:p>
    <w:p w14:paraId="3E1A33D0" w14:textId="22D9840B" w:rsidR="00FF43FF" w:rsidRDefault="00FF43FF" w:rsidP="00FF43FF">
      <w:pPr>
        <w:pStyle w:val="ListBullet"/>
      </w:pPr>
      <w:r>
        <w:t>engage</w:t>
      </w:r>
      <w:r w:rsidR="001A6774">
        <w:t>s</w:t>
      </w:r>
      <w:r>
        <w:t xml:space="preserve"> with New South Wales</w:t>
      </w:r>
      <w:r w:rsidR="007D6478">
        <w:t xml:space="preserve"> jurisdiction</w:t>
      </w:r>
      <w:r w:rsidR="00724A04">
        <w:t xml:space="preserve"> </w:t>
      </w:r>
      <w:r w:rsidR="003A7755">
        <w:t xml:space="preserve">to: </w:t>
      </w:r>
    </w:p>
    <w:p w14:paraId="63A76A40" w14:textId="3C5744C9" w:rsidR="00625106" w:rsidRDefault="00625106" w:rsidP="00625106">
      <w:pPr>
        <w:pStyle w:val="BulletList2Column"/>
      </w:pPr>
      <w:r>
        <w:t>implement management of complaints and notification process</w:t>
      </w:r>
      <w:r w:rsidR="007D6478">
        <w:t xml:space="preserve"> with </w:t>
      </w:r>
      <w:r w:rsidR="00756253">
        <w:t>NSW HCE and Health Profession Council Authority (HPCA)</w:t>
      </w:r>
    </w:p>
    <w:p w14:paraId="017DD923" w14:textId="37DC2A63" w:rsidR="00724A04" w:rsidRDefault="00514BF2" w:rsidP="007176F0">
      <w:pPr>
        <w:pStyle w:val="BulletList2Column"/>
      </w:pPr>
      <w:r>
        <w:t>d</w:t>
      </w:r>
      <w:r w:rsidR="00963196">
        <w:t xml:space="preserve">iscuss HPCA fee setting for </w:t>
      </w:r>
      <w:r w:rsidR="001C74A2">
        <w:t xml:space="preserve">the notifications function in order to determine the </w:t>
      </w:r>
      <w:r w:rsidR="00C977AF">
        <w:t>registration fee payable</w:t>
      </w:r>
      <w:r w:rsidR="001C74A2">
        <w:t xml:space="preserve"> by audiologists whose principal place of practice is NSW.</w:t>
      </w:r>
      <w:r>
        <w:t xml:space="preserve"> </w:t>
      </w:r>
    </w:p>
    <w:p w14:paraId="38725C41" w14:textId="32D4C906" w:rsidR="00A02648" w:rsidRDefault="001A6774" w:rsidP="00A02648">
      <w:pPr>
        <w:pStyle w:val="BodyText"/>
      </w:pPr>
      <w:r w:rsidRPr="007176F0">
        <w:t xml:space="preserve">The </w:t>
      </w:r>
      <w:r w:rsidR="00A02648" w:rsidRPr="00DA7FE9">
        <w:rPr>
          <w:b/>
          <w:bCs/>
        </w:rPr>
        <w:t>Ministerial Council</w:t>
      </w:r>
      <w:r w:rsidR="00A02648">
        <w:t xml:space="preserve">: </w:t>
      </w:r>
    </w:p>
    <w:p w14:paraId="2781DA90" w14:textId="12B896BE" w:rsidR="00ED4DDC" w:rsidRDefault="00912732" w:rsidP="00ED4DDC">
      <w:pPr>
        <w:pStyle w:val="ListBullet"/>
      </w:pPr>
      <w:r>
        <w:t>appoints</w:t>
      </w:r>
      <w:r w:rsidR="00ED4DDC">
        <w:t xml:space="preserve"> the members of the National Board</w:t>
      </w:r>
    </w:p>
    <w:p w14:paraId="065A443C" w14:textId="4523DE45" w:rsidR="0014139A" w:rsidRPr="009B4E58" w:rsidRDefault="00A02648" w:rsidP="007176F0">
      <w:pPr>
        <w:pStyle w:val="ListBullet"/>
      </w:pPr>
      <w:r>
        <w:t>approves mandatory registration standards and any ‘grandparenting’ registration standards</w:t>
      </w:r>
      <w:r w:rsidR="006E1EF5">
        <w:t>.</w:t>
      </w:r>
    </w:p>
    <w:p w14:paraId="722ED4CB" w14:textId="32AE7957" w:rsidR="00563BA3" w:rsidRDefault="00563BA3" w:rsidP="00563BA3">
      <w:pPr>
        <w:pStyle w:val="BodyText"/>
        <w:rPr>
          <w:lang w:eastAsia="en-AU"/>
        </w:rPr>
      </w:pPr>
      <w:r w:rsidRPr="007176F0">
        <w:rPr>
          <w:b/>
          <w:bCs/>
          <w:lang w:eastAsia="en-AU"/>
        </w:rPr>
        <w:t>Queensland</w:t>
      </w:r>
      <w:r w:rsidR="00601D5B">
        <w:rPr>
          <w:b/>
          <w:bCs/>
          <w:lang w:eastAsia="en-AU"/>
        </w:rPr>
        <w:t xml:space="preserve"> </w:t>
      </w:r>
      <w:r w:rsidR="003A79CB">
        <w:rPr>
          <w:b/>
          <w:bCs/>
          <w:lang w:eastAsia="en-AU"/>
        </w:rPr>
        <w:t>jurisdictio</w:t>
      </w:r>
      <w:r w:rsidR="003F7F9E">
        <w:rPr>
          <w:b/>
          <w:bCs/>
          <w:lang w:eastAsia="en-AU"/>
        </w:rPr>
        <w:t>n</w:t>
      </w:r>
      <w:r>
        <w:rPr>
          <w:lang w:eastAsia="en-AU"/>
        </w:rPr>
        <w:t xml:space="preserve">: </w:t>
      </w:r>
    </w:p>
    <w:p w14:paraId="0CA8CB8A" w14:textId="1FE2270C" w:rsidR="00563BA3" w:rsidRDefault="00C977AF" w:rsidP="007176F0">
      <w:pPr>
        <w:pStyle w:val="ListBullet"/>
      </w:pPr>
      <w:r>
        <w:t>engage with Ahpra as outlined above</w:t>
      </w:r>
    </w:p>
    <w:p w14:paraId="5D497FB8" w14:textId="21BC248B" w:rsidR="00601D5B" w:rsidRDefault="00601D5B" w:rsidP="007176F0">
      <w:pPr>
        <w:pStyle w:val="ListBullet"/>
      </w:pPr>
      <w:r>
        <w:t xml:space="preserve">engage with the Queensland Police Service as registered practitioners are maintained on a </w:t>
      </w:r>
      <w:r w:rsidR="00170E99">
        <w:t>database.</w:t>
      </w:r>
    </w:p>
    <w:p w14:paraId="4A7E95DD" w14:textId="7D9DC134" w:rsidR="00170E99" w:rsidRDefault="00170E99" w:rsidP="00170E99">
      <w:pPr>
        <w:pStyle w:val="BodyText"/>
        <w:rPr>
          <w:lang w:eastAsia="en-AU"/>
        </w:rPr>
      </w:pPr>
      <w:r w:rsidRPr="007176F0">
        <w:rPr>
          <w:b/>
          <w:bCs/>
          <w:lang w:eastAsia="en-AU"/>
        </w:rPr>
        <w:t>New South Wales</w:t>
      </w:r>
      <w:r w:rsidR="001557B6">
        <w:rPr>
          <w:b/>
          <w:bCs/>
          <w:lang w:eastAsia="en-AU"/>
        </w:rPr>
        <w:t xml:space="preserve"> jurisdiction</w:t>
      </w:r>
      <w:r>
        <w:rPr>
          <w:lang w:eastAsia="en-AU"/>
        </w:rPr>
        <w:t xml:space="preserve">: </w:t>
      </w:r>
    </w:p>
    <w:p w14:paraId="038BF828" w14:textId="77777777" w:rsidR="003F48F7" w:rsidRDefault="00CE1964" w:rsidP="001557B6">
      <w:pPr>
        <w:pStyle w:val="ListBullet"/>
      </w:pPr>
      <w:r>
        <w:t>pass</w:t>
      </w:r>
      <w:r w:rsidR="007F13D8">
        <w:t xml:space="preserve"> regulatory amendments to create a Health Professions Council</w:t>
      </w:r>
    </w:p>
    <w:p w14:paraId="13AE98CD" w14:textId="34F1C5C2" w:rsidR="003F7F9E" w:rsidRDefault="00FF6703" w:rsidP="001557B6">
      <w:pPr>
        <w:pStyle w:val="ListBullet"/>
      </w:pPr>
      <w:r>
        <w:t xml:space="preserve">undertake an expression of interest process to </w:t>
      </w:r>
      <w:r w:rsidR="00274930">
        <w:t xml:space="preserve">formally </w:t>
      </w:r>
      <w:r w:rsidR="00682A3C">
        <w:t>appoint</w:t>
      </w:r>
      <w:r w:rsidR="00274930">
        <w:t xml:space="preserve"> the</w:t>
      </w:r>
      <w:r w:rsidR="00682A3C">
        <w:t xml:space="preserve"> </w:t>
      </w:r>
      <w:r w:rsidR="00314095">
        <w:t>Health Profession Council members (where powers are provided to the Secretary of New South Wales Health to enable early decisions to be made on</w:t>
      </w:r>
      <w:r w:rsidR="00274930">
        <w:t xml:space="preserve"> behalf of the Council </w:t>
      </w:r>
      <w:r w:rsidR="009E22F1">
        <w:t>prior to member appointments</w:t>
      </w:r>
      <w:r w:rsidR="00274930">
        <w:t>)</w:t>
      </w:r>
    </w:p>
    <w:p w14:paraId="6A6944FD" w14:textId="18D3E052" w:rsidR="009E22F1" w:rsidRDefault="00CB430E" w:rsidP="001557B6">
      <w:pPr>
        <w:pStyle w:val="ListBullet"/>
      </w:pPr>
      <w:r>
        <w:t xml:space="preserve">develop and undertake a communication strategy with professional stakeholder groups, education providers and the profession to </w:t>
      </w:r>
      <w:r w:rsidR="00966DC1">
        <w:t>increase awareness and understanding of the regulatory arrangements</w:t>
      </w:r>
    </w:p>
    <w:p w14:paraId="0DAABF90" w14:textId="7F818392" w:rsidR="00966DC1" w:rsidRDefault="00966DC1" w:rsidP="001557B6">
      <w:pPr>
        <w:pStyle w:val="ListBullet"/>
      </w:pPr>
      <w:r>
        <w:t xml:space="preserve">engage with Ahpra as outlined above. </w:t>
      </w:r>
    </w:p>
    <w:p w14:paraId="4D4FCAC6" w14:textId="2A0B7601" w:rsidR="0059197A" w:rsidRDefault="0059197A" w:rsidP="002C40DD">
      <w:pPr>
        <w:pStyle w:val="BodyText"/>
      </w:pPr>
      <w:r w:rsidRPr="007176F0">
        <w:rPr>
          <w:b/>
          <w:bCs/>
        </w:rPr>
        <w:t>Jurisdictional HCEs</w:t>
      </w:r>
      <w:r w:rsidR="007A0435">
        <w:rPr>
          <w:b/>
          <w:bCs/>
        </w:rPr>
        <w:t xml:space="preserve"> (excluding</w:t>
      </w:r>
      <w:r w:rsidR="00462EB7">
        <w:rPr>
          <w:b/>
          <w:bCs/>
        </w:rPr>
        <w:t xml:space="preserve"> co-regulatory jurisdictions)</w:t>
      </w:r>
      <w:r>
        <w:t xml:space="preserve">: </w:t>
      </w:r>
    </w:p>
    <w:p w14:paraId="2396199D" w14:textId="74CB20FE" w:rsidR="00D136DE" w:rsidRDefault="00462EB7" w:rsidP="00D136DE">
      <w:pPr>
        <w:pStyle w:val="ListBullet"/>
      </w:pPr>
      <w:r>
        <w:t xml:space="preserve">engage with the National Boards and Ahpra to </w:t>
      </w:r>
      <w:r w:rsidR="00612770">
        <w:t>implement management of complaints notifications processes.</w:t>
      </w:r>
    </w:p>
    <w:p w14:paraId="5842CC62" w14:textId="03ED9A94" w:rsidR="000C7530" w:rsidRPr="00563BA3" w:rsidRDefault="000C7530" w:rsidP="002C40DD">
      <w:pPr>
        <w:pStyle w:val="BodyText"/>
      </w:pPr>
      <w:r>
        <w:t>As discussed in Chapter 8, seed funding is provided to Ahpra to</w:t>
      </w:r>
      <w:r w:rsidR="002C40DD">
        <w:t xml:space="preserve"> support implementation of the profession prior to the Go-Live date (after which National Boards are required to be financially sustainable</w:t>
      </w:r>
      <w:r w:rsidR="006A06F8">
        <w:t xml:space="preserve"> under a self-funding model). </w:t>
      </w:r>
      <w:r w:rsidR="00E22555">
        <w:t xml:space="preserve">Funding is also provided to the HPCA to establish the Health Professions Council. </w:t>
      </w:r>
      <w:r>
        <w:t xml:space="preserve"> </w:t>
      </w:r>
    </w:p>
    <w:p w14:paraId="50B720A6" w14:textId="210DADBA" w:rsidR="00051C17" w:rsidRDefault="00063ED3" w:rsidP="007176F0">
      <w:pPr>
        <w:pStyle w:val="Heading4"/>
        <w:rPr>
          <w:lang w:eastAsia="en-AU"/>
        </w:rPr>
      </w:pPr>
      <w:bookmarkStart w:id="346" w:name="_Ref193033028"/>
      <w:r>
        <w:rPr>
          <w:lang w:eastAsia="en-AU"/>
        </w:rPr>
        <w:t>Additional – selection of a National Board structure</w:t>
      </w:r>
      <w:bookmarkEnd w:id="346"/>
    </w:p>
    <w:p w14:paraId="741F8870" w14:textId="2C70B88B" w:rsidR="006261BB" w:rsidRDefault="00491494" w:rsidP="00EA2D51">
      <w:pPr>
        <w:pStyle w:val="BodyText"/>
        <w:rPr>
          <w:lang w:eastAsia="en-AU"/>
        </w:rPr>
      </w:pPr>
      <w:r>
        <w:rPr>
          <w:lang w:eastAsia="en-AU"/>
        </w:rPr>
        <w:t xml:space="preserve">The following process </w:t>
      </w:r>
      <w:r w:rsidR="00135E85">
        <w:rPr>
          <w:lang w:eastAsia="en-AU"/>
        </w:rPr>
        <w:t>considerations</w:t>
      </w:r>
      <w:r w:rsidR="00425368">
        <w:rPr>
          <w:lang w:eastAsia="en-AU"/>
        </w:rPr>
        <w:t xml:space="preserve"> are provided </w:t>
      </w:r>
      <w:r w:rsidR="004E6B4F">
        <w:rPr>
          <w:lang w:eastAsia="en-AU"/>
        </w:rPr>
        <w:t xml:space="preserve">regarding </w:t>
      </w:r>
      <w:r w:rsidR="00425368">
        <w:rPr>
          <w:lang w:eastAsia="en-AU"/>
        </w:rPr>
        <w:t>the selection of a</w:t>
      </w:r>
      <w:r w:rsidR="006261BB">
        <w:rPr>
          <w:lang w:eastAsia="en-AU"/>
        </w:rPr>
        <w:t xml:space="preserve"> </w:t>
      </w:r>
      <w:r w:rsidR="00425368">
        <w:rPr>
          <w:lang w:eastAsia="en-AU"/>
        </w:rPr>
        <w:t>National Board structure.</w:t>
      </w:r>
    </w:p>
    <w:p w14:paraId="52E28B39" w14:textId="71AA2172" w:rsidR="00080A1F" w:rsidRDefault="004E6B4F" w:rsidP="00080A1F">
      <w:pPr>
        <w:pStyle w:val="ListBullet"/>
      </w:pPr>
      <w:r>
        <w:t xml:space="preserve">The National Law enables three </w:t>
      </w:r>
      <w:r w:rsidR="00DB5132">
        <w:t xml:space="preserve">types of National Board structures, with a National Board for a single profession the most common approach. Milestone timings discussed </w:t>
      </w:r>
      <w:r w:rsidR="007A4896">
        <w:t>above</w:t>
      </w:r>
      <w:r w:rsidR="00DB5132">
        <w:t xml:space="preserve"> refer to </w:t>
      </w:r>
      <w:r w:rsidR="008F32F0">
        <w:t xml:space="preserve">the implementation of a single National Board. </w:t>
      </w:r>
    </w:p>
    <w:p w14:paraId="22BE227E" w14:textId="427EADC7" w:rsidR="00491494" w:rsidRDefault="00491494" w:rsidP="00080A1F">
      <w:pPr>
        <w:pStyle w:val="ListBullet"/>
      </w:pPr>
      <w:r>
        <w:t xml:space="preserve">A </w:t>
      </w:r>
      <w:r w:rsidR="007A4896">
        <w:t xml:space="preserve">National Board for </w:t>
      </w:r>
      <w:r w:rsidR="002D69F7">
        <w:t>T</w:t>
      </w:r>
      <w:r w:rsidR="0095524D">
        <w:t xml:space="preserve">wo or </w:t>
      </w:r>
      <w:r w:rsidR="002D69F7">
        <w:t>M</w:t>
      </w:r>
      <w:r w:rsidR="0095524D">
        <w:t xml:space="preserve">ore </w:t>
      </w:r>
      <w:r w:rsidR="002D69F7">
        <w:t>P</w:t>
      </w:r>
      <w:r w:rsidR="0095524D">
        <w:t xml:space="preserve">rofessions </w:t>
      </w:r>
      <w:r w:rsidR="00957C61">
        <w:t>may be established where several</w:t>
      </w:r>
      <w:r w:rsidR="006A7BE6">
        <w:t xml:space="preserve"> </w:t>
      </w:r>
      <w:r w:rsidR="00FD062A">
        <w:t xml:space="preserve">professions enter the scheme together with one Board established. </w:t>
      </w:r>
      <w:r w:rsidR="007C3E10">
        <w:t xml:space="preserve">The </w:t>
      </w:r>
      <w:r w:rsidR="0078008C">
        <w:t>Ministerial Council must undertake public consultation on the proposed regulation that would establish this type of National Board, including with Ahpra and the National Boards.</w:t>
      </w:r>
    </w:p>
    <w:p w14:paraId="36150A78" w14:textId="5685288E" w:rsidR="00A571F5" w:rsidRDefault="007C3E10" w:rsidP="007176F0">
      <w:pPr>
        <w:pStyle w:val="ListBullet"/>
        <w:rPr>
          <w:b/>
          <w:bCs/>
        </w:rPr>
      </w:pPr>
      <w:r>
        <w:t>A Multi</w:t>
      </w:r>
      <w:r w:rsidR="00261167">
        <w:t>-</w:t>
      </w:r>
      <w:r w:rsidR="00957C61">
        <w:t xml:space="preserve">Profession National Board may be </w:t>
      </w:r>
      <w:r w:rsidR="00101BB7">
        <w:t>created</w:t>
      </w:r>
      <w:r w:rsidR="00261167">
        <w:t xml:space="preserve"> where </w:t>
      </w:r>
      <w:r w:rsidR="00101BB7">
        <w:t>an existing National Board is dissolved, and re</w:t>
      </w:r>
      <w:r w:rsidR="00457F04">
        <w:t>p</w:t>
      </w:r>
      <w:r w:rsidR="00101BB7">
        <w:t>laced by a National Board comprising the existing profession and the new professio</w:t>
      </w:r>
      <w:r w:rsidR="00412A69">
        <w:t xml:space="preserve">n. The Ministerial Council must undertake public consultation on the proposed regulation that would establish this type of National Board, including with Ahpra and the National Boards. </w:t>
      </w:r>
      <w:r w:rsidR="00CE3EF7">
        <w:t xml:space="preserve">There is time and cost associated with the transitional arrangements </w:t>
      </w:r>
      <w:r w:rsidR="001B6A37">
        <w:t>which would be required, including accreditation authority arrangements, registration standards and other policies which would need to be reviewed and approved, as well as communication undertaken with the affected professions.</w:t>
      </w:r>
    </w:p>
    <w:p w14:paraId="747D419A" w14:textId="071BFD87" w:rsidR="001B0952" w:rsidRDefault="00FF0799" w:rsidP="00EA2D51">
      <w:pPr>
        <w:pStyle w:val="BodyText"/>
        <w:rPr>
          <w:lang w:eastAsia="en-AU"/>
        </w:rPr>
      </w:pPr>
      <w:r>
        <w:rPr>
          <w:lang w:eastAsia="en-AU"/>
        </w:rPr>
        <w:t xml:space="preserve">For this Decision RIS, </w:t>
      </w:r>
      <w:r w:rsidRPr="007176F0">
        <w:rPr>
          <w:i/>
          <w:iCs/>
          <w:lang w:eastAsia="en-AU"/>
        </w:rPr>
        <w:t>Consultation Paper 2</w:t>
      </w:r>
      <w:r>
        <w:rPr>
          <w:lang w:eastAsia="en-AU"/>
        </w:rPr>
        <w:t xml:space="preserve"> </w:t>
      </w:r>
      <w:r w:rsidR="00052E62">
        <w:rPr>
          <w:lang w:eastAsia="en-AU"/>
        </w:rPr>
        <w:t xml:space="preserve">asked stakeholders to provide their views on the strengths, weaknesses or issues with </w:t>
      </w:r>
      <w:r w:rsidR="00E24B0A">
        <w:rPr>
          <w:lang w:eastAsia="en-AU"/>
        </w:rPr>
        <w:t xml:space="preserve">audiology entering the National Scheme under each of </w:t>
      </w:r>
      <w:r w:rsidR="00052E62">
        <w:rPr>
          <w:lang w:eastAsia="en-AU"/>
        </w:rPr>
        <w:t>the National Board structures</w:t>
      </w:r>
      <w:r w:rsidR="00FF1DE0">
        <w:rPr>
          <w:lang w:eastAsia="en-AU"/>
        </w:rPr>
        <w:t xml:space="preserve">. </w:t>
      </w:r>
      <w:r w:rsidR="00D2611F">
        <w:rPr>
          <w:lang w:eastAsia="en-AU"/>
        </w:rPr>
        <w:t>Stakeholder re</w:t>
      </w:r>
      <w:r w:rsidR="0064425B">
        <w:rPr>
          <w:lang w:eastAsia="en-AU"/>
        </w:rPr>
        <w:t xml:space="preserve">sponses to this question tended to compare a Single </w:t>
      </w:r>
      <w:r w:rsidR="00577489">
        <w:rPr>
          <w:lang w:eastAsia="en-AU"/>
        </w:rPr>
        <w:t xml:space="preserve">National </w:t>
      </w:r>
      <w:r w:rsidR="0064425B">
        <w:rPr>
          <w:lang w:eastAsia="en-AU"/>
        </w:rPr>
        <w:t xml:space="preserve">Board to a </w:t>
      </w:r>
      <w:r w:rsidR="00C42301">
        <w:rPr>
          <w:lang w:eastAsia="en-AU"/>
        </w:rPr>
        <w:t>board structure that contained</w:t>
      </w:r>
      <w:r w:rsidR="0064425B">
        <w:rPr>
          <w:lang w:eastAsia="en-AU"/>
        </w:rPr>
        <w:t xml:space="preserve"> multiple professions (i.e., </w:t>
      </w:r>
      <w:r w:rsidR="000753C8">
        <w:rPr>
          <w:lang w:eastAsia="en-AU"/>
        </w:rPr>
        <w:t>responses</w:t>
      </w:r>
      <w:r w:rsidR="00F12892">
        <w:rPr>
          <w:lang w:eastAsia="en-AU"/>
        </w:rPr>
        <w:t xml:space="preserve"> were applicable to both a Nat</w:t>
      </w:r>
      <w:r w:rsidR="004A1633">
        <w:rPr>
          <w:lang w:eastAsia="en-AU"/>
        </w:rPr>
        <w:t xml:space="preserve">ional Board with </w:t>
      </w:r>
      <w:r w:rsidR="002D69F7">
        <w:rPr>
          <w:lang w:eastAsia="en-AU"/>
        </w:rPr>
        <w:t>T</w:t>
      </w:r>
      <w:r w:rsidR="004A1633">
        <w:rPr>
          <w:lang w:eastAsia="en-AU"/>
        </w:rPr>
        <w:t xml:space="preserve">wo or </w:t>
      </w:r>
      <w:r w:rsidR="002D69F7">
        <w:rPr>
          <w:lang w:eastAsia="en-AU"/>
        </w:rPr>
        <w:t>M</w:t>
      </w:r>
      <w:r w:rsidR="004A1633">
        <w:rPr>
          <w:lang w:eastAsia="en-AU"/>
        </w:rPr>
        <w:t xml:space="preserve">ore </w:t>
      </w:r>
      <w:r w:rsidR="002D69F7">
        <w:rPr>
          <w:lang w:eastAsia="en-AU"/>
        </w:rPr>
        <w:t>P</w:t>
      </w:r>
      <w:r w:rsidR="004A1633">
        <w:rPr>
          <w:lang w:eastAsia="en-AU"/>
        </w:rPr>
        <w:t>rofessions or a Multi-Profession Board)</w:t>
      </w:r>
      <w:r w:rsidR="000753C8">
        <w:rPr>
          <w:lang w:eastAsia="en-AU"/>
        </w:rPr>
        <w:t xml:space="preserve">. Hence, </w:t>
      </w:r>
      <w:r w:rsidR="007A54E5">
        <w:rPr>
          <w:lang w:eastAsia="en-AU"/>
        </w:rPr>
        <w:t>stakeholder feedback</w:t>
      </w:r>
      <w:r w:rsidR="00077B72">
        <w:rPr>
          <w:lang w:eastAsia="en-AU"/>
        </w:rPr>
        <w:t xml:space="preserve"> is presented</w:t>
      </w:r>
      <w:r w:rsidR="007A54E5">
        <w:rPr>
          <w:lang w:eastAsia="en-AU"/>
        </w:rPr>
        <w:t xml:space="preserve"> </w:t>
      </w:r>
      <w:r w:rsidR="00077B72">
        <w:rPr>
          <w:lang w:eastAsia="en-AU"/>
        </w:rPr>
        <w:t>accordingly</w:t>
      </w:r>
      <w:r w:rsidR="00E42AD0">
        <w:rPr>
          <w:lang w:eastAsia="en-AU"/>
        </w:rPr>
        <w:t>, except where indicated.</w:t>
      </w:r>
    </w:p>
    <w:p w14:paraId="27A4D7FF" w14:textId="05900B43" w:rsidR="001B0952" w:rsidRDefault="001B0952" w:rsidP="0032226F">
      <w:pPr>
        <w:pStyle w:val="ListBullet"/>
        <w:numPr>
          <w:ilvl w:val="0"/>
          <w:numId w:val="0"/>
        </w:numPr>
        <w:ind w:left="360" w:hanging="360"/>
      </w:pPr>
      <w:r w:rsidRPr="007176F0">
        <w:rPr>
          <w:b/>
          <w:bCs/>
        </w:rPr>
        <w:t>Single Profession Board</w:t>
      </w:r>
      <w:r w:rsidRPr="009E53E0">
        <w:t xml:space="preserve">: </w:t>
      </w:r>
    </w:p>
    <w:p w14:paraId="134A0749" w14:textId="4DAA4A5E" w:rsidR="0032226F" w:rsidRPr="0032226F" w:rsidRDefault="0032226F" w:rsidP="0032226F">
      <w:pPr>
        <w:pStyle w:val="ListBullet"/>
      </w:pPr>
      <w:r w:rsidRPr="0032226F">
        <w:t>Advantages</w:t>
      </w:r>
    </w:p>
    <w:p w14:paraId="361A05B8" w14:textId="49E91867" w:rsidR="0008449F" w:rsidRDefault="00F34132" w:rsidP="0008449F">
      <w:pPr>
        <w:pStyle w:val="BulletList2Column"/>
      </w:pPr>
      <w:r>
        <w:t xml:space="preserve">May provide a singular focus for the National Board to </w:t>
      </w:r>
      <w:r w:rsidR="00100311">
        <w:t xml:space="preserve">consider </w:t>
      </w:r>
      <w:r w:rsidR="00535C30">
        <w:t>and advance issues</w:t>
      </w:r>
      <w:r w:rsidR="00100311">
        <w:t xml:space="preserve"> important to the profession (e.g.,</w:t>
      </w:r>
      <w:r w:rsidR="00FD6E04">
        <w:t xml:space="preserve"> the potential for future</w:t>
      </w:r>
      <w:r w:rsidR="00C973D6">
        <w:t xml:space="preserve"> </w:t>
      </w:r>
      <w:r w:rsidR="00427130">
        <w:t>prescribing rights)</w:t>
      </w:r>
    </w:p>
    <w:p w14:paraId="500B7AB7" w14:textId="7BC77738" w:rsidR="00E95253" w:rsidRDefault="00E95253" w:rsidP="007176F0">
      <w:pPr>
        <w:pStyle w:val="BulletList2Column"/>
      </w:pPr>
      <w:r>
        <w:t xml:space="preserve">May </w:t>
      </w:r>
      <w:r w:rsidR="00342CDD">
        <w:t xml:space="preserve">simplify governance structures and operational </w:t>
      </w:r>
      <w:r w:rsidR="00FD0869">
        <w:t xml:space="preserve">processes relative to a </w:t>
      </w:r>
      <w:r w:rsidR="00BC2B41">
        <w:t>different Board structure</w:t>
      </w:r>
      <w:r w:rsidR="00E8489A">
        <w:t>.</w:t>
      </w:r>
    </w:p>
    <w:p w14:paraId="7F378A51" w14:textId="77777777" w:rsidR="0032226F" w:rsidRDefault="0032226F" w:rsidP="0032226F">
      <w:pPr>
        <w:pStyle w:val="ListBullet"/>
      </w:pPr>
      <w:r>
        <w:t>Disadvantages</w:t>
      </w:r>
    </w:p>
    <w:p w14:paraId="452F9FEB" w14:textId="0E5A01EF" w:rsidR="00891CDE" w:rsidRDefault="00891CDE" w:rsidP="00891CDE">
      <w:pPr>
        <w:pStyle w:val="BulletList2Column"/>
      </w:pPr>
      <w:r>
        <w:t>May perpetuate an inward-looking professional stance</w:t>
      </w:r>
      <w:r w:rsidR="001046F5">
        <w:t xml:space="preserve">, risking continuation of issues observed under the </w:t>
      </w:r>
      <w:r w:rsidR="00D54E96">
        <w:t>current state</w:t>
      </w:r>
    </w:p>
    <w:p w14:paraId="15E95ACC" w14:textId="2E08F17C" w:rsidR="00F7738D" w:rsidRDefault="00F7738D" w:rsidP="00F7738D">
      <w:pPr>
        <w:pStyle w:val="BulletList2Column"/>
      </w:pPr>
      <w:r>
        <w:t>May be challenging to appoint members to smaller jurisdiction State and Territory Boards</w:t>
      </w:r>
      <w:r w:rsidR="00FD3C08">
        <w:t xml:space="preserve"> </w:t>
      </w:r>
      <w:r>
        <w:t>with associated governance issues</w:t>
      </w:r>
    </w:p>
    <w:p w14:paraId="6F3A60DD" w14:textId="24B3845B" w:rsidR="007C4177" w:rsidRDefault="00672CE6" w:rsidP="007176F0">
      <w:pPr>
        <w:pStyle w:val="BulletList2Column"/>
      </w:pPr>
      <w:r>
        <w:t>Is likely to increase</w:t>
      </w:r>
      <w:r w:rsidR="00891CDE">
        <w:t xml:space="preserve"> registration costs</w:t>
      </w:r>
      <w:r w:rsidR="00404556">
        <w:t xml:space="preserve">, a noted risk given </w:t>
      </w:r>
      <w:r w:rsidR="00891CDE">
        <w:t>audiology’s small profession size.</w:t>
      </w:r>
    </w:p>
    <w:p w14:paraId="60D7F911" w14:textId="0A42547A" w:rsidR="00FF1DE0" w:rsidRDefault="003D6C2E" w:rsidP="00404556">
      <w:pPr>
        <w:pStyle w:val="ListBullet"/>
        <w:numPr>
          <w:ilvl w:val="0"/>
          <w:numId w:val="0"/>
        </w:numPr>
        <w:ind w:left="360" w:hanging="360"/>
        <w:rPr>
          <w:b/>
          <w:bCs/>
        </w:rPr>
      </w:pPr>
      <w:r w:rsidRPr="007176F0">
        <w:rPr>
          <w:b/>
          <w:bCs/>
        </w:rPr>
        <w:t xml:space="preserve">A </w:t>
      </w:r>
      <w:r w:rsidR="007374FB" w:rsidRPr="007176F0">
        <w:rPr>
          <w:b/>
          <w:bCs/>
        </w:rPr>
        <w:t>board structure with mu</w:t>
      </w:r>
      <w:r w:rsidR="009E53E0" w:rsidRPr="007176F0">
        <w:rPr>
          <w:b/>
          <w:bCs/>
        </w:rPr>
        <w:t>ltiple professions:</w:t>
      </w:r>
    </w:p>
    <w:p w14:paraId="0823C369" w14:textId="21638729" w:rsidR="00404556" w:rsidRPr="00404556" w:rsidRDefault="00404556" w:rsidP="00404556">
      <w:pPr>
        <w:pStyle w:val="ListBullet"/>
      </w:pPr>
      <w:r>
        <w:t>Advantages</w:t>
      </w:r>
    </w:p>
    <w:p w14:paraId="74D5E7A9" w14:textId="2D63B7F9" w:rsidR="009E53E0" w:rsidRDefault="009E53E0" w:rsidP="009E53E0">
      <w:pPr>
        <w:pStyle w:val="BulletList2Column"/>
      </w:pPr>
      <w:r>
        <w:t xml:space="preserve">May have improved independence </w:t>
      </w:r>
      <w:r w:rsidR="00005FCC">
        <w:t>relative to a Single Profession Board</w:t>
      </w:r>
    </w:p>
    <w:p w14:paraId="7E69B52E" w14:textId="3062CCC8" w:rsidR="00005FCC" w:rsidRDefault="00005FCC" w:rsidP="009E53E0">
      <w:pPr>
        <w:pStyle w:val="BulletList2Column"/>
      </w:pPr>
      <w:r>
        <w:t xml:space="preserve">May leverage the </w:t>
      </w:r>
      <w:r w:rsidR="00C51ABD">
        <w:t xml:space="preserve">regulatory </w:t>
      </w:r>
      <w:r>
        <w:t>experience</w:t>
      </w:r>
      <w:r w:rsidR="00357360">
        <w:t>, processes and policies in place if audiology enters with an existing profession</w:t>
      </w:r>
    </w:p>
    <w:p w14:paraId="0C3C424C" w14:textId="22B5914C" w:rsidR="00C51ABD" w:rsidRDefault="00D4726F" w:rsidP="009E53E0">
      <w:pPr>
        <w:pStyle w:val="BulletList2Column"/>
      </w:pPr>
      <w:r>
        <w:t xml:space="preserve">May leverage the experiences and insights of </w:t>
      </w:r>
      <w:r w:rsidR="001C5C0F">
        <w:t>a different profession</w:t>
      </w:r>
      <w:r w:rsidR="009B355E">
        <w:t xml:space="preserve"> if it faces </w:t>
      </w:r>
      <w:r w:rsidR="00CC35D9">
        <w:t>similar professional issues</w:t>
      </w:r>
    </w:p>
    <w:p w14:paraId="273E234C" w14:textId="6017CDBA" w:rsidR="00000B26" w:rsidRDefault="00760C6E" w:rsidP="009E53E0">
      <w:pPr>
        <w:pStyle w:val="BulletList2Column"/>
      </w:pPr>
      <w:r>
        <w:t>May have increased influence when advocating on policy issues</w:t>
      </w:r>
    </w:p>
    <w:p w14:paraId="2E0D5556" w14:textId="13F7E37A" w:rsidR="00357360" w:rsidRDefault="00260271" w:rsidP="009E53E0">
      <w:pPr>
        <w:pStyle w:val="BulletList2Column"/>
      </w:pPr>
      <w:r>
        <w:t xml:space="preserve">Is likely to lead to </w:t>
      </w:r>
      <w:r w:rsidR="006E0C6B">
        <w:t>a reduction in registration fees, relative to a Single Profession Board</w:t>
      </w:r>
    </w:p>
    <w:p w14:paraId="6E4C2F79" w14:textId="2200F088" w:rsidR="0076530E" w:rsidRDefault="0076530E" w:rsidP="0076530E">
      <w:pPr>
        <w:pStyle w:val="ListBullet"/>
      </w:pPr>
      <w:r>
        <w:t>Disadvantages</w:t>
      </w:r>
    </w:p>
    <w:p w14:paraId="68DBB883" w14:textId="7F1AB1B8" w:rsidR="004D23E3" w:rsidRDefault="004D23E3" w:rsidP="0076530E">
      <w:pPr>
        <w:pStyle w:val="BulletList2Column"/>
      </w:pPr>
      <w:r>
        <w:t xml:space="preserve">The </w:t>
      </w:r>
      <w:r w:rsidR="00731FC2">
        <w:t xml:space="preserve">only Multi-Profession Board </w:t>
      </w:r>
      <w:r w:rsidR="00D9050F">
        <w:t xml:space="preserve">operating currently is nursing and midwifery </w:t>
      </w:r>
      <w:r w:rsidR="001E0C8B">
        <w:t>(where the two professions have</w:t>
      </w:r>
      <w:r w:rsidR="00D9050F">
        <w:t xml:space="preserve"> </w:t>
      </w:r>
      <w:r w:rsidR="00560BA5">
        <w:t xml:space="preserve">a </w:t>
      </w:r>
      <w:r w:rsidR="00C63A30">
        <w:t>specific and shared history</w:t>
      </w:r>
      <w:r w:rsidR="001E0C8B">
        <w:t>)</w:t>
      </w:r>
      <w:r w:rsidR="0021507E">
        <w:t>, and this would be a</w:t>
      </w:r>
      <w:r w:rsidR="004960A1">
        <w:t xml:space="preserve"> different approach to</w:t>
      </w:r>
      <w:r w:rsidR="001E0C8B">
        <w:t xml:space="preserve"> how </w:t>
      </w:r>
      <w:r w:rsidR="00FB2F37">
        <w:t>a National Board is commonly structured.</w:t>
      </w:r>
    </w:p>
    <w:p w14:paraId="3665890F" w14:textId="7648FB40" w:rsidR="00520BAB" w:rsidRDefault="00520BAB" w:rsidP="0076530E">
      <w:pPr>
        <w:pStyle w:val="BulletList2Column"/>
      </w:pPr>
      <w:r>
        <w:t>May lead to</w:t>
      </w:r>
      <w:r w:rsidR="002216C7">
        <w:t xml:space="preserve"> ‘dilution’ of audiology focus within a larger Board</w:t>
      </w:r>
      <w:r w:rsidR="004A66D0">
        <w:t xml:space="preserve"> and corresponding </w:t>
      </w:r>
      <w:r w:rsidR="00C87E60">
        <w:t>governance concerns</w:t>
      </w:r>
      <w:r w:rsidR="007D7894">
        <w:t xml:space="preserve"> (though stakeholder feedback noted the role of Terms of References and clear voting rights to counteract </w:t>
      </w:r>
      <w:r w:rsidR="00A72683">
        <w:t xml:space="preserve">governance issues associated with </w:t>
      </w:r>
      <w:r w:rsidR="007D7894">
        <w:t>different profession sizes)</w:t>
      </w:r>
    </w:p>
    <w:p w14:paraId="0AA47AB1" w14:textId="5C4DF965" w:rsidR="007441E8" w:rsidRDefault="00421EC9" w:rsidP="0076530E">
      <w:pPr>
        <w:pStyle w:val="BulletList2Column"/>
      </w:pPr>
      <w:r>
        <w:t xml:space="preserve">May increase </w:t>
      </w:r>
      <w:r w:rsidR="00544DA2">
        <w:t xml:space="preserve">the </w:t>
      </w:r>
      <w:r w:rsidR="008B310B">
        <w:t>length of time spent debating and discussing issues</w:t>
      </w:r>
    </w:p>
    <w:p w14:paraId="266A9B47" w14:textId="12002198" w:rsidR="00421EC9" w:rsidRDefault="007441E8" w:rsidP="0076530E">
      <w:pPr>
        <w:pStyle w:val="BulletList2Column"/>
      </w:pPr>
      <w:r>
        <w:t>May reduce</w:t>
      </w:r>
      <w:r w:rsidR="008B310B">
        <w:t xml:space="preserve"> the agility of the Board to </w:t>
      </w:r>
      <w:r w:rsidR="001C3E70">
        <w:t>act quickly in response to emerging issues</w:t>
      </w:r>
      <w:r w:rsidR="00A535EC">
        <w:t xml:space="preserve"> in audiology</w:t>
      </w:r>
    </w:p>
    <w:p w14:paraId="7FEB4A48" w14:textId="7362A79C" w:rsidR="0076530E" w:rsidRDefault="000319CC" w:rsidP="007176F0">
      <w:pPr>
        <w:pStyle w:val="BulletList2Column"/>
      </w:pPr>
      <w:r>
        <w:t xml:space="preserve">May </w:t>
      </w:r>
      <w:r w:rsidR="00833731">
        <w:t xml:space="preserve">lead to governance issues regarding roles of </w:t>
      </w:r>
      <w:r w:rsidR="00C97172">
        <w:t>audiology profession</w:t>
      </w:r>
      <w:r w:rsidR="00214697">
        <w:t>-specific</w:t>
      </w:r>
      <w:r w:rsidR="00823229">
        <w:t xml:space="preserve"> sub-groups to </w:t>
      </w:r>
      <w:r w:rsidR="001227C2">
        <w:t>tak</w:t>
      </w:r>
      <w:r w:rsidR="00082DB2">
        <w:t xml:space="preserve">e on certain functions and responsibilities, including </w:t>
      </w:r>
      <w:r w:rsidR="00D503B7">
        <w:t>issues of advancing scope</w:t>
      </w:r>
      <w:r w:rsidR="00E9673A">
        <w:t xml:space="preserve"> of practice.</w:t>
      </w:r>
      <w:r w:rsidR="00082DB2">
        <w:t xml:space="preserve"> </w:t>
      </w:r>
    </w:p>
    <w:p w14:paraId="4D543B8C" w14:textId="2DF90F51" w:rsidR="00FF1DE0" w:rsidRDefault="00CD4D8D" w:rsidP="00EA2D51">
      <w:pPr>
        <w:pStyle w:val="BodyText"/>
        <w:rPr>
          <w:lang w:eastAsia="en-AU"/>
        </w:rPr>
      </w:pPr>
      <w:r>
        <w:rPr>
          <w:lang w:eastAsia="en-AU"/>
        </w:rPr>
        <w:t>Broadly, stakeholders were supportive of a board structure with multiple professions</w:t>
      </w:r>
      <w:r w:rsidR="00FE3DF8">
        <w:rPr>
          <w:lang w:eastAsia="en-AU"/>
        </w:rPr>
        <w:t xml:space="preserve">, with reduced cost cited as the most common reason for support. However, the </w:t>
      </w:r>
      <w:r w:rsidR="00C53029">
        <w:rPr>
          <w:lang w:eastAsia="en-AU"/>
        </w:rPr>
        <w:t xml:space="preserve">following limitations are noted regarding this feedback: </w:t>
      </w:r>
    </w:p>
    <w:p w14:paraId="69769BD8" w14:textId="54678A4B" w:rsidR="00E05D93" w:rsidRDefault="00B311DF" w:rsidP="00C53029">
      <w:pPr>
        <w:pStyle w:val="ListBullet"/>
      </w:pPr>
      <w:r>
        <w:t xml:space="preserve">For a National Board with </w:t>
      </w:r>
      <w:r w:rsidR="00577489">
        <w:t>T</w:t>
      </w:r>
      <w:r>
        <w:t xml:space="preserve">wo or </w:t>
      </w:r>
      <w:r w:rsidR="00577489">
        <w:t>M</w:t>
      </w:r>
      <w:r>
        <w:t xml:space="preserve">ore </w:t>
      </w:r>
      <w:r w:rsidR="00577489">
        <w:t>P</w:t>
      </w:r>
      <w:r>
        <w:t xml:space="preserve">rofessions, there is no viable candidate profession at this time to </w:t>
      </w:r>
      <w:r w:rsidR="00B9712B">
        <w:t xml:space="preserve">progress this option i.e., a profession for which an assessment against the IGA criteria and RIS process has been materially progressed. </w:t>
      </w:r>
      <w:r w:rsidR="00AB32EE">
        <w:t xml:space="preserve">Two </w:t>
      </w:r>
      <w:r w:rsidR="00E0745E">
        <w:t>potential professions include</w:t>
      </w:r>
      <w:r w:rsidR="00E05D93">
        <w:t>:</w:t>
      </w:r>
    </w:p>
    <w:p w14:paraId="1DE0F77E" w14:textId="4955F0A5" w:rsidR="00C53029" w:rsidRDefault="00E05D93" w:rsidP="00E05D93">
      <w:pPr>
        <w:pStyle w:val="BulletList2Column"/>
      </w:pPr>
      <w:r>
        <w:t>a</w:t>
      </w:r>
      <w:r w:rsidR="00E0745E">
        <w:t>udiometry</w:t>
      </w:r>
      <w:r>
        <w:t xml:space="preserve"> – there is </w:t>
      </w:r>
      <w:r w:rsidR="00001676">
        <w:t>strong (though not unanimous)</w:t>
      </w:r>
      <w:r>
        <w:t xml:space="preserve"> support for these two professions </w:t>
      </w:r>
      <w:r w:rsidR="00382415">
        <w:t xml:space="preserve">to </w:t>
      </w:r>
      <w:r w:rsidR="00FE0946">
        <w:t>be regulated under the same mechanism</w:t>
      </w:r>
    </w:p>
    <w:p w14:paraId="6DD4B1F1" w14:textId="34F49B9E" w:rsidR="004C1D7A" w:rsidRDefault="004C1D7A" w:rsidP="00E05D93">
      <w:pPr>
        <w:pStyle w:val="BulletList2Column"/>
      </w:pPr>
      <w:r>
        <w:t>speech pathology –</w:t>
      </w:r>
      <w:r w:rsidR="000D3B84">
        <w:t xml:space="preserve"> the profession has previously expressed interest in national registration and there </w:t>
      </w:r>
      <w:r w:rsidR="00DA1EA8">
        <w:t xml:space="preserve">are strong similarities </w:t>
      </w:r>
      <w:r w:rsidR="000D3B84">
        <w:t xml:space="preserve">in a focus on speech and communication issues. </w:t>
      </w:r>
    </w:p>
    <w:p w14:paraId="3A77DEDD" w14:textId="0053D934" w:rsidR="000D3B84" w:rsidRDefault="000C50B8" w:rsidP="00504C3C">
      <w:pPr>
        <w:pStyle w:val="ListBullet"/>
        <w:numPr>
          <w:ilvl w:val="0"/>
          <w:numId w:val="0"/>
        </w:numPr>
        <w:ind w:left="360"/>
      </w:pPr>
      <w:r>
        <w:t xml:space="preserve">Hence, </w:t>
      </w:r>
      <w:r w:rsidR="006E574A">
        <w:t xml:space="preserve">if either of these two </w:t>
      </w:r>
      <w:r w:rsidR="00892B4A">
        <w:t xml:space="preserve">professions were to </w:t>
      </w:r>
      <w:r w:rsidR="00DB0401">
        <w:t xml:space="preserve">have Decision RIS’ undertaken in the short-term to assess viability of regulation under the National Scheme, it is recommended that public </w:t>
      </w:r>
      <w:r w:rsidR="001A0F94">
        <w:t>consultation and analysis is undertaken explicitly</w:t>
      </w:r>
      <w:r w:rsidR="00FB56CF">
        <w:t xml:space="preserve"> at the RIS phase</w:t>
      </w:r>
      <w:r w:rsidR="001A0F94">
        <w:t xml:space="preserve"> to assess stakeholder views and costs associated with a National Bo</w:t>
      </w:r>
      <w:r w:rsidR="00BD5231">
        <w:t xml:space="preserve">ard </w:t>
      </w:r>
      <w:r w:rsidR="001A0AB9">
        <w:t xml:space="preserve">for </w:t>
      </w:r>
      <w:r w:rsidR="004B58AB">
        <w:t>a combined board</w:t>
      </w:r>
      <w:r w:rsidR="00171D70">
        <w:t xml:space="preserve"> with audiology</w:t>
      </w:r>
      <w:r w:rsidR="001A0AB9">
        <w:t>.</w:t>
      </w:r>
      <w:r w:rsidR="008F50A4">
        <w:t xml:space="preserve"> It is recognised that this process would considerably lengthen the implementation timeframes for audiology to enter the National Scheme.</w:t>
      </w:r>
    </w:p>
    <w:p w14:paraId="5D54E757" w14:textId="110F6998" w:rsidR="00D43BED" w:rsidRDefault="001A0AB9" w:rsidP="001A0AB9">
      <w:pPr>
        <w:pStyle w:val="ListBullet"/>
      </w:pPr>
      <w:r>
        <w:t xml:space="preserve">For a Multi-Profession National Board, </w:t>
      </w:r>
      <w:r w:rsidR="00F12E2A">
        <w:t>public consultation has not been conducted with existing</w:t>
      </w:r>
      <w:r w:rsidR="003275CF">
        <w:t xml:space="preserve"> registered</w:t>
      </w:r>
      <w:r w:rsidR="00F12E2A">
        <w:t xml:space="preserve"> professions</w:t>
      </w:r>
      <w:r w:rsidR="003275CF">
        <w:t xml:space="preserve"> (and their respective National Boards)</w:t>
      </w:r>
      <w:r w:rsidR="00F12E2A">
        <w:t xml:space="preserve"> to </w:t>
      </w:r>
      <w:r w:rsidR="003275CF">
        <w:t xml:space="preserve">canvass support for </w:t>
      </w:r>
      <w:r w:rsidR="00D43BED">
        <w:t>creating a Multi-Profession Board. Potential professions include:</w:t>
      </w:r>
    </w:p>
    <w:p w14:paraId="34E68EDE" w14:textId="19AD4D05" w:rsidR="001A0AB9" w:rsidRDefault="00D43BED" w:rsidP="00D43BED">
      <w:pPr>
        <w:pStyle w:val="BulletList2Column"/>
      </w:pPr>
      <w:r>
        <w:t xml:space="preserve">optometry due to the </w:t>
      </w:r>
      <w:r w:rsidR="0015168D">
        <w:t xml:space="preserve">focus on care </w:t>
      </w:r>
      <w:r w:rsidR="00EC2231">
        <w:t xml:space="preserve">in commercial environments </w:t>
      </w:r>
    </w:p>
    <w:p w14:paraId="6C076409" w14:textId="470AA443" w:rsidR="00A100C2" w:rsidRDefault="00116112" w:rsidP="007176F0">
      <w:pPr>
        <w:pStyle w:val="BulletList2Column"/>
      </w:pPr>
      <w:r>
        <w:t>allied health disciplines e.g., physiotherapy</w:t>
      </w:r>
      <w:r w:rsidR="00586196">
        <w:t xml:space="preserve"> and </w:t>
      </w:r>
      <w:r>
        <w:t>occupational therapy</w:t>
      </w:r>
      <w:r w:rsidR="0022433A">
        <w:t>.</w:t>
      </w:r>
    </w:p>
    <w:p w14:paraId="172AC45C" w14:textId="148EB21E" w:rsidR="00586196" w:rsidRDefault="008F50A4" w:rsidP="0022433A">
      <w:pPr>
        <w:pStyle w:val="ListBullet"/>
        <w:numPr>
          <w:ilvl w:val="0"/>
          <w:numId w:val="0"/>
        </w:numPr>
        <w:ind w:left="360"/>
      </w:pPr>
      <w:r>
        <w:t>Similar to above, this process would lengthen the implementation timeframes for audiology to enter the National Scheme.</w:t>
      </w:r>
    </w:p>
    <w:p w14:paraId="6CF5D071" w14:textId="56078EFD" w:rsidR="00347F92" w:rsidRDefault="001A1A60" w:rsidP="007176F0">
      <w:pPr>
        <w:pStyle w:val="Heading3"/>
      </w:pPr>
      <w:bookmarkStart w:id="347" w:name="_Toc191573792"/>
      <w:bookmarkStart w:id="348" w:name="_Toc191573793"/>
      <w:bookmarkStart w:id="349" w:name="_Toc191573794"/>
      <w:bookmarkStart w:id="350" w:name="_Toc191573795"/>
      <w:bookmarkStart w:id="351" w:name="_Toc191573796"/>
      <w:bookmarkStart w:id="352" w:name="_Toc191573797"/>
      <w:bookmarkStart w:id="353" w:name="_Toc191573798"/>
      <w:bookmarkStart w:id="354" w:name="_Toc191573799"/>
      <w:bookmarkStart w:id="355" w:name="_Toc198138661"/>
      <w:bookmarkEnd w:id="347"/>
      <w:bookmarkEnd w:id="348"/>
      <w:bookmarkEnd w:id="349"/>
      <w:bookmarkEnd w:id="350"/>
      <w:bookmarkEnd w:id="351"/>
      <w:bookmarkEnd w:id="352"/>
      <w:bookmarkEnd w:id="353"/>
      <w:bookmarkEnd w:id="354"/>
      <w:r>
        <w:t xml:space="preserve">Changes to </w:t>
      </w:r>
      <w:r w:rsidR="00861FEB">
        <w:t xml:space="preserve">legislation </w:t>
      </w:r>
      <w:r w:rsidR="00E731F2">
        <w:t>and scheme requirements regarding employment and funding eligibility</w:t>
      </w:r>
      <w:bookmarkEnd w:id="355"/>
    </w:p>
    <w:p w14:paraId="2D4A621C" w14:textId="77777777" w:rsidR="00347F92" w:rsidRDefault="00347F92" w:rsidP="00347F92">
      <w:pPr>
        <w:pStyle w:val="BodyText"/>
      </w:pPr>
      <w:r>
        <w:t>The following legislation and scheme requirements that define funding eligibility for major service delivery programs would need to be reviewed, and updated if policy-makers made a decision to replace references to PPB membership and/or current clinical certification for audiologists with registration:</w:t>
      </w:r>
    </w:p>
    <w:p w14:paraId="19A284BF" w14:textId="77777777" w:rsidR="00347F92" w:rsidRPr="00DA7FE9" w:rsidRDefault="00347F92" w:rsidP="00347F92">
      <w:pPr>
        <w:pStyle w:val="ListBullet"/>
        <w:rPr>
          <w:i/>
          <w:iCs/>
        </w:rPr>
      </w:pPr>
      <w:r w:rsidRPr="00DA7FE9">
        <w:rPr>
          <w:i/>
          <w:iCs/>
        </w:rPr>
        <w:t>Hearing Services Program (Voucher) Instrument 2019</w:t>
      </w:r>
    </w:p>
    <w:p w14:paraId="0ACB4C30" w14:textId="77777777" w:rsidR="00347F92" w:rsidRPr="00DA7FE9" w:rsidRDefault="00347F92" w:rsidP="00347F92">
      <w:pPr>
        <w:pStyle w:val="ListBullet"/>
        <w:rPr>
          <w:i/>
          <w:iCs/>
        </w:rPr>
      </w:pPr>
      <w:r w:rsidRPr="00DA7FE9">
        <w:rPr>
          <w:i/>
          <w:iCs/>
        </w:rPr>
        <w:t>Health Insurance (Section 3C General Medical Services – Allied Health Services) Determination 2024</w:t>
      </w:r>
    </w:p>
    <w:p w14:paraId="343674C7" w14:textId="77777777" w:rsidR="00347F92" w:rsidRPr="00C8306E" w:rsidRDefault="00347F92" w:rsidP="00347F92">
      <w:pPr>
        <w:pStyle w:val="ListBullet"/>
      </w:pPr>
      <w:r>
        <w:t>NDIS Practice Standards Verification Module – Required Documentation</w:t>
      </w:r>
    </w:p>
    <w:p w14:paraId="282AB7A2" w14:textId="77777777" w:rsidR="00347F92" w:rsidRPr="00C8306E" w:rsidRDefault="00347F92" w:rsidP="00347F92">
      <w:pPr>
        <w:pStyle w:val="ListBullet"/>
      </w:pPr>
      <w:r>
        <w:t>Jurisdictional public sector employment standards</w:t>
      </w:r>
    </w:p>
    <w:p w14:paraId="4159A7D0" w14:textId="7875FD46" w:rsidR="00347F92" w:rsidRPr="0043269A" w:rsidRDefault="00347F92" w:rsidP="007176F0">
      <w:pPr>
        <w:pStyle w:val="ListBullet"/>
      </w:pPr>
      <w:r>
        <w:t>Jurisdictional worker compensation scheme provider requirements</w:t>
      </w:r>
      <w:r w:rsidRPr="00CD5A8C">
        <w:t xml:space="preserve">. </w:t>
      </w:r>
    </w:p>
    <w:p w14:paraId="59B2907D" w14:textId="77777777" w:rsidR="005347E6" w:rsidRPr="00BB3F67" w:rsidRDefault="005347E6" w:rsidP="005347E6">
      <w:pPr>
        <w:pStyle w:val="Heading3"/>
      </w:pPr>
      <w:bookmarkStart w:id="356" w:name="_Ref191623143"/>
      <w:bookmarkStart w:id="357" w:name="_Toc198138662"/>
      <w:bookmarkStart w:id="358" w:name="_Ref172732683"/>
      <w:r>
        <w:t>Stakeholder communication</w:t>
      </w:r>
      <w:bookmarkEnd w:id="356"/>
      <w:bookmarkEnd w:id="357"/>
      <w:r>
        <w:t xml:space="preserve"> </w:t>
      </w:r>
    </w:p>
    <w:p w14:paraId="7AACA06E" w14:textId="54454C46" w:rsidR="003A213B" w:rsidRDefault="00152903" w:rsidP="005347E6">
      <w:pPr>
        <w:pStyle w:val="BodyText"/>
        <w:rPr>
          <w:lang w:eastAsia="en-AU"/>
        </w:rPr>
      </w:pPr>
      <w:r>
        <w:rPr>
          <w:lang w:eastAsia="en-AU"/>
        </w:rPr>
        <w:t>The</w:t>
      </w:r>
      <w:r w:rsidR="009876E8">
        <w:rPr>
          <w:lang w:eastAsia="en-AU"/>
        </w:rPr>
        <w:t xml:space="preserve"> foll</w:t>
      </w:r>
      <w:r w:rsidR="00BA05F0">
        <w:rPr>
          <w:lang w:eastAsia="en-AU"/>
        </w:rPr>
        <w:t xml:space="preserve">owing </w:t>
      </w:r>
      <w:r w:rsidR="00CA6BBF">
        <w:rPr>
          <w:lang w:eastAsia="en-AU"/>
        </w:rPr>
        <w:t xml:space="preserve">stakeholder communication preferences </w:t>
      </w:r>
      <w:r>
        <w:rPr>
          <w:lang w:eastAsia="en-AU"/>
        </w:rPr>
        <w:t>for implementation</w:t>
      </w:r>
      <w:r w:rsidR="00CA6BBF">
        <w:rPr>
          <w:lang w:eastAsia="en-AU"/>
        </w:rPr>
        <w:t xml:space="preserve"> are provided from consultation feedback:</w:t>
      </w:r>
    </w:p>
    <w:p w14:paraId="0B4CD8A4" w14:textId="76FBECF9" w:rsidR="00CA6BBF" w:rsidRDefault="003A6AA5" w:rsidP="003F2F05">
      <w:pPr>
        <w:pStyle w:val="ListBullet"/>
      </w:pPr>
      <w:r>
        <w:t>S</w:t>
      </w:r>
      <w:r w:rsidR="00A5237E">
        <w:t xml:space="preserve">everal stakeholders requested </w:t>
      </w:r>
      <w:r w:rsidR="00237735">
        <w:t xml:space="preserve">transparent communication around the final decision and it’s </w:t>
      </w:r>
      <w:r w:rsidR="00153565">
        <w:t xml:space="preserve">reasoning, as well as the ability for stakeholders to </w:t>
      </w:r>
      <w:r w:rsidR="000632E4">
        <w:t>ask questions directl</w:t>
      </w:r>
      <w:r w:rsidR="00003208">
        <w:t>y regarding the decision.</w:t>
      </w:r>
    </w:p>
    <w:p w14:paraId="4A7A9591" w14:textId="3434D7A7" w:rsidR="005C6984" w:rsidRDefault="00C72F91" w:rsidP="003F2F05">
      <w:pPr>
        <w:pStyle w:val="ListBullet"/>
      </w:pPr>
      <w:r>
        <w:t xml:space="preserve">Given that the largest users of </w:t>
      </w:r>
      <w:r w:rsidR="00C65908">
        <w:t xml:space="preserve">audiology </w:t>
      </w:r>
      <w:r>
        <w:t>services are paediatric and elderly cohorts, c</w:t>
      </w:r>
      <w:r w:rsidR="00CA1F1E">
        <w:t xml:space="preserve">ommunication to </w:t>
      </w:r>
      <w:r w:rsidR="00DC56C9">
        <w:t xml:space="preserve">the </w:t>
      </w:r>
      <w:r w:rsidR="00C65908">
        <w:t xml:space="preserve">public will need to focus on methods of engagement </w:t>
      </w:r>
      <w:r w:rsidR="00272E02">
        <w:t xml:space="preserve">that are most likely to </w:t>
      </w:r>
      <w:r w:rsidR="00B73929">
        <w:t xml:space="preserve">reach </w:t>
      </w:r>
      <w:r w:rsidR="002E743A">
        <w:t xml:space="preserve">these people directly, </w:t>
      </w:r>
      <w:r w:rsidR="00D13345">
        <w:t>as well as their families</w:t>
      </w:r>
      <w:r w:rsidR="00112AA5">
        <w:t xml:space="preserve"> and/or caregivers. </w:t>
      </w:r>
      <w:r w:rsidR="00A5463D">
        <w:t xml:space="preserve">Further to this, </w:t>
      </w:r>
      <w:r w:rsidR="001D4874">
        <w:t>accessible</w:t>
      </w:r>
      <w:r w:rsidR="00A5463D">
        <w:t xml:space="preserve"> </w:t>
      </w:r>
      <w:r w:rsidR="00807277">
        <w:t xml:space="preserve">communication methods </w:t>
      </w:r>
      <w:r w:rsidR="00080971">
        <w:t>ar</w:t>
      </w:r>
      <w:r w:rsidR="00296263">
        <w:t>e critical</w:t>
      </w:r>
      <w:r w:rsidR="00351C99">
        <w:t xml:space="preserve">, </w:t>
      </w:r>
      <w:r w:rsidR="00FF37A1">
        <w:t>and as</w:t>
      </w:r>
      <w:r w:rsidR="002C7F16">
        <w:t xml:space="preserve"> such consumer groups that focus on </w:t>
      </w:r>
      <w:r w:rsidR="00A60ADC">
        <w:t xml:space="preserve">deafness and hard of hearing issues should be considered as a </w:t>
      </w:r>
      <w:r w:rsidR="00137C5A">
        <w:t>potential partner in a stakeholder engagement strategy.</w:t>
      </w:r>
    </w:p>
    <w:p w14:paraId="588BFC78" w14:textId="59229261" w:rsidR="007B18AE" w:rsidRDefault="000A1809" w:rsidP="003F2F05">
      <w:pPr>
        <w:pStyle w:val="ListBullet"/>
      </w:pPr>
      <w:r>
        <w:t xml:space="preserve">For </w:t>
      </w:r>
      <w:r w:rsidR="00D040EA">
        <w:t>working members of the profession</w:t>
      </w:r>
      <w:r w:rsidR="00D747E0">
        <w:t xml:space="preserve"> who may be time-poor</w:t>
      </w:r>
      <w:r w:rsidR="00D040EA">
        <w:t xml:space="preserve">, </w:t>
      </w:r>
      <w:r w:rsidR="00D747E0" w:rsidRPr="00F36C67">
        <w:t>there was a preference for either written communication or recordings that could be watched at a time of convenience</w:t>
      </w:r>
      <w:r w:rsidR="006E3F8A">
        <w:t xml:space="preserve">. </w:t>
      </w:r>
      <w:r w:rsidR="00574D8F">
        <w:t xml:space="preserve">Roundtable discussions (potentially </w:t>
      </w:r>
      <w:r w:rsidR="006B78EC">
        <w:t xml:space="preserve">in an online format) could also be used </w:t>
      </w:r>
      <w:r w:rsidR="003F69F4">
        <w:t xml:space="preserve">if </w:t>
      </w:r>
      <w:r w:rsidR="002522AF">
        <w:t>certain topics benefitted from</w:t>
      </w:r>
      <w:r w:rsidR="00B42753">
        <w:t xml:space="preserve"> </w:t>
      </w:r>
      <w:r w:rsidR="0036694E">
        <w:t xml:space="preserve">audiologists </w:t>
      </w:r>
      <w:r w:rsidR="002522AF">
        <w:t xml:space="preserve">being able to </w:t>
      </w:r>
      <w:r w:rsidR="008842B7">
        <w:t>talk</w:t>
      </w:r>
      <w:r w:rsidR="0087223D">
        <w:t xml:space="preserve"> in a group-based format</w:t>
      </w:r>
      <w:r w:rsidR="002522AF">
        <w:t xml:space="preserve"> and listen to each other’s questions, concerns and views.</w:t>
      </w:r>
    </w:p>
    <w:p w14:paraId="764AF6E1" w14:textId="34A9CCA0" w:rsidR="005C5793" w:rsidRDefault="005C5793" w:rsidP="005347E6">
      <w:pPr>
        <w:pStyle w:val="ListBullet"/>
      </w:pPr>
      <w:r>
        <w:t>For employers</w:t>
      </w:r>
      <w:r w:rsidR="00FE57EE">
        <w:t xml:space="preserve">, </w:t>
      </w:r>
      <w:r>
        <w:t>organisations that contract services</w:t>
      </w:r>
      <w:r w:rsidR="00FE57EE">
        <w:t xml:space="preserve"> and insurers</w:t>
      </w:r>
      <w:r>
        <w:t xml:space="preserve">, plain </w:t>
      </w:r>
      <w:r w:rsidR="001028D4">
        <w:t xml:space="preserve">advice </w:t>
      </w:r>
      <w:r w:rsidR="00FE57EE">
        <w:t xml:space="preserve">was requested on </w:t>
      </w:r>
      <w:r w:rsidR="00DD5247">
        <w:t xml:space="preserve">the new </w:t>
      </w:r>
      <w:r w:rsidR="00A36BA5">
        <w:t>registration standards as well as operational matters (e.g., what</w:t>
      </w:r>
      <w:r w:rsidR="007065C5">
        <w:t xml:space="preserve"> an employer needs to do if an employee has not registered by the Go-Live date).</w:t>
      </w:r>
    </w:p>
    <w:p w14:paraId="797BE104" w14:textId="687A8C2B" w:rsidR="007D0205" w:rsidRDefault="007D0205" w:rsidP="005347E6">
      <w:pPr>
        <w:pStyle w:val="ListBullet"/>
      </w:pPr>
      <w:r>
        <w:t xml:space="preserve">For </w:t>
      </w:r>
      <w:r w:rsidR="003E334B">
        <w:t xml:space="preserve">the academic sector, </w:t>
      </w:r>
      <w:r w:rsidR="00F375BC">
        <w:t xml:space="preserve">there is an existing </w:t>
      </w:r>
      <w:r w:rsidR="00FE0F04">
        <w:t xml:space="preserve">audiology </w:t>
      </w:r>
      <w:r w:rsidR="00F375BC">
        <w:t xml:space="preserve">Council of Deans </w:t>
      </w:r>
      <w:r w:rsidR="00452ECE">
        <w:t>which has</w:t>
      </w:r>
      <w:r w:rsidR="00536FA6">
        <w:t xml:space="preserve"> representatives </w:t>
      </w:r>
      <w:r w:rsidR="00290522">
        <w:t xml:space="preserve">from all seven audiology Masters programs. </w:t>
      </w:r>
      <w:r w:rsidR="000D1C76">
        <w:t xml:space="preserve">For this sector, ongoing communication will be required </w:t>
      </w:r>
      <w:r w:rsidR="00B574A6">
        <w:t>in relation to</w:t>
      </w:r>
      <w:r w:rsidR="000D1C76">
        <w:t>:</w:t>
      </w:r>
    </w:p>
    <w:p w14:paraId="09EF78D0" w14:textId="6F03A550" w:rsidR="000D1C76" w:rsidRDefault="0086686A" w:rsidP="00EB0D55">
      <w:pPr>
        <w:pStyle w:val="BulletList2Column"/>
      </w:pPr>
      <w:r>
        <w:t>any</w:t>
      </w:r>
      <w:r w:rsidR="00FD43A3">
        <w:t xml:space="preserve"> transfer of accreditation processes from Audiology Australia to </w:t>
      </w:r>
      <w:r>
        <w:t>a</w:t>
      </w:r>
      <w:r w:rsidR="00645AE6">
        <w:t xml:space="preserve"> </w:t>
      </w:r>
      <w:r>
        <w:t>new</w:t>
      </w:r>
      <w:r w:rsidR="00645AE6">
        <w:t xml:space="preserve"> accreditation authority</w:t>
      </w:r>
    </w:p>
    <w:p w14:paraId="20724ADE" w14:textId="46C6D92D" w:rsidR="00645AE6" w:rsidRDefault="00A43677" w:rsidP="00EB0D55">
      <w:pPr>
        <w:pStyle w:val="BulletList2Column"/>
      </w:pPr>
      <w:r>
        <w:t>any changes to p</w:t>
      </w:r>
      <w:r w:rsidR="00155D66">
        <w:t xml:space="preserve">rogram curricula which need to be managed </w:t>
      </w:r>
      <w:r w:rsidR="006F4C5F">
        <w:t>within agreed timeframes</w:t>
      </w:r>
    </w:p>
    <w:p w14:paraId="37372B74" w14:textId="5D5DB6E0" w:rsidR="00155D66" w:rsidRDefault="00B66F3E" w:rsidP="00EB0D55">
      <w:pPr>
        <w:pStyle w:val="BulletList2Column"/>
      </w:pPr>
      <w:r>
        <w:t xml:space="preserve">any changes to clinical placement requirements </w:t>
      </w:r>
      <w:r w:rsidR="000F4EEE">
        <w:t xml:space="preserve">which need to be managed within </w:t>
      </w:r>
      <w:r w:rsidR="006F4C5F">
        <w:t>agreed timeframes</w:t>
      </w:r>
      <w:r w:rsidR="00113E4E">
        <w:t xml:space="preserve">, and </w:t>
      </w:r>
      <w:r w:rsidR="00B77F1D">
        <w:t>with the collaboration of clinical placement partner organisations</w:t>
      </w:r>
    </w:p>
    <w:p w14:paraId="6E54321F" w14:textId="1F869FE7" w:rsidR="00B77F1D" w:rsidRDefault="0015266C" w:rsidP="00EB0D55">
      <w:pPr>
        <w:pStyle w:val="BulletList2Column"/>
      </w:pPr>
      <w:r>
        <w:t xml:space="preserve">any changes to the process of </w:t>
      </w:r>
      <w:r w:rsidR="00DB7FAC">
        <w:t>Masters graduates entering clinical inter</w:t>
      </w:r>
      <w:r w:rsidR="00016CD1">
        <w:t xml:space="preserve">nships </w:t>
      </w:r>
      <w:r w:rsidR="006F4C5F">
        <w:t>is managed within agreed timeframes.</w:t>
      </w:r>
    </w:p>
    <w:p w14:paraId="2474086B" w14:textId="0DEBD8AA" w:rsidR="00D24889" w:rsidRDefault="0018659A" w:rsidP="007176F0">
      <w:pPr>
        <w:pStyle w:val="ListBullet"/>
        <w:numPr>
          <w:ilvl w:val="0"/>
          <w:numId w:val="0"/>
        </w:numPr>
      </w:pPr>
      <w:r>
        <w:t xml:space="preserve">Multiple stakeholders </w:t>
      </w:r>
      <w:r w:rsidR="00FD3602">
        <w:t xml:space="preserve">raised the </w:t>
      </w:r>
      <w:r w:rsidR="00B2034F">
        <w:t xml:space="preserve">issue that paramedicine was practised primarily in the public sector, and </w:t>
      </w:r>
      <w:r w:rsidR="0081666D">
        <w:t xml:space="preserve">as such any entry of audiology into the National Scheme may require a more intensive communication strategy to </w:t>
      </w:r>
      <w:r w:rsidR="003B0DC8">
        <w:t>effectively communicate to a primarily private-sector profession. However, other stakeholders</w:t>
      </w:r>
      <w:r w:rsidR="007E4528">
        <w:t xml:space="preserve"> noted </w:t>
      </w:r>
      <w:r w:rsidR="005347E6" w:rsidRPr="00F36C67">
        <w:t xml:space="preserve">enabling factors for efficient communication (e.g., through </w:t>
      </w:r>
      <w:r w:rsidR="00EE7FC6">
        <w:t xml:space="preserve">PPBs, </w:t>
      </w:r>
      <w:r w:rsidR="005347E6" w:rsidRPr="00F36C67">
        <w:t xml:space="preserve">large </w:t>
      </w:r>
      <w:r w:rsidR="000B60BE">
        <w:t>employers</w:t>
      </w:r>
      <w:r w:rsidR="005347E6" w:rsidRPr="00F36C67">
        <w:t xml:space="preserve"> such as Hearing Australia</w:t>
      </w:r>
      <w:r w:rsidR="00D622DC">
        <w:t xml:space="preserve"> and </w:t>
      </w:r>
      <w:r w:rsidR="00D747E0">
        <w:t>large market schemes such as the Hearing Services Program</w:t>
      </w:r>
      <w:r w:rsidR="005347E6" w:rsidRPr="00F36C67">
        <w:t>)</w:t>
      </w:r>
      <w:r w:rsidR="000C2C77">
        <w:t>.</w:t>
      </w:r>
    </w:p>
    <w:p w14:paraId="297AD723" w14:textId="77777777" w:rsidR="007C49E4" w:rsidRDefault="007C49E4" w:rsidP="00DD6E7F">
      <w:pPr>
        <w:pStyle w:val="Heading3"/>
      </w:pPr>
      <w:bookmarkStart w:id="359" w:name="_Toc191573802"/>
      <w:bookmarkStart w:id="360" w:name="_Toc191573803"/>
      <w:bookmarkStart w:id="361" w:name="_Toc191573804"/>
      <w:bookmarkStart w:id="362" w:name="_Toc191573805"/>
      <w:bookmarkStart w:id="363" w:name="_Toc191573806"/>
      <w:bookmarkStart w:id="364" w:name="_Toc191573807"/>
      <w:bookmarkStart w:id="365" w:name="_Toc191573808"/>
      <w:bookmarkStart w:id="366" w:name="_Toc191573809"/>
      <w:bookmarkStart w:id="367" w:name="_Toc191573810"/>
      <w:bookmarkStart w:id="368" w:name="_Toc191573811"/>
      <w:bookmarkStart w:id="369" w:name="_Toc191573812"/>
      <w:bookmarkStart w:id="370" w:name="_Toc191573813"/>
      <w:bookmarkStart w:id="371" w:name="_Toc191573814"/>
      <w:bookmarkStart w:id="372" w:name="_Toc191573815"/>
      <w:bookmarkStart w:id="373" w:name="_Toc191573816"/>
      <w:bookmarkStart w:id="374" w:name="_Toc191573817"/>
      <w:bookmarkStart w:id="375" w:name="_Toc191573818"/>
      <w:bookmarkStart w:id="376" w:name="_Ref172805562"/>
      <w:bookmarkStart w:id="377" w:name="_Toc198138663"/>
      <w:bookmarkStart w:id="378" w:name="_Toc171324807"/>
      <w:bookmarkEnd w:id="344"/>
      <w:bookmarkEnd w:id="34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Implementation risks</w:t>
      </w:r>
      <w:bookmarkEnd w:id="376"/>
      <w:bookmarkEnd w:id="377"/>
    </w:p>
    <w:p w14:paraId="16D3B88A" w14:textId="77777777" w:rsidR="00E02471" w:rsidRDefault="00E02471" w:rsidP="00E02471">
      <w:pPr>
        <w:pStyle w:val="BodyText"/>
        <w:rPr>
          <w:lang w:eastAsia="en-AU"/>
        </w:rPr>
      </w:pPr>
      <w:r>
        <w:rPr>
          <w:lang w:eastAsia="en-AU"/>
        </w:rPr>
        <w:t xml:space="preserve">As per </w:t>
      </w:r>
      <w:r w:rsidRPr="007176F0">
        <w:rPr>
          <w:lang w:eastAsia="en-AU"/>
        </w:rPr>
        <w:t>HMM’s requested scope</w:t>
      </w:r>
      <w:r>
        <w:rPr>
          <w:lang w:eastAsia="en-AU"/>
        </w:rPr>
        <w:t xml:space="preserve"> for additional consultation</w:t>
      </w:r>
      <w:r w:rsidRPr="00B778DF">
        <w:rPr>
          <w:lang w:eastAsia="en-AU"/>
        </w:rPr>
        <w:t>,</w:t>
      </w:r>
      <w:r>
        <w:rPr>
          <w:lang w:eastAsia="en-AU"/>
        </w:rPr>
        <w:t xml:space="preserve"> </w:t>
      </w:r>
      <w:r w:rsidRPr="007176F0">
        <w:rPr>
          <w:i/>
          <w:iCs/>
          <w:lang w:eastAsia="en-AU"/>
        </w:rPr>
        <w:t>Consultation Paper 2</w:t>
      </w:r>
      <w:r>
        <w:rPr>
          <w:lang w:eastAsia="en-AU"/>
        </w:rPr>
        <w:t xml:space="preserve"> and subsequent stakeholder engagement discussed potential risks and mitigation strategies. From this process:</w:t>
      </w:r>
    </w:p>
    <w:p w14:paraId="535B4D17" w14:textId="77777777" w:rsidR="00E02471" w:rsidRDefault="00E02471" w:rsidP="00E02471">
      <w:pPr>
        <w:pStyle w:val="ListBullet"/>
      </w:pPr>
      <w:r>
        <w:t>the likelihood and materiality ratings of certain risks have been revised, due to:</w:t>
      </w:r>
    </w:p>
    <w:p w14:paraId="70A945B7" w14:textId="77777777" w:rsidR="00E02471" w:rsidRDefault="00E02471" w:rsidP="00E02471">
      <w:pPr>
        <w:pStyle w:val="BulletList2Column"/>
      </w:pPr>
      <w:r>
        <w:t>qualitative stakeholder feedback which is considered to represent the best evidence available at this time</w:t>
      </w:r>
    </w:p>
    <w:p w14:paraId="28E47FEF" w14:textId="77777777" w:rsidR="00E02471" w:rsidRDefault="00E02471" w:rsidP="00E02471">
      <w:pPr>
        <w:pStyle w:val="BulletList2Column"/>
      </w:pPr>
      <w:r>
        <w:t>stakeholder feedback which is able to be supported and sourced with additional evidence</w:t>
      </w:r>
    </w:p>
    <w:p w14:paraId="610CB071" w14:textId="77777777" w:rsidR="00E02471" w:rsidRDefault="00E02471" w:rsidP="00E02471">
      <w:pPr>
        <w:pStyle w:val="ListBullet"/>
      </w:pPr>
      <w:r>
        <w:t>certain risks have been condensed or separated for clarity</w:t>
      </w:r>
    </w:p>
    <w:p w14:paraId="3ED9B6DE" w14:textId="77777777" w:rsidR="00E02471" w:rsidRDefault="00E02471" w:rsidP="00E02471">
      <w:pPr>
        <w:pStyle w:val="ListBullet"/>
      </w:pPr>
      <w:r>
        <w:t xml:space="preserve">new risks have been added. </w:t>
      </w:r>
    </w:p>
    <w:p w14:paraId="51E640C7" w14:textId="483AE713" w:rsidR="00E30224" w:rsidRDefault="00E30224" w:rsidP="00E02471">
      <w:pPr>
        <w:pStyle w:val="BodyText"/>
        <w:rPr>
          <w:lang w:eastAsia="en-AU"/>
        </w:rPr>
      </w:pPr>
      <w:r>
        <w:rPr>
          <w:lang w:eastAsia="en-AU"/>
        </w:rPr>
        <w:t xml:space="preserve">A summary table of risks is provided in </w:t>
      </w:r>
      <w:r w:rsidR="006B7786">
        <w:rPr>
          <w:lang w:eastAsia="en-AU"/>
        </w:rPr>
        <w:fldChar w:fldCharType="begin"/>
      </w:r>
      <w:r w:rsidR="006B7786">
        <w:rPr>
          <w:lang w:eastAsia="en-AU"/>
        </w:rPr>
        <w:instrText xml:space="preserve"> REF _Ref196817060 \h </w:instrText>
      </w:r>
      <w:r w:rsidR="006B7786">
        <w:rPr>
          <w:lang w:eastAsia="en-AU"/>
        </w:rPr>
      </w:r>
      <w:r w:rsidR="006B7786">
        <w:rPr>
          <w:lang w:eastAsia="en-AU"/>
        </w:rPr>
        <w:fldChar w:fldCharType="separate"/>
      </w:r>
      <w:r w:rsidR="00F32107">
        <w:t xml:space="preserve">Table </w:t>
      </w:r>
      <w:r w:rsidR="00F32107">
        <w:rPr>
          <w:noProof/>
        </w:rPr>
        <w:t>9</w:t>
      </w:r>
      <w:r w:rsidR="00F32107">
        <w:t>.</w:t>
      </w:r>
      <w:r w:rsidR="00F32107">
        <w:rPr>
          <w:noProof/>
        </w:rPr>
        <w:t>1</w:t>
      </w:r>
      <w:r w:rsidR="006B7786">
        <w:rPr>
          <w:lang w:eastAsia="en-AU"/>
        </w:rPr>
        <w:fldChar w:fldCharType="end"/>
      </w:r>
    </w:p>
    <w:p w14:paraId="3E64C1D5" w14:textId="4DBCA9C6" w:rsidR="006B7786" w:rsidRDefault="006B7786" w:rsidP="0007458C">
      <w:pPr>
        <w:pStyle w:val="Caption"/>
        <w:keepNext/>
      </w:pPr>
      <w:bookmarkStart w:id="379" w:name="_Ref196817060"/>
      <w:r>
        <w:t xml:space="preserve">Table </w:t>
      </w:r>
      <w:fldSimple w:instr=" STYLEREF 1 \s ">
        <w:r w:rsidR="00F32107">
          <w:rPr>
            <w:noProof/>
          </w:rPr>
          <w:t>9</w:t>
        </w:r>
      </w:fldSimple>
      <w:r w:rsidR="008944FB">
        <w:t>.</w:t>
      </w:r>
      <w:fldSimple w:instr=" SEQ Table \* ARABIC \s 1 ">
        <w:r w:rsidR="00F32107">
          <w:rPr>
            <w:noProof/>
          </w:rPr>
          <w:t>1</w:t>
        </w:r>
      </w:fldSimple>
      <w:bookmarkEnd w:id="379"/>
      <w:r>
        <w:t xml:space="preserve"> Implementation risks</w:t>
      </w:r>
    </w:p>
    <w:tbl>
      <w:tblPr>
        <w:tblStyle w:val="BodyTable"/>
        <w:tblW w:w="8783" w:type="dxa"/>
        <w:tblLayout w:type="fixed"/>
        <w:tblLook w:val="04A0" w:firstRow="1" w:lastRow="0" w:firstColumn="1" w:lastColumn="0" w:noHBand="0" w:noVBand="1"/>
      </w:tblPr>
      <w:tblGrid>
        <w:gridCol w:w="567"/>
        <w:gridCol w:w="5529"/>
        <w:gridCol w:w="1275"/>
        <w:gridCol w:w="1412"/>
      </w:tblGrid>
      <w:tr w:rsidR="008D35F5" w:rsidRPr="00466057" w14:paraId="5EA45DB4" w14:textId="77777777" w:rsidTr="0007458C">
        <w:trPr>
          <w:cnfStyle w:val="100000000000" w:firstRow="1" w:lastRow="0" w:firstColumn="0" w:lastColumn="0" w:oddVBand="0" w:evenVBand="0" w:oddHBand="0" w:evenHBand="0" w:firstRowFirstColumn="0" w:firstRowLastColumn="0" w:lastRowFirstColumn="0" w:lastRowLastColumn="0"/>
          <w:trHeight w:val="284"/>
        </w:trPr>
        <w:tc>
          <w:tcPr>
            <w:tcW w:w="567" w:type="dxa"/>
          </w:tcPr>
          <w:p w14:paraId="69C5EE0F" w14:textId="65B2537D" w:rsidR="008D35F5" w:rsidRPr="00683AFF" w:rsidRDefault="008D35F5">
            <w:pPr>
              <w:keepNext/>
              <w:spacing w:line="240" w:lineRule="auto"/>
              <w:rPr>
                <w:b/>
              </w:rPr>
            </w:pPr>
            <w:r>
              <w:rPr>
                <w:b/>
              </w:rPr>
              <w:t>No.</w:t>
            </w:r>
          </w:p>
        </w:tc>
        <w:tc>
          <w:tcPr>
            <w:tcW w:w="5529" w:type="dxa"/>
            <w:noWrap/>
          </w:tcPr>
          <w:p w14:paraId="694AA311" w14:textId="03279281" w:rsidR="008D35F5" w:rsidRPr="00683AFF" w:rsidRDefault="008D35F5">
            <w:pPr>
              <w:keepNext/>
              <w:spacing w:line="240" w:lineRule="auto"/>
              <w:rPr>
                <w:b/>
              </w:rPr>
            </w:pPr>
            <w:r>
              <w:rPr>
                <w:b/>
              </w:rPr>
              <w:t>Description</w:t>
            </w:r>
          </w:p>
        </w:tc>
        <w:tc>
          <w:tcPr>
            <w:tcW w:w="1275" w:type="dxa"/>
            <w:noWrap/>
          </w:tcPr>
          <w:p w14:paraId="1FFBE31D" w14:textId="030443A9" w:rsidR="008D35F5" w:rsidRPr="00466057" w:rsidRDefault="008D35F5">
            <w:pPr>
              <w:keepNext/>
              <w:spacing w:line="240" w:lineRule="auto"/>
              <w:jc w:val="right"/>
              <w:rPr>
                <w:rFonts w:eastAsia="Times New Roman" w:cs="Calibri Light"/>
                <w:color w:val="000000"/>
                <w:szCs w:val="20"/>
                <w:lang w:eastAsia="en-AU"/>
              </w:rPr>
            </w:pPr>
            <w:r>
              <w:rPr>
                <w:b/>
                <w:bCs/>
              </w:rPr>
              <w:t>Likelihood</w:t>
            </w:r>
          </w:p>
        </w:tc>
        <w:tc>
          <w:tcPr>
            <w:tcW w:w="1412" w:type="dxa"/>
          </w:tcPr>
          <w:p w14:paraId="69FB0965" w14:textId="647DD023" w:rsidR="008D35F5" w:rsidRPr="006A1D83" w:rsidRDefault="008D35F5">
            <w:pPr>
              <w:keepNext/>
              <w:spacing w:line="240" w:lineRule="auto"/>
              <w:ind w:left="113" w:right="113"/>
              <w:jc w:val="right"/>
              <w:rPr>
                <w:b/>
              </w:rPr>
            </w:pPr>
            <w:r>
              <w:rPr>
                <w:b/>
                <w:bCs/>
              </w:rPr>
              <w:t>Consequence</w:t>
            </w:r>
          </w:p>
        </w:tc>
      </w:tr>
      <w:tr w:rsidR="002A77E7" w:rsidRPr="00466057" w14:paraId="042EC4BD" w14:textId="77777777" w:rsidTr="005C1A5E">
        <w:trPr>
          <w:trHeight w:val="284"/>
        </w:trPr>
        <w:tc>
          <w:tcPr>
            <w:tcW w:w="567" w:type="dxa"/>
            <w:shd w:val="clear" w:color="auto" w:fill="FFFFFF" w:themeFill="background1"/>
          </w:tcPr>
          <w:p w14:paraId="62AB9F73" w14:textId="340BD9EE" w:rsidR="002A77E7" w:rsidRPr="0007458C" w:rsidRDefault="002A77E7" w:rsidP="002A77E7">
            <w:pPr>
              <w:spacing w:line="240" w:lineRule="auto"/>
              <w:rPr>
                <w:sz w:val="15"/>
                <w:szCs w:val="15"/>
              </w:rPr>
            </w:pPr>
            <w:r w:rsidRPr="0007458C">
              <w:rPr>
                <w:color w:val="3A3E3E" w:themeColor="background2" w:themeShade="40"/>
                <w:sz w:val="15"/>
                <w:szCs w:val="15"/>
              </w:rPr>
              <w:t>1</w:t>
            </w:r>
          </w:p>
        </w:tc>
        <w:tc>
          <w:tcPr>
            <w:tcW w:w="5529" w:type="dxa"/>
            <w:shd w:val="clear" w:color="auto" w:fill="FFFFFF" w:themeFill="background1"/>
            <w:noWrap/>
          </w:tcPr>
          <w:p w14:paraId="6D10EF8B" w14:textId="45B44F42" w:rsidR="002A77E7" w:rsidRPr="0007458C" w:rsidRDefault="002A77E7" w:rsidP="002A77E7">
            <w:pPr>
              <w:spacing w:line="240" w:lineRule="auto"/>
              <w:rPr>
                <w:sz w:val="15"/>
                <w:szCs w:val="15"/>
              </w:rPr>
            </w:pPr>
            <w:r w:rsidRPr="0007458C">
              <w:rPr>
                <w:color w:val="3A3E3E" w:themeColor="background2" w:themeShade="40"/>
                <w:sz w:val="15"/>
                <w:szCs w:val="15"/>
              </w:rPr>
              <w:t>Increased ongoing regulatory costs lead to workforce substitution of audiologists for audiometrists in private sector adult rehabilitation</w:t>
            </w:r>
          </w:p>
        </w:tc>
        <w:tc>
          <w:tcPr>
            <w:tcW w:w="1275" w:type="dxa"/>
            <w:shd w:val="clear" w:color="auto" w:fill="FFFFFF" w:themeFill="background1"/>
            <w:noWrap/>
          </w:tcPr>
          <w:p w14:paraId="3DC28F7F" w14:textId="315181FA"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shd w:val="clear" w:color="auto" w:fill="FFFFFF" w:themeFill="background1"/>
          </w:tcPr>
          <w:p w14:paraId="6C07D978" w14:textId="1EF415FC" w:rsidR="002A77E7" w:rsidRPr="0007458C" w:rsidRDefault="002A77E7" w:rsidP="002A77E7">
            <w:pPr>
              <w:spacing w:line="240" w:lineRule="auto"/>
              <w:jc w:val="right"/>
              <w:rPr>
                <w:sz w:val="15"/>
                <w:szCs w:val="15"/>
              </w:rPr>
            </w:pPr>
            <w:r w:rsidRPr="0007458C">
              <w:rPr>
                <w:color w:val="3A3E3E" w:themeColor="background2" w:themeShade="40"/>
                <w:sz w:val="15"/>
                <w:szCs w:val="15"/>
              </w:rPr>
              <w:t>Major</w:t>
            </w:r>
          </w:p>
        </w:tc>
      </w:tr>
      <w:tr w:rsidR="002A77E7" w:rsidRPr="00466057" w14:paraId="59A2ACAA" w14:textId="77777777" w:rsidTr="005C1A5E">
        <w:trPr>
          <w:trHeight w:val="284"/>
        </w:trPr>
        <w:tc>
          <w:tcPr>
            <w:tcW w:w="567" w:type="dxa"/>
            <w:shd w:val="clear" w:color="auto" w:fill="FFFFFF" w:themeFill="background1"/>
          </w:tcPr>
          <w:p w14:paraId="113E28C1" w14:textId="14FC26F0" w:rsidR="002A77E7" w:rsidRPr="0007458C" w:rsidRDefault="002A77E7" w:rsidP="002A77E7">
            <w:pPr>
              <w:spacing w:line="240" w:lineRule="auto"/>
              <w:rPr>
                <w:sz w:val="15"/>
                <w:szCs w:val="15"/>
              </w:rPr>
            </w:pPr>
            <w:r w:rsidRPr="0007458C">
              <w:rPr>
                <w:color w:val="3A3E3E" w:themeColor="background2" w:themeShade="40"/>
                <w:sz w:val="15"/>
                <w:szCs w:val="15"/>
              </w:rPr>
              <w:t>2</w:t>
            </w:r>
          </w:p>
        </w:tc>
        <w:tc>
          <w:tcPr>
            <w:tcW w:w="5529" w:type="dxa"/>
            <w:shd w:val="clear" w:color="auto" w:fill="FFFFFF" w:themeFill="background1"/>
            <w:noWrap/>
          </w:tcPr>
          <w:p w14:paraId="18AE4065" w14:textId="286E761E" w:rsidR="002A77E7" w:rsidRPr="0007458C" w:rsidRDefault="002A77E7" w:rsidP="002A77E7">
            <w:pPr>
              <w:spacing w:line="240" w:lineRule="auto"/>
              <w:rPr>
                <w:sz w:val="15"/>
                <w:szCs w:val="15"/>
              </w:rPr>
            </w:pPr>
            <w:r w:rsidRPr="0007458C">
              <w:rPr>
                <w:color w:val="3A3E3E" w:themeColor="background2" w:themeShade="40"/>
                <w:sz w:val="15"/>
                <w:szCs w:val="15"/>
              </w:rPr>
              <w:t>Ongoing professional tension between audiologists and audiometrists working in private sector adult rehabilitation leads to reduced consumer confidence in audiometrist services</w:t>
            </w:r>
          </w:p>
        </w:tc>
        <w:tc>
          <w:tcPr>
            <w:tcW w:w="1275" w:type="dxa"/>
            <w:shd w:val="clear" w:color="auto" w:fill="FFFFFF" w:themeFill="background1"/>
            <w:noWrap/>
          </w:tcPr>
          <w:p w14:paraId="6FE912B8" w14:textId="30B627D4"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shd w:val="clear" w:color="auto" w:fill="FFFFFF" w:themeFill="background1"/>
          </w:tcPr>
          <w:p w14:paraId="5B80073E" w14:textId="5722BC11" w:rsidR="002A77E7" w:rsidRPr="0007458C" w:rsidRDefault="002A77E7" w:rsidP="002A77E7">
            <w:pPr>
              <w:spacing w:line="240" w:lineRule="auto"/>
              <w:jc w:val="right"/>
              <w:rPr>
                <w:sz w:val="15"/>
                <w:szCs w:val="15"/>
              </w:rPr>
            </w:pPr>
            <w:r w:rsidRPr="0007458C">
              <w:rPr>
                <w:color w:val="3A3E3E" w:themeColor="background2" w:themeShade="40"/>
                <w:sz w:val="15"/>
                <w:szCs w:val="15"/>
              </w:rPr>
              <w:t>Major</w:t>
            </w:r>
          </w:p>
        </w:tc>
      </w:tr>
      <w:tr w:rsidR="002A77E7" w:rsidRPr="00466057" w14:paraId="71953178" w14:textId="77777777" w:rsidTr="005C1A5E">
        <w:trPr>
          <w:trHeight w:val="284"/>
        </w:trPr>
        <w:tc>
          <w:tcPr>
            <w:tcW w:w="567" w:type="dxa"/>
            <w:shd w:val="clear" w:color="auto" w:fill="FFFFFF" w:themeFill="background1"/>
          </w:tcPr>
          <w:p w14:paraId="50C6D91D" w14:textId="6A95C006" w:rsidR="002A77E7" w:rsidRPr="0007458C" w:rsidRDefault="002A77E7" w:rsidP="002A77E7">
            <w:pPr>
              <w:spacing w:line="240" w:lineRule="auto"/>
              <w:rPr>
                <w:sz w:val="15"/>
                <w:szCs w:val="15"/>
              </w:rPr>
            </w:pPr>
            <w:r w:rsidRPr="0007458C">
              <w:rPr>
                <w:color w:val="3A3E3E" w:themeColor="background2" w:themeShade="40"/>
                <w:sz w:val="15"/>
                <w:szCs w:val="15"/>
              </w:rPr>
              <w:t>3</w:t>
            </w:r>
          </w:p>
        </w:tc>
        <w:tc>
          <w:tcPr>
            <w:tcW w:w="5529" w:type="dxa"/>
            <w:shd w:val="clear" w:color="auto" w:fill="FFFFFF" w:themeFill="background1"/>
            <w:noWrap/>
          </w:tcPr>
          <w:p w14:paraId="778401D4" w14:textId="6B955937" w:rsidR="002A77E7" w:rsidRPr="0007458C" w:rsidRDefault="002A77E7" w:rsidP="002A77E7">
            <w:pPr>
              <w:spacing w:line="240" w:lineRule="auto"/>
              <w:rPr>
                <w:sz w:val="15"/>
                <w:szCs w:val="15"/>
              </w:rPr>
            </w:pPr>
            <w:r w:rsidRPr="0007458C">
              <w:rPr>
                <w:color w:val="3A3E3E" w:themeColor="background2" w:themeShade="40"/>
                <w:sz w:val="15"/>
                <w:szCs w:val="15"/>
              </w:rPr>
              <w:t xml:space="preserve">Increased ongoing regulatory costs lead to price increases for </w:t>
            </w:r>
            <w:r w:rsidR="00663553">
              <w:rPr>
                <w:color w:val="3A3E3E" w:themeColor="background2" w:themeShade="40"/>
                <w:sz w:val="15"/>
                <w:szCs w:val="15"/>
              </w:rPr>
              <w:t>patients</w:t>
            </w:r>
          </w:p>
        </w:tc>
        <w:tc>
          <w:tcPr>
            <w:tcW w:w="1275" w:type="dxa"/>
            <w:shd w:val="clear" w:color="auto" w:fill="FFFFFF" w:themeFill="background1"/>
            <w:noWrap/>
          </w:tcPr>
          <w:p w14:paraId="1E47091F" w14:textId="7C359F91" w:rsidR="002A77E7" w:rsidRPr="0007458C" w:rsidRDefault="002A77E7" w:rsidP="002A77E7">
            <w:pPr>
              <w:spacing w:line="240" w:lineRule="auto"/>
              <w:jc w:val="right"/>
              <w:rPr>
                <w:sz w:val="15"/>
                <w:szCs w:val="15"/>
              </w:rPr>
            </w:pPr>
            <w:r w:rsidRPr="0007458C">
              <w:rPr>
                <w:color w:val="3A3E3E" w:themeColor="background2" w:themeShade="40"/>
                <w:sz w:val="15"/>
                <w:szCs w:val="15"/>
              </w:rPr>
              <w:t>Possible-Likely</w:t>
            </w:r>
          </w:p>
        </w:tc>
        <w:tc>
          <w:tcPr>
            <w:tcW w:w="1412" w:type="dxa"/>
            <w:shd w:val="clear" w:color="auto" w:fill="FFFFFF" w:themeFill="background1"/>
          </w:tcPr>
          <w:p w14:paraId="26359B57" w14:textId="30376B99" w:rsidR="002A77E7" w:rsidRPr="0007458C" w:rsidRDefault="002A77E7" w:rsidP="002A77E7">
            <w:pPr>
              <w:spacing w:line="240" w:lineRule="auto"/>
              <w:jc w:val="right"/>
              <w:rPr>
                <w:sz w:val="15"/>
                <w:szCs w:val="15"/>
              </w:rPr>
            </w:pPr>
            <w:r w:rsidRPr="0007458C">
              <w:rPr>
                <w:color w:val="3A3E3E" w:themeColor="background2" w:themeShade="40"/>
                <w:sz w:val="15"/>
                <w:szCs w:val="15"/>
              </w:rPr>
              <w:t>Minor</w:t>
            </w:r>
          </w:p>
        </w:tc>
      </w:tr>
      <w:tr w:rsidR="00CE4624" w:rsidRPr="00466057" w14:paraId="271E4AF7" w14:textId="77777777" w:rsidTr="00CE4624">
        <w:trPr>
          <w:trHeight w:val="284"/>
        </w:trPr>
        <w:tc>
          <w:tcPr>
            <w:tcW w:w="567" w:type="dxa"/>
          </w:tcPr>
          <w:p w14:paraId="0397B2C5" w14:textId="5927920A" w:rsidR="002A77E7" w:rsidRPr="0007458C" w:rsidRDefault="002A77E7" w:rsidP="002A77E7">
            <w:pPr>
              <w:spacing w:line="240" w:lineRule="auto"/>
              <w:rPr>
                <w:sz w:val="15"/>
                <w:szCs w:val="15"/>
              </w:rPr>
            </w:pPr>
            <w:r w:rsidRPr="0007458C">
              <w:rPr>
                <w:color w:val="3A3E3E" w:themeColor="background2" w:themeShade="40"/>
                <w:sz w:val="15"/>
                <w:szCs w:val="15"/>
              </w:rPr>
              <w:t>4</w:t>
            </w:r>
          </w:p>
        </w:tc>
        <w:tc>
          <w:tcPr>
            <w:tcW w:w="5529" w:type="dxa"/>
            <w:noWrap/>
          </w:tcPr>
          <w:p w14:paraId="6DB1F1E0" w14:textId="5E1A7215" w:rsidR="002A77E7" w:rsidRPr="0007458C" w:rsidRDefault="002A77E7" w:rsidP="002A77E7">
            <w:pPr>
              <w:spacing w:line="240" w:lineRule="auto"/>
              <w:rPr>
                <w:sz w:val="15"/>
                <w:szCs w:val="15"/>
              </w:rPr>
            </w:pPr>
            <w:r w:rsidRPr="0007458C">
              <w:rPr>
                <w:color w:val="3A3E3E" w:themeColor="background2" w:themeShade="40"/>
                <w:sz w:val="15"/>
                <w:szCs w:val="15"/>
              </w:rPr>
              <w:t>Increased ongoing regulatory costs lead to withdrawal of services</w:t>
            </w:r>
          </w:p>
        </w:tc>
        <w:tc>
          <w:tcPr>
            <w:tcW w:w="1275" w:type="dxa"/>
            <w:noWrap/>
          </w:tcPr>
          <w:p w14:paraId="5E99150F" w14:textId="37977169" w:rsidR="002A77E7" w:rsidRPr="0007458C" w:rsidRDefault="002A77E7" w:rsidP="002A77E7">
            <w:pPr>
              <w:spacing w:line="240" w:lineRule="auto"/>
              <w:jc w:val="right"/>
              <w:rPr>
                <w:sz w:val="15"/>
                <w:szCs w:val="15"/>
              </w:rPr>
            </w:pPr>
            <w:r w:rsidRPr="0007458C">
              <w:rPr>
                <w:color w:val="3A3E3E" w:themeColor="background2" w:themeShade="40"/>
                <w:sz w:val="15"/>
                <w:szCs w:val="15"/>
              </w:rPr>
              <w:t>Unlikely</w:t>
            </w:r>
          </w:p>
        </w:tc>
        <w:tc>
          <w:tcPr>
            <w:tcW w:w="1412" w:type="dxa"/>
          </w:tcPr>
          <w:p w14:paraId="31C9D5DD" w14:textId="47E6A48F" w:rsidR="002A77E7" w:rsidRPr="0007458C" w:rsidRDefault="002A77E7" w:rsidP="002A77E7">
            <w:pPr>
              <w:spacing w:line="240" w:lineRule="auto"/>
              <w:jc w:val="right"/>
              <w:rPr>
                <w:sz w:val="15"/>
                <w:szCs w:val="15"/>
              </w:rPr>
            </w:pPr>
            <w:r w:rsidRPr="0007458C">
              <w:rPr>
                <w:color w:val="3A3E3E" w:themeColor="background2" w:themeShade="40"/>
                <w:sz w:val="15"/>
                <w:szCs w:val="15"/>
              </w:rPr>
              <w:t>Major</w:t>
            </w:r>
          </w:p>
        </w:tc>
      </w:tr>
      <w:tr w:rsidR="00CE4624" w:rsidRPr="00466057" w14:paraId="33CF10BC" w14:textId="77777777" w:rsidTr="0007458C">
        <w:trPr>
          <w:trHeight w:val="284"/>
        </w:trPr>
        <w:tc>
          <w:tcPr>
            <w:tcW w:w="0" w:type="dxa"/>
          </w:tcPr>
          <w:p w14:paraId="53755D35" w14:textId="7643CC80" w:rsidR="002A77E7" w:rsidRPr="0007458C" w:rsidRDefault="002A77E7" w:rsidP="002A77E7">
            <w:pPr>
              <w:spacing w:line="240" w:lineRule="auto"/>
              <w:rPr>
                <w:sz w:val="15"/>
                <w:szCs w:val="15"/>
              </w:rPr>
            </w:pPr>
            <w:r w:rsidRPr="0007458C">
              <w:rPr>
                <w:color w:val="3A3E3E" w:themeColor="background2" w:themeShade="40"/>
                <w:sz w:val="15"/>
                <w:szCs w:val="15"/>
              </w:rPr>
              <w:t>5</w:t>
            </w:r>
          </w:p>
        </w:tc>
        <w:tc>
          <w:tcPr>
            <w:tcW w:w="5529" w:type="dxa"/>
            <w:noWrap/>
          </w:tcPr>
          <w:p w14:paraId="5885A613" w14:textId="22094070" w:rsidR="002A77E7" w:rsidRPr="0007458C" w:rsidRDefault="002A77E7" w:rsidP="002A77E7">
            <w:pPr>
              <w:spacing w:line="240" w:lineRule="auto"/>
              <w:rPr>
                <w:sz w:val="15"/>
                <w:szCs w:val="15"/>
              </w:rPr>
            </w:pPr>
            <w:r w:rsidRPr="0007458C">
              <w:rPr>
                <w:color w:val="3A3E3E" w:themeColor="background2" w:themeShade="40"/>
                <w:sz w:val="15"/>
                <w:szCs w:val="15"/>
              </w:rPr>
              <w:t>Loss of PPB revenue leads to reduction in profession-level goods</w:t>
            </w:r>
          </w:p>
        </w:tc>
        <w:tc>
          <w:tcPr>
            <w:tcW w:w="1275" w:type="dxa"/>
            <w:noWrap/>
          </w:tcPr>
          <w:p w14:paraId="1A410F5B" w14:textId="57F9DEEE"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tcPr>
          <w:p w14:paraId="4CF6D17A" w14:textId="27EA2CED" w:rsidR="002A77E7" w:rsidRPr="0007458C" w:rsidRDefault="002A77E7" w:rsidP="002A77E7">
            <w:pPr>
              <w:spacing w:line="240" w:lineRule="auto"/>
              <w:jc w:val="right"/>
              <w:rPr>
                <w:sz w:val="15"/>
                <w:szCs w:val="15"/>
              </w:rPr>
            </w:pPr>
            <w:r w:rsidRPr="0007458C">
              <w:rPr>
                <w:color w:val="3A3E3E" w:themeColor="background2" w:themeShade="40"/>
                <w:sz w:val="15"/>
                <w:szCs w:val="15"/>
              </w:rPr>
              <w:t>Moderate-Major</w:t>
            </w:r>
          </w:p>
        </w:tc>
      </w:tr>
      <w:tr w:rsidR="00CE4624" w:rsidRPr="00466057" w14:paraId="252BBB26" w14:textId="77777777" w:rsidTr="0007458C">
        <w:trPr>
          <w:trHeight w:val="284"/>
        </w:trPr>
        <w:tc>
          <w:tcPr>
            <w:tcW w:w="0" w:type="dxa"/>
          </w:tcPr>
          <w:p w14:paraId="6B2AF41C" w14:textId="5DCA391E" w:rsidR="002A77E7" w:rsidRPr="0007458C" w:rsidRDefault="002A77E7" w:rsidP="002A77E7">
            <w:pPr>
              <w:spacing w:line="240" w:lineRule="auto"/>
              <w:rPr>
                <w:sz w:val="15"/>
                <w:szCs w:val="15"/>
              </w:rPr>
            </w:pPr>
            <w:r w:rsidRPr="0007458C">
              <w:rPr>
                <w:color w:val="3A3E3E" w:themeColor="background2" w:themeShade="40"/>
                <w:sz w:val="15"/>
                <w:szCs w:val="15"/>
              </w:rPr>
              <w:t>6</w:t>
            </w:r>
          </w:p>
        </w:tc>
        <w:tc>
          <w:tcPr>
            <w:tcW w:w="5529" w:type="dxa"/>
            <w:noWrap/>
          </w:tcPr>
          <w:p w14:paraId="69E3C31E" w14:textId="31FE1681" w:rsidR="002A77E7" w:rsidRPr="0007458C" w:rsidRDefault="002A77E7" w:rsidP="002A77E7">
            <w:pPr>
              <w:spacing w:line="240" w:lineRule="auto"/>
              <w:rPr>
                <w:sz w:val="15"/>
                <w:szCs w:val="15"/>
              </w:rPr>
            </w:pPr>
            <w:r w:rsidRPr="0007458C">
              <w:rPr>
                <w:color w:val="3A3E3E" w:themeColor="background2" w:themeShade="40"/>
                <w:sz w:val="15"/>
                <w:szCs w:val="15"/>
              </w:rPr>
              <w:t>Lack of profession buy-in for preferred option leads to reduced collaboration and goodwill in the implementation phase</w:t>
            </w:r>
          </w:p>
        </w:tc>
        <w:tc>
          <w:tcPr>
            <w:tcW w:w="1275" w:type="dxa"/>
            <w:noWrap/>
          </w:tcPr>
          <w:p w14:paraId="61C133EF" w14:textId="7BB22E33"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tcPr>
          <w:p w14:paraId="4BF23017" w14:textId="7DA34479" w:rsidR="002A77E7" w:rsidRPr="0007458C" w:rsidRDefault="002A77E7" w:rsidP="002A77E7">
            <w:pPr>
              <w:spacing w:line="240" w:lineRule="auto"/>
              <w:jc w:val="right"/>
              <w:rPr>
                <w:sz w:val="15"/>
                <w:szCs w:val="15"/>
              </w:rPr>
            </w:pPr>
            <w:r w:rsidRPr="0007458C">
              <w:rPr>
                <w:color w:val="3A3E3E" w:themeColor="background2" w:themeShade="40"/>
                <w:sz w:val="15"/>
                <w:szCs w:val="15"/>
              </w:rPr>
              <w:t>Minor</w:t>
            </w:r>
          </w:p>
        </w:tc>
      </w:tr>
      <w:tr w:rsidR="00CE4624" w:rsidRPr="00466057" w14:paraId="2A81376B" w14:textId="77777777" w:rsidTr="0007458C">
        <w:trPr>
          <w:trHeight w:val="284"/>
        </w:trPr>
        <w:tc>
          <w:tcPr>
            <w:tcW w:w="0" w:type="dxa"/>
          </w:tcPr>
          <w:p w14:paraId="05043222" w14:textId="7B86D029" w:rsidR="002A77E7" w:rsidRPr="0007458C" w:rsidRDefault="002A77E7" w:rsidP="002A77E7">
            <w:pPr>
              <w:spacing w:line="240" w:lineRule="auto"/>
              <w:rPr>
                <w:sz w:val="15"/>
                <w:szCs w:val="15"/>
              </w:rPr>
            </w:pPr>
            <w:r w:rsidRPr="0007458C">
              <w:rPr>
                <w:color w:val="3A3E3E" w:themeColor="background2" w:themeShade="40"/>
                <w:sz w:val="15"/>
                <w:szCs w:val="15"/>
              </w:rPr>
              <w:t>7</w:t>
            </w:r>
          </w:p>
        </w:tc>
        <w:tc>
          <w:tcPr>
            <w:tcW w:w="5529" w:type="dxa"/>
            <w:noWrap/>
          </w:tcPr>
          <w:p w14:paraId="0D03FB3A" w14:textId="7DECBEFC" w:rsidR="002A77E7" w:rsidRPr="0007458C" w:rsidRDefault="002A77E7" w:rsidP="002A77E7">
            <w:pPr>
              <w:spacing w:line="240" w:lineRule="auto"/>
              <w:rPr>
                <w:sz w:val="15"/>
                <w:szCs w:val="15"/>
              </w:rPr>
            </w:pPr>
            <w:r w:rsidRPr="0007458C">
              <w:rPr>
                <w:color w:val="3A3E3E" w:themeColor="background2" w:themeShade="40"/>
                <w:sz w:val="15"/>
                <w:szCs w:val="15"/>
              </w:rPr>
              <w:t>Reduced flexibility to handle low-risk complaints leads to poorer outcomes for complainants and audiologists</w:t>
            </w:r>
          </w:p>
        </w:tc>
        <w:tc>
          <w:tcPr>
            <w:tcW w:w="1275" w:type="dxa"/>
            <w:noWrap/>
          </w:tcPr>
          <w:p w14:paraId="6CC98E60" w14:textId="7E67C0C1"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tcPr>
          <w:p w14:paraId="0B67DC75" w14:textId="6D5AAC03" w:rsidR="002A77E7" w:rsidRPr="0007458C" w:rsidRDefault="002A77E7" w:rsidP="002A77E7">
            <w:pPr>
              <w:spacing w:line="240" w:lineRule="auto"/>
              <w:jc w:val="right"/>
              <w:rPr>
                <w:sz w:val="15"/>
                <w:szCs w:val="15"/>
              </w:rPr>
            </w:pPr>
            <w:r w:rsidRPr="0007458C">
              <w:rPr>
                <w:color w:val="3A3E3E" w:themeColor="background2" w:themeShade="40"/>
                <w:sz w:val="15"/>
                <w:szCs w:val="15"/>
              </w:rPr>
              <w:t>Moderate</w:t>
            </w:r>
          </w:p>
        </w:tc>
      </w:tr>
      <w:tr w:rsidR="00CE4624" w:rsidRPr="00466057" w14:paraId="0E2D5892" w14:textId="77777777" w:rsidTr="0007458C">
        <w:trPr>
          <w:trHeight w:val="284"/>
        </w:trPr>
        <w:tc>
          <w:tcPr>
            <w:tcW w:w="0" w:type="dxa"/>
          </w:tcPr>
          <w:p w14:paraId="0DBCAC3C" w14:textId="4A85F1B1" w:rsidR="002A77E7" w:rsidRPr="0007458C" w:rsidRDefault="002A77E7" w:rsidP="002A77E7">
            <w:pPr>
              <w:spacing w:line="240" w:lineRule="auto"/>
              <w:rPr>
                <w:sz w:val="15"/>
                <w:szCs w:val="15"/>
              </w:rPr>
            </w:pPr>
            <w:r w:rsidRPr="0007458C">
              <w:rPr>
                <w:color w:val="3A3E3E" w:themeColor="background2" w:themeShade="40"/>
                <w:sz w:val="15"/>
                <w:szCs w:val="15"/>
              </w:rPr>
              <w:t>8</w:t>
            </w:r>
          </w:p>
        </w:tc>
        <w:tc>
          <w:tcPr>
            <w:tcW w:w="5529" w:type="dxa"/>
            <w:noWrap/>
          </w:tcPr>
          <w:p w14:paraId="1A2842EE" w14:textId="0F95DDDC" w:rsidR="002A77E7" w:rsidRPr="0007458C" w:rsidRDefault="002A77E7" w:rsidP="002A77E7">
            <w:pPr>
              <w:spacing w:line="240" w:lineRule="auto"/>
              <w:rPr>
                <w:sz w:val="15"/>
                <w:szCs w:val="15"/>
              </w:rPr>
            </w:pPr>
            <w:r w:rsidRPr="0007458C">
              <w:rPr>
                <w:color w:val="3A3E3E" w:themeColor="background2" w:themeShade="40"/>
                <w:sz w:val="15"/>
                <w:szCs w:val="15"/>
              </w:rPr>
              <w:t>Professional policy work is diverted away from other system priorities</w:t>
            </w:r>
          </w:p>
        </w:tc>
        <w:tc>
          <w:tcPr>
            <w:tcW w:w="1275" w:type="dxa"/>
            <w:noWrap/>
          </w:tcPr>
          <w:p w14:paraId="159C62BB" w14:textId="036CEA23"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tcPr>
          <w:p w14:paraId="2B84513D" w14:textId="045EF073" w:rsidR="002A77E7" w:rsidRPr="0007458C" w:rsidRDefault="002A77E7" w:rsidP="002A77E7">
            <w:pPr>
              <w:spacing w:line="240" w:lineRule="auto"/>
              <w:jc w:val="right"/>
              <w:rPr>
                <w:sz w:val="15"/>
                <w:szCs w:val="15"/>
              </w:rPr>
            </w:pPr>
            <w:r w:rsidRPr="0007458C">
              <w:rPr>
                <w:color w:val="3A3E3E" w:themeColor="background2" w:themeShade="40"/>
                <w:sz w:val="15"/>
                <w:szCs w:val="15"/>
              </w:rPr>
              <w:t>Minor</w:t>
            </w:r>
          </w:p>
        </w:tc>
      </w:tr>
      <w:tr w:rsidR="00CE4624" w:rsidRPr="00466057" w14:paraId="1BB987F5" w14:textId="77777777" w:rsidTr="0007458C">
        <w:trPr>
          <w:trHeight w:val="284"/>
        </w:trPr>
        <w:tc>
          <w:tcPr>
            <w:tcW w:w="0" w:type="dxa"/>
          </w:tcPr>
          <w:p w14:paraId="1343D7A3" w14:textId="493B13F0" w:rsidR="002A77E7" w:rsidRPr="0007458C" w:rsidRDefault="002A77E7" w:rsidP="002A77E7">
            <w:pPr>
              <w:spacing w:line="240" w:lineRule="auto"/>
              <w:rPr>
                <w:sz w:val="15"/>
                <w:szCs w:val="15"/>
              </w:rPr>
            </w:pPr>
            <w:r w:rsidRPr="0007458C">
              <w:rPr>
                <w:color w:val="3A3E3E" w:themeColor="background2" w:themeShade="40"/>
                <w:sz w:val="15"/>
                <w:szCs w:val="15"/>
              </w:rPr>
              <w:t>9</w:t>
            </w:r>
          </w:p>
        </w:tc>
        <w:tc>
          <w:tcPr>
            <w:tcW w:w="5529" w:type="dxa"/>
            <w:noWrap/>
          </w:tcPr>
          <w:p w14:paraId="2CB43386" w14:textId="7A78C5CF" w:rsidR="002A77E7" w:rsidRPr="0007458C" w:rsidRDefault="002A77E7" w:rsidP="002A77E7">
            <w:pPr>
              <w:spacing w:line="240" w:lineRule="auto"/>
              <w:rPr>
                <w:sz w:val="15"/>
                <w:szCs w:val="15"/>
              </w:rPr>
            </w:pPr>
            <w:r w:rsidRPr="0007458C">
              <w:rPr>
                <w:color w:val="3A3E3E" w:themeColor="background2" w:themeShade="40"/>
                <w:sz w:val="15"/>
                <w:szCs w:val="15"/>
              </w:rPr>
              <w:t>Ongoing public sector costs associated with industrial relations impact of registration</w:t>
            </w:r>
          </w:p>
        </w:tc>
        <w:tc>
          <w:tcPr>
            <w:tcW w:w="1275" w:type="dxa"/>
            <w:noWrap/>
          </w:tcPr>
          <w:p w14:paraId="18297512" w14:textId="06499E6C" w:rsidR="002A77E7" w:rsidRPr="0007458C" w:rsidRDefault="002A77E7" w:rsidP="002A77E7">
            <w:pPr>
              <w:spacing w:line="240" w:lineRule="auto"/>
              <w:jc w:val="right"/>
              <w:rPr>
                <w:sz w:val="15"/>
                <w:szCs w:val="15"/>
              </w:rPr>
            </w:pPr>
            <w:r w:rsidRPr="0007458C">
              <w:rPr>
                <w:color w:val="3A3E3E" w:themeColor="background2" w:themeShade="40"/>
                <w:sz w:val="15"/>
                <w:szCs w:val="15"/>
              </w:rPr>
              <w:t>Possible</w:t>
            </w:r>
          </w:p>
        </w:tc>
        <w:tc>
          <w:tcPr>
            <w:tcW w:w="1412" w:type="dxa"/>
          </w:tcPr>
          <w:p w14:paraId="097D01C5" w14:textId="514F5167" w:rsidR="002A77E7" w:rsidRPr="0007458C" w:rsidRDefault="002A77E7" w:rsidP="002A77E7">
            <w:pPr>
              <w:spacing w:line="240" w:lineRule="auto"/>
              <w:jc w:val="right"/>
              <w:rPr>
                <w:sz w:val="15"/>
                <w:szCs w:val="15"/>
              </w:rPr>
            </w:pPr>
            <w:r w:rsidRPr="0007458C">
              <w:rPr>
                <w:color w:val="3A3E3E" w:themeColor="background2" w:themeShade="40"/>
                <w:sz w:val="15"/>
                <w:szCs w:val="15"/>
              </w:rPr>
              <w:t>Negligible</w:t>
            </w:r>
          </w:p>
        </w:tc>
      </w:tr>
      <w:tr w:rsidR="00CE4624" w:rsidRPr="00466057" w14:paraId="1C04540F" w14:textId="77777777" w:rsidTr="0007458C">
        <w:trPr>
          <w:trHeight w:val="284"/>
        </w:trPr>
        <w:tc>
          <w:tcPr>
            <w:tcW w:w="0" w:type="dxa"/>
          </w:tcPr>
          <w:p w14:paraId="434A6D09" w14:textId="6AF2B0C9" w:rsidR="002A77E7" w:rsidRPr="0007458C" w:rsidRDefault="002A77E7" w:rsidP="002A77E7">
            <w:pPr>
              <w:spacing w:line="240" w:lineRule="auto"/>
              <w:rPr>
                <w:sz w:val="15"/>
                <w:szCs w:val="15"/>
              </w:rPr>
            </w:pPr>
            <w:r w:rsidRPr="0007458C">
              <w:rPr>
                <w:color w:val="3A3E3E" w:themeColor="background2" w:themeShade="40"/>
                <w:sz w:val="15"/>
                <w:szCs w:val="15"/>
              </w:rPr>
              <w:t>10</w:t>
            </w:r>
          </w:p>
        </w:tc>
        <w:tc>
          <w:tcPr>
            <w:tcW w:w="5529" w:type="dxa"/>
            <w:noWrap/>
          </w:tcPr>
          <w:p w14:paraId="1945BEC6" w14:textId="7B74FD16" w:rsidR="002A77E7" w:rsidRPr="0007458C" w:rsidRDefault="002A77E7" w:rsidP="002A77E7">
            <w:pPr>
              <w:spacing w:line="240" w:lineRule="auto"/>
              <w:rPr>
                <w:sz w:val="15"/>
                <w:szCs w:val="15"/>
              </w:rPr>
            </w:pPr>
            <w:r w:rsidRPr="0007458C">
              <w:rPr>
                <w:color w:val="3A3E3E" w:themeColor="background2" w:themeShade="40"/>
                <w:sz w:val="15"/>
                <w:szCs w:val="15"/>
              </w:rPr>
              <w:t>Implementation costs disproportionately affect small businesses</w:t>
            </w:r>
          </w:p>
        </w:tc>
        <w:tc>
          <w:tcPr>
            <w:tcW w:w="1275" w:type="dxa"/>
            <w:noWrap/>
          </w:tcPr>
          <w:p w14:paraId="23B476DE" w14:textId="521E2EC0" w:rsidR="002A77E7" w:rsidRPr="0007458C" w:rsidRDefault="002A77E7" w:rsidP="002A77E7">
            <w:pPr>
              <w:spacing w:line="240" w:lineRule="auto"/>
              <w:jc w:val="right"/>
              <w:rPr>
                <w:sz w:val="15"/>
                <w:szCs w:val="15"/>
              </w:rPr>
            </w:pPr>
            <w:r w:rsidRPr="0007458C">
              <w:rPr>
                <w:color w:val="3A3E3E" w:themeColor="background2" w:themeShade="40"/>
                <w:sz w:val="15"/>
                <w:szCs w:val="15"/>
              </w:rPr>
              <w:t>Unlikely</w:t>
            </w:r>
          </w:p>
        </w:tc>
        <w:tc>
          <w:tcPr>
            <w:tcW w:w="1412" w:type="dxa"/>
          </w:tcPr>
          <w:p w14:paraId="5D40DA52" w14:textId="6AF45C08" w:rsidR="002A77E7" w:rsidRPr="0007458C" w:rsidRDefault="002A77E7" w:rsidP="002A77E7">
            <w:pPr>
              <w:spacing w:line="240" w:lineRule="auto"/>
              <w:jc w:val="right"/>
              <w:rPr>
                <w:sz w:val="15"/>
                <w:szCs w:val="15"/>
              </w:rPr>
            </w:pPr>
            <w:r w:rsidRPr="0007458C">
              <w:rPr>
                <w:color w:val="3A3E3E" w:themeColor="background2" w:themeShade="40"/>
                <w:sz w:val="15"/>
                <w:szCs w:val="15"/>
              </w:rPr>
              <w:t>Minor</w:t>
            </w:r>
          </w:p>
        </w:tc>
      </w:tr>
      <w:tr w:rsidR="00CE4624" w:rsidRPr="00466057" w14:paraId="37338906" w14:textId="77777777" w:rsidTr="00CE4624">
        <w:trPr>
          <w:trHeight w:val="284"/>
        </w:trPr>
        <w:tc>
          <w:tcPr>
            <w:tcW w:w="567" w:type="dxa"/>
          </w:tcPr>
          <w:p w14:paraId="615DEEBC" w14:textId="3B7B8868" w:rsidR="002A77E7" w:rsidRPr="0007458C" w:rsidRDefault="002A77E7" w:rsidP="002A77E7">
            <w:pPr>
              <w:spacing w:line="240" w:lineRule="auto"/>
              <w:rPr>
                <w:sz w:val="15"/>
                <w:szCs w:val="15"/>
              </w:rPr>
            </w:pPr>
            <w:r w:rsidRPr="0007458C">
              <w:rPr>
                <w:color w:val="3A3E3E" w:themeColor="background2" w:themeShade="40"/>
                <w:sz w:val="15"/>
                <w:szCs w:val="15"/>
              </w:rPr>
              <w:t>11</w:t>
            </w:r>
          </w:p>
        </w:tc>
        <w:tc>
          <w:tcPr>
            <w:tcW w:w="5529" w:type="dxa"/>
            <w:noWrap/>
          </w:tcPr>
          <w:p w14:paraId="6B9C7F6E" w14:textId="0D2CCE08" w:rsidR="002A77E7" w:rsidRPr="0007458C" w:rsidRDefault="002A77E7" w:rsidP="002A77E7">
            <w:pPr>
              <w:spacing w:line="240" w:lineRule="auto"/>
              <w:rPr>
                <w:sz w:val="15"/>
                <w:szCs w:val="15"/>
              </w:rPr>
            </w:pPr>
            <w:r w:rsidRPr="0007458C">
              <w:rPr>
                <w:color w:val="3A3E3E" w:themeColor="background2" w:themeShade="40"/>
                <w:sz w:val="15"/>
                <w:szCs w:val="15"/>
              </w:rPr>
              <w:t>Audiometrists do not operate to their full scope of practice</w:t>
            </w:r>
          </w:p>
        </w:tc>
        <w:tc>
          <w:tcPr>
            <w:tcW w:w="1275" w:type="dxa"/>
            <w:noWrap/>
          </w:tcPr>
          <w:p w14:paraId="6DD196B2" w14:textId="0AE8D0FE" w:rsidR="002A77E7" w:rsidRPr="0007458C" w:rsidRDefault="002A77E7" w:rsidP="002A77E7">
            <w:pPr>
              <w:spacing w:line="240" w:lineRule="auto"/>
              <w:jc w:val="right"/>
              <w:rPr>
                <w:sz w:val="15"/>
                <w:szCs w:val="15"/>
              </w:rPr>
            </w:pPr>
            <w:r w:rsidRPr="0007458C">
              <w:rPr>
                <w:color w:val="3A3E3E" w:themeColor="background2" w:themeShade="40"/>
                <w:sz w:val="15"/>
                <w:szCs w:val="15"/>
              </w:rPr>
              <w:t>Rare</w:t>
            </w:r>
          </w:p>
        </w:tc>
        <w:tc>
          <w:tcPr>
            <w:tcW w:w="1412" w:type="dxa"/>
          </w:tcPr>
          <w:p w14:paraId="1C8F0EB2" w14:textId="20A649B6" w:rsidR="002A77E7" w:rsidRPr="0007458C" w:rsidRDefault="002A77E7" w:rsidP="002A77E7">
            <w:pPr>
              <w:spacing w:line="240" w:lineRule="auto"/>
              <w:jc w:val="right"/>
              <w:rPr>
                <w:sz w:val="15"/>
                <w:szCs w:val="15"/>
              </w:rPr>
            </w:pPr>
            <w:r w:rsidRPr="0007458C">
              <w:rPr>
                <w:color w:val="3A3E3E" w:themeColor="background2" w:themeShade="40"/>
                <w:sz w:val="15"/>
                <w:szCs w:val="15"/>
              </w:rPr>
              <w:t>Moderate</w:t>
            </w:r>
          </w:p>
        </w:tc>
      </w:tr>
    </w:tbl>
    <w:p w14:paraId="2C9CD012" w14:textId="77777777" w:rsidR="008D35F5" w:rsidRDefault="008D35F5" w:rsidP="001713A2">
      <w:pPr>
        <w:pStyle w:val="BodyText"/>
        <w:rPr>
          <w:lang w:eastAsia="en-AU"/>
        </w:rPr>
      </w:pPr>
    </w:p>
    <w:p w14:paraId="0DF7E50F" w14:textId="4B80F0A5" w:rsidR="001713A2" w:rsidRPr="007D091E" w:rsidRDefault="00007E0F" w:rsidP="001713A2">
      <w:pPr>
        <w:pStyle w:val="BodyText"/>
        <w:rPr>
          <w:lang w:eastAsia="en-AU"/>
        </w:rPr>
      </w:pPr>
      <w:r>
        <w:rPr>
          <w:lang w:eastAsia="en-AU"/>
        </w:rPr>
        <w:t>These risks, their impact and any mitigations should be monitored as part of the evaluation of the policy change.</w:t>
      </w:r>
    </w:p>
    <w:p w14:paraId="01215983" w14:textId="66A8D802" w:rsidR="004B6BB8" w:rsidRDefault="004B6BB8" w:rsidP="004B6BB8">
      <w:pPr>
        <w:pStyle w:val="Heading4"/>
        <w:rPr>
          <w:lang w:eastAsia="en-AU"/>
        </w:rPr>
      </w:pPr>
      <w:bookmarkStart w:id="380" w:name="_Ref191644031"/>
      <w:r>
        <w:rPr>
          <w:lang w:eastAsia="en-AU"/>
        </w:rPr>
        <w:t xml:space="preserve">Increased </w:t>
      </w:r>
      <w:r w:rsidR="00916643">
        <w:rPr>
          <w:lang w:eastAsia="en-AU"/>
        </w:rPr>
        <w:t>ongoing regulatory</w:t>
      </w:r>
      <w:r>
        <w:rPr>
          <w:lang w:eastAsia="en-AU"/>
        </w:rPr>
        <w:t xml:space="preserve"> costs (registration fees, professional indemnity insurance and regulatory burden on employers) lead to </w:t>
      </w:r>
      <w:r w:rsidR="005718C1">
        <w:rPr>
          <w:lang w:eastAsia="en-AU"/>
        </w:rPr>
        <w:t xml:space="preserve">workforce substitution of audiologists for audiometrists in private sector adult rehabilitation </w:t>
      </w:r>
      <w:r>
        <w:rPr>
          <w:lang w:eastAsia="en-AU"/>
        </w:rPr>
        <w:t>(</w:t>
      </w:r>
      <w:r w:rsidR="00E8068F">
        <w:rPr>
          <w:lang w:eastAsia="en-AU"/>
        </w:rPr>
        <w:t>Possible</w:t>
      </w:r>
      <w:r>
        <w:rPr>
          <w:lang w:eastAsia="en-AU"/>
        </w:rPr>
        <w:t xml:space="preserve">, </w:t>
      </w:r>
      <w:r w:rsidR="006659FA">
        <w:rPr>
          <w:lang w:eastAsia="en-AU"/>
        </w:rPr>
        <w:t>Major</w:t>
      </w:r>
      <w:r>
        <w:rPr>
          <w:lang w:eastAsia="en-AU"/>
        </w:rPr>
        <w:t>)</w:t>
      </w:r>
      <w:bookmarkEnd w:id="380"/>
    </w:p>
    <w:p w14:paraId="77739D79" w14:textId="0ED5BC44" w:rsidR="004B6BB8" w:rsidRDefault="004B6BB8" w:rsidP="004B6BB8">
      <w:pPr>
        <w:pStyle w:val="BodyText"/>
        <w:rPr>
          <w:lang w:eastAsia="en-AU"/>
        </w:rPr>
      </w:pPr>
      <w:r>
        <w:rPr>
          <w:lang w:eastAsia="en-AU"/>
        </w:rPr>
        <w:t xml:space="preserve">In consultation, private sector stakeholders raised concerns that increased costs faced by audiologists may lead to increased salary expectations of their employer, and that increased salary expectations may be one of several ways in which registration increased business costs. Regional and rural businesses were considered more vulnerable to increased salary expectations due to workforce supply issues. The consequences of increased business costs described by stakeholders </w:t>
      </w:r>
      <w:r w:rsidR="000874FA">
        <w:rPr>
          <w:lang w:eastAsia="en-AU"/>
        </w:rPr>
        <w:t xml:space="preserve">was the potential for </w:t>
      </w:r>
      <w:r w:rsidR="00F61B38">
        <w:rPr>
          <w:lang w:eastAsia="en-AU"/>
        </w:rPr>
        <w:t xml:space="preserve">businesses to </w:t>
      </w:r>
      <w:r w:rsidR="004067E1">
        <w:rPr>
          <w:lang w:eastAsia="en-AU"/>
        </w:rPr>
        <w:t>preferentially hire</w:t>
      </w:r>
      <w:r w:rsidR="00F61B38">
        <w:rPr>
          <w:lang w:eastAsia="en-AU"/>
        </w:rPr>
        <w:t xml:space="preserve"> </w:t>
      </w:r>
      <w:r w:rsidR="004067E1">
        <w:rPr>
          <w:lang w:eastAsia="en-AU"/>
        </w:rPr>
        <w:t>audiometrists</w:t>
      </w:r>
      <w:r w:rsidR="00F61B38">
        <w:rPr>
          <w:lang w:eastAsia="en-AU"/>
        </w:rPr>
        <w:t xml:space="preserve"> i</w:t>
      </w:r>
      <w:r w:rsidR="004067E1">
        <w:rPr>
          <w:lang w:eastAsia="en-AU"/>
        </w:rPr>
        <w:t>nstead of audiologists.</w:t>
      </w:r>
    </w:p>
    <w:p w14:paraId="296D3594" w14:textId="77777777" w:rsidR="004B6BB8" w:rsidRDefault="004B6BB8" w:rsidP="004B6BB8">
      <w:pPr>
        <w:pStyle w:val="BodyText"/>
        <w:rPr>
          <w:lang w:eastAsia="en-AU"/>
        </w:rPr>
      </w:pPr>
      <w:r>
        <w:rPr>
          <w:lang w:eastAsia="en-AU"/>
        </w:rPr>
        <w:t xml:space="preserve">The following factors are noted in relation to the potential size of increased private sector costs. </w:t>
      </w:r>
    </w:p>
    <w:p w14:paraId="5DAD2F21" w14:textId="3C0A880C" w:rsidR="004B6BB8" w:rsidRDefault="004B6BB8" w:rsidP="004B6BB8">
      <w:pPr>
        <w:pStyle w:val="ListBullet"/>
      </w:pPr>
      <w:r w:rsidRPr="007176F0">
        <w:rPr>
          <w:b/>
          <w:bCs/>
        </w:rPr>
        <w:t>Registration fees</w:t>
      </w:r>
      <w:r>
        <w:t>: Audiology’s entry into the National Scheme generates registration fees (preliminarily estimated at $</w:t>
      </w:r>
      <w:r w:rsidR="00E00555">
        <w:t>600-$650</w:t>
      </w:r>
      <w:r>
        <w:t>)</w:t>
      </w:r>
      <w:r w:rsidR="00942D4B">
        <w:t xml:space="preserve">. </w:t>
      </w:r>
      <w:r w:rsidR="00A10829">
        <w:t>In relation to the potential for registration fees to escalate over time, y</w:t>
      </w:r>
      <w:r>
        <w:t>ear-on-year increases in registration fees that exceed 3% or the Consumer Price Index (whichever is higher) require a business case to be prepared by Ahpra and the National Board, and for Ahpra (on behalf of the National Board) to seek formal feedback from HMM.</w:t>
      </w:r>
      <w:r>
        <w:rPr>
          <w:rStyle w:val="FootnoteReference"/>
        </w:rPr>
        <w:footnoteReference w:id="285"/>
      </w:r>
      <w:r>
        <w:t xml:space="preserve"> Hence, </w:t>
      </w:r>
      <w:r w:rsidR="00FA71CF">
        <w:t xml:space="preserve">registration fees </w:t>
      </w:r>
      <w:r w:rsidR="00A528B1">
        <w:t>may drive increased salary expectations</w:t>
      </w:r>
      <w:r w:rsidR="005052A6">
        <w:t>, but the incremental difference is expected to be small</w:t>
      </w:r>
      <w:r>
        <w:t>.</w:t>
      </w:r>
    </w:p>
    <w:p w14:paraId="57F5DFF3" w14:textId="77777777" w:rsidR="004B6BB8" w:rsidRDefault="004B6BB8" w:rsidP="004B6BB8">
      <w:pPr>
        <w:pStyle w:val="ListBullet"/>
      </w:pPr>
      <w:r w:rsidRPr="007176F0">
        <w:rPr>
          <w:b/>
          <w:bCs/>
        </w:rPr>
        <w:t>Professional indemnity insurance fees</w:t>
      </w:r>
      <w:r>
        <w:t xml:space="preserve">: Professional indemnity requirements are set as a mandatory registration standard by the National Board. Costs to hold professional indemnity insurance coverage are driven by: </w:t>
      </w:r>
    </w:p>
    <w:p w14:paraId="0E9D5AC0" w14:textId="77777777" w:rsidR="004B6BB8" w:rsidRDefault="004B6BB8" w:rsidP="004B6BB8">
      <w:pPr>
        <w:pStyle w:val="ListBullet"/>
        <w:numPr>
          <w:ilvl w:val="0"/>
          <w:numId w:val="0"/>
        </w:numPr>
        <w:ind w:left="720"/>
      </w:pPr>
      <w:r>
        <w:t xml:space="preserve">1) the rate of claims and the expense associated with claims </w:t>
      </w:r>
    </w:p>
    <w:p w14:paraId="45AF39B0" w14:textId="77777777" w:rsidR="004B6BB8" w:rsidRDefault="004B6BB8" w:rsidP="004B6BB8">
      <w:pPr>
        <w:pStyle w:val="ListBullet"/>
        <w:numPr>
          <w:ilvl w:val="0"/>
          <w:numId w:val="0"/>
        </w:numPr>
        <w:ind w:left="720"/>
      </w:pPr>
      <w:r>
        <w:t xml:space="preserve">2) the level of coverage required (i.e. what limit is specified for the policy). </w:t>
      </w:r>
    </w:p>
    <w:p w14:paraId="6E44E8C8" w14:textId="60013917" w:rsidR="004B6BB8" w:rsidRDefault="004B6BB8" w:rsidP="004B6BB8">
      <w:pPr>
        <w:pStyle w:val="ListBullet"/>
        <w:numPr>
          <w:ilvl w:val="0"/>
          <w:numId w:val="0"/>
        </w:numPr>
        <w:ind w:left="360"/>
      </w:pPr>
      <w:r>
        <w:t xml:space="preserve">Hence, National Board decisions regarding the level of coverage required, and changes in the rate of complaints that require use of the policy, would impact costs faced by the profession. As per the National Code of Conduct, audiologists are required to have appropriate indemnity insurance arrangements in place in relation to their scope of practice, and these costs are tax-deductible. However, it is also recognised that the new entry of a profession into the National Scheme may increase the rate of complaints made against audiologists, which would have downstream actuarial consequences on the pooled risk. </w:t>
      </w:r>
      <w:r w:rsidR="007918A4">
        <w:t>Insurance</w:t>
      </w:r>
      <w:r w:rsidR="00BA6879">
        <w:t xml:space="preserve"> advice</w:t>
      </w:r>
      <w:r>
        <w:t xml:space="preserve"> provided to the Decision RIS did not believe this to be a major risk of reform, however noting that National Board requirements for coverage significantly in excess of the current level held by the profession or a significant increase in complaints would represent exceptional circumstances.</w:t>
      </w:r>
    </w:p>
    <w:p w14:paraId="64A3244F" w14:textId="5B87ED79" w:rsidR="004B6BB8" w:rsidRDefault="0063314F" w:rsidP="004B6BB8">
      <w:pPr>
        <w:pStyle w:val="ListBullet"/>
      </w:pPr>
      <w:r>
        <w:rPr>
          <w:b/>
          <w:bCs/>
        </w:rPr>
        <w:t>Ongoing r</w:t>
      </w:r>
      <w:r w:rsidR="004B6BB8" w:rsidRPr="007176F0">
        <w:rPr>
          <w:b/>
          <w:bCs/>
        </w:rPr>
        <w:t>egulatory burden costs for employers</w:t>
      </w:r>
      <w:r w:rsidR="004B6BB8">
        <w:t xml:space="preserve">: </w:t>
      </w:r>
      <w:bookmarkStart w:id="381" w:name="_Hlk193212283"/>
      <w:r w:rsidR="004B6BB8">
        <w:t>Employer obligations in relation to Ahpra registered professions include ensuring that the practitioner holds current registration, ensuring that the practitioner is practising within any restrictions placed on their registration, and meeting mandatory notification obligations</w:t>
      </w:r>
      <w:bookmarkEnd w:id="381"/>
      <w:r w:rsidR="004B6BB8">
        <w:t>.</w:t>
      </w:r>
      <w:r w:rsidR="004B6BB8">
        <w:rPr>
          <w:rStyle w:val="FootnoteReference"/>
        </w:rPr>
        <w:footnoteReference w:id="286"/>
      </w:r>
      <w:r w:rsidR="004B6BB8">
        <w:t xml:space="preserve"> </w:t>
      </w:r>
      <w:bookmarkStart w:id="382" w:name="_Hlk193212815"/>
      <w:r w:rsidR="004B6BB8">
        <w:t xml:space="preserve">Ahpra’s guidance notes that there are free bulk check services for checking the registration status for up to 50,000 practitioners at a time, and a Practitioner Information Exchange can allow employers to create alerts when an employee’s registration status changes. </w:t>
      </w:r>
      <w:r w:rsidR="00696C60">
        <w:t xml:space="preserve">Hence, </w:t>
      </w:r>
      <w:r w:rsidR="004469AE">
        <w:t>while stakehold</w:t>
      </w:r>
      <w:r w:rsidR="005E7A90">
        <w:t xml:space="preserve">ers expressed concern regarding the potential for </w:t>
      </w:r>
      <w:r w:rsidR="00821B4C">
        <w:t xml:space="preserve">ongoing </w:t>
      </w:r>
      <w:r w:rsidR="00696C60">
        <w:t xml:space="preserve">regulatory burden </w:t>
      </w:r>
      <w:r w:rsidR="00735CE1">
        <w:t>costs for employers of a registered profession</w:t>
      </w:r>
      <w:r w:rsidR="000A21EE">
        <w:t xml:space="preserve">, </w:t>
      </w:r>
      <w:r w:rsidR="003E3A03">
        <w:t xml:space="preserve">costs are not expected to be </w:t>
      </w:r>
      <w:r w:rsidR="00416E69">
        <w:t>significant</w:t>
      </w:r>
      <w:r w:rsidR="00793677">
        <w:t xml:space="preserve"> on an ongoing basis</w:t>
      </w:r>
      <w:bookmarkEnd w:id="382"/>
      <w:r w:rsidR="0011634C">
        <w:t>.</w:t>
      </w:r>
      <w:r w:rsidR="00883C2C">
        <w:rPr>
          <w:rStyle w:val="FootnoteReference"/>
        </w:rPr>
        <w:footnoteReference w:id="287"/>
      </w:r>
    </w:p>
    <w:p w14:paraId="69ED251F" w14:textId="582C2A90" w:rsidR="00302E49" w:rsidRPr="00302E49" w:rsidRDefault="007F39F1" w:rsidP="00302E49">
      <w:pPr>
        <w:pStyle w:val="BodyText"/>
        <w:rPr>
          <w:b/>
          <w:bCs/>
          <w:szCs w:val="22"/>
          <w:lang w:eastAsia="en-AU"/>
        </w:rPr>
      </w:pPr>
      <w:r>
        <w:rPr>
          <w:lang w:eastAsia="en-AU"/>
        </w:rPr>
        <w:t>The following factors are noted about the risk of workforce substitution, due to conditions under the current state</w:t>
      </w:r>
      <w:r w:rsidR="00EF4482">
        <w:rPr>
          <w:lang w:eastAsia="en-AU"/>
        </w:rPr>
        <w:t>.</w:t>
      </w:r>
    </w:p>
    <w:p w14:paraId="49B5F439" w14:textId="64299483" w:rsidR="00302E49" w:rsidRPr="002D729D" w:rsidRDefault="00302E49" w:rsidP="002D729D">
      <w:pPr>
        <w:pStyle w:val="ListBullet"/>
      </w:pPr>
      <w:r w:rsidRPr="002D729D">
        <w:t>Stakeholders broadly agree that there is a similar scope of practice between audiologists and audiometrists working in private sector adult rehabilitation services (which is a significant part of the private sector market).</w:t>
      </w:r>
    </w:p>
    <w:p w14:paraId="64670001" w14:textId="04C7F214" w:rsidR="00302E49" w:rsidRPr="002D729D" w:rsidRDefault="00302E49" w:rsidP="002D729D">
      <w:pPr>
        <w:pStyle w:val="ListBullet"/>
      </w:pPr>
      <w:r w:rsidRPr="002D729D">
        <w:t xml:space="preserve">There is now limited distinction between audiologists and audiometrists under the HSP in terms of which workforce type is able to claim which items, and therefore limited differences in HSP funding able to be claimed by a business. </w:t>
      </w:r>
    </w:p>
    <w:p w14:paraId="5E780346" w14:textId="36DD6B36" w:rsidR="00302E49" w:rsidRPr="002D729D" w:rsidRDefault="00302E49" w:rsidP="002D729D">
      <w:pPr>
        <w:pStyle w:val="ListBullet"/>
      </w:pPr>
      <w:r w:rsidRPr="002D729D">
        <w:t>There is a currently a review underway to critically evaluate and update audiometry qualifications, where proposed curriculum out for consultation at the time of writing includes more specialised areas of practice.</w:t>
      </w:r>
    </w:p>
    <w:p w14:paraId="3D227743" w14:textId="5DF7ADD1" w:rsidR="00302E49" w:rsidRPr="002D729D" w:rsidRDefault="00302E49" w:rsidP="002D729D">
      <w:pPr>
        <w:pStyle w:val="ListBullet"/>
      </w:pPr>
      <w:r w:rsidRPr="002D729D">
        <w:t xml:space="preserve">Stakeholder feedback has indicated that, with the exception of service providers whose complex patient load requires an audiologist workforce, employers have tended to be reactive to existing labour dynamics where there are larger numbers of audiologists relative to audiometrists. However, there is currently increased industry interest in providing audiometrist training, given their ability to work independently and their reduced salary expectations relative to audiologists. </w:t>
      </w:r>
    </w:p>
    <w:p w14:paraId="6E460F37" w14:textId="7FD36097" w:rsidR="00302E49" w:rsidRPr="002D729D" w:rsidRDefault="00302E49" w:rsidP="002D729D">
      <w:pPr>
        <w:pStyle w:val="ListBullet"/>
      </w:pPr>
      <w:r w:rsidRPr="002D729D">
        <w:t xml:space="preserve">Vocational audiometry qualifications are significantly less expensive to obtain than audiologist qualifications, which is further exacerbated by most audiologists facing full fees for their Masters program. </w:t>
      </w:r>
    </w:p>
    <w:p w14:paraId="4B4BA385" w14:textId="040D1403" w:rsidR="001A2815" w:rsidRPr="002D729D" w:rsidRDefault="00302E49" w:rsidP="002D729D">
      <w:pPr>
        <w:pStyle w:val="BodyText"/>
      </w:pPr>
      <w:r w:rsidRPr="002D729D">
        <w:rPr>
          <w:szCs w:val="22"/>
          <w:lang w:eastAsia="en-AU"/>
        </w:rPr>
        <w:t xml:space="preserve">Given the abovementioned </w:t>
      </w:r>
      <w:r w:rsidR="00DE4A14">
        <w:rPr>
          <w:szCs w:val="22"/>
          <w:lang w:eastAsia="en-AU"/>
        </w:rPr>
        <w:t>issues</w:t>
      </w:r>
      <w:r w:rsidRPr="002D729D">
        <w:rPr>
          <w:szCs w:val="22"/>
          <w:lang w:eastAsia="en-AU"/>
        </w:rPr>
        <w:t xml:space="preserve">, </w:t>
      </w:r>
      <w:r w:rsidR="009138E7">
        <w:t>it is not considered likely t</w:t>
      </w:r>
      <w:r w:rsidR="004606B6">
        <w:t>hat increased private sector costs</w:t>
      </w:r>
      <w:r w:rsidR="004F2504">
        <w:t xml:space="preserve"> due to </w:t>
      </w:r>
      <w:r w:rsidR="009D65B6">
        <w:t>National Registration</w:t>
      </w:r>
      <w:r w:rsidR="004F2504">
        <w:t xml:space="preserve"> alone </w:t>
      </w:r>
      <w:r w:rsidR="00397412">
        <w:t>will</w:t>
      </w:r>
      <w:r w:rsidR="004F2504">
        <w:t xml:space="preserve"> </w:t>
      </w:r>
      <w:r w:rsidR="00787AD1">
        <w:t>drive</w:t>
      </w:r>
      <w:r w:rsidR="004F2504">
        <w:t xml:space="preserve"> workforce substitution</w:t>
      </w:r>
      <w:r w:rsidR="00787AD1">
        <w:t>. However, if increased demand for audiometry qual</w:t>
      </w:r>
      <w:r w:rsidR="00D15182">
        <w:t>ifi</w:t>
      </w:r>
      <w:r w:rsidR="00787AD1">
        <w:t xml:space="preserve">cations from industry </w:t>
      </w:r>
      <w:r w:rsidR="000B30FF">
        <w:t xml:space="preserve">is able to </w:t>
      </w:r>
      <w:r w:rsidR="00E031F5">
        <w:t>be met by</w:t>
      </w:r>
      <w:r w:rsidR="000B30FF">
        <w:t xml:space="preserve"> </w:t>
      </w:r>
      <w:r w:rsidR="00BA696B">
        <w:t xml:space="preserve">an </w:t>
      </w:r>
      <w:r w:rsidR="000B30FF">
        <w:t>increased supply of audiometry graduates, workf</w:t>
      </w:r>
      <w:r w:rsidR="00397412">
        <w:t xml:space="preserve">orce substitution </w:t>
      </w:r>
      <w:r w:rsidR="00661E0C">
        <w:t xml:space="preserve">may occur due to industry trends in this direction that are separate to </w:t>
      </w:r>
      <w:r w:rsidR="009D65B6">
        <w:t>National Registration</w:t>
      </w:r>
      <w:r w:rsidR="00661E0C">
        <w:t>.</w:t>
      </w:r>
    </w:p>
    <w:p w14:paraId="0D17ED9A" w14:textId="0E14AE85" w:rsidR="006E480A" w:rsidRDefault="004B6BB8" w:rsidP="002D729D">
      <w:pPr>
        <w:pStyle w:val="BodyText"/>
      </w:pPr>
      <w:r w:rsidRPr="007176F0">
        <w:rPr>
          <w:b/>
          <w:bCs/>
          <w:lang w:eastAsia="en-AU"/>
        </w:rPr>
        <w:t>Mitigation strategy</w:t>
      </w:r>
      <w:r>
        <w:rPr>
          <w:lang w:eastAsia="en-AU"/>
        </w:rPr>
        <w:t>: Clear communication to employers about their regulatory obligations, and resolution of professional indemnity insurance requirements and initial registration fees should provide a level of assurance to the sector on expected changes. Registration fees, professional indemnity insurance costs and costs associated with regulatory burden for employers are able to be tracked over time as part of the evaluation plan. Base salary levels by remoteness over time are also able to be monitored as part of an evaluation plan, recognising that overall salary package values may be impacted by changes to superannuation requirements and other incentives such as accommodation assistance.</w:t>
      </w:r>
      <w:r w:rsidR="00CC264A">
        <w:rPr>
          <w:lang w:eastAsia="en-AU"/>
        </w:rPr>
        <w:t xml:space="preserve"> In the event that this risk is realised, consideration could be given to </w:t>
      </w:r>
      <w:r w:rsidR="004925B4">
        <w:rPr>
          <w:lang w:eastAsia="en-AU"/>
        </w:rPr>
        <w:t xml:space="preserve">whether </w:t>
      </w:r>
      <w:r w:rsidR="00E70647">
        <w:rPr>
          <w:lang w:eastAsia="en-AU"/>
        </w:rPr>
        <w:t>an Intergovernmental Agreement</w:t>
      </w:r>
      <w:r w:rsidR="009F1B77">
        <w:rPr>
          <w:lang w:eastAsia="en-AU"/>
        </w:rPr>
        <w:t xml:space="preserve"> Criteria process is warranted </w:t>
      </w:r>
      <w:r w:rsidR="00ED6A5B">
        <w:rPr>
          <w:lang w:eastAsia="en-AU"/>
        </w:rPr>
        <w:t xml:space="preserve">for audiometry </w:t>
      </w:r>
      <w:r w:rsidR="003A0785">
        <w:rPr>
          <w:lang w:eastAsia="en-AU"/>
        </w:rPr>
        <w:t xml:space="preserve">as a first step to </w:t>
      </w:r>
      <w:r w:rsidR="00ED6A5B">
        <w:rPr>
          <w:lang w:eastAsia="en-AU"/>
        </w:rPr>
        <w:t>assess the viability of including it in the National Scheme.</w:t>
      </w:r>
      <w:r w:rsidR="0016601F">
        <w:rPr>
          <w:lang w:eastAsia="en-AU"/>
        </w:rPr>
        <w:t xml:space="preserve"> </w:t>
      </w:r>
    </w:p>
    <w:p w14:paraId="3EFDDCE4" w14:textId="5A4267FD" w:rsidR="00E42C05" w:rsidRDefault="008D36AB" w:rsidP="00E42C05">
      <w:pPr>
        <w:pStyle w:val="Heading4"/>
        <w:rPr>
          <w:lang w:eastAsia="en-AU"/>
        </w:rPr>
      </w:pPr>
      <w:r>
        <w:rPr>
          <w:lang w:eastAsia="en-AU"/>
        </w:rPr>
        <w:t>Ongoing professional tension between audiologists and audiometrists working in private sector adult rehabilitation lead</w:t>
      </w:r>
      <w:r w:rsidR="005E0241">
        <w:rPr>
          <w:lang w:eastAsia="en-AU"/>
        </w:rPr>
        <w:t>s</w:t>
      </w:r>
      <w:r>
        <w:rPr>
          <w:lang w:eastAsia="en-AU"/>
        </w:rPr>
        <w:t xml:space="preserve"> to </w:t>
      </w:r>
      <w:r w:rsidR="00B91F14">
        <w:rPr>
          <w:lang w:eastAsia="en-AU"/>
        </w:rPr>
        <w:t>reduced consumer confidence in audiometrist services</w:t>
      </w:r>
      <w:r w:rsidR="00E42C05">
        <w:rPr>
          <w:lang w:eastAsia="en-AU"/>
        </w:rPr>
        <w:t xml:space="preserve"> </w:t>
      </w:r>
      <w:r w:rsidR="002B6564">
        <w:rPr>
          <w:lang w:eastAsia="en-AU"/>
        </w:rPr>
        <w:t>(</w:t>
      </w:r>
      <w:r w:rsidR="00E42C05">
        <w:rPr>
          <w:lang w:eastAsia="en-AU"/>
        </w:rPr>
        <w:t xml:space="preserve">Possible, </w:t>
      </w:r>
      <w:r w:rsidR="00CA5746">
        <w:rPr>
          <w:lang w:eastAsia="en-AU"/>
        </w:rPr>
        <w:t>Major</w:t>
      </w:r>
      <w:r w:rsidR="00E42C05">
        <w:rPr>
          <w:lang w:eastAsia="en-AU"/>
        </w:rPr>
        <w:t>)</w:t>
      </w:r>
    </w:p>
    <w:p w14:paraId="6BD3AE2D" w14:textId="0DBCA04A" w:rsidR="001074C6" w:rsidRDefault="00E42C05" w:rsidP="002D729D">
      <w:pPr>
        <w:pStyle w:val="BodyText"/>
      </w:pPr>
      <w:r>
        <w:rPr>
          <w:lang w:eastAsia="en-AU"/>
        </w:rPr>
        <w:t xml:space="preserve">In consultation, private sector stakeholders raised concerns </w:t>
      </w:r>
      <w:r w:rsidR="001074C6">
        <w:rPr>
          <w:lang w:eastAsia="en-AU"/>
        </w:rPr>
        <w:t>that organisations</w:t>
      </w:r>
      <w:r w:rsidR="001074C6">
        <w:t xml:space="preserve"> owned by audiologists or employing audiologists may seek to promote the registered status of the profession to increase market share, in a manner that leads to reduced consumer confidence in audiometrists for services that are within their scope of practice. This could be exacerbated if </w:t>
      </w:r>
      <w:r w:rsidR="004A54D2">
        <w:t xml:space="preserve">workforce substitution dynamics discussed above </w:t>
      </w:r>
      <w:r w:rsidR="00590E06">
        <w:t>were realised</w:t>
      </w:r>
      <w:r w:rsidR="004A54D2">
        <w:t>, such that audiologis</w:t>
      </w:r>
      <w:r w:rsidR="00590E06">
        <w:t>ts faced worse</w:t>
      </w:r>
      <w:r w:rsidR="00835F47">
        <w:t>ned</w:t>
      </w:r>
      <w:r w:rsidR="00590E06">
        <w:t xml:space="preserve"> employment</w:t>
      </w:r>
      <w:r w:rsidR="00835F47">
        <w:t xml:space="preserve"> prospects</w:t>
      </w:r>
      <w:r w:rsidR="00003932">
        <w:t>,</w:t>
      </w:r>
      <w:r w:rsidR="003D6E86">
        <w:t xml:space="preserve"> and</w:t>
      </w:r>
      <w:r w:rsidR="00DF1281">
        <w:t xml:space="preserve"> </w:t>
      </w:r>
      <w:r w:rsidR="0007158B">
        <w:t>for employers, inherently higher labour costs</w:t>
      </w:r>
      <w:r w:rsidR="00003932">
        <w:t xml:space="preserve"> relative to market competitors</w:t>
      </w:r>
      <w:r w:rsidR="00590E06">
        <w:t>.</w:t>
      </w:r>
      <w:r w:rsidR="00B011B9">
        <w:t xml:space="preserve"> </w:t>
      </w:r>
      <w:r w:rsidR="001074C6">
        <w:t xml:space="preserve">Here, the consequence for the patient is that if audiometrist services are the most accessible services for a particular location, this may lead to delays in care and subsequent negative social, emotional and economic outcomes. </w:t>
      </w:r>
    </w:p>
    <w:p w14:paraId="32CDE3FE" w14:textId="567D6397" w:rsidR="001074C6" w:rsidRDefault="001074C6" w:rsidP="001074C6">
      <w:pPr>
        <w:pStyle w:val="ListBullet"/>
        <w:numPr>
          <w:ilvl w:val="0"/>
          <w:numId w:val="0"/>
        </w:numPr>
      </w:pPr>
      <w:r>
        <w:t>Data from the HSP shows that</w:t>
      </w:r>
      <w:r w:rsidR="0000407B">
        <w:t>, in FY</w:t>
      </w:r>
      <w:r w:rsidR="00881794">
        <w:t>24</w:t>
      </w:r>
      <w:r>
        <w:t xml:space="preserve"> 80% of program services </w:t>
      </w:r>
      <w:r w:rsidR="00881794">
        <w:t xml:space="preserve">were </w:t>
      </w:r>
      <w:r>
        <w:t xml:space="preserve">delivered by audiologists (2,270 practitioners) and 20% of services </w:t>
      </w:r>
      <w:r w:rsidR="00881794">
        <w:t xml:space="preserve">were </w:t>
      </w:r>
      <w:r>
        <w:t>delivered by audiometrists (531 practitioners). Victoria (88%) and Tasmania (86%) ha</w:t>
      </w:r>
      <w:r w:rsidR="00881794">
        <w:t>d</w:t>
      </w:r>
      <w:r>
        <w:t xml:space="preserve"> the highest share of services within their jurisdiction delivered by audiologists, while South Australia (76%) and Queensland (74%) ha</w:t>
      </w:r>
      <w:r w:rsidR="00ED5608">
        <w:t>d</w:t>
      </w:r>
      <w:r>
        <w:t xml:space="preserve"> the lowest share. It is noted that New South Wales audiometrists deliver</w:t>
      </w:r>
      <w:r w:rsidR="00ED5608">
        <w:t>ed</w:t>
      </w:r>
      <w:r>
        <w:t xml:space="preserve"> a third of all HSP services performed by audiometrists. When services have been categorised by remoteness, audiologists deliver</w:t>
      </w:r>
      <w:r w:rsidR="00ED5608">
        <w:t>ed</w:t>
      </w:r>
      <w:r>
        <w:t xml:space="preserve">: </w:t>
      </w:r>
    </w:p>
    <w:p w14:paraId="1FB053A1" w14:textId="77777777" w:rsidR="001074C6" w:rsidRDefault="001074C6" w:rsidP="001074C6">
      <w:pPr>
        <w:pStyle w:val="ListBullet"/>
      </w:pPr>
      <w:r>
        <w:t>a relatively higher proportion of services in MMM1 (83%) and MMM7 (90%)</w:t>
      </w:r>
    </w:p>
    <w:p w14:paraId="4A84FE7C" w14:textId="77777777" w:rsidR="001074C6" w:rsidRDefault="001074C6" w:rsidP="001074C6">
      <w:pPr>
        <w:pStyle w:val="ListBullet"/>
      </w:pPr>
      <w:r>
        <w:t xml:space="preserve">a relatively lower proportion of services in MMM2 (79%), MMM3 (77%), MMM4 (73%), MMM5 (72%), and MMM6 (69%). </w:t>
      </w:r>
    </w:p>
    <w:p w14:paraId="6B23C152" w14:textId="40932DA5" w:rsidR="001074C6" w:rsidRDefault="001074C6" w:rsidP="001074C6">
      <w:pPr>
        <w:pStyle w:val="ListBullet"/>
        <w:numPr>
          <w:ilvl w:val="0"/>
          <w:numId w:val="0"/>
        </w:numPr>
      </w:pPr>
      <w:r>
        <w:t xml:space="preserve">Hence, </w:t>
      </w:r>
      <w:r w:rsidR="00A2596D">
        <w:t>if professional tension issues emerged, these</w:t>
      </w:r>
      <w:r>
        <w:t xml:space="preserve"> may be heightened in South Australia, Queensland and New South Wales, and in MMM2-MMM6 locations.</w:t>
      </w:r>
    </w:p>
    <w:p w14:paraId="55BC64AB" w14:textId="2EAC4CF6" w:rsidR="001074C6" w:rsidRDefault="001074C6" w:rsidP="001074C6">
      <w:pPr>
        <w:pStyle w:val="BodyText"/>
        <w:rPr>
          <w:lang w:eastAsia="en-AU"/>
        </w:rPr>
      </w:pPr>
      <w:r w:rsidRPr="007176F0">
        <w:rPr>
          <w:b/>
          <w:bCs/>
          <w:lang w:eastAsia="en-AU"/>
        </w:rPr>
        <w:t>Mitigation strategy</w:t>
      </w:r>
      <w:r>
        <w:rPr>
          <w:lang w:eastAsia="en-AU"/>
        </w:rPr>
        <w:t xml:space="preserve">: </w:t>
      </w:r>
      <w:r w:rsidR="00FA52ED">
        <w:rPr>
          <w:lang w:eastAsia="en-AU"/>
        </w:rPr>
        <w:t xml:space="preserve">Consumer-based communication </w:t>
      </w:r>
      <w:r w:rsidR="002447A3">
        <w:rPr>
          <w:lang w:eastAsia="en-AU"/>
        </w:rPr>
        <w:t xml:space="preserve">regarding national registration </w:t>
      </w:r>
      <w:r w:rsidR="00FA52ED">
        <w:rPr>
          <w:lang w:eastAsia="en-AU"/>
        </w:rPr>
        <w:t xml:space="preserve">should be </w:t>
      </w:r>
      <w:r w:rsidR="003B69F0">
        <w:rPr>
          <w:lang w:eastAsia="en-AU"/>
        </w:rPr>
        <w:t>designed to clearly explain the scope of practice</w:t>
      </w:r>
      <w:r w:rsidR="00951F05">
        <w:rPr>
          <w:lang w:eastAsia="en-AU"/>
        </w:rPr>
        <w:t xml:space="preserve"> of each profession, </w:t>
      </w:r>
      <w:r w:rsidR="00EF6F43">
        <w:rPr>
          <w:lang w:eastAsia="en-AU"/>
        </w:rPr>
        <w:t>with audiometry’s scope of practice and professional expertise recognised</w:t>
      </w:r>
      <w:r w:rsidR="00B91CBF">
        <w:rPr>
          <w:lang w:eastAsia="en-AU"/>
        </w:rPr>
        <w:t xml:space="preserve">. </w:t>
      </w:r>
      <w:r w:rsidR="0061449F">
        <w:rPr>
          <w:lang w:eastAsia="en-AU"/>
        </w:rPr>
        <w:t xml:space="preserve">This risk is </w:t>
      </w:r>
      <w:r w:rsidR="00B43D67">
        <w:rPr>
          <w:lang w:eastAsia="en-AU"/>
        </w:rPr>
        <w:t xml:space="preserve">also </w:t>
      </w:r>
      <w:r w:rsidR="0061449F">
        <w:rPr>
          <w:lang w:eastAsia="en-AU"/>
        </w:rPr>
        <w:t xml:space="preserve">able to be monitored as part of </w:t>
      </w:r>
      <w:r w:rsidR="005E0872">
        <w:rPr>
          <w:lang w:eastAsia="en-AU"/>
        </w:rPr>
        <w:t>evaluation planning</w:t>
      </w:r>
      <w:r w:rsidR="00B43D67">
        <w:rPr>
          <w:lang w:eastAsia="en-AU"/>
        </w:rPr>
        <w:t xml:space="preserve">. </w:t>
      </w:r>
    </w:p>
    <w:p w14:paraId="417EB081" w14:textId="7CC6D627" w:rsidR="006F6D64" w:rsidRDefault="006F6D64" w:rsidP="003653E4">
      <w:pPr>
        <w:pStyle w:val="Heading4"/>
        <w:rPr>
          <w:lang w:eastAsia="en-AU"/>
        </w:rPr>
      </w:pPr>
      <w:bookmarkStart w:id="383" w:name="_Ref196835419"/>
      <w:bookmarkStart w:id="384" w:name="_Ref196742465"/>
      <w:r>
        <w:rPr>
          <w:lang w:eastAsia="en-AU"/>
        </w:rPr>
        <w:t>Increased ongoing regulatory co</w:t>
      </w:r>
      <w:r w:rsidR="00CB4A0F">
        <w:rPr>
          <w:lang w:eastAsia="en-AU"/>
        </w:rPr>
        <w:t xml:space="preserve">sts lead to price increases for </w:t>
      </w:r>
      <w:r w:rsidR="00663553">
        <w:rPr>
          <w:lang w:eastAsia="en-AU"/>
        </w:rPr>
        <w:t>patients</w:t>
      </w:r>
      <w:r w:rsidR="00CB4A0F">
        <w:rPr>
          <w:lang w:eastAsia="en-AU"/>
        </w:rPr>
        <w:t xml:space="preserve"> (Possible</w:t>
      </w:r>
      <w:r w:rsidR="000B5C98">
        <w:rPr>
          <w:lang w:eastAsia="en-AU"/>
        </w:rPr>
        <w:t>-Likely</w:t>
      </w:r>
      <w:r w:rsidR="00CB4A0F">
        <w:rPr>
          <w:lang w:eastAsia="en-AU"/>
        </w:rPr>
        <w:t>, Minor)</w:t>
      </w:r>
      <w:bookmarkEnd w:id="383"/>
    </w:p>
    <w:p w14:paraId="05E2ECFC" w14:textId="2A4AE614" w:rsidR="00234921" w:rsidRDefault="00360245" w:rsidP="007B0022">
      <w:pPr>
        <w:pStyle w:val="BodyText"/>
        <w:rPr>
          <w:lang w:eastAsia="en-AU"/>
        </w:rPr>
      </w:pPr>
      <w:r>
        <w:rPr>
          <w:lang w:eastAsia="en-AU"/>
        </w:rPr>
        <w:t xml:space="preserve">Chapter 8 assigned </w:t>
      </w:r>
      <w:r w:rsidR="00A82C3B">
        <w:rPr>
          <w:lang w:eastAsia="en-AU"/>
        </w:rPr>
        <w:t xml:space="preserve">costs </w:t>
      </w:r>
      <w:r w:rsidR="00FF0985">
        <w:rPr>
          <w:lang w:eastAsia="en-AU"/>
        </w:rPr>
        <w:t xml:space="preserve">to stakeholders based on </w:t>
      </w:r>
      <w:r w:rsidR="00EA47B6">
        <w:rPr>
          <w:lang w:eastAsia="en-AU"/>
        </w:rPr>
        <w:t xml:space="preserve">the stakeholder that would initially face those costs. </w:t>
      </w:r>
      <w:r w:rsidR="00871388">
        <w:rPr>
          <w:lang w:eastAsia="en-AU"/>
        </w:rPr>
        <w:t xml:space="preserve">However, it is acknowledged that </w:t>
      </w:r>
      <w:r w:rsidR="00756754">
        <w:rPr>
          <w:lang w:eastAsia="en-AU"/>
        </w:rPr>
        <w:t xml:space="preserve">costs may be: </w:t>
      </w:r>
    </w:p>
    <w:p w14:paraId="1D47E35C" w14:textId="434E915E" w:rsidR="00756754" w:rsidRDefault="00D47768" w:rsidP="000611BA">
      <w:pPr>
        <w:pStyle w:val="ListBullet"/>
      </w:pPr>
      <w:r>
        <w:t>completely borne by that stakeholder</w:t>
      </w:r>
    </w:p>
    <w:p w14:paraId="442E5F4A" w14:textId="7A769B35" w:rsidR="00D47768" w:rsidRDefault="00D47768" w:rsidP="0007458C">
      <w:pPr>
        <w:pStyle w:val="ListBullet"/>
      </w:pPr>
      <w:r>
        <w:t xml:space="preserve">partially </w:t>
      </w:r>
      <w:r w:rsidR="007D7640">
        <w:t xml:space="preserve">or completely </w:t>
      </w:r>
      <w:r>
        <w:t xml:space="preserve">passed through to a different stakeholder (e.g., </w:t>
      </w:r>
      <w:r w:rsidR="00C47A94">
        <w:t xml:space="preserve">through price increases for </w:t>
      </w:r>
      <w:r>
        <w:t>patients)</w:t>
      </w:r>
      <w:r w:rsidR="007D7640">
        <w:t>.</w:t>
      </w:r>
    </w:p>
    <w:p w14:paraId="03B0EE74" w14:textId="5420016C" w:rsidR="009A4EB2" w:rsidRDefault="00581676" w:rsidP="007B0022">
      <w:pPr>
        <w:pStyle w:val="BodyText"/>
        <w:rPr>
          <w:lang w:eastAsia="en-AU"/>
        </w:rPr>
      </w:pPr>
      <w:r w:rsidRPr="00965705">
        <w:rPr>
          <w:b/>
          <w:bCs/>
          <w:lang w:eastAsia="en-AU"/>
        </w:rPr>
        <w:t xml:space="preserve">It is not </w:t>
      </w:r>
      <w:r w:rsidR="0097759A" w:rsidRPr="00965705">
        <w:rPr>
          <w:b/>
          <w:bCs/>
          <w:lang w:eastAsia="en-AU"/>
        </w:rPr>
        <w:t xml:space="preserve">able to be predicted in advance the </w:t>
      </w:r>
      <w:r w:rsidR="00BE6034" w:rsidRPr="00965705">
        <w:rPr>
          <w:b/>
          <w:bCs/>
          <w:lang w:eastAsia="en-AU"/>
        </w:rPr>
        <w:t xml:space="preserve">decisions that will be made by stakeholders </w:t>
      </w:r>
      <w:r w:rsidR="00AB4BD6" w:rsidRPr="00965705">
        <w:rPr>
          <w:b/>
          <w:bCs/>
          <w:lang w:eastAsia="en-AU"/>
        </w:rPr>
        <w:t xml:space="preserve">regarding </w:t>
      </w:r>
      <w:r w:rsidR="00C13E8B" w:rsidRPr="00965705">
        <w:rPr>
          <w:b/>
          <w:bCs/>
          <w:lang w:eastAsia="en-AU"/>
        </w:rPr>
        <w:t>passing through costs to patients</w:t>
      </w:r>
      <w:r w:rsidR="0054369A">
        <w:rPr>
          <w:lang w:eastAsia="en-AU"/>
        </w:rPr>
        <w:t>. However, t</w:t>
      </w:r>
      <w:r w:rsidR="007D7640">
        <w:rPr>
          <w:lang w:eastAsia="en-AU"/>
        </w:rPr>
        <w:t>he following</w:t>
      </w:r>
      <w:r w:rsidR="00817FA4">
        <w:rPr>
          <w:lang w:eastAsia="en-AU"/>
        </w:rPr>
        <w:t xml:space="preserve"> information is provided </w:t>
      </w:r>
      <w:r w:rsidR="002A7B27">
        <w:rPr>
          <w:lang w:eastAsia="en-AU"/>
        </w:rPr>
        <w:t xml:space="preserve">to contextualise </w:t>
      </w:r>
      <w:r w:rsidR="00B56B94">
        <w:rPr>
          <w:lang w:eastAsia="en-AU"/>
        </w:rPr>
        <w:t xml:space="preserve">estimated </w:t>
      </w:r>
      <w:r w:rsidR="00E84020">
        <w:rPr>
          <w:lang w:eastAsia="en-AU"/>
        </w:rPr>
        <w:t xml:space="preserve">National Registration </w:t>
      </w:r>
      <w:r w:rsidR="00B56B94">
        <w:rPr>
          <w:lang w:eastAsia="en-AU"/>
        </w:rPr>
        <w:t>costs in relation to current health system activity</w:t>
      </w:r>
      <w:r w:rsidR="00814667">
        <w:rPr>
          <w:lang w:eastAsia="en-AU"/>
        </w:rPr>
        <w:t xml:space="preserve">. </w:t>
      </w:r>
      <w:r w:rsidR="00F14B7A">
        <w:rPr>
          <w:lang w:eastAsia="en-AU"/>
        </w:rPr>
        <w:t xml:space="preserve">This is </w:t>
      </w:r>
      <w:r w:rsidR="00DA53FB">
        <w:rPr>
          <w:lang w:eastAsia="en-AU"/>
        </w:rPr>
        <w:t xml:space="preserve">accompanied by </w:t>
      </w:r>
      <w:r w:rsidR="009A5E0A">
        <w:rPr>
          <w:lang w:eastAsia="en-AU"/>
        </w:rPr>
        <w:t>preliminary estimates where possible of the magnitude of potential cost impacts</w:t>
      </w:r>
      <w:r w:rsidR="00F14B7A">
        <w:rPr>
          <w:lang w:eastAsia="en-AU"/>
        </w:rPr>
        <w:t xml:space="preserve"> </w:t>
      </w:r>
      <w:r w:rsidR="00044983">
        <w:rPr>
          <w:lang w:eastAsia="en-AU"/>
        </w:rPr>
        <w:t xml:space="preserve">to patients </w:t>
      </w:r>
      <w:r w:rsidR="00F14B7A">
        <w:rPr>
          <w:lang w:eastAsia="en-AU"/>
        </w:rPr>
        <w:t xml:space="preserve">that would correspond to </w:t>
      </w:r>
      <w:r w:rsidR="00845A09">
        <w:rPr>
          <w:lang w:eastAsia="en-AU"/>
        </w:rPr>
        <w:t>these estimated costs</w:t>
      </w:r>
      <w:r w:rsidR="00F14B7A">
        <w:rPr>
          <w:lang w:eastAsia="en-AU"/>
        </w:rPr>
        <w:t xml:space="preserve">  (i.e. if costs were to be passed through at</w:t>
      </w:r>
      <w:r w:rsidR="00270F97">
        <w:rPr>
          <w:lang w:eastAsia="en-AU"/>
        </w:rPr>
        <w:t xml:space="preserve"> a</w:t>
      </w:r>
      <w:r w:rsidR="00F14B7A">
        <w:rPr>
          <w:lang w:eastAsia="en-AU"/>
        </w:rPr>
        <w:t xml:space="preserve"> 100%</w:t>
      </w:r>
      <w:r w:rsidR="00270F97">
        <w:rPr>
          <w:lang w:eastAsia="en-AU"/>
        </w:rPr>
        <w:t xml:space="preserve"> rate</w:t>
      </w:r>
      <w:r w:rsidR="00F14B7A">
        <w:rPr>
          <w:lang w:eastAsia="en-AU"/>
        </w:rPr>
        <w:t>)</w:t>
      </w:r>
      <w:r w:rsidR="00817FA4">
        <w:rPr>
          <w:lang w:eastAsia="en-AU"/>
        </w:rPr>
        <w:t>.</w:t>
      </w:r>
      <w:r w:rsidR="007A579B">
        <w:rPr>
          <w:lang w:eastAsia="en-AU"/>
        </w:rPr>
        <w:t xml:space="preserve"> </w:t>
      </w:r>
      <w:r w:rsidR="00925FCF">
        <w:rPr>
          <w:lang w:eastAsia="en-AU"/>
        </w:rPr>
        <w:t>Please note</w:t>
      </w:r>
      <w:r w:rsidR="009A4EB2">
        <w:rPr>
          <w:lang w:eastAsia="en-AU"/>
        </w:rPr>
        <w:t>:</w:t>
      </w:r>
    </w:p>
    <w:p w14:paraId="4C03F66C" w14:textId="353C158A" w:rsidR="00E56C2A" w:rsidRDefault="00BC4D81" w:rsidP="009A4EB2">
      <w:pPr>
        <w:pStyle w:val="ListBullet"/>
      </w:pPr>
      <w:r>
        <w:t xml:space="preserve">Estimates below are based on financial regulatory costs incurred by audiologists </w:t>
      </w:r>
      <w:r w:rsidR="00B077D6">
        <w:t xml:space="preserve">(i.e. the </w:t>
      </w:r>
      <w:r w:rsidR="00E5759B">
        <w:t xml:space="preserve">orange-shaded </w:t>
      </w:r>
      <w:r w:rsidR="00590180">
        <w:t xml:space="preserve">impacts </w:t>
      </w:r>
      <w:r w:rsidR="00C61442">
        <w:t xml:space="preserve">for this stakeholder </w:t>
      </w:r>
      <w:r w:rsidR="00590180">
        <w:t xml:space="preserve">shown in </w:t>
      </w:r>
      <w:r w:rsidR="00590180">
        <w:fldChar w:fldCharType="begin"/>
      </w:r>
      <w:r w:rsidR="00590180">
        <w:instrText xml:space="preserve"> REF _Ref197948709 \h </w:instrText>
      </w:r>
      <w:r w:rsidR="00590180">
        <w:fldChar w:fldCharType="separate"/>
      </w:r>
      <w:r w:rsidR="00F32107">
        <w:t xml:space="preserve">Figure </w:t>
      </w:r>
      <w:r w:rsidR="00F32107">
        <w:rPr>
          <w:noProof/>
        </w:rPr>
        <w:t>8</w:t>
      </w:r>
      <w:r w:rsidR="00F32107">
        <w:t>.</w:t>
      </w:r>
      <w:r w:rsidR="00F32107">
        <w:rPr>
          <w:noProof/>
        </w:rPr>
        <w:t>3</w:t>
      </w:r>
      <w:r w:rsidR="00590180">
        <w:fldChar w:fldCharType="end"/>
      </w:r>
      <w:r w:rsidR="00C61442">
        <w:t>)</w:t>
      </w:r>
      <w:r w:rsidR="00C04C68">
        <w:t xml:space="preserve">. </w:t>
      </w:r>
      <w:r w:rsidR="009E270F">
        <w:t xml:space="preserve">Nil pass-through </w:t>
      </w:r>
      <w:r w:rsidR="00C47A94">
        <w:t>of costs to</w:t>
      </w:r>
      <w:r w:rsidR="00C61442">
        <w:t xml:space="preserve"> patients has been assumed for</w:t>
      </w:r>
      <w:r w:rsidR="00E56C2A">
        <w:t>:</w:t>
      </w:r>
    </w:p>
    <w:p w14:paraId="2DCABCA2" w14:textId="77777777" w:rsidR="00E56C2A" w:rsidRDefault="00C61442" w:rsidP="00E56C2A">
      <w:pPr>
        <w:pStyle w:val="BulletList2Column"/>
      </w:pPr>
      <w:r>
        <w:t xml:space="preserve">implementation costs </w:t>
      </w:r>
      <w:r w:rsidR="00354F63">
        <w:t>borne by government</w:t>
      </w:r>
    </w:p>
    <w:p w14:paraId="763C79C5" w14:textId="77777777" w:rsidR="00A66E97" w:rsidRDefault="00E56C2A" w:rsidP="00E56C2A">
      <w:pPr>
        <w:pStyle w:val="BulletList2Column"/>
      </w:pPr>
      <w:r>
        <w:t xml:space="preserve">costs </w:t>
      </w:r>
      <w:r w:rsidR="00381B59">
        <w:t>borne</w:t>
      </w:r>
      <w:r>
        <w:t xml:space="preserve"> by employers (nil financial costs have been estimated for this stakeholder, and economic costs </w:t>
      </w:r>
      <w:r w:rsidR="00434AC6">
        <w:t xml:space="preserve">are considered too indirect </w:t>
      </w:r>
      <w:r w:rsidR="002B107C">
        <w:t>to use for this purpose)</w:t>
      </w:r>
    </w:p>
    <w:p w14:paraId="7FB48EA8" w14:textId="00567BC2" w:rsidR="006654D2" w:rsidRDefault="00F34CDC" w:rsidP="0007458C">
      <w:pPr>
        <w:pStyle w:val="BulletList2Column"/>
      </w:pPr>
      <w:r>
        <w:t>accreditation costs borne by universities</w:t>
      </w:r>
      <w:r w:rsidR="002B107C">
        <w:t>.</w:t>
      </w:r>
    </w:p>
    <w:p w14:paraId="01F07C27" w14:textId="31A46AD4" w:rsidR="007D7640" w:rsidRDefault="009A4EB2" w:rsidP="0007458C">
      <w:pPr>
        <w:pStyle w:val="ListBullet"/>
      </w:pPr>
      <w:r>
        <w:t>F</w:t>
      </w:r>
      <w:r w:rsidR="00925FCF">
        <w:t xml:space="preserve">igures quoted in this section are in </w:t>
      </w:r>
      <w:r w:rsidR="006068B9">
        <w:t xml:space="preserve">FY25 </w:t>
      </w:r>
      <w:r w:rsidR="00925FCF">
        <w:t>real</w:t>
      </w:r>
      <w:r w:rsidR="00030362">
        <w:t>, undiscounted terms as the closest approximation to how costs would be</w:t>
      </w:r>
      <w:r w:rsidR="00277CB4">
        <w:t xml:space="preserve"> eventually experienced </w:t>
      </w:r>
      <w:r w:rsidR="00901D30">
        <w:t xml:space="preserve">(i.e. </w:t>
      </w:r>
      <w:r w:rsidR="0072769C">
        <w:t xml:space="preserve">in </w:t>
      </w:r>
      <w:r w:rsidR="00277CB4">
        <w:t>nominal, undiscounted terms).</w:t>
      </w:r>
      <w:r w:rsidR="00901D30">
        <w:t xml:space="preserve"> </w:t>
      </w:r>
      <w:r w:rsidR="00CF38A4">
        <w:t>E</w:t>
      </w:r>
      <w:r w:rsidR="00382F5D">
        <w:t>stimate</w:t>
      </w:r>
      <w:r w:rsidR="00CF38A4">
        <w:t>s</w:t>
      </w:r>
      <w:r w:rsidR="00382F5D">
        <w:t xml:space="preserve"> of price increases </w:t>
      </w:r>
      <w:r w:rsidR="005517B8" w:rsidRPr="0007458C">
        <w:rPr>
          <w:i/>
          <w:iCs/>
        </w:rPr>
        <w:t xml:space="preserve">as they would be </w:t>
      </w:r>
      <w:r w:rsidR="00382F5D" w:rsidRPr="0007458C">
        <w:rPr>
          <w:i/>
          <w:iCs/>
        </w:rPr>
        <w:t xml:space="preserve">experienced by patients </w:t>
      </w:r>
      <w:r w:rsidR="00CF38A4" w:rsidRPr="0007458C">
        <w:rPr>
          <w:i/>
          <w:iCs/>
        </w:rPr>
        <w:t>in FY29</w:t>
      </w:r>
      <w:r w:rsidR="00CF38A4">
        <w:t xml:space="preserve"> </w:t>
      </w:r>
      <w:r w:rsidR="00382F5D">
        <w:t xml:space="preserve">once Option 7 </w:t>
      </w:r>
      <w:r w:rsidR="00CF38A4">
        <w:t>is operational</w:t>
      </w:r>
      <w:r w:rsidR="00382F5D">
        <w:t xml:space="preserve"> would </w:t>
      </w:r>
      <w:r w:rsidR="00B53CF7">
        <w:t>need to have</w:t>
      </w:r>
      <w:r w:rsidR="00333D50">
        <w:t xml:space="preserve"> inflation added for the intervening years between FY25 and FY29</w:t>
      </w:r>
      <w:r w:rsidR="00DC0958">
        <w:t>.</w:t>
      </w:r>
    </w:p>
    <w:p w14:paraId="28F0EF9C" w14:textId="65D06C83" w:rsidR="003209F0" w:rsidRDefault="002525B6" w:rsidP="0007458C">
      <w:pPr>
        <w:pStyle w:val="BodyText"/>
      </w:pPr>
      <w:r w:rsidRPr="0007458C">
        <w:rPr>
          <w:b/>
          <w:bCs/>
        </w:rPr>
        <w:t>Public sector (hospital) services</w:t>
      </w:r>
      <w:r w:rsidR="00DB7AE0">
        <w:t xml:space="preserve">: </w:t>
      </w:r>
      <w:r w:rsidR="00003E17" w:rsidRPr="00003E17">
        <w:t xml:space="preserve">From the clinical personae described in </w:t>
      </w:r>
      <w:r w:rsidR="00F476B1">
        <w:fldChar w:fldCharType="begin"/>
      </w:r>
      <w:r w:rsidR="00F476B1">
        <w:instrText xml:space="preserve"> REF _Ref197950768 \h </w:instrText>
      </w:r>
      <w:r w:rsidR="00F476B1">
        <w:fldChar w:fldCharType="separate"/>
      </w:r>
      <w:r w:rsidR="00F32107">
        <w:t xml:space="preserve">Figure </w:t>
      </w:r>
      <w:r w:rsidR="00F32107">
        <w:rPr>
          <w:noProof/>
        </w:rPr>
        <w:t>7</w:t>
      </w:r>
      <w:r w:rsidR="00F32107">
        <w:t>.</w:t>
      </w:r>
      <w:r w:rsidR="00F32107">
        <w:rPr>
          <w:noProof/>
        </w:rPr>
        <w:t>3</w:t>
      </w:r>
      <w:r w:rsidR="00F476B1">
        <w:fldChar w:fldCharType="end"/>
      </w:r>
      <w:r w:rsidR="00003E17" w:rsidRPr="00003E17">
        <w:t xml:space="preserve">, Persona 1 (indigenous newborn with a suspected hearing </w:t>
      </w:r>
      <w:r w:rsidR="00F476B1">
        <w:t>condition</w:t>
      </w:r>
      <w:r w:rsidR="00003E17" w:rsidRPr="00003E17">
        <w:t>) may interact with a public sector hospital to receive diagnostic audiology services.</w:t>
      </w:r>
      <w:r w:rsidR="00003E17">
        <w:t xml:space="preserve"> </w:t>
      </w:r>
      <w:r w:rsidR="002A1F19">
        <w:t xml:space="preserve">Under the National </w:t>
      </w:r>
      <w:r w:rsidR="00482E33">
        <w:t>Health Reform Agreement,</w:t>
      </w:r>
      <w:r w:rsidR="00152448">
        <w:t xml:space="preserve"> there are strict limitations on the ability for </w:t>
      </w:r>
      <w:r w:rsidR="002C6BA3">
        <w:t xml:space="preserve">hospitals to charge out-of-pocket costs for admitted or non-admitted (Tier 2) patient services. </w:t>
      </w:r>
      <w:r w:rsidR="00C32DC8">
        <w:t xml:space="preserve">Due to this, it is unlikely that </w:t>
      </w:r>
      <w:r w:rsidR="00053411">
        <w:t xml:space="preserve">costs would be passed through to </w:t>
      </w:r>
      <w:r w:rsidR="00407EB6">
        <w:t>the patient</w:t>
      </w:r>
      <w:r w:rsidR="00053411">
        <w:t xml:space="preserve"> directly. </w:t>
      </w:r>
      <w:r w:rsidR="00147DCE">
        <w:t>Instead, to</w:t>
      </w:r>
      <w:r w:rsidR="00011D80">
        <w:t xml:space="preserve"> the extent that public sector audiologist</w:t>
      </w:r>
      <w:r w:rsidR="00E45F77">
        <w:t xml:space="preserve">s </w:t>
      </w:r>
      <w:r w:rsidR="009F741B">
        <w:t>seek higher wages under enterprise bargaining agreements</w:t>
      </w:r>
      <w:r w:rsidR="008F1BC4">
        <w:t xml:space="preserve"> </w:t>
      </w:r>
      <w:r w:rsidR="00F541A9">
        <w:t xml:space="preserve">to </w:t>
      </w:r>
      <w:r w:rsidR="00CA35AB">
        <w:t>recognise the financial impact of registration</w:t>
      </w:r>
      <w:r w:rsidR="009F741B">
        <w:t>, these costs would be passed through to governmen</w:t>
      </w:r>
      <w:r w:rsidR="00AC6153">
        <w:t>t</w:t>
      </w:r>
      <w:r w:rsidR="00350396">
        <w:t>, and</w:t>
      </w:r>
      <w:r w:rsidR="00AC6153">
        <w:t xml:space="preserve"> reflected in the hospital costing data </w:t>
      </w:r>
      <w:r w:rsidR="00AB66C2">
        <w:t>use</w:t>
      </w:r>
      <w:r w:rsidR="00F27E7F">
        <w:t>d</w:t>
      </w:r>
      <w:r w:rsidR="00AB66C2">
        <w:t xml:space="preserve"> to calculate </w:t>
      </w:r>
      <w:r w:rsidR="00053411">
        <w:t xml:space="preserve">government </w:t>
      </w:r>
      <w:r w:rsidR="00AB66C2">
        <w:t>funding</w:t>
      </w:r>
      <w:r w:rsidR="00F27E7F">
        <w:t xml:space="preserve"> for services</w:t>
      </w:r>
      <w:r w:rsidR="00AB66C2">
        <w:t>.</w:t>
      </w:r>
      <w:r w:rsidR="00AE63CE">
        <w:rPr>
          <w:rStyle w:val="FootnoteReference"/>
        </w:rPr>
        <w:footnoteReference w:id="288"/>
      </w:r>
      <w:r w:rsidR="001E6712">
        <w:t xml:space="preserve"> </w:t>
      </w:r>
    </w:p>
    <w:p w14:paraId="18D8EC1B" w14:textId="65039AC4" w:rsidR="002E0D81" w:rsidRDefault="0056122A" w:rsidP="0007458C">
      <w:pPr>
        <w:pStyle w:val="BodyText"/>
      </w:pPr>
      <w:r w:rsidRPr="0007458C">
        <w:rPr>
          <w:b/>
          <w:bCs/>
        </w:rPr>
        <w:t>Hearing Services Program</w:t>
      </w:r>
      <w:r>
        <w:t xml:space="preserve">: </w:t>
      </w:r>
      <w:r w:rsidR="006E3151" w:rsidRPr="00003E17">
        <w:t xml:space="preserve">From the clinical personae described in </w:t>
      </w:r>
      <w:r w:rsidR="006E3151">
        <w:fldChar w:fldCharType="begin"/>
      </w:r>
      <w:r w:rsidR="006E3151">
        <w:instrText xml:space="preserve"> REF _Ref197950768 \h </w:instrText>
      </w:r>
      <w:r w:rsidR="006E3151">
        <w:fldChar w:fldCharType="separate"/>
      </w:r>
      <w:r w:rsidR="00F32107">
        <w:t xml:space="preserve">Figure </w:t>
      </w:r>
      <w:r w:rsidR="00F32107">
        <w:rPr>
          <w:noProof/>
        </w:rPr>
        <w:t>7</w:t>
      </w:r>
      <w:r w:rsidR="00F32107">
        <w:t>.</w:t>
      </w:r>
      <w:r w:rsidR="00F32107">
        <w:rPr>
          <w:noProof/>
        </w:rPr>
        <w:t>3</w:t>
      </w:r>
      <w:r w:rsidR="006E3151">
        <w:fldChar w:fldCharType="end"/>
      </w:r>
      <w:r w:rsidR="006E3151" w:rsidRPr="00003E17">
        <w:t xml:space="preserve">, Persona </w:t>
      </w:r>
      <w:r w:rsidR="0013532D">
        <w:t>4</w:t>
      </w:r>
      <w:r w:rsidR="006E3151" w:rsidRPr="00003E17">
        <w:t xml:space="preserve"> (</w:t>
      </w:r>
      <w:r w:rsidR="0013532D">
        <w:t>elderly person with dementia and a suspected hearing condition</w:t>
      </w:r>
      <w:r w:rsidR="006E3151" w:rsidRPr="00003E17">
        <w:t xml:space="preserve">) may interact with </w:t>
      </w:r>
      <w:r w:rsidR="0013532D">
        <w:t>the Hearing Services Program</w:t>
      </w:r>
      <w:r w:rsidR="006E3151" w:rsidRPr="00003E17">
        <w:t>.</w:t>
      </w:r>
      <w:r w:rsidR="006E3151">
        <w:t xml:space="preserve"> </w:t>
      </w:r>
      <w:r w:rsidR="00684CBA">
        <w:t xml:space="preserve">The extent to which </w:t>
      </w:r>
      <w:r w:rsidR="002B3FB4">
        <w:t>financial regulatory</w:t>
      </w:r>
      <w:r w:rsidR="00684CBA">
        <w:t xml:space="preserve"> </w:t>
      </w:r>
      <w:r w:rsidR="00BF2153">
        <w:t>costs</w:t>
      </w:r>
      <w:r w:rsidR="002B3FB4">
        <w:t xml:space="preserve"> faced by audiologists</w:t>
      </w:r>
      <w:r w:rsidR="00BF2153">
        <w:t xml:space="preserve"> </w:t>
      </w:r>
      <w:r w:rsidR="00E04E33">
        <w:t>may be</w:t>
      </w:r>
      <w:r w:rsidR="00BF2153">
        <w:t xml:space="preserve"> passed through </w:t>
      </w:r>
      <w:r w:rsidR="00684CBA">
        <w:t xml:space="preserve">to </w:t>
      </w:r>
      <w:r w:rsidR="00E04E33">
        <w:t>patients</w:t>
      </w:r>
      <w:r w:rsidR="00684CBA">
        <w:t xml:space="preserve"> </w:t>
      </w:r>
      <w:r w:rsidR="006015C5">
        <w:t xml:space="preserve">under the Hearing Services Program </w:t>
      </w:r>
      <w:r w:rsidR="00E765BD">
        <w:t>is</w:t>
      </w:r>
      <w:r w:rsidR="006015C5">
        <w:t xml:space="preserve"> outlined below.</w:t>
      </w:r>
      <w:r w:rsidR="000C7F2B">
        <w:t xml:space="preserve"> For the </w:t>
      </w:r>
      <w:r w:rsidR="00DC2FE4">
        <w:t>v</w:t>
      </w:r>
      <w:r w:rsidR="000C7F2B">
        <w:t xml:space="preserve">oucher </w:t>
      </w:r>
      <w:r w:rsidR="00DC2FE4">
        <w:t>s</w:t>
      </w:r>
      <w:r w:rsidR="000C7F2B">
        <w:t>tream:</w:t>
      </w:r>
      <w:r w:rsidR="006015C5">
        <w:t xml:space="preserve"> </w:t>
      </w:r>
    </w:p>
    <w:p w14:paraId="030DA18E" w14:textId="38E562EC" w:rsidR="00EF2B55" w:rsidRDefault="00A71392" w:rsidP="0007458C">
      <w:pPr>
        <w:pStyle w:val="ListBullet"/>
      </w:pPr>
      <w:r>
        <w:t xml:space="preserve">Consumers that elect to purchase a partially subsidised </w:t>
      </w:r>
      <w:r w:rsidR="00450DAC">
        <w:t xml:space="preserve">hearing </w:t>
      </w:r>
      <w:r>
        <w:t xml:space="preserve">device could face increased out-of-pocket </w:t>
      </w:r>
      <w:r w:rsidR="004B66E6">
        <w:t>fees</w:t>
      </w:r>
      <w:r>
        <w:t xml:space="preserve">, which are set at the discretion of the </w:t>
      </w:r>
      <w:r w:rsidR="00D50BCB">
        <w:t>service provider</w:t>
      </w:r>
      <w:r>
        <w:t xml:space="preserve">. Here, it is noted that </w:t>
      </w:r>
      <w:r w:rsidR="00D42077">
        <w:t>consumers have the decision-making power to purchase a fully subsidised device</w:t>
      </w:r>
      <w:r w:rsidR="004B66E6">
        <w:t xml:space="preserve"> instead</w:t>
      </w:r>
      <w:r w:rsidR="00D42077">
        <w:t>, which would not</w:t>
      </w:r>
      <w:r w:rsidR="00450DAC">
        <w:t xml:space="preserve"> attract out-of-pocket fees</w:t>
      </w:r>
      <w:r w:rsidR="00A64DB0">
        <w:t xml:space="preserve"> for the device purchase</w:t>
      </w:r>
      <w:r w:rsidR="00450DAC">
        <w:t>.</w:t>
      </w:r>
      <w:r w:rsidR="0007439D">
        <w:t xml:space="preserve"> </w:t>
      </w:r>
    </w:p>
    <w:p w14:paraId="13648CC1" w14:textId="22D8CB9F" w:rsidR="004E720F" w:rsidRDefault="00F840E7" w:rsidP="0007458C">
      <w:pPr>
        <w:pStyle w:val="ListBullet"/>
      </w:pPr>
      <w:r>
        <w:t>Excluding device purchases</w:t>
      </w:r>
      <w:r w:rsidR="000C7F2B">
        <w:t>,</w:t>
      </w:r>
      <w:r>
        <w:t xml:space="preserve"> </w:t>
      </w:r>
      <w:r w:rsidR="00C226E9">
        <w:t xml:space="preserve">one of the other </w:t>
      </w:r>
      <w:r w:rsidR="000E1797">
        <w:t xml:space="preserve">major areas of Program-related fees is the maintenance agreement. </w:t>
      </w:r>
      <w:r w:rsidR="004153FE">
        <w:t>For patients that elect to purchase a partially-subsidised device, the annual maintenance co</w:t>
      </w:r>
      <w:r w:rsidR="00714334">
        <w:t xml:space="preserve">-payment paid by the patient is negotiated between the patient and the </w:t>
      </w:r>
      <w:r w:rsidR="00FB1975">
        <w:t xml:space="preserve">service </w:t>
      </w:r>
      <w:r w:rsidR="00714334">
        <w:t xml:space="preserve">provider. </w:t>
      </w:r>
      <w:r w:rsidR="000E1797">
        <w:t xml:space="preserve">For </w:t>
      </w:r>
      <w:r w:rsidR="006F78AC">
        <w:t>patients that elect to purchase a fully-subsidised device, the annual maintenance</w:t>
      </w:r>
      <w:r w:rsidR="004153FE">
        <w:t xml:space="preserve"> co-payment is</w:t>
      </w:r>
      <w:r w:rsidR="007E4F43">
        <w:t xml:space="preserve"> </w:t>
      </w:r>
      <w:r w:rsidR="00891FD8">
        <w:t xml:space="preserve">set annually by the Australian Government </w:t>
      </w:r>
      <w:r w:rsidR="007E4F43">
        <w:t>in the Schedule of Service Item and Fees</w:t>
      </w:r>
      <w:r w:rsidR="000C7F2B">
        <w:t xml:space="preserve">, </w:t>
      </w:r>
      <w:r w:rsidR="007C0EE8">
        <w:t>which</w:t>
      </w:r>
      <w:r w:rsidR="00F96900">
        <w:t xml:space="preserve"> </w:t>
      </w:r>
      <w:r w:rsidR="000C7F2B">
        <w:t xml:space="preserve">is </w:t>
      </w:r>
      <w:r w:rsidR="00F96900">
        <w:t>based on external stakeholder feedback and internal reviews</w:t>
      </w:r>
      <w:r w:rsidR="00822FE9">
        <w:t>.</w:t>
      </w:r>
    </w:p>
    <w:p w14:paraId="60061AB2" w14:textId="06BA6FFB" w:rsidR="009E2D35" w:rsidRDefault="00407C3E" w:rsidP="0007458C">
      <w:pPr>
        <w:pStyle w:val="BodyText"/>
      </w:pPr>
      <w:r>
        <w:t xml:space="preserve">For the Community Services Obligations </w:t>
      </w:r>
      <w:r w:rsidR="00EC26B2">
        <w:t xml:space="preserve">stream, </w:t>
      </w:r>
      <w:r w:rsidR="003F7BF4">
        <w:t>s</w:t>
      </w:r>
      <w:r w:rsidR="007C0EE8">
        <w:t xml:space="preserve">pecified products and services are provided to consumers </w:t>
      </w:r>
      <w:r w:rsidR="00EC26B2">
        <w:t>without any out-of-pocket fees</w:t>
      </w:r>
      <w:r w:rsidR="00624D54">
        <w:t xml:space="preserve">. It is </w:t>
      </w:r>
      <w:r w:rsidR="003F7BF4">
        <w:t xml:space="preserve">noted </w:t>
      </w:r>
      <w:r w:rsidR="003C0179">
        <w:t>the eligibility criteria for this</w:t>
      </w:r>
      <w:r w:rsidR="00624D54">
        <w:t xml:space="preserve"> stream includes a number of priority population groups and price-sensitive consumers.</w:t>
      </w:r>
      <w:r w:rsidR="00181AF4">
        <w:t xml:space="preserve"> </w:t>
      </w:r>
    </w:p>
    <w:p w14:paraId="65184A96" w14:textId="726968C2" w:rsidR="002925A5" w:rsidRDefault="00DC2FE4" w:rsidP="00E72D05">
      <w:pPr>
        <w:pStyle w:val="BodyText"/>
      </w:pPr>
      <w:r>
        <w:t>Hence, financial regulatory costs</w:t>
      </w:r>
      <w:r w:rsidR="001C72C0">
        <w:t xml:space="preserve"> faced by private sector audiologists</w:t>
      </w:r>
      <w:r>
        <w:t xml:space="preserve"> may be</w:t>
      </w:r>
      <w:r w:rsidR="002925A5">
        <w:t xml:space="preserve">: </w:t>
      </w:r>
    </w:p>
    <w:p w14:paraId="7B9412CC" w14:textId="1C500077" w:rsidR="002925A5" w:rsidRDefault="00DC2FE4" w:rsidP="0007458C">
      <w:pPr>
        <w:pStyle w:val="ListBullet"/>
        <w:numPr>
          <w:ilvl w:val="0"/>
          <w:numId w:val="85"/>
        </w:numPr>
      </w:pPr>
      <w:r>
        <w:t>passed through to patients</w:t>
      </w:r>
      <w:r w:rsidR="00B93D35">
        <w:t xml:space="preserve"> </w:t>
      </w:r>
      <w:r w:rsidR="00314134">
        <w:t xml:space="preserve">at the service provider’s discretion </w:t>
      </w:r>
      <w:r w:rsidR="00B93D35">
        <w:t>as increased out-of-pocket fees</w:t>
      </w:r>
      <w:r w:rsidR="00DD31AE">
        <w:t xml:space="preserve"> </w:t>
      </w:r>
      <w:r>
        <w:t>(</w:t>
      </w:r>
      <w:r w:rsidR="00E72D05">
        <w:t xml:space="preserve">more </w:t>
      </w:r>
      <w:r>
        <w:t>likely for those purchasing partially-subsidised devices)</w:t>
      </w:r>
    </w:p>
    <w:p w14:paraId="26C2A0C6" w14:textId="6AD841F6" w:rsidR="00DC2FE4" w:rsidRDefault="00E72D05" w:rsidP="0007458C">
      <w:pPr>
        <w:pStyle w:val="ListBullet"/>
        <w:numPr>
          <w:ilvl w:val="0"/>
          <w:numId w:val="85"/>
        </w:numPr>
      </w:pPr>
      <w:r>
        <w:t>passed through to government</w:t>
      </w:r>
      <w:r w:rsidR="00B02F30">
        <w:t xml:space="preserve"> as </w:t>
      </w:r>
      <w:r w:rsidR="00B30CD8">
        <w:t>higher item fees paid</w:t>
      </w:r>
      <w:r w:rsidR="00171DFD">
        <w:t xml:space="preserve"> out to service providers</w:t>
      </w:r>
      <w:r w:rsidR="00B30CD8">
        <w:t xml:space="preserve"> under </w:t>
      </w:r>
      <w:r w:rsidR="00B02F30">
        <w:t xml:space="preserve">the </w:t>
      </w:r>
      <w:r w:rsidR="00EE4714">
        <w:t>Hearing Services Program</w:t>
      </w:r>
      <w:r w:rsidR="00686E65">
        <w:t xml:space="preserve"> (Schedule of Service Items and Fees)</w:t>
      </w:r>
      <w:r w:rsidR="009A2B0F">
        <w:t xml:space="preserve">, </w:t>
      </w:r>
      <w:r w:rsidR="00171DFD">
        <w:t xml:space="preserve">given the </w:t>
      </w:r>
      <w:r w:rsidR="00460BB5">
        <w:t xml:space="preserve">service </w:t>
      </w:r>
      <w:r w:rsidR="00171DFD">
        <w:t xml:space="preserve">provider-government stakeholder consultation </w:t>
      </w:r>
      <w:r w:rsidR="00A40CB2">
        <w:t>process to determine fees</w:t>
      </w:r>
    </w:p>
    <w:p w14:paraId="225CF4E0" w14:textId="1C56F671" w:rsidR="001C72C0" w:rsidRDefault="001C72C0" w:rsidP="0007458C">
      <w:pPr>
        <w:pStyle w:val="ListBullet"/>
        <w:numPr>
          <w:ilvl w:val="0"/>
          <w:numId w:val="85"/>
        </w:numPr>
      </w:pPr>
      <w:r>
        <w:t>passed through to government</w:t>
      </w:r>
      <w:r w:rsidR="00295889">
        <w:t xml:space="preserve"> </w:t>
      </w:r>
      <w:r w:rsidR="007E2EBF">
        <w:t>as described above, but</w:t>
      </w:r>
      <w:r w:rsidR="00295889">
        <w:t xml:space="preserve"> ultimately </w:t>
      </w:r>
      <w:r w:rsidR="00D62C12">
        <w:t>borne</w:t>
      </w:r>
      <w:r w:rsidR="00295889">
        <w:t xml:space="preserve"> by patients</w:t>
      </w:r>
      <w:r w:rsidR="007E2EBF">
        <w:t xml:space="preserve"> for </w:t>
      </w:r>
      <w:r w:rsidR="00686E65">
        <w:t xml:space="preserve">schedule </w:t>
      </w:r>
      <w:r w:rsidR="005E1113">
        <w:t>items that specify the patient</w:t>
      </w:r>
      <w:r w:rsidR="000C3447">
        <w:t xml:space="preserve"> co-payment </w:t>
      </w:r>
      <w:r w:rsidR="00295889">
        <w:t>(e.g., the annual maintenance co-paymen</w:t>
      </w:r>
      <w:r w:rsidR="00D62C12">
        <w:t>t</w:t>
      </w:r>
      <w:r w:rsidR="00846C3D">
        <w:t xml:space="preserve"> for fully-subsidised devices</w:t>
      </w:r>
      <w:r w:rsidR="007508BF">
        <w:t>).</w:t>
      </w:r>
    </w:p>
    <w:p w14:paraId="5593FED4" w14:textId="13794278" w:rsidR="0001379B" w:rsidRDefault="0001379B" w:rsidP="0001379B">
      <w:pPr>
        <w:pStyle w:val="BodyText"/>
      </w:pPr>
      <w:r>
        <w:t>In FY29</w:t>
      </w:r>
      <w:r w:rsidR="00EC4C44">
        <w:t>,</w:t>
      </w:r>
      <w:r>
        <w:t xml:space="preserve"> the private sector share of financial regulatory costs faced by audiologists is broadly estimated </w:t>
      </w:r>
      <w:r w:rsidR="0092555D">
        <w:t>using</w:t>
      </w:r>
      <w:r w:rsidR="007465E1">
        <w:t xml:space="preserve"> </w:t>
      </w:r>
      <w:r w:rsidR="000607DA">
        <w:t xml:space="preserve">the </w:t>
      </w:r>
      <w:r w:rsidR="001F7944">
        <w:t xml:space="preserve">total value of financial regulatory costs faced by audiologists </w:t>
      </w:r>
      <w:r w:rsidR="00D73E60">
        <w:t>in FY29 (FY25 real undiscounted terms)</w:t>
      </w:r>
      <w:r w:rsidR="00884981">
        <w:t>,</w:t>
      </w:r>
      <w:r w:rsidR="00D73E60">
        <w:t xml:space="preserve"> and the </w:t>
      </w:r>
      <w:r w:rsidR="007465E1">
        <w:t>private sector share of the workforce</w:t>
      </w:r>
      <w:r w:rsidR="005F362C">
        <w:t xml:space="preserve"> (89%)</w:t>
      </w:r>
      <w:r w:rsidR="00D8396A">
        <w:rPr>
          <w:rStyle w:val="FootnoteReference"/>
        </w:rPr>
        <w:footnoteReference w:id="289"/>
      </w:r>
      <w:r w:rsidR="00884981">
        <w:t>. This</w:t>
      </w:r>
      <w:r w:rsidR="00EC4C44" w:rsidRPr="00EC4C44">
        <w:t xml:space="preserve"> </w:t>
      </w:r>
      <w:r w:rsidR="00884981">
        <w:t>results</w:t>
      </w:r>
      <w:r w:rsidR="00B474B5">
        <w:t xml:space="preserve"> in a</w:t>
      </w:r>
      <w:r w:rsidR="009E248E">
        <w:t>n</w:t>
      </w:r>
      <w:r w:rsidR="00B474B5">
        <w:t xml:space="preserve"> estimate</w:t>
      </w:r>
      <w:r w:rsidR="00EC4C44" w:rsidRPr="00EC4C44">
        <w:t xml:space="preserve"> </w:t>
      </w:r>
      <w:r w:rsidR="00B33A4E">
        <w:t>of</w:t>
      </w:r>
      <w:r w:rsidR="00EC4C44" w:rsidRPr="00EC4C44">
        <w:t xml:space="preserve"> </w:t>
      </w:r>
      <w:r w:rsidR="00E76815" w:rsidRPr="00E76815">
        <w:t xml:space="preserve">$2,330,608 </w:t>
      </w:r>
      <w:r w:rsidR="00EC4C44" w:rsidRPr="00EC4C44">
        <w:t>(FY25, real undiscounted terms).</w:t>
      </w:r>
    </w:p>
    <w:p w14:paraId="2F5298D2" w14:textId="5AF698FB" w:rsidR="00CE2FC6" w:rsidRDefault="00CE2FC6" w:rsidP="0001379B">
      <w:pPr>
        <w:pStyle w:val="BodyText"/>
      </w:pPr>
      <w:bookmarkStart w:id="385" w:name="_Hlk197956435"/>
      <w:r>
        <w:t>A</w:t>
      </w:r>
      <w:r w:rsidR="00C0001C">
        <w:t>n</w:t>
      </w:r>
      <w:r>
        <w:t xml:space="preserve"> </w:t>
      </w:r>
      <w:r w:rsidR="00A9620E">
        <w:t>illustrative</w:t>
      </w:r>
      <w:r>
        <w:t xml:space="preserve"> </w:t>
      </w:r>
      <w:r w:rsidR="00A9620E">
        <w:t>example</w:t>
      </w:r>
      <w:r>
        <w:t xml:space="preserve"> of impacts to patient out-of-pocket fees is </w:t>
      </w:r>
      <w:r w:rsidR="00A9620E">
        <w:t>estimated as follows:</w:t>
      </w:r>
    </w:p>
    <w:p w14:paraId="4C9B1A70" w14:textId="692A8F9F" w:rsidR="00A9620E" w:rsidRDefault="00C652E5" w:rsidP="00A9620E">
      <w:pPr>
        <w:pStyle w:val="ListBullet"/>
      </w:pPr>
      <w:r>
        <w:t xml:space="preserve">financial regulatory costs to private sector audiologists </w:t>
      </w:r>
      <w:r w:rsidR="00265BE6">
        <w:t xml:space="preserve">that impact the Hearing Services Program is proportional to the percentage of private sector audiologists that </w:t>
      </w:r>
      <w:r w:rsidR="00A70092">
        <w:t>provide services under the Hearing Services Program</w:t>
      </w:r>
    </w:p>
    <w:p w14:paraId="12821EC9" w14:textId="51E8BE2A" w:rsidR="00AE41FE" w:rsidRDefault="00A70092" w:rsidP="0007458C">
      <w:pPr>
        <w:pStyle w:val="ListBullet"/>
      </w:pPr>
      <w:r>
        <w:t xml:space="preserve">costs are passed through via </w:t>
      </w:r>
      <w:r w:rsidR="00D36A51">
        <w:t xml:space="preserve">channel </w:t>
      </w:r>
      <w:r w:rsidR="00310BAF">
        <w:t>a) described above</w:t>
      </w:r>
      <w:r w:rsidR="00D36A51">
        <w:t xml:space="preserve">, </w:t>
      </w:r>
      <w:r w:rsidR="00310BAF">
        <w:t xml:space="preserve">specifically out-of-pocket fees paid by patients </w:t>
      </w:r>
      <w:r w:rsidR="00AE41FE">
        <w:t xml:space="preserve">newly </w:t>
      </w:r>
      <w:r w:rsidR="00570CB4">
        <w:t>purchasing a partially-subsidised device</w:t>
      </w:r>
      <w:r w:rsidR="00301553">
        <w:t>.</w:t>
      </w:r>
    </w:p>
    <w:bookmarkEnd w:id="385"/>
    <w:p w14:paraId="32C204C9" w14:textId="1BB6C02D" w:rsidR="009127B2" w:rsidRDefault="00851A61" w:rsidP="0001379B">
      <w:pPr>
        <w:pStyle w:val="BodyText"/>
      </w:pPr>
      <w:r>
        <w:t xml:space="preserve">Based on </w:t>
      </w:r>
      <w:r w:rsidR="00943EBF">
        <w:t xml:space="preserve">FY24 </w:t>
      </w:r>
      <w:r>
        <w:t xml:space="preserve">HSP data </w:t>
      </w:r>
      <w:r w:rsidR="00931D17">
        <w:t>for the number of audiologists with a QP number, when applying this to</w:t>
      </w:r>
      <w:r w:rsidR="00943EBF">
        <w:t xml:space="preserve"> Decision RIS workforce projections it is estimated that</w:t>
      </w:r>
      <w:r w:rsidR="00FA4542">
        <w:t xml:space="preserve"> </w:t>
      </w:r>
      <w:r w:rsidR="00546F33">
        <w:t>68</w:t>
      </w:r>
      <w:r w:rsidR="00FA4542">
        <w:t xml:space="preserve">% </w:t>
      </w:r>
      <w:r w:rsidR="00943EBF">
        <w:t xml:space="preserve">of the </w:t>
      </w:r>
      <w:r w:rsidR="00FA4542">
        <w:t>private sector audiolog</w:t>
      </w:r>
      <w:r w:rsidR="00076233">
        <w:t>ist workforce</w:t>
      </w:r>
      <w:r w:rsidR="00DE17B3">
        <w:t xml:space="preserve"> provides services under the HSP. </w:t>
      </w:r>
      <w:r w:rsidR="009127B2">
        <w:t xml:space="preserve">Hence, the </w:t>
      </w:r>
      <w:r w:rsidR="00413327">
        <w:t xml:space="preserve">financial regulatory costs faced by </w:t>
      </w:r>
      <w:r w:rsidR="00280B13">
        <w:t xml:space="preserve">private sector </w:t>
      </w:r>
      <w:r w:rsidR="00413327">
        <w:t>audiologists</w:t>
      </w:r>
      <w:r w:rsidR="001D50DA">
        <w:t xml:space="preserve"> that may be ‘allocated’ to the HSP</w:t>
      </w:r>
      <w:r w:rsidR="00413327">
        <w:t xml:space="preserve"> </w:t>
      </w:r>
      <w:r w:rsidR="001D50DA">
        <w:t>is</w:t>
      </w:r>
      <w:r w:rsidR="00413327">
        <w:t xml:space="preserve"> estimated at </w:t>
      </w:r>
      <w:r w:rsidR="00280B13" w:rsidRPr="00280B13">
        <w:t>$1,592,61</w:t>
      </w:r>
      <w:r w:rsidR="00280B13">
        <w:t>9 (FY25 real</w:t>
      </w:r>
      <w:r w:rsidR="00B71AED">
        <w:t>,</w:t>
      </w:r>
      <w:r w:rsidR="00280B13">
        <w:t xml:space="preserve"> undiscounted). </w:t>
      </w:r>
    </w:p>
    <w:p w14:paraId="140182C4" w14:textId="42D64FD9" w:rsidR="007C0EE8" w:rsidRDefault="00B23EB4" w:rsidP="0007458C">
      <w:pPr>
        <w:pStyle w:val="BodyText"/>
      </w:pPr>
      <w:r>
        <w:t>Regarding the potential number of newly purchased partially-subsidised devices</w:t>
      </w:r>
      <w:r w:rsidR="00F9099B">
        <w:t>:</w:t>
      </w:r>
    </w:p>
    <w:p w14:paraId="7F8244F1" w14:textId="7DD006F3" w:rsidR="00616B26" w:rsidRDefault="00397FBB" w:rsidP="00616B26">
      <w:pPr>
        <w:pStyle w:val="BulletList2Column"/>
      </w:pPr>
      <w:r>
        <w:t xml:space="preserve">in FY24 </w:t>
      </w:r>
      <w:r w:rsidR="001E2FB0">
        <w:t xml:space="preserve">there were </w:t>
      </w:r>
      <w:r w:rsidR="00DF4E6C">
        <w:t>197,</w:t>
      </w:r>
      <w:r w:rsidR="00DE3510">
        <w:t>062</w:t>
      </w:r>
      <w:r w:rsidR="00616B26">
        <w:t xml:space="preserve"> </w:t>
      </w:r>
      <w:r w:rsidR="00207590">
        <w:t>fittings conducted</w:t>
      </w:r>
      <w:r>
        <w:rPr>
          <w:rStyle w:val="FootnoteReference"/>
        </w:rPr>
        <w:footnoteReference w:id="290"/>
      </w:r>
    </w:p>
    <w:p w14:paraId="21EB05DD" w14:textId="1D5B13C0" w:rsidR="00912744" w:rsidRDefault="00A702B9" w:rsidP="0007458C">
      <w:pPr>
        <w:pStyle w:val="BulletList2Column"/>
      </w:pPr>
      <w:r>
        <w:t xml:space="preserve">between FY16 and FY20, the average annual proportion of partially-subsidised devices </w:t>
      </w:r>
      <w:r w:rsidR="00595C62">
        <w:t xml:space="preserve">issued </w:t>
      </w:r>
      <w:r w:rsidR="00D55A55">
        <w:t>was</w:t>
      </w:r>
      <w:r>
        <w:t xml:space="preserve"> </w:t>
      </w:r>
      <w:r w:rsidR="007B7A87">
        <w:t>3</w:t>
      </w:r>
      <w:r w:rsidR="00680901">
        <w:t>2</w:t>
      </w:r>
      <w:r w:rsidR="007B7A87">
        <w:t>%.</w:t>
      </w:r>
      <w:r w:rsidR="007B7A87">
        <w:rPr>
          <w:rStyle w:val="FootnoteReference"/>
        </w:rPr>
        <w:footnoteReference w:id="291"/>
      </w:r>
    </w:p>
    <w:p w14:paraId="43F1308E" w14:textId="1EF94785" w:rsidR="000D180B" w:rsidRPr="0007458C" w:rsidRDefault="00547C10" w:rsidP="0007458C">
      <w:pPr>
        <w:pStyle w:val="BodyText"/>
      </w:pPr>
      <w:r>
        <w:t>While the</w:t>
      </w:r>
      <w:r w:rsidR="009F5981">
        <w:t xml:space="preserve"> </w:t>
      </w:r>
      <w:r w:rsidR="0078185C">
        <w:t xml:space="preserve">annual </w:t>
      </w:r>
      <w:r w:rsidR="009F5981">
        <w:t xml:space="preserve">number of </w:t>
      </w:r>
      <w:r w:rsidR="00CA2BCF">
        <w:t xml:space="preserve">newly </w:t>
      </w:r>
      <w:r w:rsidR="00D72A60">
        <w:t>fitted devices is expected to increase between FY24 and FY29, cost of living pressures may change</w:t>
      </w:r>
      <w:r w:rsidR="00820D50">
        <w:t xml:space="preserve"> </w:t>
      </w:r>
      <w:r w:rsidR="00A16AFB">
        <w:t>the proportion of</w:t>
      </w:r>
      <w:r w:rsidR="00820D50">
        <w:t xml:space="preserve"> partially </w:t>
      </w:r>
      <w:r w:rsidR="00A16AFB">
        <w:t>to fully-subsidised</w:t>
      </w:r>
      <w:r w:rsidR="00820D50">
        <w:t xml:space="preserve"> device</w:t>
      </w:r>
      <w:r w:rsidR="00A16AFB">
        <w:t>s selected</w:t>
      </w:r>
      <w:r w:rsidR="00820D50">
        <w:t>.</w:t>
      </w:r>
      <w:r w:rsidR="00BA6FF4">
        <w:t xml:space="preserve"> </w:t>
      </w:r>
      <w:r w:rsidR="00F47E1C">
        <w:t>Hence, using the FY24 number of fittings</w:t>
      </w:r>
      <w:r w:rsidR="0017609F">
        <w:t xml:space="preserve">, the observed proportion of partially-subsidised </w:t>
      </w:r>
      <w:r w:rsidR="00FB2508">
        <w:t>device</w:t>
      </w:r>
      <w:r w:rsidR="0078185C">
        <w:t>s</w:t>
      </w:r>
      <w:r w:rsidR="00FB2508">
        <w:t xml:space="preserve"> purchase</w:t>
      </w:r>
      <w:r w:rsidR="008E172E">
        <w:t>d</w:t>
      </w:r>
      <w:r w:rsidR="0017609F">
        <w:t xml:space="preserve"> and the </w:t>
      </w:r>
      <w:r w:rsidR="00FB2508">
        <w:t xml:space="preserve">proportion of financial regulatory costs </w:t>
      </w:r>
      <w:r w:rsidR="001D0F02">
        <w:t>‘allocated’</w:t>
      </w:r>
      <w:r w:rsidR="00FB2508">
        <w:t xml:space="preserve"> to the Hearing Services Program, </w:t>
      </w:r>
      <w:r w:rsidR="00DF04D1">
        <w:t xml:space="preserve">if a </w:t>
      </w:r>
      <w:r w:rsidR="00FB2508">
        <w:t xml:space="preserve">100% pass-through of costs </w:t>
      </w:r>
      <w:r w:rsidR="00D14E5F">
        <w:t xml:space="preserve">to patients </w:t>
      </w:r>
      <w:r w:rsidR="00DF04D1">
        <w:t xml:space="preserve">occurred it </w:t>
      </w:r>
      <w:r w:rsidR="00D14E5F">
        <w:t xml:space="preserve">would </w:t>
      </w:r>
      <w:r w:rsidR="009E6BF9">
        <w:t>be estimated to lead to</w:t>
      </w:r>
      <w:r w:rsidR="00D14E5F">
        <w:t xml:space="preserve"> an increase of $25 </w:t>
      </w:r>
      <w:r w:rsidR="002A5A2A">
        <w:t>for a newly purchased partially-subsidised device</w:t>
      </w:r>
      <w:r w:rsidR="00D14E5F">
        <w:t>.</w:t>
      </w:r>
      <w:r w:rsidR="00820D50">
        <w:t xml:space="preserve"> This estimate </w:t>
      </w:r>
      <w:r w:rsidR="00664740">
        <w:t xml:space="preserve">should be considered within the context that between FY18 and FY20, the average </w:t>
      </w:r>
      <w:r w:rsidR="009E6BF9">
        <w:t>HSP</w:t>
      </w:r>
      <w:r w:rsidR="00664740">
        <w:t xml:space="preserve"> </w:t>
      </w:r>
      <w:r w:rsidR="008114AB">
        <w:t>client co-payment</w:t>
      </w:r>
      <w:r w:rsidR="00664740">
        <w:t xml:space="preserve"> for a partially sub</w:t>
      </w:r>
      <w:r w:rsidR="001D3ED3">
        <w:t>sidised hearing device was $1,84</w:t>
      </w:r>
      <w:r w:rsidR="00E85D0D">
        <w:t>3</w:t>
      </w:r>
      <w:r w:rsidR="001D3ED3">
        <w:t>.</w:t>
      </w:r>
      <w:r w:rsidR="001D3ED3">
        <w:rPr>
          <w:rStyle w:val="FootnoteReference"/>
        </w:rPr>
        <w:footnoteReference w:id="292"/>
      </w:r>
    </w:p>
    <w:p w14:paraId="6C4F7349" w14:textId="77777777" w:rsidR="00A838FB" w:rsidRDefault="00876B52" w:rsidP="00F50DA2">
      <w:pPr>
        <w:pStyle w:val="BodyText"/>
      </w:pPr>
      <w:r w:rsidRPr="0007458C">
        <w:rPr>
          <w:b/>
          <w:bCs/>
        </w:rPr>
        <w:t>Medicare</w:t>
      </w:r>
      <w:r>
        <w:t xml:space="preserve">: </w:t>
      </w:r>
      <w:r w:rsidR="00BE2C5E">
        <w:t>Audiologists may</w:t>
      </w:r>
      <w:r w:rsidR="003B48DF">
        <w:t xml:space="preserve"> deliver services to consumers </w:t>
      </w:r>
      <w:r w:rsidR="00CD25D9">
        <w:t xml:space="preserve">where the </w:t>
      </w:r>
      <w:r w:rsidR="003B48DF">
        <w:t xml:space="preserve">Medicare item </w:t>
      </w:r>
      <w:r w:rsidR="008015BB">
        <w:t>rebate</w:t>
      </w:r>
      <w:r w:rsidR="00CD25D9">
        <w:t xml:space="preserve"> is paid to the audiologist</w:t>
      </w:r>
      <w:r w:rsidR="008015BB">
        <w:t xml:space="preserve">, or audiologists may deliver services on behalf of a medical practitioner where the Medicare item rebate is paid to the medical practitioner. </w:t>
      </w:r>
      <w:r w:rsidR="00CD25D9">
        <w:t>In both circumstances,</w:t>
      </w:r>
      <w:r w:rsidR="00F1409E">
        <w:t xml:space="preserve"> </w:t>
      </w:r>
      <w:r w:rsidR="00771B76">
        <w:t xml:space="preserve">service providers are able to exercise discretion in whether to charge out-of-pocket </w:t>
      </w:r>
      <w:r w:rsidR="00CD25D9">
        <w:t>fees for the consumer.</w:t>
      </w:r>
      <w:r w:rsidR="00771B76">
        <w:t xml:space="preserve"> </w:t>
      </w:r>
    </w:p>
    <w:p w14:paraId="2A38D7DD" w14:textId="185BC5D8" w:rsidR="00E53FD0" w:rsidRDefault="00A838FB" w:rsidP="00E53FD0">
      <w:pPr>
        <w:pStyle w:val="BodyText"/>
      </w:pPr>
      <w:r>
        <w:t xml:space="preserve">As </w:t>
      </w:r>
      <w:r w:rsidR="005F31BB">
        <w:t>stated on the previous page</w:t>
      </w:r>
      <w:r>
        <w:t>, in</w:t>
      </w:r>
      <w:r w:rsidRPr="00EC4C44">
        <w:t xml:space="preserve"> FY29 the total </w:t>
      </w:r>
      <w:r>
        <w:t>private</w:t>
      </w:r>
      <w:r w:rsidRPr="00EC4C44">
        <w:t xml:space="preserve"> sector share of financial regulatory costs faced by audiologists is estimated at </w:t>
      </w:r>
      <w:bookmarkStart w:id="386" w:name="_Hlk197956636"/>
      <w:r w:rsidRPr="00E76815">
        <w:t xml:space="preserve">$2,330,608 </w:t>
      </w:r>
      <w:bookmarkEnd w:id="386"/>
      <w:r w:rsidRPr="00EC4C44">
        <w:t>(FY25, real undiscounted terms).</w:t>
      </w:r>
      <w:r>
        <w:t xml:space="preserve"> It is not </w:t>
      </w:r>
      <w:r w:rsidR="000768EF">
        <w:t xml:space="preserve">known the number of private sector audiologists able to claim Medicare items, and to what extent this overlaps with audiologists that also hold a QP number with the HSP. </w:t>
      </w:r>
      <w:r w:rsidR="00E53FD0">
        <w:t>Hence, an illustrative example of impacts to patient out-of-pocket fees is estimated as follows:</w:t>
      </w:r>
    </w:p>
    <w:p w14:paraId="61BDFE71" w14:textId="62C2E154" w:rsidR="00E53FD0" w:rsidRDefault="00E53FD0" w:rsidP="00E53FD0">
      <w:pPr>
        <w:pStyle w:val="ListBullet"/>
      </w:pPr>
      <w:r>
        <w:t xml:space="preserve">financial regulatory costs to private sector audiologists that </w:t>
      </w:r>
      <w:r w:rsidR="00FA30A9">
        <w:t xml:space="preserve">are passed through </w:t>
      </w:r>
      <w:r w:rsidR="00AF26BB">
        <w:t xml:space="preserve">to patients </w:t>
      </w:r>
      <w:r w:rsidR="00FA30A9">
        <w:t>as</w:t>
      </w:r>
      <w:r w:rsidR="00AF26BB">
        <w:t xml:space="preserve"> part of</w:t>
      </w:r>
      <w:r>
        <w:t xml:space="preserve"> Medicare </w:t>
      </w:r>
      <w:r w:rsidR="00AF26BB">
        <w:t xml:space="preserve">services </w:t>
      </w:r>
      <w:r>
        <w:t>is equal to the remainder of</w:t>
      </w:r>
      <w:r w:rsidR="002D7489">
        <w:t xml:space="preserve"> financial regulatory costs to private sector audiologists not </w:t>
      </w:r>
      <w:r w:rsidR="006D152B">
        <w:t xml:space="preserve">‘allocated’ to the HSP above (i.e. 32% </w:t>
      </w:r>
      <w:r w:rsidR="00D17410">
        <w:t xml:space="preserve">of </w:t>
      </w:r>
      <w:r w:rsidR="00D17410" w:rsidRPr="00D17410">
        <w:t>$2,330,608</w:t>
      </w:r>
      <w:r w:rsidR="006D152B">
        <w:t>)</w:t>
      </w:r>
    </w:p>
    <w:p w14:paraId="344ECA71" w14:textId="77777777" w:rsidR="00425450" w:rsidRDefault="00D17410" w:rsidP="00D17410">
      <w:pPr>
        <w:pStyle w:val="ListBullet"/>
      </w:pPr>
      <w:r>
        <w:t>f</w:t>
      </w:r>
      <w:r w:rsidR="0007788E">
        <w:t xml:space="preserve">rom the AIHW, </w:t>
      </w:r>
      <w:r w:rsidR="00B17E80">
        <w:t xml:space="preserve">in FY24 </w:t>
      </w:r>
      <w:r w:rsidR="00911312">
        <w:t>there were</w:t>
      </w:r>
      <w:r w:rsidR="00425450">
        <w:t>:</w:t>
      </w:r>
    </w:p>
    <w:p w14:paraId="2032BB90" w14:textId="0339ACF0" w:rsidR="00425450" w:rsidRDefault="00911312" w:rsidP="00425450">
      <w:pPr>
        <w:pStyle w:val="BulletList2Column"/>
      </w:pPr>
      <w:r>
        <w:t xml:space="preserve">165,829 </w:t>
      </w:r>
      <w:r w:rsidR="00933B7E">
        <w:t>audiology Medicare services</w:t>
      </w:r>
    </w:p>
    <w:p w14:paraId="1E8A6C69" w14:textId="493C9BD7" w:rsidR="00425450" w:rsidRDefault="00A50C69" w:rsidP="00425450">
      <w:pPr>
        <w:pStyle w:val="BulletList2Column"/>
      </w:pPr>
      <w:r>
        <w:t>$12,071,</w:t>
      </w:r>
      <w:r w:rsidR="00FF4063">
        <w:t xml:space="preserve">405 in provider fees </w:t>
      </w:r>
      <w:r w:rsidR="00425450">
        <w:t xml:space="preserve">(defined as the sum of Medicare benefits paid and </w:t>
      </w:r>
      <w:r w:rsidR="00A149B6">
        <w:t xml:space="preserve">patient out-of-pocket </w:t>
      </w:r>
      <w:r w:rsidR="007B2919">
        <w:t>fees</w:t>
      </w:r>
      <w:r w:rsidR="00A149B6">
        <w:t>)</w:t>
      </w:r>
    </w:p>
    <w:p w14:paraId="42E74B0C" w14:textId="77777777" w:rsidR="003C770D" w:rsidRDefault="00FF4063" w:rsidP="00425450">
      <w:pPr>
        <w:pStyle w:val="BulletList2Column"/>
      </w:pPr>
      <w:r>
        <w:t>$8,</w:t>
      </w:r>
      <w:r w:rsidR="00542C71">
        <w:t xml:space="preserve">006,576 Medicare benefits paid. </w:t>
      </w:r>
    </w:p>
    <w:p w14:paraId="1BFD498D" w14:textId="1E5F0921" w:rsidR="00DA61E5" w:rsidRDefault="00A30A40" w:rsidP="0007458C">
      <w:pPr>
        <w:pStyle w:val="BodyText"/>
      </w:pPr>
      <w:r>
        <w:t xml:space="preserve">Noting that </w:t>
      </w:r>
      <w:r w:rsidR="00BB2A90">
        <w:t>the Medicare services grouping</w:t>
      </w:r>
      <w:r>
        <w:t xml:space="preserve"> comprises multiple item numbers</w:t>
      </w:r>
      <w:r w:rsidR="003C770D">
        <w:rPr>
          <w:rStyle w:val="FootnoteReference"/>
        </w:rPr>
        <w:footnoteReference w:id="293"/>
      </w:r>
      <w:r>
        <w:t xml:space="preserve">, </w:t>
      </w:r>
      <w:r w:rsidR="007B2919">
        <w:t>using a simple averag</w:t>
      </w:r>
      <w:r w:rsidR="00D838D6">
        <w:t>ing</w:t>
      </w:r>
      <w:r w:rsidR="007B2919">
        <w:t xml:space="preserve"> approach it</w:t>
      </w:r>
      <w:r w:rsidR="00DA61E5">
        <w:t xml:space="preserve"> can be broadly estimated that:</w:t>
      </w:r>
    </w:p>
    <w:p w14:paraId="0D76F839" w14:textId="14BB6EA3" w:rsidR="00876B52" w:rsidRDefault="006750D6" w:rsidP="00DA61E5">
      <w:pPr>
        <w:pStyle w:val="BulletList2Column"/>
      </w:pPr>
      <w:r>
        <w:t xml:space="preserve">in FY24, </w:t>
      </w:r>
      <w:r w:rsidR="005271D5">
        <w:t xml:space="preserve">the average Medicare benefit paid per </w:t>
      </w:r>
      <w:r w:rsidR="00E8390E">
        <w:t>service</w:t>
      </w:r>
      <w:r w:rsidR="005271D5">
        <w:t xml:space="preserve"> was </w:t>
      </w:r>
      <w:r w:rsidR="00B143F3">
        <w:t>$48.28</w:t>
      </w:r>
    </w:p>
    <w:p w14:paraId="4EDAFE5E" w14:textId="1198F564" w:rsidR="005271D5" w:rsidRDefault="006750D6" w:rsidP="0007458C">
      <w:pPr>
        <w:pStyle w:val="BulletList2Column"/>
      </w:pPr>
      <w:r>
        <w:t xml:space="preserve">in FY24, </w:t>
      </w:r>
      <w:r w:rsidR="005271D5">
        <w:t xml:space="preserve">the average consumer out-of-pocket fee paid per </w:t>
      </w:r>
      <w:r w:rsidR="00E8390E">
        <w:t>service</w:t>
      </w:r>
      <w:r w:rsidR="005271D5">
        <w:t xml:space="preserve"> was </w:t>
      </w:r>
      <w:r w:rsidR="005A7FFC">
        <w:t>$2</w:t>
      </w:r>
      <w:r w:rsidR="00D43C55">
        <w:t>4.51</w:t>
      </w:r>
      <w:r w:rsidR="005271D5">
        <w:t>.</w:t>
      </w:r>
    </w:p>
    <w:p w14:paraId="002292A2" w14:textId="67433C11" w:rsidR="00D43C55" w:rsidRDefault="00FE7AEB" w:rsidP="00BB2A90">
      <w:pPr>
        <w:pStyle w:val="BodyText"/>
      </w:pPr>
      <w:r>
        <w:t xml:space="preserve">Hence, if there was conservatively assumed to be nil growth in </w:t>
      </w:r>
      <w:r w:rsidR="0000100C">
        <w:t xml:space="preserve">the volume of Medicare </w:t>
      </w:r>
      <w:r w:rsidR="00EA1B71">
        <w:t>services</w:t>
      </w:r>
      <w:r w:rsidR="0000100C">
        <w:t xml:space="preserve"> between </w:t>
      </w:r>
      <w:r w:rsidR="0086057A">
        <w:t xml:space="preserve">FY24 and FY29, </w:t>
      </w:r>
      <w:r w:rsidR="00652486">
        <w:t>if a</w:t>
      </w:r>
      <w:r w:rsidR="0086057A">
        <w:t xml:space="preserve"> 100% pass-through </w:t>
      </w:r>
      <w:r w:rsidR="00652486">
        <w:t>of costs occurred</w:t>
      </w:r>
      <w:r w:rsidR="0086057A">
        <w:t xml:space="preserve"> to patients the average increase in out-of-pocket fees </w:t>
      </w:r>
      <w:r w:rsidR="001939D3">
        <w:t xml:space="preserve">may be </w:t>
      </w:r>
      <w:r w:rsidR="00EA1B71">
        <w:t xml:space="preserve">broadly </w:t>
      </w:r>
      <w:r w:rsidR="001939D3">
        <w:t>estimated at $4</w:t>
      </w:r>
      <w:r w:rsidR="009905DC">
        <w:t xml:space="preserve"> </w:t>
      </w:r>
      <w:r w:rsidR="00995C35">
        <w:t xml:space="preserve">per Medicare service </w:t>
      </w:r>
      <w:r w:rsidR="00C66C25">
        <w:t xml:space="preserve">claimed </w:t>
      </w:r>
      <w:r w:rsidR="00254017">
        <w:t>(</w:t>
      </w:r>
      <w:r w:rsidR="001939D3">
        <w:t>FY25, real undiscounted</w:t>
      </w:r>
      <w:r w:rsidR="002405DF">
        <w:t>).</w:t>
      </w:r>
      <w:r w:rsidR="00EA1B71">
        <w:t xml:space="preserve"> Growth in the volume of Medicare services </w:t>
      </w:r>
      <w:r w:rsidR="00262133">
        <w:t xml:space="preserve">between FY24 and FY29 </w:t>
      </w:r>
      <w:r w:rsidR="00EA1B71">
        <w:t xml:space="preserve">would be expected to lower this </w:t>
      </w:r>
      <w:r w:rsidR="00262133">
        <w:t>estimate.</w:t>
      </w:r>
    </w:p>
    <w:p w14:paraId="32A429E1" w14:textId="1AC2F349" w:rsidR="007B0022" w:rsidRDefault="007B0022" w:rsidP="0007458C">
      <w:pPr>
        <w:pStyle w:val="BodyText"/>
      </w:pPr>
      <w:r w:rsidRPr="007176F0">
        <w:rPr>
          <w:b/>
          <w:bCs/>
        </w:rPr>
        <w:t>HAPEE Program and First Nations Specific Health Checks</w:t>
      </w:r>
      <w:r>
        <w:t>: The HAPEE Program is delivered at no cost to Aboriginal and Torres Strait Islander children, and First Nations Specific Health Checks may be delivered at no cost in Aboriginal Medical Services and bulk-billing clinics.</w:t>
      </w:r>
      <w:r w:rsidR="00494105">
        <w:t xml:space="preserve"> It is </w:t>
      </w:r>
      <w:r w:rsidR="002B134F">
        <w:t>considered unlikely that consumers would face increases in out-of-pocket fees through these channels.</w:t>
      </w:r>
    </w:p>
    <w:p w14:paraId="5EE77108" w14:textId="0CB91687" w:rsidR="007B0022" w:rsidRDefault="007B0022" w:rsidP="007B0022">
      <w:pPr>
        <w:pStyle w:val="BodyText"/>
        <w:rPr>
          <w:lang w:eastAsia="en-AU"/>
        </w:rPr>
      </w:pPr>
      <w:r>
        <w:rPr>
          <w:lang w:eastAsia="en-AU"/>
        </w:rPr>
        <w:t xml:space="preserve">Overall, the magnitude of potential </w:t>
      </w:r>
      <w:r w:rsidR="0050794E">
        <w:rPr>
          <w:lang w:eastAsia="en-AU"/>
        </w:rPr>
        <w:t>patient</w:t>
      </w:r>
      <w:r w:rsidR="002D627A">
        <w:rPr>
          <w:lang w:eastAsia="en-AU"/>
        </w:rPr>
        <w:t xml:space="preserve"> out-of-pocket fees</w:t>
      </w:r>
      <w:r>
        <w:rPr>
          <w:lang w:eastAsia="en-AU"/>
        </w:rPr>
        <w:t xml:space="preserve"> attributable to </w:t>
      </w:r>
      <w:r w:rsidR="00470C0E">
        <w:rPr>
          <w:lang w:eastAsia="en-AU"/>
        </w:rPr>
        <w:t>National Re</w:t>
      </w:r>
      <w:r w:rsidR="00BB7279">
        <w:rPr>
          <w:lang w:eastAsia="en-AU"/>
        </w:rPr>
        <w:t>gi</w:t>
      </w:r>
      <w:r w:rsidR="00470C0E">
        <w:rPr>
          <w:lang w:eastAsia="en-AU"/>
        </w:rPr>
        <w:t>stration</w:t>
      </w:r>
      <w:r>
        <w:rPr>
          <w:lang w:eastAsia="en-AU"/>
        </w:rPr>
        <w:t xml:space="preserve"> across the </w:t>
      </w:r>
      <w:r w:rsidR="00BB7279">
        <w:rPr>
          <w:lang w:eastAsia="en-AU"/>
        </w:rPr>
        <w:t>range and volume</w:t>
      </w:r>
      <w:r>
        <w:rPr>
          <w:lang w:eastAsia="en-AU"/>
        </w:rPr>
        <w:t xml:space="preserve"> of services provided each year is </w:t>
      </w:r>
      <w:r w:rsidR="002E3F12">
        <w:rPr>
          <w:lang w:eastAsia="en-AU"/>
        </w:rPr>
        <w:t>preliminarily considered minor</w:t>
      </w:r>
      <w:r w:rsidR="003B4ABA">
        <w:rPr>
          <w:lang w:eastAsia="en-AU"/>
        </w:rPr>
        <w:t>, however this risk requires monitoring</w:t>
      </w:r>
      <w:r w:rsidR="001E05EC">
        <w:rPr>
          <w:lang w:eastAsia="en-AU"/>
        </w:rPr>
        <w:t>.</w:t>
      </w:r>
    </w:p>
    <w:p w14:paraId="70A7BDD8" w14:textId="686B3FEC" w:rsidR="00CB4A0F" w:rsidRPr="00CB4A0F" w:rsidRDefault="007B0022" w:rsidP="0007458C">
      <w:pPr>
        <w:pStyle w:val="BodyText"/>
        <w:rPr>
          <w:lang w:eastAsia="en-AU"/>
        </w:rPr>
      </w:pPr>
      <w:r w:rsidRPr="0007458C">
        <w:rPr>
          <w:b/>
          <w:bCs/>
          <w:lang w:eastAsia="en-AU"/>
        </w:rPr>
        <w:t>Mitigation Strategy:</w:t>
      </w:r>
      <w:r>
        <w:rPr>
          <w:lang w:eastAsia="en-AU"/>
        </w:rPr>
        <w:t xml:space="preserve"> </w:t>
      </w:r>
      <w:r w:rsidR="00CE6FD9" w:rsidRPr="00CE6FD9">
        <w:rPr>
          <w:lang w:eastAsia="en-AU"/>
        </w:rPr>
        <w:t xml:space="preserve">Out-of-pocket </w:t>
      </w:r>
      <w:r w:rsidR="004913DC">
        <w:rPr>
          <w:lang w:eastAsia="en-AU"/>
        </w:rPr>
        <w:t>fees</w:t>
      </w:r>
      <w:r w:rsidR="004913DC" w:rsidRPr="00CE6FD9">
        <w:rPr>
          <w:lang w:eastAsia="en-AU"/>
        </w:rPr>
        <w:t xml:space="preserve"> </w:t>
      </w:r>
      <w:r w:rsidR="00CE6FD9" w:rsidRPr="00CE6FD9">
        <w:rPr>
          <w:lang w:eastAsia="en-AU"/>
        </w:rPr>
        <w:t>for high-volume services are able to be monitored via survey, recognising that external factors may confound these results (e.g., business cost increases separate to those driven by registration).</w:t>
      </w:r>
    </w:p>
    <w:p w14:paraId="0E3E4CCE" w14:textId="5726796D" w:rsidR="00E42C05" w:rsidRDefault="006A3A32" w:rsidP="003653E4">
      <w:pPr>
        <w:pStyle w:val="Heading4"/>
        <w:rPr>
          <w:lang w:eastAsia="en-AU"/>
        </w:rPr>
      </w:pPr>
      <w:r w:rsidRPr="00174A41">
        <w:rPr>
          <w:lang w:eastAsia="en-AU"/>
        </w:rPr>
        <w:t xml:space="preserve">Increased </w:t>
      </w:r>
      <w:r w:rsidR="003D2CCF" w:rsidRPr="00174A41">
        <w:rPr>
          <w:lang w:eastAsia="en-AU"/>
        </w:rPr>
        <w:t xml:space="preserve">ongoing </w:t>
      </w:r>
      <w:r w:rsidRPr="00174A41">
        <w:rPr>
          <w:lang w:eastAsia="en-AU"/>
        </w:rPr>
        <w:t>regulatory costs</w:t>
      </w:r>
      <w:r w:rsidR="00FC7AE6" w:rsidRPr="00174A41">
        <w:rPr>
          <w:lang w:eastAsia="en-AU"/>
        </w:rPr>
        <w:t xml:space="preserve"> </w:t>
      </w:r>
      <w:r w:rsidR="00CB4A0F">
        <w:rPr>
          <w:lang w:eastAsia="en-AU"/>
        </w:rPr>
        <w:t>lead to</w:t>
      </w:r>
      <w:r w:rsidRPr="00174A41">
        <w:rPr>
          <w:lang w:eastAsia="en-AU"/>
        </w:rPr>
        <w:t xml:space="preserve"> withdrawal of services </w:t>
      </w:r>
      <w:r w:rsidR="00FC7AE6" w:rsidRPr="00174A41">
        <w:rPr>
          <w:lang w:eastAsia="en-AU"/>
        </w:rPr>
        <w:t>(</w:t>
      </w:r>
      <w:r w:rsidR="007B6DC1" w:rsidRPr="00174A41">
        <w:rPr>
          <w:lang w:eastAsia="en-AU"/>
        </w:rPr>
        <w:t>Unlikely</w:t>
      </w:r>
      <w:r w:rsidR="00FC7AE6" w:rsidRPr="00174A41">
        <w:rPr>
          <w:lang w:eastAsia="en-AU"/>
        </w:rPr>
        <w:t xml:space="preserve">, </w:t>
      </w:r>
      <w:r w:rsidR="00E235A8" w:rsidRPr="00174A41">
        <w:rPr>
          <w:lang w:eastAsia="en-AU"/>
        </w:rPr>
        <w:t>Major</w:t>
      </w:r>
      <w:r w:rsidR="00FC7AE6">
        <w:rPr>
          <w:lang w:eastAsia="en-AU"/>
        </w:rPr>
        <w:t>)</w:t>
      </w:r>
      <w:bookmarkEnd w:id="384"/>
    </w:p>
    <w:p w14:paraId="5A1F4361" w14:textId="414B83E8" w:rsidR="00E42C05" w:rsidRDefault="000E46B8" w:rsidP="00E42C05">
      <w:pPr>
        <w:pStyle w:val="BodyText"/>
        <w:rPr>
          <w:lang w:eastAsia="en-AU"/>
        </w:rPr>
      </w:pPr>
      <w:r>
        <w:rPr>
          <w:lang w:eastAsia="en-AU"/>
        </w:rPr>
        <w:t>I</w:t>
      </w:r>
      <w:r w:rsidR="006F62DF">
        <w:rPr>
          <w:lang w:eastAsia="en-AU"/>
        </w:rPr>
        <w:t xml:space="preserve">f </w:t>
      </w:r>
      <w:r w:rsidR="00A35D93">
        <w:rPr>
          <w:lang w:eastAsia="en-AU"/>
        </w:rPr>
        <w:t xml:space="preserve">out-of-pocket cost </w:t>
      </w:r>
      <w:r w:rsidR="006F62DF">
        <w:rPr>
          <w:lang w:eastAsia="en-AU"/>
        </w:rPr>
        <w:t xml:space="preserve">increases </w:t>
      </w:r>
      <w:r w:rsidR="003C40AB">
        <w:rPr>
          <w:lang w:eastAsia="en-AU"/>
        </w:rPr>
        <w:t xml:space="preserve">or the introduction of out-of-pocket costs </w:t>
      </w:r>
      <w:r w:rsidR="006F62DF">
        <w:rPr>
          <w:lang w:eastAsia="en-AU"/>
        </w:rPr>
        <w:t xml:space="preserve">are not considered a viable strategy for particular </w:t>
      </w:r>
      <w:r w:rsidR="009D47EC">
        <w:rPr>
          <w:lang w:eastAsia="en-AU"/>
        </w:rPr>
        <w:t>services</w:t>
      </w:r>
      <w:r w:rsidR="006F62DF">
        <w:rPr>
          <w:lang w:eastAsia="en-AU"/>
        </w:rPr>
        <w:t xml:space="preserve">, </w:t>
      </w:r>
      <w:r w:rsidR="00EE3C45">
        <w:rPr>
          <w:lang w:eastAsia="en-AU"/>
        </w:rPr>
        <w:t xml:space="preserve">businesses may choose to withdraw from </w:t>
      </w:r>
      <w:r w:rsidR="00A42BB4">
        <w:rPr>
          <w:lang w:eastAsia="en-AU"/>
        </w:rPr>
        <w:t xml:space="preserve">these services. Any reduction in service access </w:t>
      </w:r>
      <w:r w:rsidR="001F240A">
        <w:rPr>
          <w:lang w:eastAsia="en-AU"/>
        </w:rPr>
        <w:t>woul</w:t>
      </w:r>
      <w:r w:rsidR="009C69E4">
        <w:rPr>
          <w:lang w:eastAsia="en-AU"/>
        </w:rPr>
        <w:t>d be of serious concern</w:t>
      </w:r>
      <w:r w:rsidR="00CA6FDF">
        <w:rPr>
          <w:lang w:eastAsia="en-AU"/>
        </w:rPr>
        <w:t xml:space="preserve"> </w:t>
      </w:r>
      <w:r w:rsidR="00B16CC4">
        <w:rPr>
          <w:lang w:eastAsia="en-AU"/>
        </w:rPr>
        <w:t xml:space="preserve">due to </w:t>
      </w:r>
      <w:r w:rsidR="0048543E">
        <w:rPr>
          <w:lang w:eastAsia="en-AU"/>
        </w:rPr>
        <w:t xml:space="preserve">the </w:t>
      </w:r>
      <w:r w:rsidR="00C23708">
        <w:rPr>
          <w:lang w:eastAsia="en-AU"/>
        </w:rPr>
        <w:t xml:space="preserve">potential </w:t>
      </w:r>
      <w:r w:rsidR="00B16CC4">
        <w:rPr>
          <w:lang w:eastAsia="en-AU"/>
        </w:rPr>
        <w:t xml:space="preserve">reduction in </w:t>
      </w:r>
      <w:r w:rsidR="00FE49CE">
        <w:rPr>
          <w:lang w:eastAsia="en-AU"/>
        </w:rPr>
        <w:t xml:space="preserve">consumer </w:t>
      </w:r>
      <w:r w:rsidR="00B16CC4">
        <w:rPr>
          <w:lang w:eastAsia="en-AU"/>
        </w:rPr>
        <w:t>access to care</w:t>
      </w:r>
      <w:r w:rsidR="00611545">
        <w:rPr>
          <w:lang w:eastAsia="en-AU"/>
        </w:rPr>
        <w:t xml:space="preserve">. Here, access issues would </w:t>
      </w:r>
      <w:r w:rsidR="00EC6FCA">
        <w:rPr>
          <w:lang w:eastAsia="en-AU"/>
        </w:rPr>
        <w:t xml:space="preserve">be more likely to eventuate in </w:t>
      </w:r>
      <w:r w:rsidR="00B64B52">
        <w:rPr>
          <w:lang w:eastAsia="en-AU"/>
        </w:rPr>
        <w:t xml:space="preserve">the private sector, and in </w:t>
      </w:r>
      <w:r w:rsidR="00C23708">
        <w:rPr>
          <w:lang w:eastAsia="en-AU"/>
        </w:rPr>
        <w:t>regional and rural areas</w:t>
      </w:r>
      <w:r w:rsidR="000E354F">
        <w:rPr>
          <w:lang w:eastAsia="en-AU"/>
        </w:rPr>
        <w:t xml:space="preserve"> where </w:t>
      </w:r>
      <w:r w:rsidR="00B20B59">
        <w:rPr>
          <w:lang w:eastAsia="en-AU"/>
        </w:rPr>
        <w:t xml:space="preserve">a small number of business decisions may have </w:t>
      </w:r>
      <w:r w:rsidR="00F82E84">
        <w:rPr>
          <w:lang w:eastAsia="en-AU"/>
        </w:rPr>
        <w:t>outsized i</w:t>
      </w:r>
      <w:r w:rsidR="00C052F8">
        <w:rPr>
          <w:lang w:eastAsia="en-AU"/>
        </w:rPr>
        <w:t>mpact on services</w:t>
      </w:r>
      <w:r w:rsidR="0074608A">
        <w:rPr>
          <w:lang w:eastAsia="en-AU"/>
        </w:rPr>
        <w:t>.</w:t>
      </w:r>
      <w:r w:rsidR="00F25113">
        <w:rPr>
          <w:lang w:eastAsia="en-AU"/>
        </w:rPr>
        <w:t xml:space="preserve"> </w:t>
      </w:r>
      <w:r w:rsidR="003C49EC">
        <w:rPr>
          <w:lang w:eastAsia="en-AU"/>
        </w:rPr>
        <w:t>At this time, increased ongoing</w:t>
      </w:r>
      <w:r w:rsidR="00EB03F7">
        <w:rPr>
          <w:lang w:eastAsia="en-AU"/>
        </w:rPr>
        <w:t xml:space="preserve"> regulatory costs are not considered a barrier to reform</w:t>
      </w:r>
      <w:r w:rsidR="006D6D04">
        <w:rPr>
          <w:lang w:eastAsia="en-AU"/>
        </w:rPr>
        <w:t xml:space="preserve">, however this potential risk requires </w:t>
      </w:r>
      <w:r w:rsidR="004D74F7">
        <w:rPr>
          <w:lang w:eastAsia="en-AU"/>
        </w:rPr>
        <w:t>m</w:t>
      </w:r>
      <w:r w:rsidR="009939CE">
        <w:rPr>
          <w:lang w:eastAsia="en-AU"/>
        </w:rPr>
        <w:t>onitoring and mitigation if it occurs</w:t>
      </w:r>
      <w:r w:rsidR="00681B11">
        <w:rPr>
          <w:lang w:eastAsia="en-AU"/>
        </w:rPr>
        <w:t>.</w:t>
      </w:r>
    </w:p>
    <w:p w14:paraId="5BE7BE35" w14:textId="56DEFEB2" w:rsidR="00E42C05" w:rsidRDefault="00E42C05" w:rsidP="00E42C05">
      <w:pPr>
        <w:pStyle w:val="BodyText"/>
        <w:rPr>
          <w:lang w:eastAsia="en-AU"/>
        </w:rPr>
      </w:pPr>
      <w:r w:rsidRPr="007176F0">
        <w:rPr>
          <w:b/>
          <w:bCs/>
          <w:lang w:eastAsia="en-AU"/>
        </w:rPr>
        <w:t>Mitigation strategy</w:t>
      </w:r>
      <w:r>
        <w:rPr>
          <w:lang w:eastAsia="en-AU"/>
        </w:rPr>
        <w:t xml:space="preserve">: While the potential for businesses to make the decision to withdraw services cannot be ruled out, to the extent that this occurs in rural or remote areas there are a range of potential </w:t>
      </w:r>
      <w:r w:rsidR="006A6715">
        <w:rPr>
          <w:lang w:eastAsia="en-AU"/>
        </w:rPr>
        <w:t xml:space="preserve">mitigation </w:t>
      </w:r>
      <w:r>
        <w:rPr>
          <w:lang w:eastAsia="en-AU"/>
        </w:rPr>
        <w:t xml:space="preserve">strategies that could be considered (e.g., </w:t>
      </w:r>
      <w:r w:rsidR="005A5678">
        <w:rPr>
          <w:lang w:eastAsia="en-AU"/>
        </w:rPr>
        <w:t xml:space="preserve">government </w:t>
      </w:r>
      <w:r>
        <w:rPr>
          <w:lang w:eastAsia="en-AU"/>
        </w:rPr>
        <w:t>incentives to subsidise service delivery).</w:t>
      </w:r>
    </w:p>
    <w:p w14:paraId="0DBB51F8" w14:textId="7673A83A" w:rsidR="00DC0BF3" w:rsidRDefault="00DC0BF3" w:rsidP="003A05B8">
      <w:pPr>
        <w:pStyle w:val="Heading4"/>
        <w:rPr>
          <w:lang w:eastAsia="en-AU"/>
        </w:rPr>
      </w:pPr>
      <w:r w:rsidRPr="00DC0BF3">
        <w:rPr>
          <w:lang w:eastAsia="en-AU"/>
        </w:rPr>
        <w:t>Loss of PPB revenue leads to reduction in profession-level goods</w:t>
      </w:r>
      <w:r w:rsidR="009C7228">
        <w:rPr>
          <w:lang w:eastAsia="en-AU"/>
        </w:rPr>
        <w:t xml:space="preserve"> (Possible, Moderate-</w:t>
      </w:r>
      <w:r w:rsidR="00A00275">
        <w:rPr>
          <w:lang w:eastAsia="en-AU"/>
        </w:rPr>
        <w:t>Major</w:t>
      </w:r>
      <w:r w:rsidR="009C7228">
        <w:rPr>
          <w:lang w:eastAsia="en-AU"/>
        </w:rPr>
        <w:t>)</w:t>
      </w:r>
    </w:p>
    <w:p w14:paraId="063266F4" w14:textId="1D134EA7" w:rsidR="004D185E" w:rsidRDefault="004D185E" w:rsidP="004D185E">
      <w:pPr>
        <w:pStyle w:val="BodyText"/>
        <w:rPr>
          <w:lang w:eastAsia="en-AU"/>
        </w:rPr>
      </w:pPr>
      <w:r>
        <w:rPr>
          <w:lang w:eastAsia="en-AU"/>
        </w:rPr>
        <w:t xml:space="preserve">As per Section </w:t>
      </w:r>
      <w:r w:rsidR="003B67EF">
        <w:rPr>
          <w:lang w:eastAsia="en-AU"/>
        </w:rPr>
        <w:fldChar w:fldCharType="begin"/>
      </w:r>
      <w:r w:rsidR="003B67EF">
        <w:rPr>
          <w:lang w:eastAsia="en-AU"/>
        </w:rPr>
        <w:instrText xml:space="preserve"> REF _Ref172708103 \r \h </w:instrText>
      </w:r>
      <w:r w:rsidR="003B67EF">
        <w:rPr>
          <w:lang w:eastAsia="en-AU"/>
        </w:rPr>
      </w:r>
      <w:r w:rsidR="003B67EF">
        <w:rPr>
          <w:lang w:eastAsia="en-AU"/>
        </w:rPr>
        <w:fldChar w:fldCharType="separate"/>
      </w:r>
      <w:r w:rsidR="00F32107">
        <w:rPr>
          <w:lang w:eastAsia="en-AU"/>
        </w:rPr>
        <w:t>8.3.3.8</w:t>
      </w:r>
      <w:r w:rsidR="003B67EF">
        <w:rPr>
          <w:lang w:eastAsia="en-AU"/>
        </w:rPr>
        <w:fldChar w:fldCharType="end"/>
      </w:r>
      <w:r>
        <w:rPr>
          <w:lang w:eastAsia="en-AU"/>
        </w:rPr>
        <w:t xml:space="preserve">, impact analysis has assumed that the current proportion of audiologists with PPB membership retain this membership under National Registration, with a 10% reduction in membership price. This estimate was not able to be tested with PPBs, however, to the extent that redundant functions of PPBs are able to have their operational costs fully removed, proportionate reductions in membership fees should not have service delivery impacts. However, if PPBs face additional price sensitivity from audiologist members due to the addition of registration fees, PPBs may be required to reduce their membership fees further and seek cost saving measures. If these cost-saving measures impact the production of profession-level goods such as CPD, this may have negative impacts for the profession which rely on CPD for up-to-date clinical knowledge and skills. </w:t>
      </w:r>
    </w:p>
    <w:p w14:paraId="25892611" w14:textId="15249693" w:rsidR="009C7228" w:rsidRPr="009C7228" w:rsidRDefault="004D185E" w:rsidP="004D185E">
      <w:pPr>
        <w:pStyle w:val="BodyText"/>
        <w:rPr>
          <w:lang w:eastAsia="en-AU"/>
        </w:rPr>
      </w:pPr>
      <w:r w:rsidRPr="007176F0">
        <w:rPr>
          <w:b/>
          <w:bCs/>
          <w:lang w:eastAsia="en-AU"/>
        </w:rPr>
        <w:t>Mitigation strategy</w:t>
      </w:r>
      <w:r>
        <w:rPr>
          <w:lang w:eastAsia="en-AU"/>
        </w:rPr>
        <w:t xml:space="preserve">: The long lead time for implementation (approximately four years) allows for PPBs to consider their value proposition to members and how the removal of redundant functions may impact operational costs. For registered professions, it is common for professional body membership to provide practitioners with convenient access to, and tracking of, CPD points and as such it is considered reasonable that this function is prioritised. It is recognised that PPBs are not the only source of CPD for the profession, however the clinical expertise contained within PPBs makes this a </w:t>
      </w:r>
      <w:r w:rsidR="00925D2D">
        <w:rPr>
          <w:lang w:eastAsia="en-AU"/>
        </w:rPr>
        <w:t xml:space="preserve">material </w:t>
      </w:r>
      <w:r>
        <w:rPr>
          <w:lang w:eastAsia="en-AU"/>
        </w:rPr>
        <w:t>risk of implementation.</w:t>
      </w:r>
    </w:p>
    <w:p w14:paraId="0BBF8DA8" w14:textId="675775B1" w:rsidR="007D6438" w:rsidRDefault="00712CB2" w:rsidP="003A05B8">
      <w:pPr>
        <w:pStyle w:val="Heading4"/>
        <w:rPr>
          <w:lang w:eastAsia="en-AU"/>
        </w:rPr>
      </w:pPr>
      <w:r w:rsidRPr="00712CB2">
        <w:rPr>
          <w:lang w:eastAsia="en-AU"/>
        </w:rPr>
        <w:t xml:space="preserve">Lack of profession buy-in for preferred option </w:t>
      </w:r>
      <w:r w:rsidR="00F70C83" w:rsidRPr="00712CB2">
        <w:rPr>
          <w:lang w:eastAsia="en-AU"/>
        </w:rPr>
        <w:t>lead</w:t>
      </w:r>
      <w:r w:rsidR="00F70C83">
        <w:rPr>
          <w:lang w:eastAsia="en-AU"/>
        </w:rPr>
        <w:t>s</w:t>
      </w:r>
      <w:r w:rsidR="00F70C83" w:rsidRPr="00712CB2">
        <w:rPr>
          <w:lang w:eastAsia="en-AU"/>
        </w:rPr>
        <w:t xml:space="preserve"> </w:t>
      </w:r>
      <w:r w:rsidRPr="00712CB2">
        <w:rPr>
          <w:lang w:eastAsia="en-AU"/>
        </w:rPr>
        <w:t>to reduced collaboration and goodwill in the implementation phase</w:t>
      </w:r>
      <w:r w:rsidR="00047849">
        <w:rPr>
          <w:lang w:eastAsia="en-AU"/>
        </w:rPr>
        <w:t xml:space="preserve"> (Possible, </w:t>
      </w:r>
      <w:r w:rsidR="00F53CE9">
        <w:rPr>
          <w:lang w:eastAsia="en-AU"/>
        </w:rPr>
        <w:t>Minor</w:t>
      </w:r>
      <w:r w:rsidR="00047849">
        <w:rPr>
          <w:lang w:eastAsia="en-AU"/>
        </w:rPr>
        <w:t>)</w:t>
      </w:r>
    </w:p>
    <w:p w14:paraId="310B92A9" w14:textId="4F61E880" w:rsidR="00026626" w:rsidRDefault="00047849" w:rsidP="00026626">
      <w:pPr>
        <w:pStyle w:val="BodyText"/>
        <w:rPr>
          <w:lang w:eastAsia="en-AU"/>
        </w:rPr>
      </w:pPr>
      <w:r w:rsidRPr="00047849">
        <w:rPr>
          <w:lang w:eastAsia="en-AU"/>
        </w:rPr>
        <w:t xml:space="preserve">There is disconnect and disagreement among stakeholders in relation </w:t>
      </w:r>
      <w:r w:rsidR="00AD7300">
        <w:rPr>
          <w:lang w:eastAsia="en-AU"/>
        </w:rPr>
        <w:t>to</w:t>
      </w:r>
      <w:r w:rsidR="00026626">
        <w:rPr>
          <w:lang w:eastAsia="en-AU"/>
        </w:rPr>
        <w:t>:</w:t>
      </w:r>
    </w:p>
    <w:p w14:paraId="69080B83" w14:textId="4DCEA483" w:rsidR="00026626" w:rsidRDefault="00026626" w:rsidP="00026626">
      <w:pPr>
        <w:pStyle w:val="ListBullet"/>
      </w:pPr>
      <w:r>
        <w:t>the level of underlying harm occurring in areas of the profession perceived to be low-risk (namely private sector adult rehabilitation)</w:t>
      </w:r>
      <w:r w:rsidR="00870FEB">
        <w:t xml:space="preserve">, </w:t>
      </w:r>
      <w:r w:rsidR="00367A31">
        <w:t>and thereby the</w:t>
      </w:r>
      <w:r w:rsidR="00870FEB">
        <w:t xml:space="preserve"> </w:t>
      </w:r>
      <w:r w:rsidR="00567356">
        <w:t xml:space="preserve">benefits of registration relative to costs </w:t>
      </w:r>
      <w:r w:rsidR="00367A31">
        <w:t xml:space="preserve">for audiologists working in this </w:t>
      </w:r>
      <w:r w:rsidR="008172C2">
        <w:t>area</w:t>
      </w:r>
    </w:p>
    <w:p w14:paraId="47D8FC06" w14:textId="22CA37E6" w:rsidR="008172C2" w:rsidRDefault="00026626" w:rsidP="008172C2">
      <w:pPr>
        <w:pStyle w:val="ListBullet"/>
      </w:pPr>
      <w:r>
        <w:t xml:space="preserve"> </w:t>
      </w:r>
      <w:r w:rsidR="00870FEB">
        <w:t>the extent to which</w:t>
      </w:r>
      <w:r>
        <w:t xml:space="preserve"> powers available under the National Scheme are able to </w:t>
      </w:r>
      <w:r w:rsidR="00047849" w:rsidRPr="00047849">
        <w:t xml:space="preserve">resolve or reduce the problem statements </w:t>
      </w:r>
      <w:r w:rsidR="008172C2">
        <w:t xml:space="preserve">described. </w:t>
      </w:r>
    </w:p>
    <w:p w14:paraId="31DB5C69" w14:textId="42CF2BCD" w:rsidR="0077093B" w:rsidRDefault="00047849" w:rsidP="008172C2">
      <w:pPr>
        <w:pStyle w:val="ListBullet"/>
        <w:numPr>
          <w:ilvl w:val="0"/>
          <w:numId w:val="0"/>
        </w:numPr>
      </w:pPr>
      <w:r w:rsidRPr="00047849">
        <w:t>The consequence of this risk may include stakeholder opposition (including negative media attention), and reduced collaboration and goodwill in the implementation period that impacts the ability to achieve reform objectives.</w:t>
      </w:r>
    </w:p>
    <w:p w14:paraId="66DCD924" w14:textId="5A041763" w:rsidR="00D97C65" w:rsidRDefault="00D97C65" w:rsidP="002D729D">
      <w:pPr>
        <w:pStyle w:val="ListBullet"/>
        <w:numPr>
          <w:ilvl w:val="0"/>
          <w:numId w:val="0"/>
        </w:numPr>
      </w:pPr>
      <w:r w:rsidRPr="002D729D">
        <w:rPr>
          <w:b/>
          <w:bCs/>
        </w:rPr>
        <w:t>Mitigation strategy</w:t>
      </w:r>
      <w:r>
        <w:t xml:space="preserve">: </w:t>
      </w:r>
      <w:r w:rsidR="000D3884">
        <w:t xml:space="preserve">As stated in Section </w:t>
      </w:r>
      <w:r w:rsidR="00BF4CFE">
        <w:fldChar w:fldCharType="begin"/>
      </w:r>
      <w:r w:rsidR="00BF4CFE">
        <w:instrText xml:space="preserve"> REF _Ref191623143 \r \h </w:instrText>
      </w:r>
      <w:r w:rsidR="00BF4CFE">
        <w:fldChar w:fldCharType="separate"/>
      </w:r>
      <w:r w:rsidR="00F32107">
        <w:t>9.2.3</w:t>
      </w:r>
      <w:r w:rsidR="00BF4CFE">
        <w:fldChar w:fldCharType="end"/>
      </w:r>
      <w:r w:rsidR="000D3884">
        <w:t xml:space="preserve">, clear communication regarding why the final decision has been made and the opportunity for stakeholders </w:t>
      </w:r>
      <w:r w:rsidR="00BF4CFE">
        <w:t>to ask questions was viewed to be an important step in the implementation process, in order to achieve a common understanding of the reasons for reform.</w:t>
      </w:r>
      <w:r w:rsidR="000D3884">
        <w:t xml:space="preserve"> </w:t>
      </w:r>
    </w:p>
    <w:p w14:paraId="57D480B0" w14:textId="7C01BF11" w:rsidR="00540D4C" w:rsidRDefault="00540D4C" w:rsidP="00540D4C">
      <w:pPr>
        <w:pStyle w:val="Heading4"/>
        <w:rPr>
          <w:lang w:eastAsia="en-AU"/>
        </w:rPr>
      </w:pPr>
      <w:r>
        <w:rPr>
          <w:lang w:eastAsia="en-AU"/>
        </w:rPr>
        <w:t xml:space="preserve">Reduced flexibility to handle low-risk complaints, leading to poorer outcomes for complainants and </w:t>
      </w:r>
      <w:r w:rsidR="001A6DDE">
        <w:rPr>
          <w:lang w:eastAsia="en-AU"/>
        </w:rPr>
        <w:t>audiologists</w:t>
      </w:r>
      <w:r>
        <w:rPr>
          <w:lang w:eastAsia="en-AU"/>
        </w:rPr>
        <w:t xml:space="preserve"> (Possible, Moderate)</w:t>
      </w:r>
    </w:p>
    <w:p w14:paraId="0E59BE0D" w14:textId="77777777" w:rsidR="00540D4C" w:rsidRDefault="00540D4C" w:rsidP="00540D4C">
      <w:pPr>
        <w:pStyle w:val="BodyText"/>
        <w:rPr>
          <w:lang w:eastAsia="en-AU"/>
        </w:rPr>
      </w:pPr>
      <w:r>
        <w:rPr>
          <w:lang w:eastAsia="en-AU"/>
        </w:rPr>
        <w:t xml:space="preserve">The following notes are provided from stakeholder consultation around complaints handling. </w:t>
      </w:r>
    </w:p>
    <w:p w14:paraId="23DCB198" w14:textId="77777777" w:rsidR="00540D4C" w:rsidRDefault="00540D4C" w:rsidP="00540D4C">
      <w:pPr>
        <w:pStyle w:val="ListBullet"/>
      </w:pPr>
      <w:r>
        <w:t xml:space="preserve">Several jurisdictional HCEs stated that they were block-funded rather than receiving activity based funding, and as such there are practical resource constraints involved in handling complaints across the range of registered professions. </w:t>
      </w:r>
    </w:p>
    <w:p w14:paraId="6495E8E3" w14:textId="1D914CFB" w:rsidR="00540D4C" w:rsidRDefault="00540D4C" w:rsidP="00540D4C">
      <w:pPr>
        <w:pStyle w:val="ListBullet"/>
      </w:pPr>
      <w:r>
        <w:t xml:space="preserve">There are formal processes in place between jurisdictional HCEs, Ahpra and the HPCA in NSW around how complaints against registered professions are handled. These processes may involve referrals or joint consideration of complaints where stakeholders know in advance: </w:t>
      </w:r>
    </w:p>
    <w:p w14:paraId="6614300B" w14:textId="77777777" w:rsidR="00540D4C" w:rsidRDefault="00540D4C" w:rsidP="00540D4C">
      <w:pPr>
        <w:pStyle w:val="BulletList2Column"/>
      </w:pPr>
      <w:r>
        <w:t>that a referred matter will be returned to the original complaints entity receiving the complaint</w:t>
      </w:r>
    </w:p>
    <w:p w14:paraId="2F83FF32" w14:textId="77777777" w:rsidR="00540D4C" w:rsidRDefault="00540D4C" w:rsidP="00540D4C">
      <w:pPr>
        <w:pStyle w:val="BulletList2Column"/>
      </w:pPr>
      <w:r>
        <w:t>that there are regulatory thresholds that the complaint does not meet to warrant further action.</w:t>
      </w:r>
    </w:p>
    <w:p w14:paraId="75E1FBE6" w14:textId="60CD92B3" w:rsidR="00540D4C" w:rsidRDefault="00540D4C" w:rsidP="00540D4C">
      <w:pPr>
        <w:pStyle w:val="BodyText"/>
        <w:rPr>
          <w:lang w:eastAsia="en-AU"/>
        </w:rPr>
      </w:pPr>
      <w:r>
        <w:rPr>
          <w:lang w:eastAsia="en-AU"/>
        </w:rPr>
        <w:t xml:space="preserve">Hence, stakeholders raised the reduced flexibility for the system to handle complaints that do not involve an ongoing risk to the health and safety of the public as a potential risk of </w:t>
      </w:r>
      <w:r w:rsidR="009D65B6">
        <w:rPr>
          <w:lang w:eastAsia="en-AU"/>
        </w:rPr>
        <w:t>National Registration</w:t>
      </w:r>
      <w:r>
        <w:rPr>
          <w:lang w:eastAsia="en-AU"/>
        </w:rPr>
        <w:t xml:space="preserve">. Here, the consequence was described as poorer outcomes for complainants (who may want informal corrective measures such as a conversation between the complaints entity and the practitioner), and practitioners for whom a notification from Ahpra may be a significantly distressing event. </w:t>
      </w:r>
    </w:p>
    <w:p w14:paraId="7AA7BD3B" w14:textId="70BC848E" w:rsidR="00540D4C" w:rsidRDefault="00540D4C" w:rsidP="00540D4C">
      <w:pPr>
        <w:pStyle w:val="BodyText"/>
        <w:rPr>
          <w:lang w:eastAsia="en-AU"/>
        </w:rPr>
      </w:pPr>
      <w:r w:rsidRPr="007176F0">
        <w:rPr>
          <w:b/>
          <w:bCs/>
          <w:lang w:eastAsia="en-AU"/>
        </w:rPr>
        <w:t>Mitigation strategy</w:t>
      </w:r>
      <w:r>
        <w:rPr>
          <w:lang w:eastAsia="en-AU"/>
        </w:rPr>
        <w:t>: Term of Reference 2 in the Complexity Review states, “</w:t>
      </w:r>
      <w:r w:rsidRPr="00540D4C">
        <w:rPr>
          <w:i/>
          <w:iCs/>
          <w:lang w:eastAsia="en-AU"/>
        </w:rPr>
        <w:t>Consider measures that would deliver a more consumer drive</w:t>
      </w:r>
      <w:r w:rsidR="004D1655">
        <w:rPr>
          <w:i/>
          <w:iCs/>
          <w:lang w:eastAsia="en-AU"/>
        </w:rPr>
        <w:t>n</w:t>
      </w:r>
      <w:r w:rsidRPr="00540D4C">
        <w:rPr>
          <w:i/>
          <w:iCs/>
          <w:lang w:eastAsia="en-AU"/>
        </w:rPr>
        <w:t>, consistent, accessible and efficient complaints management and disciplinary processes through the National Scheme</w:t>
      </w:r>
      <w:r w:rsidRPr="007176F0">
        <w:rPr>
          <w:lang w:eastAsia="en-AU"/>
        </w:rPr>
        <w:t>.</w:t>
      </w:r>
      <w:r>
        <w:rPr>
          <w:lang w:eastAsia="en-AU"/>
        </w:rPr>
        <w:t>” Hence, at the time of writing it is acknowledged that there may be imminent changes in this space that alter the likelihood or consequence of this risk</w:t>
      </w:r>
    </w:p>
    <w:p w14:paraId="2719FFCA" w14:textId="214AE676" w:rsidR="00743150" w:rsidRDefault="00743150" w:rsidP="00743150">
      <w:pPr>
        <w:pStyle w:val="Heading4"/>
        <w:rPr>
          <w:lang w:eastAsia="en-AU"/>
        </w:rPr>
      </w:pPr>
      <w:r>
        <w:rPr>
          <w:lang w:eastAsia="en-AU"/>
        </w:rPr>
        <w:t>Professional policy work is diverted away from other system priorities (Possible, Minor)</w:t>
      </w:r>
    </w:p>
    <w:p w14:paraId="2B76B4E3" w14:textId="1014D70A" w:rsidR="00743150" w:rsidRDefault="00743150" w:rsidP="00743150">
      <w:pPr>
        <w:pStyle w:val="BodyText"/>
        <w:rPr>
          <w:lang w:eastAsia="en-AU"/>
        </w:rPr>
      </w:pPr>
      <w:r>
        <w:rPr>
          <w:lang w:eastAsia="en-AU"/>
        </w:rPr>
        <w:t xml:space="preserve">Several stakeholders raised a risk that implementation of this reform could divert system resources away from issues of importance (including addressing other recommendations from the external reviews), and professional policy work being performed currently (e.g., strengthening of referral pathways and Medicare item access). In relation to the first concern, it is noted that the governance of implementing many of the recommendations from the external reviews lie with entities that would have minimal involvement in the implementation of </w:t>
      </w:r>
      <w:r w:rsidR="009D65B6">
        <w:rPr>
          <w:lang w:eastAsia="en-AU"/>
        </w:rPr>
        <w:t>National Registration</w:t>
      </w:r>
      <w:r>
        <w:rPr>
          <w:lang w:eastAsia="en-AU"/>
        </w:rPr>
        <w:t xml:space="preserve"> (e.g., Townsville Hospital and Health Service, South Australia Department of Health and Wellbeing). However, to the extent that constrained PPB resources are spent on the implementation of registration, it is reasonable to conclude that focus may need to be diverted away from less emergent policy issues.</w:t>
      </w:r>
    </w:p>
    <w:p w14:paraId="0B9D2826" w14:textId="2C81F184" w:rsidR="00743150" w:rsidRDefault="00743150" w:rsidP="00743150">
      <w:pPr>
        <w:pStyle w:val="BodyText"/>
        <w:rPr>
          <w:lang w:eastAsia="en-AU"/>
        </w:rPr>
      </w:pPr>
      <w:r w:rsidRPr="007176F0">
        <w:rPr>
          <w:b/>
          <w:bCs/>
          <w:lang w:eastAsia="en-AU"/>
        </w:rPr>
        <w:t>Mitigation strategy</w:t>
      </w:r>
      <w:r>
        <w:rPr>
          <w:lang w:eastAsia="en-AU"/>
        </w:rPr>
        <w:t xml:space="preserve">: This risk is not able to be mitigated. PPBs may make a range of choices to reflect membership preferences, including prioritising resources for this work or increasing membership fees to pursue this work with the additional revenue. </w:t>
      </w:r>
    </w:p>
    <w:p w14:paraId="069E8BE5" w14:textId="51780A91" w:rsidR="004848BD" w:rsidRDefault="004848BD" w:rsidP="004848BD">
      <w:pPr>
        <w:pStyle w:val="Heading4"/>
        <w:rPr>
          <w:lang w:eastAsia="en-AU"/>
        </w:rPr>
      </w:pPr>
      <w:r w:rsidRPr="00DA7FE9">
        <w:rPr>
          <w:lang w:eastAsia="en-AU"/>
        </w:rPr>
        <w:t xml:space="preserve">Ongoing public sector costs associated with </w:t>
      </w:r>
      <w:r>
        <w:rPr>
          <w:lang w:eastAsia="en-AU"/>
        </w:rPr>
        <w:t xml:space="preserve">industrial relations impact of registration (Possible, </w:t>
      </w:r>
      <w:r w:rsidR="00D65EBF">
        <w:rPr>
          <w:lang w:eastAsia="en-AU"/>
        </w:rPr>
        <w:t>Negligible</w:t>
      </w:r>
      <w:r>
        <w:rPr>
          <w:lang w:eastAsia="en-AU"/>
        </w:rPr>
        <w:t xml:space="preserve">) </w:t>
      </w:r>
    </w:p>
    <w:p w14:paraId="0B698997" w14:textId="77777777" w:rsidR="004848BD" w:rsidRDefault="004848BD" w:rsidP="004848BD">
      <w:pPr>
        <w:pStyle w:val="BodyText"/>
        <w:keepLines/>
        <w:spacing w:before="0" w:after="0"/>
        <w:rPr>
          <w:lang w:eastAsia="en-AU"/>
        </w:rPr>
      </w:pPr>
      <w:r>
        <w:rPr>
          <w:lang w:eastAsia="en-AU"/>
        </w:rPr>
        <w:t>Jurisdictional advice received on the potential unintended consequence of increased salary expectations for public sector audiologists considered this to be of limited concern. However, it was advised that allowances for professional development have been raised in industrial relations discussions for registered professions.</w:t>
      </w:r>
    </w:p>
    <w:p w14:paraId="15822FCB" w14:textId="36461476" w:rsidR="004848BD" w:rsidRDefault="004848BD" w:rsidP="004848BD">
      <w:pPr>
        <w:pStyle w:val="BodyText"/>
        <w:rPr>
          <w:lang w:eastAsia="en-AU"/>
        </w:rPr>
      </w:pPr>
      <w:r>
        <w:rPr>
          <w:b/>
          <w:bCs/>
          <w:lang w:eastAsia="en-AU"/>
        </w:rPr>
        <w:t>Mitigation strategy</w:t>
      </w:r>
      <w:r w:rsidRPr="00DA7FE9">
        <w:rPr>
          <w:lang w:eastAsia="en-AU"/>
        </w:rPr>
        <w:t>:</w:t>
      </w:r>
      <w:r>
        <w:rPr>
          <w:lang w:eastAsia="en-AU"/>
        </w:rPr>
        <w:t xml:space="preserve"> This unintended consequence is not able to be pre-emptively mitigated. Base salary levels by jurisdiction are able to be monitored over time.</w:t>
      </w:r>
    </w:p>
    <w:p w14:paraId="332510C2" w14:textId="4451E9C6" w:rsidR="00A96C57" w:rsidRDefault="00915D61" w:rsidP="007176F0">
      <w:pPr>
        <w:pStyle w:val="Heading4"/>
        <w:rPr>
          <w:lang w:eastAsia="en-AU"/>
        </w:rPr>
      </w:pPr>
      <w:bookmarkStart w:id="387" w:name="_Ref191643216"/>
      <w:r>
        <w:rPr>
          <w:lang w:eastAsia="en-AU"/>
        </w:rPr>
        <w:t xml:space="preserve">Implementation costs disproportionately </w:t>
      </w:r>
      <w:r w:rsidR="005E1008">
        <w:rPr>
          <w:lang w:eastAsia="en-AU"/>
        </w:rPr>
        <w:t>affect small businesses</w:t>
      </w:r>
      <w:r w:rsidR="00A96C57">
        <w:rPr>
          <w:lang w:eastAsia="en-AU"/>
        </w:rPr>
        <w:t xml:space="preserve"> (Unlikely, Minor)</w:t>
      </w:r>
      <w:bookmarkEnd w:id="387"/>
      <w:r w:rsidR="00A96C57">
        <w:rPr>
          <w:lang w:eastAsia="en-AU"/>
        </w:rPr>
        <w:t xml:space="preserve"> </w:t>
      </w:r>
    </w:p>
    <w:p w14:paraId="70BF655E" w14:textId="784AA9AD" w:rsidR="00A96C57" w:rsidRDefault="00A56FBD" w:rsidP="00A96C57">
      <w:pPr>
        <w:pStyle w:val="BodyText"/>
        <w:rPr>
          <w:lang w:eastAsia="en-AU"/>
        </w:rPr>
      </w:pPr>
      <w:r>
        <w:rPr>
          <w:lang w:eastAsia="en-AU"/>
        </w:rPr>
        <w:t xml:space="preserve">The audiology profession’s </w:t>
      </w:r>
      <w:r w:rsidR="00A96C57">
        <w:rPr>
          <w:lang w:eastAsia="en-AU"/>
        </w:rPr>
        <w:t xml:space="preserve">inclusion the National Scheme may lead to a change in language requirements regarding protection of title and the content of advertising materials, requiring a one-off implementation cost to change. Stakeholders in favour of </w:t>
      </w:r>
      <w:r w:rsidR="009D65B6">
        <w:rPr>
          <w:lang w:eastAsia="en-AU"/>
        </w:rPr>
        <w:t>National Registration</w:t>
      </w:r>
      <w:r w:rsidR="00A96C57">
        <w:rPr>
          <w:lang w:eastAsia="en-AU"/>
        </w:rPr>
        <w:t xml:space="preserve"> considered this risk to be of low concern, as they observed that businesses periodically refresh their business materials, and updates may be able to be incorporated into this business-as-usual process. Furthermore, they hypothesised that large corporate entities may face more significant one-off costs if increasingly restrictive language requirements were mandated. </w:t>
      </w:r>
    </w:p>
    <w:p w14:paraId="67A24AB6" w14:textId="77777777" w:rsidR="004D185E" w:rsidRDefault="00A96C57" w:rsidP="00FC781C">
      <w:pPr>
        <w:pStyle w:val="BodyText"/>
        <w:rPr>
          <w:lang w:eastAsia="en-AU"/>
        </w:rPr>
      </w:pPr>
      <w:r w:rsidRPr="007176F0">
        <w:rPr>
          <w:b/>
          <w:bCs/>
          <w:lang w:eastAsia="en-AU"/>
        </w:rPr>
        <w:t>Mitigation strategy</w:t>
      </w:r>
      <w:r>
        <w:rPr>
          <w:lang w:eastAsia="en-AU"/>
        </w:rPr>
        <w:t>: Once language requirements are known, stakeholders are encouraged to plan ahead and incorporate required changes into business-as-usual materials updates ahead of the Go-Live dat</w:t>
      </w:r>
      <w:r w:rsidR="00262BDF">
        <w:rPr>
          <w:lang w:eastAsia="en-AU"/>
        </w:rPr>
        <w:t>e.</w:t>
      </w:r>
    </w:p>
    <w:p w14:paraId="1BC17DDB" w14:textId="56B0D3AA" w:rsidR="00156EFF" w:rsidRDefault="00EF0BED" w:rsidP="00EF0BED">
      <w:pPr>
        <w:pStyle w:val="Heading4"/>
        <w:rPr>
          <w:lang w:eastAsia="en-AU"/>
        </w:rPr>
      </w:pPr>
      <w:r>
        <w:rPr>
          <w:lang w:eastAsia="en-AU"/>
        </w:rPr>
        <w:t xml:space="preserve">Audiometrists </w:t>
      </w:r>
      <w:r w:rsidR="00EB0AAE">
        <w:rPr>
          <w:lang w:eastAsia="en-AU"/>
        </w:rPr>
        <w:t>do not operate</w:t>
      </w:r>
      <w:r w:rsidR="00F6741A">
        <w:rPr>
          <w:lang w:eastAsia="en-AU"/>
        </w:rPr>
        <w:t xml:space="preserve"> to their full scope of practice (</w:t>
      </w:r>
      <w:r w:rsidR="00156EFF">
        <w:rPr>
          <w:lang w:eastAsia="en-AU"/>
        </w:rPr>
        <w:t>Rare, Moderate)</w:t>
      </w:r>
    </w:p>
    <w:p w14:paraId="6130DD7D" w14:textId="17DC15B3" w:rsidR="00606BA5" w:rsidRDefault="006C098C" w:rsidP="00606BA5">
      <w:pPr>
        <w:pStyle w:val="BodyText"/>
      </w:pPr>
      <w:r>
        <w:t>Given there are overlapping scopes of practice between an audiologist and an audiometrists, a</w:t>
      </w:r>
      <w:r w:rsidR="00606BA5">
        <w:t xml:space="preserve"> potential risk raised of the audiology profession’s inclusion in the National Scheme was audiometrists </w:t>
      </w:r>
      <w:r w:rsidR="00704527">
        <w:t>not operating</w:t>
      </w:r>
      <w:r w:rsidR="00606BA5">
        <w:t xml:space="preserve"> to their full scope of practice</w:t>
      </w:r>
      <w:r w:rsidR="00704527">
        <w:t>, including through potential changes to the administrative arrangements of the Hearing Services Program</w:t>
      </w:r>
      <w:r w:rsidR="00606BA5">
        <w:t xml:space="preserve">. This risk was </w:t>
      </w:r>
      <w:r w:rsidR="00CA2686">
        <w:t xml:space="preserve">also </w:t>
      </w:r>
      <w:r w:rsidR="00606BA5">
        <w:t>raised in the context of the Scope of Practice review recently undertaken, and stakeholder recognition of the health system’s current emphasis on enabling health professions to work to the top of their scope. Stakeholder feedback on this issue considered the risk to be low, noting:</w:t>
      </w:r>
    </w:p>
    <w:p w14:paraId="2AADF721" w14:textId="57E7B6E6" w:rsidR="00606BA5" w:rsidRDefault="00606BA5" w:rsidP="00606BA5">
      <w:pPr>
        <w:pStyle w:val="ListBullet"/>
      </w:pPr>
      <w:r>
        <w:t xml:space="preserve">if audiometrists </w:t>
      </w:r>
      <w:r w:rsidR="00024CD4">
        <w:t xml:space="preserve">continue to be </w:t>
      </w:r>
      <w:r>
        <w:t xml:space="preserve">funded to provide services </w:t>
      </w:r>
      <w:r w:rsidR="007A1B5B">
        <w:t>(e.g., through the Hearing Services program)</w:t>
      </w:r>
      <w:r w:rsidR="00307F35">
        <w:t xml:space="preserve"> </w:t>
      </w:r>
      <w:r>
        <w:t>and it is within their scope of practice, they will</w:t>
      </w:r>
    </w:p>
    <w:p w14:paraId="6EEE63FC" w14:textId="77777777" w:rsidR="00606BA5" w:rsidRDefault="00606BA5" w:rsidP="00606BA5">
      <w:pPr>
        <w:pStyle w:val="ListBullet"/>
      </w:pPr>
      <w:r>
        <w:t>it is considered more likely a change in audiometrist’s everyday experience of their scope of practice would be due to a change in consumer confidence (demand) rather than a withdrawal of service delivery (supply).</w:t>
      </w:r>
    </w:p>
    <w:p w14:paraId="4A7EA0D3" w14:textId="77777777" w:rsidR="00606BA5" w:rsidRPr="007E4711" w:rsidRDefault="00606BA5" w:rsidP="00606BA5">
      <w:pPr>
        <w:pStyle w:val="ListBullet"/>
        <w:numPr>
          <w:ilvl w:val="0"/>
          <w:numId w:val="0"/>
        </w:numPr>
      </w:pPr>
      <w:r>
        <w:t>The Hearing Services Program provided the following feedback, “</w:t>
      </w:r>
      <w:r w:rsidRPr="00FD0A8E">
        <w:rPr>
          <w:i/>
          <w:iCs/>
        </w:rPr>
        <w:t>Audiometrists make a significant portion of QPs under the program and are important for successful delivery of the program. If regulatory settings were to change, program legislation would adapt accordingly to be consistent with broader regulatory settings, but it does not necessarily follow that audiometrists could no longer provide program services. It could be that program requirements for QPs could look different for audiologists vs audiometrists. However, the Department cannot predict future policy settings at this stage of the process, and would have to consider program impacts and settings if/as any regulatory changes to the sector become clearer</w:t>
      </w:r>
      <w:r>
        <w:t>.”</w:t>
      </w:r>
    </w:p>
    <w:p w14:paraId="7037BB16" w14:textId="4628DD9A" w:rsidR="00496F77" w:rsidRDefault="00E97422" w:rsidP="00EE3AA4">
      <w:pPr>
        <w:pStyle w:val="ListBullet"/>
        <w:numPr>
          <w:ilvl w:val="0"/>
          <w:numId w:val="0"/>
        </w:numPr>
        <w:sectPr w:rsidR="00496F77" w:rsidSect="007F4E7D">
          <w:pgSz w:w="11906" w:h="16838" w:code="9"/>
          <w:pgMar w:top="1531" w:right="1531" w:bottom="1531" w:left="1531" w:header="709" w:footer="709" w:gutter="0"/>
          <w:cols w:space="708"/>
          <w:docGrid w:linePitch="360"/>
        </w:sectPr>
      </w:pPr>
      <w:r>
        <w:t>While the likelihood of this risk is considered rare, any withdrawal of services could have moderate impacts on consumer access to care</w:t>
      </w:r>
      <w:r w:rsidR="00496F77">
        <w:t>.</w:t>
      </w:r>
    </w:p>
    <w:p w14:paraId="4FC8B4A7" w14:textId="466ADE3E" w:rsidR="00D308EA" w:rsidRDefault="00D308EA" w:rsidP="00496F77">
      <w:pPr>
        <w:pStyle w:val="Heading1"/>
      </w:pPr>
      <w:bookmarkStart w:id="388" w:name="_Toc191573820"/>
      <w:bookmarkStart w:id="389" w:name="_Toc191573821"/>
      <w:bookmarkStart w:id="390" w:name="_Toc171324808"/>
      <w:bookmarkStart w:id="391" w:name="_Toc198138664"/>
      <w:bookmarkEnd w:id="378"/>
      <w:bookmarkEnd w:id="388"/>
      <w:bookmarkEnd w:id="389"/>
      <w:r>
        <w:t xml:space="preserve">How will the chosen option be </w:t>
      </w:r>
      <w:r w:rsidRPr="00DD6E7F">
        <w:t>evaluated</w:t>
      </w:r>
      <w:r>
        <w:t>?</w:t>
      </w:r>
      <w:bookmarkEnd w:id="390"/>
      <w:bookmarkEnd w:id="391"/>
    </w:p>
    <w:tbl>
      <w:tblPr>
        <w:tblStyle w:val="TableGrid"/>
        <w:tblW w:w="0" w:type="auto"/>
        <w:tblLook w:val="04A0" w:firstRow="1" w:lastRow="0" w:firstColumn="1" w:lastColumn="0" w:noHBand="0" w:noVBand="1"/>
      </w:tblPr>
      <w:tblGrid>
        <w:gridCol w:w="8834"/>
      </w:tblGrid>
      <w:tr w:rsidR="003C5B1B" w14:paraId="56244222" w14:textId="77777777" w:rsidTr="002A7BD4">
        <w:tc>
          <w:tcPr>
            <w:tcW w:w="8834" w:type="dxa"/>
          </w:tcPr>
          <w:p w14:paraId="56E2FF1C" w14:textId="77777777" w:rsidR="003C5B1B" w:rsidRPr="00AF62A6" w:rsidRDefault="003C5B1B" w:rsidP="002A7BD4">
            <w:pPr>
              <w:pStyle w:val="ListBullet"/>
              <w:numPr>
                <w:ilvl w:val="0"/>
                <w:numId w:val="0"/>
              </w:numPr>
              <w:ind w:left="360" w:hanging="360"/>
              <w:rPr>
                <w:b/>
                <w:bCs/>
              </w:rPr>
            </w:pPr>
            <w:r w:rsidRPr="00AF62A6">
              <w:rPr>
                <w:b/>
                <w:bCs/>
              </w:rPr>
              <w:t>Chapter summary</w:t>
            </w:r>
          </w:p>
          <w:p w14:paraId="04E004ED" w14:textId="653DCBA4" w:rsidR="00231205" w:rsidRDefault="00231205" w:rsidP="002A7BD4">
            <w:pPr>
              <w:pStyle w:val="ListBullet"/>
            </w:pPr>
            <w:r w:rsidRPr="00231205">
              <w:t xml:space="preserve">The purpose of evaluation will be to understand the outcomes of implementing </w:t>
            </w:r>
            <w:r w:rsidR="009D65B6">
              <w:t>National Registration</w:t>
            </w:r>
            <w:r w:rsidRPr="00231205">
              <w:t xml:space="preserve"> of the audiology profession, and evaluate whether they are aligned to the original objectives of the policy. </w:t>
            </w:r>
          </w:p>
          <w:p w14:paraId="5D61AF29" w14:textId="50681304" w:rsidR="003C5B1B" w:rsidRDefault="00F22F42" w:rsidP="002A7BD4">
            <w:pPr>
              <w:pStyle w:val="ListBullet"/>
            </w:pPr>
            <w:r>
              <w:t xml:space="preserve">Implementation of this reform includes </w:t>
            </w:r>
            <w:r w:rsidR="00D00311">
              <w:t>a</w:t>
            </w:r>
            <w:r w:rsidR="00DF369B">
              <w:t xml:space="preserve"> set of policy decisions </w:t>
            </w:r>
            <w:r w:rsidR="00A97EAA">
              <w:t>and a legislative process (Phases 1-3),</w:t>
            </w:r>
            <w:r w:rsidR="003C61BA">
              <w:t xml:space="preserve"> followed by the</w:t>
            </w:r>
            <w:r w:rsidR="008C200D">
              <w:t xml:space="preserve"> </w:t>
            </w:r>
            <w:r w:rsidR="00516D13">
              <w:t xml:space="preserve">operational process of transitioning a </w:t>
            </w:r>
            <w:r w:rsidR="00704437">
              <w:t>profession into the National Scheme</w:t>
            </w:r>
            <w:r w:rsidR="0059631F">
              <w:t xml:space="preserve"> (Phase 4)</w:t>
            </w:r>
            <w:r w:rsidR="00704437">
              <w:t xml:space="preserve">. </w:t>
            </w:r>
            <w:r w:rsidR="00A47C26">
              <w:t>Given Ahpra’s operational role of</w:t>
            </w:r>
            <w:r w:rsidR="00B52627">
              <w:t xml:space="preserve"> regulating professions according to the approved decisions of Health Ministers, it is recommended that </w:t>
            </w:r>
            <w:r w:rsidR="0022785C">
              <w:t xml:space="preserve">Phase 1-3 are evaluated separately to Phase 4, with </w:t>
            </w:r>
            <w:r w:rsidR="00AB66B7">
              <w:t xml:space="preserve">separate governance of these evaluations. Ahpra has previously evaluated the </w:t>
            </w:r>
            <w:r w:rsidR="00953B03">
              <w:t xml:space="preserve">implementation of paramedicine’s </w:t>
            </w:r>
            <w:r w:rsidR="00CE5CFD">
              <w:t>entry into the National Scheme.</w:t>
            </w:r>
          </w:p>
          <w:p w14:paraId="1A1ADA51" w14:textId="77777777" w:rsidR="00731BBB" w:rsidRDefault="00731BBB" w:rsidP="00731BBB">
            <w:pPr>
              <w:pStyle w:val="ListBullet"/>
            </w:pPr>
            <w:r>
              <w:t>Proposed workstreams include evaluation conducted:</w:t>
            </w:r>
          </w:p>
          <w:p w14:paraId="5FFEE416" w14:textId="1645DB62" w:rsidR="00731BBB" w:rsidRDefault="00731BBB" w:rsidP="00731BBB">
            <w:pPr>
              <w:pStyle w:val="BulletList2Column"/>
            </w:pPr>
            <w:r>
              <w:t>the first year after the ‘</w:t>
            </w:r>
            <w:r w:rsidR="00DA2465">
              <w:t>G</w:t>
            </w:r>
            <w:r>
              <w:t>o</w:t>
            </w:r>
            <w:r w:rsidR="00820410">
              <w:t>-Live</w:t>
            </w:r>
            <w:r>
              <w:t>’ date (implementation evaluation)</w:t>
            </w:r>
          </w:p>
          <w:p w14:paraId="7BC8A91B" w14:textId="07B488E4" w:rsidR="00731BBB" w:rsidRDefault="00731BBB" w:rsidP="00731BBB">
            <w:pPr>
              <w:pStyle w:val="BulletList2Column"/>
            </w:pPr>
            <w:r>
              <w:t>the first five years after the ‘</w:t>
            </w:r>
            <w:r w:rsidR="00820410">
              <w:t xml:space="preserve">Go-Live’ </w:t>
            </w:r>
            <w:r>
              <w:t>date (mid-term evaluation)</w:t>
            </w:r>
          </w:p>
          <w:p w14:paraId="643B7E89" w14:textId="3E9E5FF9" w:rsidR="00731BBB" w:rsidRDefault="00731BBB" w:rsidP="007176F0">
            <w:pPr>
              <w:pStyle w:val="BulletList2Column"/>
            </w:pPr>
            <w:r>
              <w:t>the first ten years after the ‘</w:t>
            </w:r>
            <w:r w:rsidR="00820410">
              <w:t>Go-Live’</w:t>
            </w:r>
            <w:r>
              <w:t xml:space="preserve"> date (outcome evaluation). </w:t>
            </w:r>
          </w:p>
          <w:p w14:paraId="47F8794F" w14:textId="7E04FFF8" w:rsidR="003C5B1B" w:rsidRDefault="003C5B1B" w:rsidP="002A7BD4">
            <w:pPr>
              <w:pStyle w:val="ListBullet"/>
            </w:pPr>
            <w:r>
              <w:t xml:space="preserve">The evaluation should adopt a mixed-methods approach, drawing on secondary data available from </w:t>
            </w:r>
            <w:r w:rsidR="001358EA">
              <w:t>Ahpra</w:t>
            </w:r>
            <w:r w:rsidR="00953B03">
              <w:t xml:space="preserve"> and the National Boards</w:t>
            </w:r>
            <w:r>
              <w:t xml:space="preserve">, HCEs and </w:t>
            </w:r>
            <w:r w:rsidR="00953B03">
              <w:t>major service providers</w:t>
            </w:r>
            <w:r>
              <w:t>, as well as large-scale stakeholder consultation with audiologists</w:t>
            </w:r>
            <w:r w:rsidRPr="00D65295">
              <w:t>, employers</w:t>
            </w:r>
            <w:r>
              <w:t>, PPBs,</w:t>
            </w:r>
            <w:r w:rsidRPr="00D65295">
              <w:t xml:space="preserve"> and consumers</w:t>
            </w:r>
            <w:r>
              <w:t>.</w:t>
            </w:r>
          </w:p>
          <w:p w14:paraId="22529B80" w14:textId="2D4DA874" w:rsidR="003C5B1B" w:rsidRDefault="003C5B1B" w:rsidP="002A7BD4">
            <w:pPr>
              <w:pStyle w:val="ListBullet"/>
            </w:pPr>
            <w:r>
              <w:t xml:space="preserve">The evaluation should focus on monitoring and assessing key areas of uncertainty in the RIS (related to both costs and benefits), the realisation </w:t>
            </w:r>
            <w:r w:rsidR="008B7480">
              <w:t xml:space="preserve">of </w:t>
            </w:r>
            <w:r>
              <w:t xml:space="preserve">any of the key risks identified (e.g., </w:t>
            </w:r>
            <w:r w:rsidR="008B7480">
              <w:t xml:space="preserve">workforce substitution </w:t>
            </w:r>
            <w:r>
              <w:t>risks), as well as the impacts of the policy change on achieving the objectives for action and minimising harms.</w:t>
            </w:r>
          </w:p>
        </w:tc>
      </w:tr>
    </w:tbl>
    <w:p w14:paraId="63493DB4" w14:textId="709D6B07" w:rsidR="00BF10E4" w:rsidRDefault="00BF10E4" w:rsidP="00BF10E4">
      <w:pPr>
        <w:pStyle w:val="Heading2"/>
      </w:pPr>
      <w:bookmarkStart w:id="392" w:name="_Toc191573860"/>
      <w:bookmarkStart w:id="393" w:name="_Toc191573861"/>
      <w:bookmarkStart w:id="394" w:name="_Toc191573862"/>
      <w:bookmarkStart w:id="395" w:name="_Toc191573863"/>
      <w:bookmarkStart w:id="396" w:name="_Toc191573864"/>
      <w:bookmarkStart w:id="397" w:name="_Toc191573865"/>
      <w:bookmarkStart w:id="398" w:name="_Toc191573866"/>
      <w:bookmarkStart w:id="399" w:name="_Toc198138665"/>
      <w:bookmarkEnd w:id="392"/>
      <w:bookmarkEnd w:id="393"/>
      <w:bookmarkEnd w:id="394"/>
      <w:bookmarkEnd w:id="395"/>
      <w:bookmarkEnd w:id="396"/>
      <w:bookmarkEnd w:id="397"/>
      <w:bookmarkEnd w:id="398"/>
      <w:r>
        <w:t xml:space="preserve">Evaluation </w:t>
      </w:r>
      <w:r w:rsidR="00D80391">
        <w:t>purpose</w:t>
      </w:r>
      <w:bookmarkEnd w:id="399"/>
    </w:p>
    <w:p w14:paraId="7E13EB29" w14:textId="1A465404" w:rsidR="00D80391" w:rsidRDefault="001B1FE4" w:rsidP="00D80391">
      <w:pPr>
        <w:pStyle w:val="BodyText"/>
        <w:rPr>
          <w:lang w:eastAsia="en-AU"/>
        </w:rPr>
      </w:pPr>
      <w:r>
        <w:rPr>
          <w:lang w:eastAsia="en-AU"/>
        </w:rPr>
        <w:t xml:space="preserve">The </w:t>
      </w:r>
      <w:r w:rsidR="004C72CF">
        <w:rPr>
          <w:lang w:eastAsia="en-AU"/>
        </w:rPr>
        <w:t xml:space="preserve">purpose of evaluation </w:t>
      </w:r>
      <w:r w:rsidR="002254C6">
        <w:rPr>
          <w:lang w:eastAsia="en-AU"/>
        </w:rPr>
        <w:t xml:space="preserve">will be to </w:t>
      </w:r>
      <w:r w:rsidR="000D53B7">
        <w:rPr>
          <w:lang w:eastAsia="en-AU"/>
        </w:rPr>
        <w:t xml:space="preserve">understand </w:t>
      </w:r>
      <w:r w:rsidR="00F53EBF">
        <w:rPr>
          <w:lang w:eastAsia="en-AU"/>
        </w:rPr>
        <w:t>the</w:t>
      </w:r>
      <w:r w:rsidR="000D53B7">
        <w:rPr>
          <w:lang w:eastAsia="en-AU"/>
        </w:rPr>
        <w:t xml:space="preserve"> outcomes of implementing </w:t>
      </w:r>
      <w:r w:rsidR="009D65B6">
        <w:rPr>
          <w:lang w:eastAsia="en-AU"/>
        </w:rPr>
        <w:t>National Registration</w:t>
      </w:r>
      <w:r w:rsidR="000D53B7">
        <w:rPr>
          <w:lang w:eastAsia="en-AU"/>
        </w:rPr>
        <w:t xml:space="preserve"> of the audiology profession</w:t>
      </w:r>
      <w:r w:rsidR="001E357C">
        <w:rPr>
          <w:lang w:eastAsia="en-AU"/>
        </w:rPr>
        <w:t xml:space="preserve">, and </w:t>
      </w:r>
      <w:r w:rsidR="0063482D">
        <w:rPr>
          <w:lang w:eastAsia="en-AU"/>
        </w:rPr>
        <w:t xml:space="preserve">evaluate whether they are aligned to the original objectives of the policy. </w:t>
      </w:r>
    </w:p>
    <w:p w14:paraId="6C5A3944" w14:textId="5A798CB5" w:rsidR="00111115" w:rsidRDefault="0031300F" w:rsidP="00D80391">
      <w:pPr>
        <w:pStyle w:val="BodyText"/>
        <w:rPr>
          <w:lang w:eastAsia="en-AU"/>
        </w:rPr>
      </w:pPr>
      <w:r>
        <w:rPr>
          <w:lang w:eastAsia="en-AU"/>
        </w:rPr>
        <w:t xml:space="preserve">For a comprehensive understanding </w:t>
      </w:r>
      <w:r w:rsidR="004A652B">
        <w:rPr>
          <w:lang w:eastAsia="en-AU"/>
        </w:rPr>
        <w:t xml:space="preserve">of the causes and drivers of achievement of outcomes, </w:t>
      </w:r>
      <w:r w:rsidR="00712CF3">
        <w:rPr>
          <w:lang w:eastAsia="en-AU"/>
        </w:rPr>
        <w:t>two types of evaluation will be proposed</w:t>
      </w:r>
      <w:r w:rsidR="00374A46">
        <w:rPr>
          <w:lang w:eastAsia="en-AU"/>
        </w:rPr>
        <w:t>.</w:t>
      </w:r>
    </w:p>
    <w:p w14:paraId="039F4466" w14:textId="04605905" w:rsidR="00712CF3" w:rsidRDefault="00712CF3" w:rsidP="00712CF3">
      <w:pPr>
        <w:pStyle w:val="ListBullet"/>
      </w:pPr>
      <w:r w:rsidRPr="009E1572">
        <w:rPr>
          <w:b/>
          <w:bCs/>
        </w:rPr>
        <w:t>Implementation evaluation</w:t>
      </w:r>
      <w:r>
        <w:t>:</w:t>
      </w:r>
      <w:r w:rsidR="00A1348B">
        <w:t xml:space="preserve"> Implementation evaluation is </w:t>
      </w:r>
      <w:r w:rsidR="005E5A53">
        <w:t xml:space="preserve">important to </w:t>
      </w:r>
      <w:r w:rsidR="0064730D">
        <w:t xml:space="preserve">distinguish the </w:t>
      </w:r>
      <w:r w:rsidR="000D5338">
        <w:t xml:space="preserve">outcomes of a program from </w:t>
      </w:r>
      <w:r w:rsidR="00854182">
        <w:t>its</w:t>
      </w:r>
      <w:r w:rsidR="000D5338">
        <w:t xml:space="preserve"> implementation. </w:t>
      </w:r>
      <w:r w:rsidR="001C5348">
        <w:t>In</w:t>
      </w:r>
      <w:r w:rsidR="004B4212">
        <w:t xml:space="preserve"> the event that objectives of a policy are not achieved, </w:t>
      </w:r>
      <w:r w:rsidR="006C392C">
        <w:t xml:space="preserve">evaluating the implementation of the policy separately allows for </w:t>
      </w:r>
      <w:r w:rsidR="000B6C95">
        <w:t xml:space="preserve">insight regarding whether implementation </w:t>
      </w:r>
      <w:r w:rsidR="005E07AC">
        <w:t xml:space="preserve">decisions played a material role </w:t>
      </w:r>
      <w:r w:rsidR="000C4AF9">
        <w:t xml:space="preserve">in the ability for the policy to achieve </w:t>
      </w:r>
      <w:r w:rsidR="00854182">
        <w:t>its</w:t>
      </w:r>
      <w:r w:rsidR="000C4AF9">
        <w:t xml:space="preserve"> outcomes. </w:t>
      </w:r>
      <w:r w:rsidR="0006720E">
        <w:t xml:space="preserve">Implementation evaluations also allow for </w:t>
      </w:r>
      <w:r w:rsidR="009C1291">
        <w:t xml:space="preserve">rapid feedback mechanisms </w:t>
      </w:r>
      <w:r w:rsidR="004B5D12">
        <w:t>and findings to inform operational decisions</w:t>
      </w:r>
      <w:r w:rsidR="00F74D01">
        <w:t xml:space="preserve">. </w:t>
      </w:r>
      <w:r w:rsidR="001A2EC3">
        <w:t xml:space="preserve">As an example, an evaluation of </w:t>
      </w:r>
      <w:r w:rsidR="00603AEB">
        <w:t>the awareness of audiologist</w:t>
      </w:r>
      <w:r w:rsidR="00950A48">
        <w:t>s</w:t>
      </w:r>
      <w:r w:rsidR="00603AEB">
        <w:t xml:space="preserve"> and employers of </w:t>
      </w:r>
      <w:r w:rsidR="00CD7C29">
        <w:t>National Scheme</w:t>
      </w:r>
      <w:r w:rsidR="00603AEB">
        <w:t xml:space="preserve"> obligations may be</w:t>
      </w:r>
      <w:r w:rsidR="007B3540">
        <w:t xml:space="preserve"> </w:t>
      </w:r>
      <w:r w:rsidR="000462C3">
        <w:t>undertaken</w:t>
      </w:r>
      <w:r w:rsidR="007B3540">
        <w:t xml:space="preserve"> by </w:t>
      </w:r>
      <w:r w:rsidR="00941881">
        <w:t xml:space="preserve">collecting </w:t>
      </w:r>
      <w:r w:rsidR="000462C3">
        <w:t>survey</w:t>
      </w:r>
      <w:r w:rsidR="00941881">
        <w:t xml:space="preserve"> data </w:t>
      </w:r>
      <w:r w:rsidR="000462C3">
        <w:t xml:space="preserve">from these stakeholders </w:t>
      </w:r>
      <w:r w:rsidR="00BC5EC3">
        <w:t>post</w:t>
      </w:r>
      <w:r w:rsidR="003812EE">
        <w:t>-</w:t>
      </w:r>
      <w:r w:rsidR="00FA0C48">
        <w:t xml:space="preserve"> ‘Go</w:t>
      </w:r>
      <w:r w:rsidR="00820410">
        <w:t>-</w:t>
      </w:r>
      <w:r w:rsidR="00FA0C48">
        <w:t>Live’ date</w:t>
      </w:r>
      <w:r w:rsidR="00507383">
        <w:t xml:space="preserve">. </w:t>
      </w:r>
      <w:r w:rsidR="003731E4">
        <w:t xml:space="preserve">In the hypothetical event that an implementation evaluation revealed low awareness of obligations, </w:t>
      </w:r>
      <w:r w:rsidR="00DE1D27">
        <w:t xml:space="preserve">recommendations could be proposed to </w:t>
      </w:r>
      <w:r w:rsidR="00FB5708">
        <w:t xml:space="preserve">allocate resources to </w:t>
      </w:r>
      <w:r w:rsidR="001640DD">
        <w:t xml:space="preserve">an </w:t>
      </w:r>
      <w:r w:rsidR="006D674B">
        <w:t>additional set of stakeholder engagement activities to drive improved understanding moving forward.</w:t>
      </w:r>
      <w:r w:rsidR="003F787F">
        <w:t xml:space="preserve"> An implementation evaluation </w:t>
      </w:r>
      <w:r w:rsidR="007349EC">
        <w:t xml:space="preserve">would be considered materially valuable </w:t>
      </w:r>
      <w:r w:rsidR="00936BF5">
        <w:t xml:space="preserve">if audiology </w:t>
      </w:r>
      <w:r w:rsidR="000B6497">
        <w:t xml:space="preserve">enters the National Scheme </w:t>
      </w:r>
      <w:r w:rsidR="0082398D">
        <w:t xml:space="preserve">as a Multi-Profession board, </w:t>
      </w:r>
      <w:r w:rsidR="003732B5">
        <w:t xml:space="preserve">or a National Board </w:t>
      </w:r>
      <w:r w:rsidR="00577489">
        <w:t>for T</w:t>
      </w:r>
      <w:r w:rsidR="003732B5">
        <w:t xml:space="preserve">wo or </w:t>
      </w:r>
      <w:r w:rsidR="00577489">
        <w:t>M</w:t>
      </w:r>
      <w:r w:rsidR="003732B5">
        <w:t xml:space="preserve">ore </w:t>
      </w:r>
      <w:r w:rsidR="00577489">
        <w:t>P</w:t>
      </w:r>
      <w:r w:rsidR="003732B5">
        <w:t>rofessions</w:t>
      </w:r>
      <w:r w:rsidR="00900782">
        <w:t xml:space="preserve">, due to the innovative </w:t>
      </w:r>
      <w:r w:rsidR="004330AE">
        <w:t xml:space="preserve">path this would represent for the </w:t>
      </w:r>
      <w:r w:rsidR="00BE40EE">
        <w:t xml:space="preserve">health system. </w:t>
      </w:r>
      <w:r w:rsidR="00136A22">
        <w:t xml:space="preserve">However, given that there is no viable candidate at this time </w:t>
      </w:r>
      <w:r w:rsidR="003B5103">
        <w:t xml:space="preserve">for these National Board structures, the following evaluation </w:t>
      </w:r>
      <w:r w:rsidR="005F7B26">
        <w:t>plan is considered from a Single Profession Board perspective.</w:t>
      </w:r>
      <w:r w:rsidR="00936BF5">
        <w:t xml:space="preserve"> </w:t>
      </w:r>
    </w:p>
    <w:p w14:paraId="68753CF0" w14:textId="5618DDB1" w:rsidR="00712CF3" w:rsidRDefault="00712CF3" w:rsidP="00856EF9">
      <w:pPr>
        <w:pStyle w:val="ListBullet"/>
      </w:pPr>
      <w:r w:rsidRPr="009E1572">
        <w:rPr>
          <w:b/>
          <w:bCs/>
        </w:rPr>
        <w:t>Outcome evaluation</w:t>
      </w:r>
      <w:r>
        <w:t>:</w:t>
      </w:r>
      <w:r w:rsidR="001C2D25">
        <w:t xml:space="preserve"> Outcome evaluation</w:t>
      </w:r>
      <w:r w:rsidR="004B077C">
        <w:t>s</w:t>
      </w:r>
      <w:r w:rsidR="001C2D25">
        <w:t xml:space="preserve"> </w:t>
      </w:r>
      <w:r w:rsidR="00AB2111">
        <w:t>assess the ext</w:t>
      </w:r>
      <w:r w:rsidR="0013561A">
        <w:t xml:space="preserve">ent to which </w:t>
      </w:r>
      <w:r w:rsidR="00177DFB">
        <w:t xml:space="preserve">intended outcomes </w:t>
      </w:r>
      <w:r w:rsidR="000326C4">
        <w:t xml:space="preserve">of the policy have been achieved. Outcome evaluations typically also include an assessment of policy </w:t>
      </w:r>
      <w:r w:rsidR="00FE6383">
        <w:t>outcomes relative to costs.</w:t>
      </w:r>
      <w:r w:rsidR="00507383">
        <w:t xml:space="preserve"> </w:t>
      </w:r>
    </w:p>
    <w:p w14:paraId="190D8680" w14:textId="3E498385" w:rsidR="0086148B" w:rsidRDefault="00425FBF" w:rsidP="0086148B">
      <w:pPr>
        <w:pStyle w:val="ListBullet"/>
        <w:numPr>
          <w:ilvl w:val="0"/>
          <w:numId w:val="0"/>
        </w:numPr>
      </w:pPr>
      <w:r>
        <w:t>Hence, p</w:t>
      </w:r>
      <w:r w:rsidR="0086148B">
        <w:t>roposed workstreams include:</w:t>
      </w:r>
    </w:p>
    <w:p w14:paraId="36ED8F61" w14:textId="68686A14" w:rsidR="0086148B" w:rsidRDefault="0086148B" w:rsidP="0086148B">
      <w:pPr>
        <w:pStyle w:val="ListBullet"/>
      </w:pPr>
      <w:r>
        <w:t>Implementation evaluation – occurring one year after the ‘</w:t>
      </w:r>
      <w:r w:rsidR="00DA4E17">
        <w:t>Go-Live’</w:t>
      </w:r>
      <w:r>
        <w:t xml:space="preserve"> date</w:t>
      </w:r>
    </w:p>
    <w:p w14:paraId="52A23C87" w14:textId="72F4C010" w:rsidR="0086148B" w:rsidRDefault="0086148B" w:rsidP="0086148B">
      <w:pPr>
        <w:pStyle w:val="ListBullet"/>
      </w:pPr>
      <w:r>
        <w:t xml:space="preserve">Mid-term outcome evaluation – occurring five years after the </w:t>
      </w:r>
      <w:r w:rsidR="00DA4E17">
        <w:t xml:space="preserve">‘Go-Live’ </w:t>
      </w:r>
      <w:r>
        <w:t>date</w:t>
      </w:r>
    </w:p>
    <w:p w14:paraId="34F8DB0A" w14:textId="03589FA5" w:rsidR="0086148B" w:rsidRDefault="0086148B" w:rsidP="0086148B">
      <w:pPr>
        <w:pStyle w:val="ListBullet"/>
      </w:pPr>
      <w:r>
        <w:t xml:space="preserve">Final outcome evaluation – occurring ten years after the </w:t>
      </w:r>
      <w:r w:rsidR="00DA4E17">
        <w:t xml:space="preserve">‘Go-Live’ </w:t>
      </w:r>
      <w:r>
        <w:t>date.</w:t>
      </w:r>
    </w:p>
    <w:p w14:paraId="00A46F11" w14:textId="4142FD53" w:rsidR="00344E7A" w:rsidRDefault="00514B55" w:rsidP="007176F0">
      <w:pPr>
        <w:pStyle w:val="BodyText"/>
      </w:pPr>
      <w:r>
        <w:t>Regarding governance of the evaluation, i</w:t>
      </w:r>
      <w:r w:rsidR="00EB66DD">
        <w:t>mplementation of this reform includes a set of policy decisions and a legislative process (Phases 1-3), followed by the operational process of transitioning a profession into the National Scheme</w:t>
      </w:r>
      <w:r w:rsidR="0059631F">
        <w:t xml:space="preserve"> (Phase 4)</w:t>
      </w:r>
      <w:r w:rsidR="00EB66DD">
        <w:t xml:space="preserve">. Given Ahpra’s operational role of regulating professions according to the approved decisions of Health Ministers, </w:t>
      </w:r>
      <w:r w:rsidR="00CB7ECF">
        <w:t>stakeholder feedback preferred</w:t>
      </w:r>
      <w:r w:rsidR="00EB66DD">
        <w:t xml:space="preserve"> Phase 1-3 </w:t>
      </w:r>
      <w:r w:rsidR="00CB7ECF">
        <w:t xml:space="preserve">to be </w:t>
      </w:r>
      <w:r w:rsidR="00EB66DD">
        <w:t>evaluated separately to Phase 4, with separate governance of these evaluations. Ahpra has previously evaluated the implementation of paramedicine’s entry into the National Scheme</w:t>
      </w:r>
      <w:r w:rsidR="003F1EB1">
        <w:t xml:space="preserve">, and </w:t>
      </w:r>
      <w:r w:rsidR="00344E7A">
        <w:t>Decision RIS notes that Ahpra has an existing National Scheme Research and Evaluation Framework which includes a Research and Evaluation Governance Structure.</w:t>
      </w:r>
      <w:r w:rsidR="00344E7A">
        <w:rPr>
          <w:rStyle w:val="FootnoteReference"/>
        </w:rPr>
        <w:footnoteReference w:id="294"/>
      </w:r>
      <w:r w:rsidR="00344E7A">
        <w:t xml:space="preserve"> </w:t>
      </w:r>
      <w:r w:rsidR="0018266F">
        <w:t xml:space="preserve">For </w:t>
      </w:r>
      <w:r w:rsidR="00654932">
        <w:t xml:space="preserve">the mid-term and final outcome evaluations, </w:t>
      </w:r>
      <w:r w:rsidR="000C569D">
        <w:t xml:space="preserve">governance </w:t>
      </w:r>
      <w:r w:rsidR="001044F1">
        <w:t xml:space="preserve">has </w:t>
      </w:r>
      <w:r w:rsidR="0037518F">
        <w:t xml:space="preserve">not been identified at this time however it is </w:t>
      </w:r>
      <w:r w:rsidR="00301636">
        <w:t xml:space="preserve">reasonable to </w:t>
      </w:r>
      <w:r w:rsidR="00B44899">
        <w:t>infer that outcomes achieved may b</w:t>
      </w:r>
      <w:r w:rsidR="001961EE">
        <w:t xml:space="preserve">e a </w:t>
      </w:r>
      <w:r w:rsidR="0015422E">
        <w:t>combination</w:t>
      </w:r>
      <w:r w:rsidR="001961EE">
        <w:t xml:space="preserve"> of </w:t>
      </w:r>
      <w:r w:rsidR="008757B9">
        <w:t xml:space="preserve">underlying policy </w:t>
      </w:r>
      <w:r w:rsidR="00531839">
        <w:t xml:space="preserve">decisions and the effectiveness </w:t>
      </w:r>
      <w:r w:rsidR="00553209">
        <w:t xml:space="preserve">of operational processes. </w:t>
      </w:r>
      <w:r w:rsidR="003A5BFF">
        <w:t xml:space="preserve">Hence, if a single </w:t>
      </w:r>
      <w:r w:rsidR="00F05CD9">
        <w:t xml:space="preserve">mid-term </w:t>
      </w:r>
      <w:r w:rsidR="003A5BFF">
        <w:t>evaluation</w:t>
      </w:r>
      <w:r w:rsidR="00F05CD9">
        <w:t xml:space="preserve"> and final </w:t>
      </w:r>
      <w:r w:rsidR="003F5320">
        <w:t>evaluation</w:t>
      </w:r>
      <w:r w:rsidR="003A5BFF">
        <w:t xml:space="preserve"> is undertaken</w:t>
      </w:r>
      <w:r w:rsidR="003F5320">
        <w:t>,</w:t>
      </w:r>
      <w:r w:rsidR="003A5BFF">
        <w:t xml:space="preserve"> it is important to</w:t>
      </w:r>
      <w:r w:rsidR="003C3B48">
        <w:t xml:space="preserve"> conduct the evaluation in a manner that recognises the</w:t>
      </w:r>
      <w:r w:rsidR="004A30E2">
        <w:t xml:space="preserve"> separate roles of Ahpra and the National Boards </w:t>
      </w:r>
      <w:r w:rsidR="00866C56">
        <w:t>as distinct from Health Ministers</w:t>
      </w:r>
      <w:r w:rsidR="004A2CFA">
        <w:t xml:space="preserve">. This </w:t>
      </w:r>
      <w:r w:rsidR="000136CB">
        <w:t xml:space="preserve">distinction also needs to be made clear in the </w:t>
      </w:r>
      <w:r w:rsidR="00467395">
        <w:t xml:space="preserve">evaluation report, which is expected to be made public. </w:t>
      </w:r>
    </w:p>
    <w:p w14:paraId="3C20396A" w14:textId="7A60FE33" w:rsidR="00FE6383" w:rsidRDefault="003B4FD6" w:rsidP="003B4FD6">
      <w:pPr>
        <w:pStyle w:val="Heading2"/>
      </w:pPr>
      <w:bookmarkStart w:id="400" w:name="_Toc191573868"/>
      <w:bookmarkStart w:id="401" w:name="_Toc191573869"/>
      <w:bookmarkStart w:id="402" w:name="_Toc191573870"/>
      <w:bookmarkStart w:id="403" w:name="_Toc191573871"/>
      <w:bookmarkStart w:id="404" w:name="_Toc191573872"/>
      <w:bookmarkStart w:id="405" w:name="_Toc198138666"/>
      <w:bookmarkEnd w:id="400"/>
      <w:bookmarkEnd w:id="401"/>
      <w:bookmarkEnd w:id="402"/>
      <w:bookmarkEnd w:id="403"/>
      <w:bookmarkEnd w:id="404"/>
      <w:r>
        <w:t xml:space="preserve">Evaluation </w:t>
      </w:r>
      <w:r w:rsidR="007477EF">
        <w:t>process</w:t>
      </w:r>
      <w:bookmarkEnd w:id="405"/>
    </w:p>
    <w:p w14:paraId="1ED090F0" w14:textId="14DC26A4" w:rsidR="003B4FD6" w:rsidRDefault="007D0589" w:rsidP="00A25B0B">
      <w:pPr>
        <w:pStyle w:val="Heading3"/>
      </w:pPr>
      <w:bookmarkStart w:id="406" w:name="_Toc198138667"/>
      <w:r>
        <w:t>Evaluation planning</w:t>
      </w:r>
      <w:bookmarkEnd w:id="406"/>
    </w:p>
    <w:p w14:paraId="46AC18FD" w14:textId="5728AAFD" w:rsidR="007D0589" w:rsidRDefault="007477EF" w:rsidP="007D0589">
      <w:pPr>
        <w:pStyle w:val="BodyText"/>
        <w:rPr>
          <w:lang w:eastAsia="en-AU"/>
        </w:rPr>
      </w:pPr>
      <w:r>
        <w:rPr>
          <w:lang w:eastAsia="en-AU"/>
        </w:rPr>
        <w:t xml:space="preserve">The first </w:t>
      </w:r>
      <w:r w:rsidR="0013319C">
        <w:rPr>
          <w:lang w:eastAsia="en-AU"/>
        </w:rPr>
        <w:t xml:space="preserve">phase of evaluation activities </w:t>
      </w:r>
      <w:r w:rsidR="006D1983">
        <w:rPr>
          <w:lang w:eastAsia="en-AU"/>
        </w:rPr>
        <w:t>is proposed to</w:t>
      </w:r>
      <w:r w:rsidR="0013319C">
        <w:rPr>
          <w:lang w:eastAsia="en-AU"/>
        </w:rPr>
        <w:t xml:space="preserve"> include the development of an</w:t>
      </w:r>
      <w:r w:rsidR="00F550E2">
        <w:rPr>
          <w:lang w:eastAsia="en-AU"/>
        </w:rPr>
        <w:t xml:space="preserve"> </w:t>
      </w:r>
      <w:r w:rsidR="0013319C">
        <w:rPr>
          <w:lang w:eastAsia="en-AU"/>
        </w:rPr>
        <w:t>Evaluation</w:t>
      </w:r>
      <w:r w:rsidR="00F550E2">
        <w:rPr>
          <w:lang w:eastAsia="en-AU"/>
        </w:rPr>
        <w:t xml:space="preserve"> Plan</w:t>
      </w:r>
      <w:r w:rsidR="0013319C">
        <w:rPr>
          <w:lang w:eastAsia="en-AU"/>
        </w:rPr>
        <w:t>, which includes</w:t>
      </w:r>
      <w:r w:rsidR="008026E7">
        <w:rPr>
          <w:lang w:eastAsia="en-AU"/>
        </w:rPr>
        <w:t>:</w:t>
      </w:r>
    </w:p>
    <w:p w14:paraId="6E1B66AA" w14:textId="55151A12" w:rsidR="008026E7" w:rsidRDefault="004806D1" w:rsidP="008026E7">
      <w:pPr>
        <w:pStyle w:val="ListBullet"/>
      </w:pPr>
      <w:r>
        <w:t xml:space="preserve">The scope of the evaluation (e.g., the </w:t>
      </w:r>
      <w:r w:rsidR="00057E1B">
        <w:t>Terms of Reference</w:t>
      </w:r>
      <w:r w:rsidR="009619AB">
        <w:t>)</w:t>
      </w:r>
    </w:p>
    <w:p w14:paraId="274637D6" w14:textId="25961276" w:rsidR="009619AB" w:rsidRDefault="009619AB" w:rsidP="008026E7">
      <w:pPr>
        <w:pStyle w:val="ListBullet"/>
      </w:pPr>
      <w:r>
        <w:t xml:space="preserve">The </w:t>
      </w:r>
      <w:r w:rsidR="00357055">
        <w:t>policy</w:t>
      </w:r>
      <w:r w:rsidR="005970FF">
        <w:t xml:space="preserve"> </w:t>
      </w:r>
      <w:r>
        <w:t xml:space="preserve">objectives </w:t>
      </w:r>
    </w:p>
    <w:p w14:paraId="3704A2D1" w14:textId="367CBEBC" w:rsidR="008D4E0A" w:rsidRDefault="008D4E0A" w:rsidP="008026E7">
      <w:pPr>
        <w:pStyle w:val="ListBullet"/>
      </w:pPr>
      <w:r>
        <w:t xml:space="preserve">A </w:t>
      </w:r>
      <w:r w:rsidR="00357055">
        <w:t>policy</w:t>
      </w:r>
      <w:r w:rsidR="005970FF">
        <w:t xml:space="preserve"> </w:t>
      </w:r>
      <w:r>
        <w:t xml:space="preserve">logic (which outlines the theory of change of the policy including </w:t>
      </w:r>
      <w:r w:rsidR="00EC2D87">
        <w:t>inputs, activities, outputs, and short-, medium- and long-term outcomes)</w:t>
      </w:r>
    </w:p>
    <w:p w14:paraId="721F1221" w14:textId="09BA6103" w:rsidR="00EC2D87" w:rsidRDefault="0057166F" w:rsidP="008026E7">
      <w:pPr>
        <w:pStyle w:val="ListBullet"/>
      </w:pPr>
      <w:r>
        <w:t>The key evaluation questions that will be pursued to understand whether objectives have been achieved</w:t>
      </w:r>
    </w:p>
    <w:p w14:paraId="00FBC6C5" w14:textId="2A6BB62B" w:rsidR="0057166F" w:rsidRDefault="00CB3BB9" w:rsidP="008026E7">
      <w:pPr>
        <w:pStyle w:val="ListBullet"/>
      </w:pPr>
      <w:r>
        <w:t xml:space="preserve">The sources of data that will be used to </w:t>
      </w:r>
      <w:r w:rsidR="004A5522">
        <w:t xml:space="preserve">answer </w:t>
      </w:r>
      <w:r w:rsidR="00051502">
        <w:t xml:space="preserve">each evaluation question (including </w:t>
      </w:r>
      <w:r w:rsidR="007F7C5D">
        <w:t>the use of existing secondary data complemented with primary data collection methods)</w:t>
      </w:r>
    </w:p>
    <w:p w14:paraId="3601FADE" w14:textId="77777777" w:rsidR="0056512A" w:rsidRDefault="002879F6" w:rsidP="008026E7">
      <w:pPr>
        <w:pStyle w:val="ListBullet"/>
      </w:pPr>
      <w:r>
        <w:t>A stakeholder engagement and communication plan</w:t>
      </w:r>
    </w:p>
    <w:p w14:paraId="20E394FC" w14:textId="371A2BF5" w:rsidR="00554796" w:rsidRDefault="00554796" w:rsidP="008026E7">
      <w:pPr>
        <w:pStyle w:val="ListBullet"/>
      </w:pPr>
      <w:r>
        <w:t>A risk management plan</w:t>
      </w:r>
    </w:p>
    <w:p w14:paraId="6BA8ABBF" w14:textId="642F1C1F" w:rsidR="007F7C5D" w:rsidRDefault="0056512A" w:rsidP="008026E7">
      <w:pPr>
        <w:pStyle w:val="ListBullet"/>
      </w:pPr>
      <w:r>
        <w:t xml:space="preserve">Governance arrangements for the </w:t>
      </w:r>
      <w:r w:rsidR="002045B4">
        <w:t>evaluation</w:t>
      </w:r>
      <w:r w:rsidR="002879F6">
        <w:t xml:space="preserve">. </w:t>
      </w:r>
    </w:p>
    <w:p w14:paraId="63621B09" w14:textId="0BA95650" w:rsidR="0020652F" w:rsidRPr="00886BEC" w:rsidRDefault="0020652F" w:rsidP="0036673A">
      <w:pPr>
        <w:pStyle w:val="ListBullet"/>
        <w:numPr>
          <w:ilvl w:val="0"/>
          <w:numId w:val="0"/>
        </w:numPr>
        <w:ind w:left="360" w:hanging="360"/>
      </w:pPr>
      <w:r>
        <w:t>Indicative evaluation questions are provided in the table below.</w:t>
      </w:r>
    </w:p>
    <w:p w14:paraId="45B40362" w14:textId="419A56CC" w:rsidR="0020652F" w:rsidRDefault="0020652F" w:rsidP="0020652F">
      <w:pPr>
        <w:pStyle w:val="Caption"/>
        <w:keepNext/>
      </w:pPr>
      <w:r>
        <w:t xml:space="preserve">Table </w:t>
      </w:r>
      <w:fldSimple w:instr=" STYLEREF 1 \s ">
        <w:r w:rsidR="00F32107">
          <w:rPr>
            <w:noProof/>
          </w:rPr>
          <w:t>10</w:t>
        </w:r>
      </w:fldSimple>
      <w:r w:rsidR="008944FB">
        <w:t>.</w:t>
      </w:r>
      <w:fldSimple w:instr=" SEQ Table \* ARABIC \s 1 ">
        <w:r w:rsidR="00F32107">
          <w:rPr>
            <w:noProof/>
          </w:rPr>
          <w:t>1</w:t>
        </w:r>
      </w:fldSimple>
      <w:r>
        <w:t xml:space="preserve"> Indicative evaluation questions</w:t>
      </w:r>
    </w:p>
    <w:tbl>
      <w:tblPr>
        <w:tblStyle w:val="BodyTable"/>
        <w:tblW w:w="0" w:type="auto"/>
        <w:tblLook w:val="04A0" w:firstRow="1" w:lastRow="0" w:firstColumn="1" w:lastColumn="0" w:noHBand="0" w:noVBand="1"/>
      </w:tblPr>
      <w:tblGrid>
        <w:gridCol w:w="1531"/>
        <w:gridCol w:w="4990"/>
        <w:gridCol w:w="2323"/>
      </w:tblGrid>
      <w:tr w:rsidR="00D02733" w14:paraId="269F068D" w14:textId="77777777" w:rsidTr="002A7BD4">
        <w:trPr>
          <w:cnfStyle w:val="100000000000" w:firstRow="1" w:lastRow="0" w:firstColumn="0" w:lastColumn="0" w:oddVBand="0" w:evenVBand="0" w:oddHBand="0" w:evenHBand="0" w:firstRowFirstColumn="0" w:firstRowLastColumn="0" w:lastRowFirstColumn="0" w:lastRowLastColumn="0"/>
        </w:trPr>
        <w:tc>
          <w:tcPr>
            <w:tcW w:w="1531" w:type="dxa"/>
          </w:tcPr>
          <w:p w14:paraId="1F673D63" w14:textId="77777777" w:rsidR="00D02733" w:rsidRPr="00F2077D" w:rsidRDefault="00D02733" w:rsidP="002A7BD4">
            <w:pPr>
              <w:rPr>
                <w:b/>
                <w:bCs/>
              </w:rPr>
            </w:pPr>
            <w:r>
              <w:rPr>
                <w:b/>
                <w:bCs/>
              </w:rPr>
              <w:t>Criteria</w:t>
            </w:r>
          </w:p>
        </w:tc>
        <w:tc>
          <w:tcPr>
            <w:tcW w:w="4990" w:type="dxa"/>
          </w:tcPr>
          <w:p w14:paraId="56AACC84" w14:textId="77777777" w:rsidR="00D02733" w:rsidRDefault="00D02733" w:rsidP="002A7BD4">
            <w:r w:rsidRPr="00F2077D">
              <w:rPr>
                <w:b/>
                <w:bCs/>
              </w:rPr>
              <w:t>Questions</w:t>
            </w:r>
          </w:p>
        </w:tc>
        <w:tc>
          <w:tcPr>
            <w:tcW w:w="2323" w:type="dxa"/>
          </w:tcPr>
          <w:p w14:paraId="7174BDB7" w14:textId="77777777" w:rsidR="00D02733" w:rsidRPr="00F2077D" w:rsidRDefault="00D02733" w:rsidP="002A7BD4">
            <w:pPr>
              <w:rPr>
                <w:b/>
                <w:bCs/>
              </w:rPr>
            </w:pPr>
            <w:r>
              <w:rPr>
                <w:b/>
                <w:bCs/>
              </w:rPr>
              <w:t>Data Source</w:t>
            </w:r>
          </w:p>
        </w:tc>
      </w:tr>
      <w:tr w:rsidR="00D02733" w14:paraId="67B0CB3C" w14:textId="77777777" w:rsidTr="002A7BD4">
        <w:tc>
          <w:tcPr>
            <w:tcW w:w="1531" w:type="dxa"/>
            <w:shd w:val="clear" w:color="auto" w:fill="F1F2F2" w:themeFill="background2"/>
          </w:tcPr>
          <w:p w14:paraId="3DCB0672" w14:textId="77777777" w:rsidR="00D02733" w:rsidRPr="00D936EA" w:rsidRDefault="00D02733" w:rsidP="002A7BD4">
            <w:pPr>
              <w:rPr>
                <w:i/>
                <w:iCs/>
              </w:rPr>
            </w:pPr>
            <w:r w:rsidRPr="00D936EA">
              <w:rPr>
                <w:i/>
                <w:iCs/>
              </w:rPr>
              <w:t xml:space="preserve">Implementation </w:t>
            </w:r>
          </w:p>
        </w:tc>
        <w:tc>
          <w:tcPr>
            <w:tcW w:w="4990" w:type="dxa"/>
            <w:shd w:val="clear" w:color="auto" w:fill="F1F2F2" w:themeFill="background2"/>
          </w:tcPr>
          <w:p w14:paraId="30C3183C" w14:textId="77777777" w:rsidR="00D02733" w:rsidRPr="00D936EA" w:rsidRDefault="00D02733" w:rsidP="002A7BD4">
            <w:pPr>
              <w:rPr>
                <w:i/>
                <w:iCs/>
              </w:rPr>
            </w:pPr>
          </w:p>
        </w:tc>
        <w:tc>
          <w:tcPr>
            <w:tcW w:w="2323" w:type="dxa"/>
            <w:shd w:val="clear" w:color="auto" w:fill="F1F2F2" w:themeFill="background2"/>
          </w:tcPr>
          <w:p w14:paraId="478580F3" w14:textId="77777777" w:rsidR="00D02733" w:rsidRPr="00D936EA" w:rsidRDefault="00D02733" w:rsidP="002A7BD4">
            <w:pPr>
              <w:rPr>
                <w:i/>
                <w:iCs/>
              </w:rPr>
            </w:pPr>
          </w:p>
        </w:tc>
      </w:tr>
      <w:tr w:rsidR="00D02733" w14:paraId="63B7DDD9" w14:textId="77777777" w:rsidTr="002A7BD4">
        <w:tc>
          <w:tcPr>
            <w:tcW w:w="1531" w:type="dxa"/>
          </w:tcPr>
          <w:p w14:paraId="0471984A" w14:textId="77777777" w:rsidR="00D02733" w:rsidRPr="00487167" w:rsidRDefault="00D02733" w:rsidP="002A7BD4">
            <w:r>
              <w:t>Awareness</w:t>
            </w:r>
          </w:p>
        </w:tc>
        <w:tc>
          <w:tcPr>
            <w:tcW w:w="4990" w:type="dxa"/>
          </w:tcPr>
          <w:p w14:paraId="14EBFA0B" w14:textId="40523B9D" w:rsidR="00D02733" w:rsidRDefault="00D02733" w:rsidP="002A7BD4">
            <w:pPr>
              <w:spacing w:after="60"/>
            </w:pPr>
            <w:r>
              <w:t xml:space="preserve">To what extent are consumers aware of their rights in relation to audiology’s inclusion in the National Scheme? </w:t>
            </w:r>
          </w:p>
          <w:p w14:paraId="3BE44373" w14:textId="77777777" w:rsidR="00D02733" w:rsidRDefault="00D02733" w:rsidP="002A7BD4">
            <w:pPr>
              <w:spacing w:after="60"/>
            </w:pPr>
            <w:r>
              <w:t>To what extent do audiologists understand their obligations under the National Scheme?</w:t>
            </w:r>
          </w:p>
          <w:p w14:paraId="3EFC693F" w14:textId="77777777" w:rsidR="00D02733" w:rsidRPr="00487167" w:rsidRDefault="00D02733" w:rsidP="002A7BD4">
            <w:pPr>
              <w:spacing w:after="60"/>
            </w:pPr>
            <w:r>
              <w:t>To what extent do employers understand their obligations under the National Scheme?</w:t>
            </w:r>
          </w:p>
        </w:tc>
        <w:tc>
          <w:tcPr>
            <w:tcW w:w="2323" w:type="dxa"/>
          </w:tcPr>
          <w:p w14:paraId="745E60E3" w14:textId="77777777" w:rsidR="00D02733" w:rsidRDefault="00D02733" w:rsidP="002A7BD4">
            <w:pPr>
              <w:spacing w:after="60"/>
            </w:pPr>
            <w:r>
              <w:t>Stakeholder consultation</w:t>
            </w:r>
          </w:p>
        </w:tc>
      </w:tr>
      <w:tr w:rsidR="00D02733" w14:paraId="2309FEE4" w14:textId="77777777" w:rsidTr="002A7BD4">
        <w:tc>
          <w:tcPr>
            <w:tcW w:w="1531" w:type="dxa"/>
          </w:tcPr>
          <w:p w14:paraId="1FC6B190" w14:textId="77777777" w:rsidR="00D02733" w:rsidRPr="00487167" w:rsidRDefault="00D02733" w:rsidP="002A7BD4">
            <w:r>
              <w:t>Appropriateness</w:t>
            </w:r>
          </w:p>
        </w:tc>
        <w:tc>
          <w:tcPr>
            <w:tcW w:w="4990" w:type="dxa"/>
          </w:tcPr>
          <w:p w14:paraId="5A94B50D" w14:textId="5068A524" w:rsidR="00582B05" w:rsidRDefault="00582B05" w:rsidP="002A7BD4">
            <w:pPr>
              <w:spacing w:after="60"/>
            </w:pPr>
            <w:r>
              <w:t>What proportion of the existing audiologist workforce met the mandatory registration standards</w:t>
            </w:r>
            <w:r w:rsidR="00F94BD6">
              <w:t xml:space="preserve"> for initial registration?</w:t>
            </w:r>
          </w:p>
          <w:p w14:paraId="4579587B" w14:textId="6FFD8751" w:rsidR="007C431B" w:rsidRDefault="007B6C11" w:rsidP="002A7BD4">
            <w:pPr>
              <w:spacing w:after="60"/>
            </w:pPr>
            <w:r>
              <w:t xml:space="preserve">For the audiologist cohort which did not meet the mandatory registration standards </w:t>
            </w:r>
            <w:r w:rsidR="001D739B">
              <w:t>–</w:t>
            </w:r>
            <w:r>
              <w:t xml:space="preserve"> </w:t>
            </w:r>
            <w:r w:rsidR="001D739B">
              <w:t>was the communication of this decision appropriate?</w:t>
            </w:r>
          </w:p>
          <w:p w14:paraId="54E27648" w14:textId="408BD5CF" w:rsidR="00474006" w:rsidRDefault="00474006" w:rsidP="002A7BD4">
            <w:pPr>
              <w:spacing w:after="60"/>
            </w:pPr>
            <w:r>
              <w:t xml:space="preserve">To what extent </w:t>
            </w:r>
            <w:r w:rsidR="003C498C">
              <w:t>did</w:t>
            </w:r>
            <w:r w:rsidR="00443EAC">
              <w:t xml:space="preserve"> grandfathering provisions </w:t>
            </w:r>
            <w:r w:rsidR="00F94BD6">
              <w:t>require amendment or modification in the lead-up to the ‘Go-Live date</w:t>
            </w:r>
            <w:r w:rsidR="00376DF4">
              <w:t>’?</w:t>
            </w:r>
          </w:p>
          <w:p w14:paraId="5DC5F6DC" w14:textId="464B8C69" w:rsidR="006B7D11" w:rsidRDefault="006B7D11" w:rsidP="002A7BD4">
            <w:pPr>
              <w:spacing w:after="60"/>
            </w:pPr>
            <w:r>
              <w:t xml:space="preserve">To what </w:t>
            </w:r>
            <w:r w:rsidR="00905057">
              <w:t>extent</w:t>
            </w:r>
            <w:r w:rsidR="00374D3A">
              <w:t xml:space="preserve"> was supplementary policy advice requested by Ahpra to manage </w:t>
            </w:r>
            <w:r w:rsidR="00BD439E">
              <w:t>implementation issues?</w:t>
            </w:r>
          </w:p>
          <w:p w14:paraId="2496B216" w14:textId="493FBC66" w:rsidR="00D02733" w:rsidRDefault="00513326" w:rsidP="002A7BD4">
            <w:pPr>
              <w:spacing w:after="60"/>
            </w:pPr>
            <w:r>
              <w:t xml:space="preserve">Did </w:t>
            </w:r>
            <w:r w:rsidR="00E6569F">
              <w:t xml:space="preserve">the </w:t>
            </w:r>
            <w:r w:rsidR="000861C2">
              <w:t xml:space="preserve">candidate </w:t>
            </w:r>
            <w:r w:rsidR="00E6569F">
              <w:t>requirements for appointment to the National B</w:t>
            </w:r>
            <w:r w:rsidR="00F40668">
              <w:t>oard meet audiologists’ expectations?</w:t>
            </w:r>
            <w:r>
              <w:t xml:space="preserve"> </w:t>
            </w:r>
          </w:p>
          <w:p w14:paraId="30160443" w14:textId="0A6042CE" w:rsidR="007A0C1C" w:rsidRDefault="007A0C1C" w:rsidP="002A7BD4">
            <w:pPr>
              <w:spacing w:after="60"/>
            </w:pPr>
            <w:r>
              <w:t>Was the implementation funding provided to Ahpra appropriate</w:t>
            </w:r>
            <w:r w:rsidR="00F173BD">
              <w:t xml:space="preserve"> to complete required activities</w:t>
            </w:r>
            <w:r>
              <w:t>?</w:t>
            </w:r>
          </w:p>
          <w:p w14:paraId="7BCA16A2" w14:textId="0E044AC7" w:rsidR="007A0C1C" w:rsidRDefault="007A0C1C" w:rsidP="002A7BD4">
            <w:pPr>
              <w:spacing w:after="60"/>
            </w:pPr>
            <w:r>
              <w:t>Was the implementation funding provided to the HPCA appropriate</w:t>
            </w:r>
            <w:r w:rsidR="00F173BD">
              <w:t xml:space="preserve"> to complete required activities</w:t>
            </w:r>
            <w:r>
              <w:t>?</w:t>
            </w:r>
          </w:p>
          <w:p w14:paraId="443AC87D" w14:textId="6CA76DE3" w:rsidR="00D02733" w:rsidRPr="00487167" w:rsidRDefault="00863C7C" w:rsidP="002A7BD4">
            <w:pPr>
              <w:spacing w:after="60"/>
            </w:pPr>
            <w:r>
              <w:t xml:space="preserve">Did </w:t>
            </w:r>
            <w:r w:rsidR="00D02733">
              <w:t>the National Bard start operations in a financially sustainable position?</w:t>
            </w:r>
          </w:p>
        </w:tc>
        <w:tc>
          <w:tcPr>
            <w:tcW w:w="2323" w:type="dxa"/>
          </w:tcPr>
          <w:p w14:paraId="1E2A3CBA" w14:textId="77777777" w:rsidR="00D02733" w:rsidRDefault="00D02733" w:rsidP="002A7BD4">
            <w:pPr>
              <w:spacing w:after="60"/>
            </w:pPr>
            <w:r>
              <w:t>Stakeholder consultation</w:t>
            </w:r>
          </w:p>
          <w:p w14:paraId="556872D3" w14:textId="4F2C123E" w:rsidR="00D02733" w:rsidRDefault="001721AF" w:rsidP="002A7BD4">
            <w:pPr>
              <w:spacing w:after="60"/>
            </w:pPr>
            <w:r>
              <w:t>Ahpra and the National Board’s annual report</w:t>
            </w:r>
          </w:p>
        </w:tc>
      </w:tr>
      <w:tr w:rsidR="00D02733" w14:paraId="6465C26A" w14:textId="77777777" w:rsidTr="002A7BD4">
        <w:tc>
          <w:tcPr>
            <w:tcW w:w="1531" w:type="dxa"/>
            <w:shd w:val="clear" w:color="auto" w:fill="F1F2F2" w:themeFill="background2"/>
          </w:tcPr>
          <w:p w14:paraId="51843C6E" w14:textId="77777777" w:rsidR="00D02733" w:rsidRPr="00E65137" w:rsidRDefault="00D02733" w:rsidP="002A7BD4">
            <w:pPr>
              <w:rPr>
                <w:i/>
                <w:iCs/>
              </w:rPr>
            </w:pPr>
            <w:r w:rsidRPr="00E65137">
              <w:rPr>
                <w:i/>
                <w:iCs/>
              </w:rPr>
              <w:t>Outcome</w:t>
            </w:r>
          </w:p>
        </w:tc>
        <w:tc>
          <w:tcPr>
            <w:tcW w:w="4990" w:type="dxa"/>
            <w:shd w:val="clear" w:color="auto" w:fill="F1F2F2" w:themeFill="background2"/>
          </w:tcPr>
          <w:p w14:paraId="590F2C5D" w14:textId="77777777" w:rsidR="00D02733" w:rsidRPr="00E65137" w:rsidRDefault="00D02733" w:rsidP="002A7BD4">
            <w:pPr>
              <w:spacing w:after="60"/>
              <w:rPr>
                <w:i/>
                <w:iCs/>
              </w:rPr>
            </w:pPr>
          </w:p>
        </w:tc>
        <w:tc>
          <w:tcPr>
            <w:tcW w:w="2323" w:type="dxa"/>
            <w:shd w:val="clear" w:color="auto" w:fill="F1F2F2" w:themeFill="background2"/>
          </w:tcPr>
          <w:p w14:paraId="3625D4E9" w14:textId="77777777" w:rsidR="00D02733" w:rsidRPr="00E65137" w:rsidRDefault="00D02733" w:rsidP="002A7BD4">
            <w:pPr>
              <w:spacing w:after="60"/>
              <w:rPr>
                <w:i/>
                <w:iCs/>
              </w:rPr>
            </w:pPr>
          </w:p>
        </w:tc>
      </w:tr>
      <w:tr w:rsidR="00D02733" w14:paraId="7B8E9C26" w14:textId="77777777" w:rsidTr="002A7BD4">
        <w:tc>
          <w:tcPr>
            <w:tcW w:w="1531" w:type="dxa"/>
          </w:tcPr>
          <w:p w14:paraId="2EE03932" w14:textId="77777777" w:rsidR="00D02733" w:rsidRDefault="00D02733" w:rsidP="002A7BD4">
            <w:r>
              <w:t>Effectiveness</w:t>
            </w:r>
          </w:p>
        </w:tc>
        <w:tc>
          <w:tcPr>
            <w:tcW w:w="4990" w:type="dxa"/>
          </w:tcPr>
          <w:p w14:paraId="6CEE6623" w14:textId="234C57D5" w:rsidR="001A2631" w:rsidRDefault="00D02733" w:rsidP="001A2631">
            <w:pPr>
              <w:spacing w:after="60"/>
            </w:pPr>
            <w:r>
              <w:t xml:space="preserve">To what extent has </w:t>
            </w:r>
            <w:r w:rsidR="009D65B6">
              <w:t>National Registration</w:t>
            </w:r>
            <w:r>
              <w:t xml:space="preserve"> increased the identification</w:t>
            </w:r>
            <w:r w:rsidR="001A2631">
              <w:t xml:space="preserve"> (by consumer)</w:t>
            </w:r>
            <w:r>
              <w:t xml:space="preserve"> and treatment of cases of substandard car</w:t>
            </w:r>
            <w:r w:rsidR="001A2631">
              <w:t>e</w:t>
            </w:r>
            <w:r>
              <w:t>?</w:t>
            </w:r>
          </w:p>
          <w:p w14:paraId="49C1824F" w14:textId="16B77016" w:rsidR="00D02733" w:rsidRDefault="00D02733" w:rsidP="002A7BD4">
            <w:pPr>
              <w:spacing w:after="60"/>
            </w:pPr>
            <w:r>
              <w:t xml:space="preserve">To what extent has </w:t>
            </w:r>
            <w:r w:rsidR="009D65B6">
              <w:t>National Registration</w:t>
            </w:r>
            <w:r>
              <w:t xml:space="preserve"> enhanced consumer understanding of the </w:t>
            </w:r>
            <w:r w:rsidR="00330D27">
              <w:t xml:space="preserve">professional </w:t>
            </w:r>
            <w:r w:rsidR="0007667A">
              <w:t xml:space="preserve">qualifications of their </w:t>
            </w:r>
            <w:r w:rsidR="00523120">
              <w:t>health care provider</w:t>
            </w:r>
            <w:r>
              <w:t>?</w:t>
            </w:r>
          </w:p>
          <w:p w14:paraId="56154567" w14:textId="24C431A7" w:rsidR="00EE11F6" w:rsidRDefault="00EE11F6" w:rsidP="002A7BD4">
            <w:pPr>
              <w:spacing w:after="60"/>
            </w:pPr>
            <w:r>
              <w:t xml:space="preserve">To what extent has </w:t>
            </w:r>
            <w:r w:rsidR="009D65B6">
              <w:t>National Registration</w:t>
            </w:r>
            <w:r w:rsidR="00327EB7">
              <w:t xml:space="preserve"> contributed to the delivery of culturally safe care (including for Aboriginal and Torres Strait Islander people)?</w:t>
            </w:r>
          </w:p>
          <w:p w14:paraId="7C8EB11B" w14:textId="5B7CCFDB" w:rsidR="00AF0DFE" w:rsidRDefault="00AF0DFE" w:rsidP="002A7BD4">
            <w:pPr>
              <w:spacing w:after="60"/>
            </w:pPr>
            <w:r>
              <w:t xml:space="preserve">To what extent has </w:t>
            </w:r>
            <w:r w:rsidR="009D65B6">
              <w:t>National Registration</w:t>
            </w:r>
            <w:r>
              <w:t xml:space="preserve"> increased the identification (by audiologists) and treatment of cases of substandard care?</w:t>
            </w:r>
          </w:p>
          <w:p w14:paraId="7E3F6AA1" w14:textId="2E650F87" w:rsidR="007F584E" w:rsidRDefault="00ED23FF" w:rsidP="002A7BD4">
            <w:pPr>
              <w:spacing w:after="60"/>
            </w:pPr>
            <w:r>
              <w:t xml:space="preserve">To what extent </w:t>
            </w:r>
            <w:r w:rsidR="0059464F">
              <w:t>does the audiologist</w:t>
            </w:r>
            <w:r>
              <w:t xml:space="preserve"> profession</w:t>
            </w:r>
            <w:r w:rsidR="0059464F">
              <w:t xml:space="preserve"> believe that </w:t>
            </w:r>
            <w:r w:rsidR="009D65B6">
              <w:t>National Registration</w:t>
            </w:r>
            <w:r w:rsidR="0059464F">
              <w:t xml:space="preserve"> has led to an increase in high-quality </w:t>
            </w:r>
            <w:r w:rsidR="00601323">
              <w:t>CPD?</w:t>
            </w:r>
          </w:p>
          <w:p w14:paraId="4FF8A0E9" w14:textId="17DEEE90" w:rsidR="00601323" w:rsidRDefault="00601323" w:rsidP="002A7BD4">
            <w:pPr>
              <w:spacing w:after="60"/>
            </w:pPr>
            <w:r>
              <w:t xml:space="preserve">To what extent does the audiologist profession believe that </w:t>
            </w:r>
            <w:r w:rsidR="009D65B6">
              <w:t>National Registration</w:t>
            </w:r>
            <w:r>
              <w:t xml:space="preserve"> has led to an increase in other profession-level goods (e.g., clinical guidance)</w:t>
            </w:r>
            <w:r w:rsidR="00330D27">
              <w:t>?</w:t>
            </w:r>
          </w:p>
          <w:p w14:paraId="4B666EBC" w14:textId="3423FB2F" w:rsidR="00AC4C2C" w:rsidRDefault="00330D27" w:rsidP="006C70B7">
            <w:pPr>
              <w:spacing w:after="60"/>
            </w:pPr>
            <w:r>
              <w:t>To what extent h</w:t>
            </w:r>
            <w:r w:rsidR="001228D5">
              <w:t>a</w:t>
            </w:r>
            <w:r w:rsidR="00105509">
              <w:t xml:space="preserve">ve audiologists in the private sector </w:t>
            </w:r>
            <w:r w:rsidR="00D54DB4">
              <w:t>changed their personal behaviour in relation to the management of financial conflicts of interest?</w:t>
            </w:r>
          </w:p>
          <w:p w14:paraId="11142410" w14:textId="76D102D4" w:rsidR="00D54DB4" w:rsidRDefault="00D54DB4" w:rsidP="00D54DB4">
            <w:pPr>
              <w:spacing w:after="60"/>
            </w:pPr>
            <w:r>
              <w:t xml:space="preserve">To what extent have </w:t>
            </w:r>
            <w:r w:rsidR="00CA5F2C">
              <w:t>employers</w:t>
            </w:r>
            <w:r>
              <w:t xml:space="preserve"> in the private sector changed their </w:t>
            </w:r>
            <w:r w:rsidR="00CA5F2C">
              <w:t>organi</w:t>
            </w:r>
            <w:r w:rsidR="00BC54D2">
              <w:t>s</w:t>
            </w:r>
            <w:r w:rsidR="00CA5F2C">
              <w:t>ational policies</w:t>
            </w:r>
            <w:r>
              <w:t xml:space="preserve"> in relation to the management of financial conflicts of interest?</w:t>
            </w:r>
          </w:p>
          <w:p w14:paraId="5FB2BB1E" w14:textId="755A63DC" w:rsidR="00BC54D2" w:rsidRDefault="00BC54D2" w:rsidP="00D54DB4">
            <w:pPr>
              <w:spacing w:after="60"/>
            </w:pPr>
            <w:r>
              <w:t xml:space="preserve">To what </w:t>
            </w:r>
            <w:r w:rsidR="00CE56B6">
              <w:t xml:space="preserve">extent do employers </w:t>
            </w:r>
            <w:r w:rsidR="00CE379F">
              <w:t xml:space="preserve">perceive that </w:t>
            </w:r>
            <w:r w:rsidR="009D65B6">
              <w:t>National Registration</w:t>
            </w:r>
            <w:r w:rsidR="00CE379F">
              <w:t xml:space="preserve"> </w:t>
            </w:r>
            <w:r w:rsidR="005330B7">
              <w:t>is a</w:t>
            </w:r>
            <w:r w:rsidR="00CE379F">
              <w:t xml:space="preserve"> regulatory burden on their practice?</w:t>
            </w:r>
          </w:p>
        </w:tc>
        <w:tc>
          <w:tcPr>
            <w:tcW w:w="2323" w:type="dxa"/>
          </w:tcPr>
          <w:p w14:paraId="66C15440" w14:textId="77777777" w:rsidR="00D02733" w:rsidRDefault="00D02733" w:rsidP="002A7BD4">
            <w:pPr>
              <w:spacing w:after="60"/>
            </w:pPr>
            <w:r>
              <w:t>Stakeholder consultation</w:t>
            </w:r>
          </w:p>
          <w:p w14:paraId="21C9F9BD" w14:textId="5F2FC506" w:rsidR="00D02733" w:rsidRDefault="00D02733" w:rsidP="002A7BD4">
            <w:pPr>
              <w:spacing w:after="60"/>
            </w:pPr>
            <w:r>
              <w:t xml:space="preserve">National </w:t>
            </w:r>
            <w:r w:rsidR="00D6294C">
              <w:t>Scheme</w:t>
            </w:r>
            <w:r>
              <w:t>, HCE and health service quality, safety and complaints data</w:t>
            </w:r>
          </w:p>
          <w:p w14:paraId="5C7E7D02" w14:textId="77777777" w:rsidR="00D02733" w:rsidRDefault="00D02733" w:rsidP="002A7BD4">
            <w:pPr>
              <w:spacing w:after="60"/>
            </w:pPr>
            <w:r>
              <w:t xml:space="preserve"> </w:t>
            </w:r>
          </w:p>
        </w:tc>
      </w:tr>
      <w:tr w:rsidR="00D02733" w14:paraId="0699A619" w14:textId="77777777" w:rsidTr="002A7BD4">
        <w:tc>
          <w:tcPr>
            <w:tcW w:w="1531" w:type="dxa"/>
          </w:tcPr>
          <w:p w14:paraId="2909699F" w14:textId="77777777" w:rsidR="00D02733" w:rsidRDefault="00D02733" w:rsidP="002A7BD4">
            <w:r>
              <w:t>Costs</w:t>
            </w:r>
          </w:p>
        </w:tc>
        <w:tc>
          <w:tcPr>
            <w:tcW w:w="4990" w:type="dxa"/>
          </w:tcPr>
          <w:p w14:paraId="66A51B58" w14:textId="6F9A9900" w:rsidR="00B61A82" w:rsidRDefault="005E7911" w:rsidP="00E263FA">
            <w:pPr>
              <w:spacing w:after="60"/>
            </w:pPr>
            <w:r>
              <w:t>Is the</w:t>
            </w:r>
            <w:r w:rsidR="00501CC0">
              <w:t>re</w:t>
            </w:r>
            <w:r>
              <w:t xml:space="preserve"> evidence of price increases </w:t>
            </w:r>
            <w:r w:rsidR="009E6E19">
              <w:t xml:space="preserve">to </w:t>
            </w:r>
            <w:r>
              <w:t>consumers that is able to be linked to regulatory burden?</w:t>
            </w:r>
          </w:p>
          <w:p w14:paraId="418FB05D" w14:textId="072B0CD4" w:rsidR="00B25F52" w:rsidRDefault="00D02733" w:rsidP="00E263FA">
            <w:pPr>
              <w:spacing w:after="60"/>
            </w:pPr>
            <w:r>
              <w:t xml:space="preserve">Are the costs associated with </w:t>
            </w:r>
            <w:r w:rsidR="009D65B6">
              <w:t>National Registration</w:t>
            </w:r>
            <w:r>
              <w:t xml:space="preserve"> </w:t>
            </w:r>
            <w:r w:rsidR="00B61A82">
              <w:t xml:space="preserve">for business </w:t>
            </w:r>
            <w:r>
              <w:t>in line with what was anticipated?</w:t>
            </w:r>
            <w:r w:rsidR="00E263FA">
              <w:t xml:space="preserve"> </w:t>
            </w:r>
          </w:p>
          <w:p w14:paraId="6ABCB33C" w14:textId="77777777" w:rsidR="00D02733" w:rsidRDefault="00D02733" w:rsidP="002A7BD4">
            <w:pPr>
              <w:spacing w:after="60"/>
            </w:pPr>
            <w:r>
              <w:t>Are there any unnecessary costs that could be mitigated?</w:t>
            </w:r>
          </w:p>
        </w:tc>
        <w:tc>
          <w:tcPr>
            <w:tcW w:w="2323" w:type="dxa"/>
          </w:tcPr>
          <w:p w14:paraId="643504D9" w14:textId="77777777" w:rsidR="00D02733" w:rsidRDefault="00D02733" w:rsidP="002A7BD4">
            <w:pPr>
              <w:spacing w:after="60"/>
            </w:pPr>
            <w:r>
              <w:t>Stakeholder consultation, including a survey of private providers</w:t>
            </w:r>
          </w:p>
          <w:p w14:paraId="6107E2EE" w14:textId="46F1074C" w:rsidR="00D02733" w:rsidRDefault="008136DC" w:rsidP="002A7BD4">
            <w:pPr>
              <w:spacing w:after="60"/>
            </w:pPr>
            <w:r>
              <w:t xml:space="preserve">Ahpra and the National Board </w:t>
            </w:r>
            <w:r w:rsidR="00E06CE2">
              <w:t>annual report</w:t>
            </w:r>
          </w:p>
        </w:tc>
      </w:tr>
      <w:tr w:rsidR="00D02733" w14:paraId="5A7869B7" w14:textId="77777777" w:rsidTr="002A7BD4">
        <w:tc>
          <w:tcPr>
            <w:tcW w:w="1531" w:type="dxa"/>
          </w:tcPr>
          <w:p w14:paraId="4F85B432" w14:textId="77777777" w:rsidR="00D02733" w:rsidRDefault="00D02733" w:rsidP="002A7BD4">
            <w:r>
              <w:t>Unintended consequences</w:t>
            </w:r>
          </w:p>
        </w:tc>
        <w:tc>
          <w:tcPr>
            <w:tcW w:w="4990" w:type="dxa"/>
          </w:tcPr>
          <w:p w14:paraId="575EB4F5" w14:textId="77777777" w:rsidR="00D02733" w:rsidRDefault="00D02733" w:rsidP="002A7BD4">
            <w:pPr>
              <w:spacing w:after="60"/>
            </w:pPr>
            <w:r>
              <w:t xml:space="preserve">To what extent have the identified implementation risks materialised? What is the impact and how are they being mitigated? </w:t>
            </w:r>
          </w:p>
          <w:p w14:paraId="48642C3D" w14:textId="1AAD7C27" w:rsidR="0024773E" w:rsidRDefault="0024773E" w:rsidP="0024773E">
            <w:pPr>
              <w:spacing w:after="60"/>
            </w:pPr>
            <w:r>
              <w:t>Is there evidence of withdrawal of services to consumers that is able to be linked to regulatory burden?</w:t>
            </w:r>
          </w:p>
          <w:p w14:paraId="67511031" w14:textId="1D39844B" w:rsidR="00D02733" w:rsidRDefault="00D02733" w:rsidP="002A7BD4">
            <w:pPr>
              <w:spacing w:after="60"/>
            </w:pPr>
            <w:r>
              <w:t xml:space="preserve">Are there any </w:t>
            </w:r>
            <w:r w:rsidR="0024773E">
              <w:t xml:space="preserve">other </w:t>
            </w:r>
            <w:r>
              <w:t>unintended market impacts across the hearing health provider landscape?</w:t>
            </w:r>
          </w:p>
          <w:p w14:paraId="2BE704F0" w14:textId="6F9D6481" w:rsidR="00D02733" w:rsidRDefault="00D02733" w:rsidP="002A7BD4">
            <w:pPr>
              <w:spacing w:after="60"/>
            </w:pPr>
            <w:r>
              <w:t xml:space="preserve">Are there any other unintended consequence associated with </w:t>
            </w:r>
            <w:r w:rsidR="009D65B6">
              <w:t>National Registration</w:t>
            </w:r>
            <w:r>
              <w:t>?</w:t>
            </w:r>
          </w:p>
        </w:tc>
        <w:tc>
          <w:tcPr>
            <w:tcW w:w="2323" w:type="dxa"/>
          </w:tcPr>
          <w:p w14:paraId="58B53C8F" w14:textId="77777777" w:rsidR="00D02733" w:rsidRDefault="00D02733" w:rsidP="002A7BD4">
            <w:pPr>
              <w:spacing w:after="60"/>
            </w:pPr>
            <w:r>
              <w:t>Stakeholder consultation</w:t>
            </w:r>
          </w:p>
          <w:p w14:paraId="3BE11DD4" w14:textId="27B1CD52" w:rsidR="00D02733" w:rsidRDefault="00D02733" w:rsidP="002A7BD4">
            <w:pPr>
              <w:spacing w:after="60"/>
            </w:pPr>
            <w:r>
              <w:t xml:space="preserve">National </w:t>
            </w:r>
            <w:r w:rsidR="00C204EE">
              <w:t>Scheme</w:t>
            </w:r>
            <w:r>
              <w:t>, HCE and health service quality, safety and complaints data</w:t>
            </w:r>
          </w:p>
          <w:p w14:paraId="46422CBA" w14:textId="77777777" w:rsidR="00D02733" w:rsidRDefault="00D02733" w:rsidP="002A7BD4">
            <w:pPr>
              <w:spacing w:after="60"/>
            </w:pPr>
            <w:r>
              <w:t>IBISWorld and ABS market statistics</w:t>
            </w:r>
          </w:p>
          <w:p w14:paraId="73BAA5D2" w14:textId="77777777" w:rsidR="00D02733" w:rsidRDefault="00D02733" w:rsidP="002A7BD4">
            <w:pPr>
              <w:spacing w:after="60"/>
            </w:pPr>
          </w:p>
        </w:tc>
      </w:tr>
    </w:tbl>
    <w:p w14:paraId="2476247A" w14:textId="77777777" w:rsidR="0020652F" w:rsidRDefault="0020652F" w:rsidP="00A75D4E">
      <w:pPr>
        <w:pStyle w:val="ListBullet"/>
        <w:numPr>
          <w:ilvl w:val="0"/>
          <w:numId w:val="0"/>
        </w:numPr>
        <w:ind w:left="360" w:hanging="360"/>
      </w:pPr>
    </w:p>
    <w:p w14:paraId="6145F65C" w14:textId="724F5B12" w:rsidR="0013319C" w:rsidRDefault="00554796" w:rsidP="002A1F79">
      <w:pPr>
        <w:pStyle w:val="Heading3"/>
      </w:pPr>
      <w:bookmarkStart w:id="407" w:name="_Toc198138668"/>
      <w:r>
        <w:t>Data collection</w:t>
      </w:r>
      <w:bookmarkEnd w:id="407"/>
    </w:p>
    <w:p w14:paraId="42EBC817" w14:textId="77777777" w:rsidR="00F318B6" w:rsidRDefault="00272C80" w:rsidP="005F57E2">
      <w:pPr>
        <w:pStyle w:val="BodyText"/>
        <w:rPr>
          <w:lang w:eastAsia="en-AU"/>
        </w:rPr>
      </w:pPr>
      <w:r>
        <w:rPr>
          <w:lang w:eastAsia="en-AU"/>
        </w:rPr>
        <w:t xml:space="preserve">A mixed-methods evaluation of primary and secondary data is recommended, particularly given the extent of qualitative stakeholder evidence submitted for this Decision RIS. </w:t>
      </w:r>
    </w:p>
    <w:p w14:paraId="34990F42" w14:textId="39566B45" w:rsidR="00003252" w:rsidRDefault="00F318B6" w:rsidP="000B2997">
      <w:pPr>
        <w:pStyle w:val="ListBullet"/>
      </w:pPr>
      <w:r w:rsidRPr="000B2997">
        <w:rPr>
          <w:b/>
          <w:bCs/>
        </w:rPr>
        <w:t>Primary data collection</w:t>
      </w:r>
      <w:r>
        <w:t xml:space="preserve">: </w:t>
      </w:r>
      <w:r w:rsidR="000B2997" w:rsidRPr="00840ED8">
        <w:t xml:space="preserve">Given the paucity of data on volume and severity of harms under the current state, it is challenging to establish a baseline </w:t>
      </w:r>
      <w:r w:rsidR="000B2997">
        <w:t xml:space="preserve">to measure incremental change following introduction of </w:t>
      </w:r>
      <w:r w:rsidR="00A2137D">
        <w:t>National Registration</w:t>
      </w:r>
      <w:r w:rsidR="000B2997">
        <w:t xml:space="preserve">. To this </w:t>
      </w:r>
      <w:r w:rsidR="000B2997" w:rsidRPr="00D65295">
        <w:t xml:space="preserve">end, </w:t>
      </w:r>
      <w:r w:rsidR="000B2997">
        <w:t>stakeholder</w:t>
      </w:r>
      <w:r w:rsidR="000B2997" w:rsidRPr="00D65295">
        <w:t xml:space="preserve"> consultation</w:t>
      </w:r>
      <w:r w:rsidR="000B2997">
        <w:t xml:space="preserve"> is required with</w:t>
      </w:r>
      <w:r w:rsidR="000B2997" w:rsidRPr="00D65295">
        <w:t xml:space="preserve"> </w:t>
      </w:r>
      <w:r w:rsidR="000B2997">
        <w:t>audiologists</w:t>
      </w:r>
      <w:r w:rsidR="000B2997" w:rsidRPr="00D65295">
        <w:t>, employers</w:t>
      </w:r>
      <w:r w:rsidR="000B2997">
        <w:t xml:space="preserve">, </w:t>
      </w:r>
      <w:r w:rsidR="008B213D">
        <w:t>PPBs</w:t>
      </w:r>
      <w:r w:rsidR="000B2997">
        <w:t>,</w:t>
      </w:r>
      <w:r w:rsidR="000B2997" w:rsidRPr="00D65295">
        <w:t xml:space="preserve"> and consumers to gather perspectives on</w:t>
      </w:r>
      <w:r w:rsidR="0075189F">
        <w:t xml:space="preserve"> a range of </w:t>
      </w:r>
      <w:r w:rsidR="00003252">
        <w:t>outcomes including</w:t>
      </w:r>
    </w:p>
    <w:p w14:paraId="1B743420" w14:textId="291A622B" w:rsidR="00003252" w:rsidRPr="00D6294C" w:rsidRDefault="000B2997" w:rsidP="00D6294C">
      <w:pPr>
        <w:pStyle w:val="BulletList2Column"/>
      </w:pPr>
      <w:r w:rsidRPr="00D6294C">
        <w:t xml:space="preserve">change in care quality </w:t>
      </w:r>
    </w:p>
    <w:p w14:paraId="725E800A" w14:textId="2E62F3C6" w:rsidR="00003252" w:rsidRPr="00D6294C" w:rsidRDefault="000B2997" w:rsidP="00D6294C">
      <w:pPr>
        <w:pStyle w:val="BulletList2Column"/>
      </w:pPr>
      <w:r w:rsidRPr="00D6294C">
        <w:t>the extent to which cases of substandard care are being identified and appropriately treated</w:t>
      </w:r>
    </w:p>
    <w:p w14:paraId="13EC12A6" w14:textId="58CE0339" w:rsidR="00003252" w:rsidRPr="00D6294C" w:rsidRDefault="00003252" w:rsidP="00D6294C">
      <w:pPr>
        <w:pStyle w:val="BulletList2Column"/>
      </w:pPr>
      <w:r w:rsidRPr="00D6294C">
        <w:t>the extent to which consumers are more aware of the difference between an audiologist and an audiometrist</w:t>
      </w:r>
    </w:p>
    <w:p w14:paraId="6294390D" w14:textId="63DFD8C9" w:rsidR="00003252" w:rsidRPr="00D6294C" w:rsidRDefault="00003252" w:rsidP="00D6294C">
      <w:pPr>
        <w:pStyle w:val="BulletList2Column"/>
      </w:pPr>
      <w:r w:rsidRPr="00D6294C">
        <w:t xml:space="preserve">unintended consequences across the hearing health landscape, such as impacts on competition and the labour market (e.g., higher audiologist salary expectations, recruitment of audiometrists in </w:t>
      </w:r>
      <w:r w:rsidR="00B4320B">
        <w:t xml:space="preserve">preference </w:t>
      </w:r>
      <w:r w:rsidR="001E6F5C">
        <w:t>to</w:t>
      </w:r>
      <w:r w:rsidRPr="00D6294C">
        <w:t xml:space="preserve"> audiologists)</w:t>
      </w:r>
    </w:p>
    <w:p w14:paraId="2D6833CF" w14:textId="1DBBD5F7" w:rsidR="00003252" w:rsidRPr="00D6294C" w:rsidRDefault="00003252" w:rsidP="00D6294C">
      <w:pPr>
        <w:pStyle w:val="BulletList2Column"/>
      </w:pPr>
      <w:r w:rsidRPr="00D6294C">
        <w:t>unnecessary compliance costs for employers or other unnecessary costs that could be mitigated.</w:t>
      </w:r>
    </w:p>
    <w:p w14:paraId="30A8787E" w14:textId="26EF908A" w:rsidR="00F318B6" w:rsidRDefault="000B2997" w:rsidP="00EB2C92">
      <w:pPr>
        <w:pStyle w:val="ListBullet"/>
        <w:numPr>
          <w:ilvl w:val="0"/>
          <w:numId w:val="0"/>
        </w:numPr>
        <w:ind w:left="360"/>
      </w:pPr>
      <w:r w:rsidRPr="00D65295">
        <w:t xml:space="preserve">In addition, public sector audiology services </w:t>
      </w:r>
      <w:r w:rsidR="008B213D">
        <w:t>could</w:t>
      </w:r>
      <w:r w:rsidRPr="00D65295">
        <w:t xml:space="preserve"> </w:t>
      </w:r>
      <w:r w:rsidR="008B213D">
        <w:t>elect to conduct and provide</w:t>
      </w:r>
      <w:r w:rsidR="00EB2C92">
        <w:t xml:space="preserve"> quantitative</w:t>
      </w:r>
      <w:r w:rsidRPr="00D65295">
        <w:t xml:space="preserve"> clinical audit</w:t>
      </w:r>
      <w:r w:rsidR="008B213D">
        <w:t xml:space="preserve"> data </w:t>
      </w:r>
      <w:r w:rsidRPr="00D65295">
        <w:t>to inform</w:t>
      </w:r>
      <w:r>
        <w:t xml:space="preserve"> ongoing</w:t>
      </w:r>
      <w:r w:rsidRPr="00D65295">
        <w:t xml:space="preserve"> monitoring of harms.</w:t>
      </w:r>
      <w:r w:rsidR="001721AF">
        <w:t xml:space="preserve"> Stakeholder observations regarding </w:t>
      </w:r>
      <w:r w:rsidR="004A5EED">
        <w:t>the entry of a profession into the National Scheme advised that primary data collection should not commence until after the ‘Go-Live’ date</w:t>
      </w:r>
      <w:r w:rsidR="00381B24">
        <w:t xml:space="preserve">, </w:t>
      </w:r>
      <w:r w:rsidR="00754948">
        <w:t>due to the significant work required to be undertake</w:t>
      </w:r>
      <w:r w:rsidR="00416614">
        <w:t xml:space="preserve">n up to </w:t>
      </w:r>
      <w:r w:rsidR="00BF08CA">
        <w:t>that</w:t>
      </w:r>
      <w:r w:rsidR="00416614">
        <w:t xml:space="preserve"> point.</w:t>
      </w:r>
    </w:p>
    <w:p w14:paraId="3E46426D" w14:textId="363634D9" w:rsidR="00F318B6" w:rsidRDefault="00125549" w:rsidP="002C635A">
      <w:pPr>
        <w:pStyle w:val="ListBullet"/>
      </w:pPr>
      <w:r w:rsidRPr="000B2997">
        <w:rPr>
          <w:b/>
          <w:bCs/>
        </w:rPr>
        <w:t>Secondary data collection</w:t>
      </w:r>
      <w:r>
        <w:t xml:space="preserve">: Identified existing secondary data </w:t>
      </w:r>
      <w:r w:rsidR="002C635A">
        <w:t>sources include:</w:t>
      </w:r>
    </w:p>
    <w:p w14:paraId="168B9D8A" w14:textId="6B1E8D0A" w:rsidR="002C635A" w:rsidRPr="00BF08CA" w:rsidRDefault="00CC3ED3" w:rsidP="00BF08CA">
      <w:pPr>
        <w:pStyle w:val="BulletList2Column"/>
      </w:pPr>
      <w:r w:rsidRPr="00BF08CA">
        <w:t xml:space="preserve">National </w:t>
      </w:r>
      <w:r w:rsidR="006F56D5" w:rsidRPr="00BF08CA">
        <w:t xml:space="preserve">Scheme </w:t>
      </w:r>
      <w:r w:rsidR="00A65808" w:rsidRPr="00BF08CA">
        <w:t xml:space="preserve">workforce </w:t>
      </w:r>
      <w:r w:rsidRPr="00BF08CA">
        <w:t xml:space="preserve">statistics (including </w:t>
      </w:r>
      <w:r w:rsidR="0043054B" w:rsidRPr="00BF08CA">
        <w:t xml:space="preserve">registration type, geographic distribution of professionals, </w:t>
      </w:r>
      <w:r w:rsidR="005C7E7C" w:rsidRPr="00BF08CA">
        <w:t xml:space="preserve">trends in workforce figures across states and territories, </w:t>
      </w:r>
      <w:r w:rsidRPr="00BF08CA">
        <w:t>complaints</w:t>
      </w:r>
      <w:r w:rsidR="005C7E7C" w:rsidRPr="00BF08CA">
        <w:t xml:space="preserve"> data)</w:t>
      </w:r>
    </w:p>
    <w:p w14:paraId="1AB9F972" w14:textId="59E03556" w:rsidR="00A65808" w:rsidRPr="00BF08CA" w:rsidRDefault="00225F51" w:rsidP="00BF08CA">
      <w:pPr>
        <w:pStyle w:val="BulletList2Column"/>
      </w:pPr>
      <w:r w:rsidRPr="00BF08CA">
        <w:t xml:space="preserve">National </w:t>
      </w:r>
      <w:r w:rsidR="006F56D5" w:rsidRPr="00BF08CA">
        <w:t xml:space="preserve">Scheme </w:t>
      </w:r>
      <w:r w:rsidRPr="00BF08CA">
        <w:t>complaints statistics (outcomes of assessment for mandatory notifications, by grounds for the notification, outcomes from assessments, investigations, panel hearing and tribunal hearings, criminal offence complaints received and closed, by type of offence and jurisdiction)</w:t>
      </w:r>
    </w:p>
    <w:p w14:paraId="7FC3BE46" w14:textId="096AFD1C" w:rsidR="00D02733" w:rsidRPr="00BF08CA" w:rsidRDefault="00885FA0" w:rsidP="00BF08CA">
      <w:pPr>
        <w:pStyle w:val="BulletList2Column"/>
      </w:pPr>
      <w:r w:rsidRPr="00BF08CA">
        <w:t xml:space="preserve">Ahpra and the National Board’s </w:t>
      </w:r>
      <w:r w:rsidR="006F56D5" w:rsidRPr="00BF08CA">
        <w:t>annual report</w:t>
      </w:r>
    </w:p>
    <w:p w14:paraId="015700AE" w14:textId="1B72ADDD" w:rsidR="005C7E7C" w:rsidRPr="00BF08CA" w:rsidRDefault="002C3437" w:rsidP="00BF08CA">
      <w:pPr>
        <w:pStyle w:val="BulletList2Column"/>
      </w:pPr>
      <w:r w:rsidRPr="00BF08CA">
        <w:t>Hearing Services Program complaints data</w:t>
      </w:r>
    </w:p>
    <w:p w14:paraId="63588FBF" w14:textId="77777777" w:rsidR="00D02733" w:rsidRPr="00BF08CA" w:rsidRDefault="002C3437" w:rsidP="00BF08CA">
      <w:pPr>
        <w:pStyle w:val="BulletList2Column"/>
      </w:pPr>
      <w:r w:rsidRPr="00BF08CA">
        <w:t>Jurisdictional HCE complaints dat</w:t>
      </w:r>
      <w:r w:rsidR="00D02733" w:rsidRPr="00BF08CA">
        <w:t>a</w:t>
      </w:r>
    </w:p>
    <w:p w14:paraId="1B76B0E7" w14:textId="0B361BC7" w:rsidR="00D02733" w:rsidRPr="00BF08CA" w:rsidRDefault="00D02733" w:rsidP="00BF08CA">
      <w:pPr>
        <w:pStyle w:val="BulletList2Column"/>
      </w:pPr>
      <w:r w:rsidRPr="00BF08CA">
        <w:t>Secondary data sources such as IBISWorld market research reports and ABS business and labour market statistics.</w:t>
      </w:r>
    </w:p>
    <w:p w14:paraId="02B3306E" w14:textId="152FF9A9" w:rsidR="00272C80" w:rsidRDefault="00B5252D" w:rsidP="00886BEC">
      <w:pPr>
        <w:pStyle w:val="Heading3"/>
      </w:pPr>
      <w:bookmarkStart w:id="408" w:name="_Toc198138669"/>
      <w:r>
        <w:t xml:space="preserve">Baseline </w:t>
      </w:r>
      <w:r w:rsidR="00F07E52">
        <w:t>identification</w:t>
      </w:r>
      <w:bookmarkEnd w:id="408"/>
    </w:p>
    <w:p w14:paraId="54903D62" w14:textId="174526EC" w:rsidR="008D6E80" w:rsidRDefault="009E2A54" w:rsidP="007176F0">
      <w:pPr>
        <w:rPr>
          <w:lang w:eastAsia="en-AU"/>
        </w:rPr>
        <w:sectPr w:rsidR="008D6E80" w:rsidSect="007F4E7D">
          <w:pgSz w:w="11906" w:h="16838" w:code="9"/>
          <w:pgMar w:top="1531" w:right="1531" w:bottom="1531" w:left="1531" w:header="709" w:footer="709" w:gutter="0"/>
          <w:cols w:space="708"/>
          <w:docGrid w:linePitch="360"/>
        </w:sectPr>
      </w:pPr>
      <w:r>
        <w:t xml:space="preserve">Meaningful evaluation of outcomes requires </w:t>
      </w:r>
      <w:r w:rsidR="00EE5DD6">
        <w:t xml:space="preserve">establishment of baseline measures. </w:t>
      </w:r>
      <w:r w:rsidR="00073A40">
        <w:t xml:space="preserve">While complaints data is able to be sourced </w:t>
      </w:r>
      <w:r w:rsidR="00855B76">
        <w:t xml:space="preserve">from a range of entities, given stakeholder feedback </w:t>
      </w:r>
      <w:r w:rsidR="00223D5D">
        <w:t xml:space="preserve">on the perception of harms </w:t>
      </w:r>
      <w:r w:rsidR="00B74DF0">
        <w:t>alternati</w:t>
      </w:r>
      <w:r w:rsidR="00504C89">
        <w:t>ve baseline approaches may need to be sought</w:t>
      </w:r>
      <w:r w:rsidR="00553A17">
        <w:t xml:space="preserve"> (e.g., use of surveys</w:t>
      </w:r>
      <w:r w:rsidR="009F358D">
        <w:t>)</w:t>
      </w:r>
      <w:r w:rsidR="00E82F70">
        <w:t>.</w:t>
      </w:r>
    </w:p>
    <w:p w14:paraId="5C7109EE" w14:textId="58AA619A" w:rsidR="00D429DE" w:rsidRDefault="00751FC5" w:rsidP="00751FC5">
      <w:pPr>
        <w:pStyle w:val="HeaderTitle"/>
      </w:pPr>
      <w:r>
        <w:t>Appendix A – Graduate competencies of audiologists</w:t>
      </w:r>
    </w:p>
    <w:p w14:paraId="35335C1B" w14:textId="77777777" w:rsidR="00E22FF5" w:rsidRDefault="00E22FF5" w:rsidP="00E22FF5">
      <w:pPr>
        <w:pStyle w:val="BodyText"/>
      </w:pPr>
      <w:r>
        <w:t>The six domains of graduate competences are listed below, alongside individual competencies (sub-competencies not shown).</w:t>
      </w:r>
      <w:r>
        <w:rPr>
          <w:rStyle w:val="FootnoteReference"/>
        </w:rPr>
        <w:footnoteReference w:id="295"/>
      </w:r>
    </w:p>
    <w:p w14:paraId="0E61412B" w14:textId="77777777" w:rsidR="00E22FF5" w:rsidRPr="009B2671" w:rsidRDefault="00E22FF5" w:rsidP="00F24996">
      <w:pPr>
        <w:pStyle w:val="List"/>
        <w:numPr>
          <w:ilvl w:val="0"/>
          <w:numId w:val="35"/>
        </w:numPr>
        <w:rPr>
          <w:b/>
          <w:bCs/>
        </w:rPr>
      </w:pPr>
      <w:r w:rsidRPr="009B2671">
        <w:rPr>
          <w:b/>
          <w:bCs/>
        </w:rPr>
        <w:t>Audiological clinical practice: Provides safe, evidence-based, client- and family-centred and responsive audiological practice across the lifespan and within the scope of practice expected of graduate audiologists by Audiology Australia.</w:t>
      </w:r>
    </w:p>
    <w:p w14:paraId="440DBB6E" w14:textId="77777777" w:rsidR="00E22FF5" w:rsidRDefault="00E22FF5" w:rsidP="009B2671">
      <w:pPr>
        <w:pStyle w:val="ListBullet"/>
      </w:pPr>
      <w:r>
        <w:t>Recognises the need to identify and refer individuals and groups requiring audiology services</w:t>
      </w:r>
    </w:p>
    <w:p w14:paraId="5DDC3643" w14:textId="77777777" w:rsidR="00E22FF5" w:rsidRDefault="00E22FF5" w:rsidP="009B2671">
      <w:pPr>
        <w:pStyle w:val="ListBullet"/>
      </w:pPr>
      <w:r>
        <w:t>Plans, conducts and appropriately modifies each assessment</w:t>
      </w:r>
    </w:p>
    <w:p w14:paraId="641A973B" w14:textId="77777777" w:rsidR="00E22FF5" w:rsidRDefault="00E22FF5" w:rsidP="009B2671">
      <w:pPr>
        <w:pStyle w:val="ListBullet"/>
      </w:pPr>
      <w:r>
        <w:t>Analysis and interprets assessment results</w:t>
      </w:r>
    </w:p>
    <w:p w14:paraId="6B28AC0A" w14:textId="77777777" w:rsidR="00E22FF5" w:rsidRDefault="00E22FF5" w:rsidP="009B2671">
      <w:pPr>
        <w:pStyle w:val="ListBullet"/>
      </w:pPr>
      <w:r>
        <w:t>Develops, shares and modifies recommendations based on the assessment results and client needs</w:t>
      </w:r>
    </w:p>
    <w:p w14:paraId="125CF445" w14:textId="77777777" w:rsidR="00E22FF5" w:rsidRDefault="00E22FF5" w:rsidP="009B2671">
      <w:pPr>
        <w:pStyle w:val="ListBullet"/>
      </w:pPr>
      <w:r>
        <w:t>Implements intervention plans with consent and evaluates client outcomes.</w:t>
      </w:r>
    </w:p>
    <w:p w14:paraId="1313BFA1" w14:textId="77777777" w:rsidR="00E22FF5" w:rsidRPr="009B2671" w:rsidRDefault="00E22FF5" w:rsidP="009B2671">
      <w:pPr>
        <w:pStyle w:val="ListNumber"/>
        <w:rPr>
          <w:b/>
          <w:bCs/>
        </w:rPr>
      </w:pPr>
      <w:r w:rsidRPr="009B2671">
        <w:rPr>
          <w:b/>
          <w:bCs/>
        </w:rPr>
        <w:t>Professional communications and collaborations: Promotes health and wellbeing through respectful and appropriate communications to ensure mutual understanding with all stakeholders.</w:t>
      </w:r>
    </w:p>
    <w:p w14:paraId="77AB3EAE" w14:textId="77777777" w:rsidR="00E22FF5" w:rsidRDefault="00E22FF5" w:rsidP="009B2671">
      <w:pPr>
        <w:pStyle w:val="ListBullet"/>
      </w:pPr>
      <w:r>
        <w:t>Uses appropriate and effective verbal and non-verbal communication, adapted to suit the professional situation and health literacy of the other person(s)</w:t>
      </w:r>
    </w:p>
    <w:p w14:paraId="7F908614" w14:textId="77777777" w:rsidR="00E22FF5" w:rsidRDefault="00E22FF5" w:rsidP="009B2671">
      <w:pPr>
        <w:pStyle w:val="ListBullet"/>
      </w:pPr>
      <w:r>
        <w:t xml:space="preserve">Optimises the environment and mode of communication as required to maximise effectiveness of communication </w:t>
      </w:r>
    </w:p>
    <w:p w14:paraId="6674AA9E" w14:textId="77777777" w:rsidR="00E22FF5" w:rsidRDefault="00E22FF5" w:rsidP="009B2671">
      <w:pPr>
        <w:pStyle w:val="ListBullet"/>
      </w:pPr>
      <w:r>
        <w:t>Communicates in accordance with confidentiality and privacy considerations</w:t>
      </w:r>
    </w:p>
    <w:p w14:paraId="24C26B42" w14:textId="77777777" w:rsidR="00E22FF5" w:rsidRDefault="00E22FF5" w:rsidP="009B2671">
      <w:pPr>
        <w:pStyle w:val="ListBullet"/>
      </w:pPr>
      <w:r>
        <w:t>Ensures documentation is timely, stored securely, and conforms with medical and legal requirements</w:t>
      </w:r>
    </w:p>
    <w:p w14:paraId="5199801E" w14:textId="77777777" w:rsidR="00E22FF5" w:rsidRDefault="00E22FF5" w:rsidP="009B2671">
      <w:pPr>
        <w:pStyle w:val="ListBullet"/>
      </w:pPr>
      <w:r>
        <w:t>Collaborates with clients, colleagues and other professionals.</w:t>
      </w:r>
    </w:p>
    <w:p w14:paraId="08D4E122" w14:textId="77777777" w:rsidR="00E22FF5" w:rsidRPr="009B2671" w:rsidRDefault="00E22FF5" w:rsidP="009B2671">
      <w:pPr>
        <w:pStyle w:val="ListNumber"/>
        <w:rPr>
          <w:b/>
          <w:bCs/>
        </w:rPr>
      </w:pPr>
      <w:r w:rsidRPr="009B2671">
        <w:rPr>
          <w:b/>
          <w:bCs/>
        </w:rPr>
        <w:t xml:space="preserve">Education and lifelong learning: Maintains and improves currency of knowledge, skills and new evidence for audiological practice. </w:t>
      </w:r>
    </w:p>
    <w:p w14:paraId="69CD8DD8" w14:textId="77777777" w:rsidR="00E22FF5" w:rsidRDefault="00E22FF5" w:rsidP="009B2671">
      <w:pPr>
        <w:pStyle w:val="ListBullet"/>
      </w:pPr>
      <w:r>
        <w:t xml:space="preserve">Ensures ongoing capability for audiological practice and maintains currency of professional knowledge and performance to provide optimal care </w:t>
      </w:r>
    </w:p>
    <w:p w14:paraId="0DC79607" w14:textId="77777777" w:rsidR="00E22FF5" w:rsidRDefault="00E22FF5" w:rsidP="009B2671">
      <w:pPr>
        <w:pStyle w:val="ListBullet"/>
      </w:pPr>
      <w:r>
        <w:t>Contributes to the knowledge base of Audiology.</w:t>
      </w:r>
    </w:p>
    <w:p w14:paraId="3CD33600" w14:textId="77777777" w:rsidR="00E22FF5" w:rsidRPr="009B2671" w:rsidRDefault="00E22FF5" w:rsidP="009B2671">
      <w:pPr>
        <w:pStyle w:val="ListNumber"/>
        <w:rPr>
          <w:b/>
          <w:bCs/>
        </w:rPr>
      </w:pPr>
      <w:r w:rsidRPr="009B2671">
        <w:rPr>
          <w:b/>
          <w:bCs/>
        </w:rPr>
        <w:t>Quality, safety and compliance: Provides safe, effective, compliant, and high-quality audiology services.</w:t>
      </w:r>
    </w:p>
    <w:p w14:paraId="0DCB8554" w14:textId="77777777" w:rsidR="00E22FF5" w:rsidRDefault="00E22FF5" w:rsidP="009B2671">
      <w:pPr>
        <w:pStyle w:val="ListBullet"/>
      </w:pPr>
      <w:r>
        <w:t xml:space="preserve">Ensures service delivery complies with relevant guidelines, standards and legal obligations </w:t>
      </w:r>
    </w:p>
    <w:p w14:paraId="53C6AD7F" w14:textId="77777777" w:rsidR="00E22FF5" w:rsidRDefault="00E22FF5" w:rsidP="009B2671">
      <w:pPr>
        <w:pStyle w:val="ListBullet"/>
      </w:pPr>
      <w:r>
        <w:t>Recognises importance of quality assurance</w:t>
      </w:r>
    </w:p>
    <w:p w14:paraId="07FAD401" w14:textId="77777777" w:rsidR="00E22FF5" w:rsidRDefault="00E22FF5" w:rsidP="009B2671">
      <w:pPr>
        <w:pStyle w:val="ListBullet"/>
      </w:pPr>
      <w:r>
        <w:t>Ensures the environment is safe and meets the clinical need</w:t>
      </w:r>
    </w:p>
    <w:p w14:paraId="3CA3EF4C" w14:textId="77777777" w:rsidR="00E22FF5" w:rsidRDefault="00E22FF5" w:rsidP="009B2671">
      <w:pPr>
        <w:pStyle w:val="ListBullet"/>
      </w:pPr>
      <w:r>
        <w:t>Contributes to ongoing wellbeing in the workplace.</w:t>
      </w:r>
    </w:p>
    <w:p w14:paraId="782014A4" w14:textId="77777777" w:rsidR="00E22FF5" w:rsidRPr="009B2671" w:rsidRDefault="00E22FF5" w:rsidP="009B2671">
      <w:pPr>
        <w:pStyle w:val="ListNumber"/>
        <w:rPr>
          <w:b/>
          <w:bCs/>
        </w:rPr>
      </w:pPr>
      <w:r w:rsidRPr="009B2671">
        <w:rPr>
          <w:b/>
          <w:bCs/>
        </w:rPr>
        <w:t>Ethical and professional behaviour: Acts in an ethical, safe, lawful and accountable manner that upholds integrity of the audiology profession.</w:t>
      </w:r>
    </w:p>
    <w:p w14:paraId="01C4D636" w14:textId="77777777" w:rsidR="00E22FF5" w:rsidRDefault="00E22FF5" w:rsidP="009B2671">
      <w:pPr>
        <w:pStyle w:val="ListBullet"/>
      </w:pPr>
      <w:r>
        <w:t>Maintains integrity of the audiology profession</w:t>
      </w:r>
    </w:p>
    <w:p w14:paraId="775A8831" w14:textId="77777777" w:rsidR="00E22FF5" w:rsidRDefault="00E22FF5" w:rsidP="009B2671">
      <w:pPr>
        <w:pStyle w:val="ListBullet"/>
      </w:pPr>
      <w:r>
        <w:t>Demonstrates professional and ethical behaviour</w:t>
      </w:r>
    </w:p>
    <w:p w14:paraId="6727B0F1" w14:textId="77777777" w:rsidR="00E22FF5" w:rsidRDefault="00E22FF5" w:rsidP="009B2671">
      <w:pPr>
        <w:pStyle w:val="ListBullet"/>
      </w:pPr>
      <w:r>
        <w:t>Maintains professionalism, respectful demeanour and standards.</w:t>
      </w:r>
    </w:p>
    <w:p w14:paraId="78BC091B" w14:textId="77777777" w:rsidR="00E22FF5" w:rsidRPr="009B2671" w:rsidRDefault="00E22FF5" w:rsidP="009B2671">
      <w:pPr>
        <w:pStyle w:val="ListNumber"/>
        <w:rPr>
          <w:b/>
          <w:bCs/>
        </w:rPr>
      </w:pPr>
      <w:r w:rsidRPr="009B2671">
        <w:rPr>
          <w:b/>
          <w:bCs/>
        </w:rPr>
        <w:t>Advocacy: Promotes the audiology profession and advocates for the health and wellbeing of people with regards to ear, hearing and associated conditions.</w:t>
      </w:r>
    </w:p>
    <w:p w14:paraId="60B63ECD" w14:textId="77777777" w:rsidR="00E22FF5" w:rsidRDefault="00E22FF5" w:rsidP="009B2671">
      <w:pPr>
        <w:pStyle w:val="ListBullet"/>
      </w:pPr>
      <w:r>
        <w:t>Recognises the importance of advocating for and partnering with people who have or are at risk of ear, hearing and associated conditions</w:t>
      </w:r>
    </w:p>
    <w:p w14:paraId="4A943130" w14:textId="77777777" w:rsidR="00E22FF5" w:rsidRDefault="00E22FF5" w:rsidP="009B2671">
      <w:pPr>
        <w:pStyle w:val="ListBullet"/>
      </w:pPr>
      <w:r>
        <w:t>Recognises the importance of advocating for and partnering with Aboriginal and Torres Strait Islander peoples with regards to their hearing health care</w:t>
      </w:r>
    </w:p>
    <w:p w14:paraId="322FDBCD" w14:textId="77777777" w:rsidR="00E22FF5" w:rsidRDefault="00E22FF5" w:rsidP="009B2671">
      <w:pPr>
        <w:pStyle w:val="ListBullet"/>
      </w:pPr>
      <w:r>
        <w:t>Recognises the importance of advocating for self and colleagues</w:t>
      </w:r>
    </w:p>
    <w:p w14:paraId="71100762" w14:textId="77777777" w:rsidR="00E22FF5" w:rsidRDefault="00E22FF5" w:rsidP="009B2671">
      <w:pPr>
        <w:pStyle w:val="ListBullet"/>
      </w:pPr>
      <w:r>
        <w:t>Recognises the importance of advocating for the audiology profession.</w:t>
      </w:r>
    </w:p>
    <w:p w14:paraId="00126806" w14:textId="77777777" w:rsidR="00137B44" w:rsidRDefault="00137B44" w:rsidP="00E22FF5">
      <w:pPr>
        <w:pStyle w:val="BodyText"/>
      </w:pPr>
    </w:p>
    <w:p w14:paraId="56620C65" w14:textId="77777777" w:rsidR="009B5BE6" w:rsidRDefault="009B5BE6" w:rsidP="00E22FF5">
      <w:pPr>
        <w:pStyle w:val="BodyText"/>
        <w:sectPr w:rsidR="009B5BE6" w:rsidSect="007F4E7D">
          <w:pgSz w:w="11906" w:h="16838" w:code="9"/>
          <w:pgMar w:top="1531" w:right="1531" w:bottom="1531" w:left="1531" w:header="709" w:footer="709" w:gutter="0"/>
          <w:cols w:space="708"/>
          <w:docGrid w:linePitch="360"/>
        </w:sectPr>
      </w:pPr>
    </w:p>
    <w:p w14:paraId="3202CDC3" w14:textId="4FE00A50" w:rsidR="009B5BE6" w:rsidRDefault="009B5BE6" w:rsidP="009B5BE6">
      <w:pPr>
        <w:pStyle w:val="HeaderTitle"/>
      </w:pPr>
      <w:r>
        <w:t>Appendix B – Accreditation process for audiology programs</w:t>
      </w:r>
    </w:p>
    <w:p w14:paraId="34CE204E" w14:textId="77777777" w:rsidR="00F93C5C" w:rsidRDefault="00F93C5C" w:rsidP="00F93C5C">
      <w:pPr>
        <w:pStyle w:val="BodyText"/>
      </w:pPr>
      <w:r>
        <w:t>For AudA, the AudA University Accreditation and Competencies Committee (AAUACC) is “</w:t>
      </w:r>
      <w:r w:rsidRPr="00C46563">
        <w:rPr>
          <w:i/>
          <w:iCs/>
        </w:rPr>
        <w:t>a committee of the [Audiology Australia Board] with the primary function to oversee the university accreditation processes and assist the Board to discharge its obligations as the final decision-maker of accreditation of university audiology programs</w:t>
      </w:r>
      <w:r>
        <w:t>”.</w:t>
      </w:r>
      <w:r>
        <w:rPr>
          <w:rStyle w:val="FootnoteReference"/>
        </w:rPr>
        <w:footnoteReference w:id="296"/>
      </w:r>
      <w:r>
        <w:t xml:space="preserve"> A summarised sequence of accreditation steps is described below:</w:t>
      </w:r>
      <w:r>
        <w:rPr>
          <w:rStyle w:val="FootnoteReference"/>
        </w:rPr>
        <w:footnoteReference w:id="297"/>
      </w:r>
    </w:p>
    <w:p w14:paraId="62BA2B13" w14:textId="77777777" w:rsidR="00F93C5C" w:rsidRDefault="00F93C5C" w:rsidP="00F93C5C">
      <w:pPr>
        <w:pStyle w:val="ListBullet"/>
      </w:pPr>
      <w:r>
        <w:t>An Accreditation Assessment Panel reviews documentation, conducts a site visit and submits a report and recommendation to the AAUACC. This Accreditation Assessment Panel contains three assessors that are:</w:t>
      </w:r>
    </w:p>
    <w:p w14:paraId="1B135078" w14:textId="77777777" w:rsidR="00F93C5C" w:rsidRDefault="00F93C5C" w:rsidP="00F93C5C">
      <w:pPr>
        <w:pStyle w:val="BulletList2Column"/>
      </w:pPr>
      <w:r>
        <w:t>audiology academics of current accredited programs</w:t>
      </w:r>
    </w:p>
    <w:p w14:paraId="4F02D9E5" w14:textId="77777777" w:rsidR="00F93C5C" w:rsidRDefault="00F93C5C" w:rsidP="00F93C5C">
      <w:pPr>
        <w:pStyle w:val="BulletList2Column"/>
      </w:pPr>
      <w:r>
        <w:t xml:space="preserve">Audiology Australia members </w:t>
      </w:r>
    </w:p>
    <w:p w14:paraId="3B6DF8EA" w14:textId="77777777" w:rsidR="00F93C5C" w:rsidRDefault="00F93C5C" w:rsidP="00F93C5C">
      <w:pPr>
        <w:pStyle w:val="BulletList2Column"/>
      </w:pPr>
      <w:r>
        <w:t xml:space="preserve">have received Audiology Australia accreditation assessment training. </w:t>
      </w:r>
    </w:p>
    <w:p w14:paraId="04F2F0DE" w14:textId="77777777" w:rsidR="00F93C5C" w:rsidRDefault="00F93C5C" w:rsidP="00F93C5C">
      <w:pPr>
        <w:pStyle w:val="ListBullet"/>
        <w:numPr>
          <w:ilvl w:val="0"/>
          <w:numId w:val="0"/>
        </w:numPr>
        <w:ind w:left="360"/>
      </w:pPr>
      <w:r>
        <w:t>Each member of the panel should be from a different university, and, unless necessary, no assessor should be a panel member for a university in the same geographic location as their own university. Conflicts of interest as identified by the panel member or by the university to be assessed are reviewed prior to finalisation of panel membership.</w:t>
      </w:r>
    </w:p>
    <w:p w14:paraId="770F2F8A" w14:textId="77777777" w:rsidR="00F93C5C" w:rsidRDefault="00F93C5C" w:rsidP="00F93C5C">
      <w:pPr>
        <w:pStyle w:val="ListBullet"/>
      </w:pPr>
      <w:r>
        <w:t>The AAUACC reviews the Accreditation Assessment Panel report and recommendation, and makes a recommendation to the AudA Board.</w:t>
      </w:r>
    </w:p>
    <w:p w14:paraId="1C9FB87F" w14:textId="77777777" w:rsidR="00F93C5C" w:rsidRDefault="00F93C5C" w:rsidP="00F93C5C">
      <w:pPr>
        <w:pStyle w:val="ListBullet"/>
      </w:pPr>
      <w:r>
        <w:t>The AudA Board considers the report and recommendations and determines an accreditation outcome.</w:t>
      </w:r>
    </w:p>
    <w:p w14:paraId="3675A140" w14:textId="77777777" w:rsidR="00F93C5C" w:rsidRDefault="00F93C5C" w:rsidP="00F93C5C">
      <w:pPr>
        <w:pStyle w:val="ListBullet"/>
      </w:pPr>
      <w:r>
        <w:t>University programs which are successfully accredited supply an annual report to AudA during their accreditation cycle.</w:t>
      </w:r>
    </w:p>
    <w:p w14:paraId="3670BF6C" w14:textId="76DE1A8D" w:rsidR="007D4191" w:rsidRDefault="00F93C5C" w:rsidP="00E22FF5">
      <w:pPr>
        <w:pStyle w:val="ListBullet"/>
      </w:pPr>
      <w:r>
        <w:t xml:space="preserve">In the event that accreditation is refused, revoked or granted with conditions, the university may appeal the decision. </w:t>
      </w:r>
    </w:p>
    <w:p w14:paraId="41A2F941" w14:textId="341157BC" w:rsidR="00FA2F1C" w:rsidRDefault="00FA2F1C">
      <w:pPr>
        <w:rPr>
          <w:kern w:val="21"/>
          <w:lang w:val="en-AU"/>
          <w14:numSpacing w14:val="proportional"/>
        </w:rPr>
      </w:pPr>
      <w:r>
        <w:br w:type="page"/>
      </w:r>
    </w:p>
    <w:p w14:paraId="18706469" w14:textId="6B155234" w:rsidR="00FA2F1C" w:rsidRDefault="00FA2F1C" w:rsidP="00FA2F1C">
      <w:pPr>
        <w:pStyle w:val="HeaderTitle"/>
      </w:pPr>
      <w:r>
        <w:t xml:space="preserve">Appendix </w:t>
      </w:r>
      <w:r w:rsidR="00204AE7">
        <w:t>C</w:t>
      </w:r>
      <w:r>
        <w:t xml:space="preserve"> – </w:t>
      </w:r>
      <w:r w:rsidR="00204AE7">
        <w:t xml:space="preserve">Process for </w:t>
      </w:r>
      <w:r w:rsidR="005E4C65">
        <w:t>Area of Practice endorsement or specialist registration</w:t>
      </w:r>
    </w:p>
    <w:p w14:paraId="28BC2ED6" w14:textId="0D39612C" w:rsidR="00547914" w:rsidRDefault="00547914" w:rsidP="00FA2F1C">
      <w:pPr>
        <w:pStyle w:val="BodyText"/>
      </w:pPr>
      <w:r>
        <w:t xml:space="preserve">The following </w:t>
      </w:r>
      <w:r w:rsidR="0060768C">
        <w:t>information</w:t>
      </w:r>
      <w:r>
        <w:t xml:space="preserve"> outlines the process for professions to apply for Area of Practice Endorsements or specialist registration. </w:t>
      </w:r>
    </w:p>
    <w:p w14:paraId="24727880" w14:textId="6BBC1B97" w:rsidR="004C18B7" w:rsidRDefault="004C18B7" w:rsidP="004C18B7">
      <w:pPr>
        <w:pStyle w:val="HeadingA"/>
      </w:pPr>
      <w:r>
        <w:t>Area of Practice Endorsement</w:t>
      </w:r>
    </w:p>
    <w:p w14:paraId="518F6E3E" w14:textId="77777777" w:rsidR="004C18B7" w:rsidRPr="00222209" w:rsidRDefault="004C18B7" w:rsidP="004C18B7">
      <w:pPr>
        <w:pStyle w:val="ListBullet"/>
      </w:pPr>
      <w:r w:rsidRPr="00222209">
        <w:t xml:space="preserve">Ministerial Council can decide to approve (or not approve) an AoPE for a profession as recommended by the National Board. </w:t>
      </w:r>
    </w:p>
    <w:p w14:paraId="06851EDD" w14:textId="77777777" w:rsidR="004C18B7" w:rsidRPr="00222209" w:rsidRDefault="004C18B7" w:rsidP="004C18B7">
      <w:pPr>
        <w:pStyle w:val="ListBullet"/>
      </w:pPr>
      <w:r w:rsidRPr="00222209">
        <w:t>An AoPE registration standard is also submitted for Ministerial approval.</w:t>
      </w:r>
    </w:p>
    <w:p w14:paraId="3BFDABB3" w14:textId="77777777" w:rsidR="004C18B7" w:rsidRPr="00222209" w:rsidRDefault="004C18B7" w:rsidP="004C18B7">
      <w:pPr>
        <w:pStyle w:val="ListBullet"/>
      </w:pPr>
      <w:r w:rsidRPr="00222209">
        <w:t>For a National Board to bring forward such a proposal:</w:t>
      </w:r>
    </w:p>
    <w:p w14:paraId="0DB0BA56" w14:textId="77777777" w:rsidR="004C18B7" w:rsidRPr="0007458C" w:rsidRDefault="004C18B7" w:rsidP="003E6EC7">
      <w:pPr>
        <w:pStyle w:val="BulletList2Column"/>
      </w:pPr>
      <w:r w:rsidRPr="0007458C">
        <w:t>Consideration needs to be given to available programs of study, education and training for the area of practice</w:t>
      </w:r>
    </w:p>
    <w:p w14:paraId="4FE93395" w14:textId="77777777" w:rsidR="004C18B7" w:rsidRPr="0007458C" w:rsidRDefault="004C18B7" w:rsidP="003E6EC7">
      <w:pPr>
        <w:pStyle w:val="BulletList2Column"/>
      </w:pPr>
      <w:r w:rsidRPr="0007458C">
        <w:t>Consideration needs to be given to interface with other registration requirements including CPD, Recency of Practice, Professional Indemnity Insurance arrangements</w:t>
      </w:r>
    </w:p>
    <w:p w14:paraId="406CB9C3" w14:textId="77777777" w:rsidR="004C18B7" w:rsidRPr="0007458C" w:rsidRDefault="004C18B7" w:rsidP="003E6EC7">
      <w:pPr>
        <w:pStyle w:val="BulletList2Column"/>
      </w:pPr>
      <w:r w:rsidRPr="0007458C">
        <w:t>If a proposal is developed, there must be consultation by the National Board – see Consultation process of National Boards 2023 and requirements of National Law.</w:t>
      </w:r>
    </w:p>
    <w:p w14:paraId="261F577E" w14:textId="77777777" w:rsidR="004C18B7" w:rsidRPr="0007458C" w:rsidRDefault="004C18B7" w:rsidP="003E6EC7">
      <w:pPr>
        <w:pStyle w:val="BulletList2Column"/>
      </w:pPr>
      <w:r w:rsidRPr="0007458C">
        <w:t xml:space="preserve">Proposal must be developed in accordance with the </w:t>
      </w:r>
      <w:r w:rsidRPr="0007458C">
        <w:rPr>
          <w:i/>
          <w:iCs/>
        </w:rPr>
        <w:t>Procedures for the development of registration standards, codes and guidelines</w:t>
      </w:r>
    </w:p>
    <w:p w14:paraId="1B6C3499" w14:textId="77777777" w:rsidR="004C18B7" w:rsidRPr="0007458C" w:rsidRDefault="004C18B7" w:rsidP="003E6EC7">
      <w:pPr>
        <w:pStyle w:val="BulletList2Column"/>
      </w:pPr>
      <w:r w:rsidRPr="0007458C">
        <w:t>National Boards considers all submissions and potential regulatory impacts (including whether a Regulatory Impact Analysis needs to be commissioned)</w:t>
      </w:r>
    </w:p>
    <w:p w14:paraId="212A916C" w14:textId="77777777" w:rsidR="004C18B7" w:rsidRPr="0007458C" w:rsidRDefault="004C18B7" w:rsidP="003E6EC7">
      <w:pPr>
        <w:pStyle w:val="BulletList2Column"/>
      </w:pPr>
      <w:r w:rsidRPr="0007458C">
        <w:t>Submission is brought to Ministerial Council for decision via Health Chief Executives Forum and with advice from the Jurisdictional Advisory Committee.</w:t>
      </w:r>
    </w:p>
    <w:p w14:paraId="4F1C6765" w14:textId="1B3C617F" w:rsidR="004C18B7" w:rsidRPr="004C18B7" w:rsidRDefault="004C18B7" w:rsidP="00972F5E">
      <w:pPr>
        <w:pStyle w:val="ListBullet"/>
      </w:pPr>
      <w:r w:rsidRPr="00FD0A8E">
        <w:t>Estimated timeframe for process to submission – 12-18 months</w:t>
      </w:r>
      <w:r w:rsidR="00677F1F">
        <w:t>.</w:t>
      </w:r>
    </w:p>
    <w:p w14:paraId="4EB0AE71" w14:textId="4807F6AA" w:rsidR="004C18B7" w:rsidRDefault="004C18B7" w:rsidP="004C18B7">
      <w:pPr>
        <w:pStyle w:val="HeadingA"/>
      </w:pPr>
      <w:r>
        <w:t>Specialist Registration</w:t>
      </w:r>
    </w:p>
    <w:p w14:paraId="46635D2E" w14:textId="77777777" w:rsidR="004C18B7" w:rsidRPr="00FD0A8E" w:rsidRDefault="004C18B7" w:rsidP="00972F5E">
      <w:pPr>
        <w:pStyle w:val="ListBullet"/>
      </w:pPr>
      <w:r w:rsidRPr="00FD0A8E">
        <w:t xml:space="preserve">Ministerial Council can decide to approve (or not approve) that specialist registration operate for a profession as recommended by the National Board. </w:t>
      </w:r>
    </w:p>
    <w:p w14:paraId="6CFA99C1" w14:textId="453E92E8" w:rsidR="004C18B7" w:rsidRPr="00FD0A8E" w:rsidRDefault="004C18B7" w:rsidP="00972F5E">
      <w:pPr>
        <w:pStyle w:val="ListBullet"/>
      </w:pPr>
      <w:r w:rsidRPr="00FD0A8E">
        <w:t>A specialist registration standard is also submitted for Ministerial approval.</w:t>
      </w:r>
    </w:p>
    <w:p w14:paraId="64E97E77" w14:textId="06FBAB3D" w:rsidR="004C18B7" w:rsidRPr="00FD0A8E" w:rsidRDefault="004C18B7" w:rsidP="00972F5E">
      <w:pPr>
        <w:pStyle w:val="ListBullet"/>
      </w:pPr>
      <w:r w:rsidRPr="00FD0A8E">
        <w:t>Ministerial Council also approves a list of specialties and protected specialist titles as recommended by the National Board</w:t>
      </w:r>
      <w:r w:rsidR="00237D51">
        <w:t>.</w:t>
      </w:r>
    </w:p>
    <w:p w14:paraId="6CA59716" w14:textId="5E96526D" w:rsidR="004C18B7" w:rsidRPr="00FD0A8E" w:rsidRDefault="004C18B7" w:rsidP="00972F5E">
      <w:pPr>
        <w:pStyle w:val="ListBullet"/>
      </w:pPr>
      <w:r w:rsidRPr="00FD0A8E">
        <w:t>For a National Board to bring forward a proposal:</w:t>
      </w:r>
    </w:p>
    <w:p w14:paraId="27A20A80" w14:textId="7957932F" w:rsidR="004C18B7" w:rsidRPr="00FD0A8E" w:rsidRDefault="004C18B7" w:rsidP="00972F5E">
      <w:pPr>
        <w:pStyle w:val="BulletList2Column"/>
      </w:pPr>
      <w:r w:rsidRPr="00FD0A8E">
        <w:t>Consideration needs to be given to available specialist training, education and programs of study</w:t>
      </w:r>
    </w:p>
    <w:p w14:paraId="0E798C5F" w14:textId="52A8C3F2" w:rsidR="004C18B7" w:rsidRPr="00FD0A8E" w:rsidRDefault="004C18B7" w:rsidP="00972F5E">
      <w:pPr>
        <w:pStyle w:val="BulletList2Column"/>
      </w:pPr>
      <w:r w:rsidRPr="00FD0A8E">
        <w:t xml:space="preserve">Consideration needs to be given to other registration requirements including CPD, </w:t>
      </w:r>
      <w:r w:rsidR="00237D51">
        <w:t>Recency of Practice</w:t>
      </w:r>
      <w:r w:rsidRPr="00FD0A8E">
        <w:t>, P</w:t>
      </w:r>
      <w:r w:rsidR="00237D51">
        <w:t>rofessional Indemnity Insurance</w:t>
      </w:r>
      <w:r w:rsidRPr="00FD0A8E">
        <w:t xml:space="preserve"> arrangements for specialist registration </w:t>
      </w:r>
    </w:p>
    <w:p w14:paraId="680AD101" w14:textId="155FAADA" w:rsidR="004C18B7" w:rsidRPr="00FD0A8E" w:rsidRDefault="004C18B7" w:rsidP="00972F5E">
      <w:pPr>
        <w:pStyle w:val="BulletList2Column"/>
      </w:pPr>
      <w:r w:rsidRPr="00FD0A8E">
        <w:t xml:space="preserve">If proposal is developed, there must be consultation by the National Board – see </w:t>
      </w:r>
      <w:r w:rsidRPr="00972F5E">
        <w:rPr>
          <w:i/>
          <w:iCs/>
        </w:rPr>
        <w:t>Consultation process of National Boards 2023</w:t>
      </w:r>
      <w:r w:rsidRPr="00FD0A8E">
        <w:t xml:space="preserve"> and requirements of National Law</w:t>
      </w:r>
    </w:p>
    <w:p w14:paraId="020111EC" w14:textId="66D636F4" w:rsidR="004C18B7" w:rsidRPr="00972F5E" w:rsidRDefault="004C18B7" w:rsidP="00972F5E">
      <w:pPr>
        <w:pStyle w:val="BulletList2Column"/>
        <w:rPr>
          <w:i/>
          <w:iCs/>
        </w:rPr>
      </w:pPr>
      <w:r w:rsidRPr="00FD0A8E">
        <w:t xml:space="preserve">Proposal must be developed in accordance with the </w:t>
      </w:r>
      <w:r w:rsidRPr="00972F5E">
        <w:rPr>
          <w:i/>
          <w:iCs/>
        </w:rPr>
        <w:t>Procedures for the development of registration standards, codes and guidelines</w:t>
      </w:r>
    </w:p>
    <w:p w14:paraId="7E193630" w14:textId="3AC80CE6" w:rsidR="004C18B7" w:rsidRPr="00FD0A8E" w:rsidRDefault="004C18B7" w:rsidP="00972F5E">
      <w:pPr>
        <w:pStyle w:val="BulletList2Column"/>
      </w:pPr>
      <w:r w:rsidRPr="00FD0A8E">
        <w:t xml:space="preserve">Proposal must have regard to the </w:t>
      </w:r>
      <w:r w:rsidRPr="00972F5E">
        <w:rPr>
          <w:i/>
          <w:iCs/>
        </w:rPr>
        <w:t>Guidance issued by Health Ministers: Guidance for National Board submissions to the Australian Health Workforce Ministerial Council for approval of specialties under section 13 of the National Law</w:t>
      </w:r>
    </w:p>
    <w:p w14:paraId="2840DD22" w14:textId="5DED23E9" w:rsidR="004C18B7" w:rsidRPr="00FD0A8E" w:rsidRDefault="004C18B7" w:rsidP="00972F5E">
      <w:pPr>
        <w:pStyle w:val="BulletList2Column"/>
      </w:pPr>
      <w:r w:rsidRPr="00FD0A8E">
        <w:t>National Boards considers all submissions and potential regulatory impacts (including whether a Regulatory Impact Analysis needs to be commissioned)</w:t>
      </w:r>
    </w:p>
    <w:p w14:paraId="5B7017F9" w14:textId="79A562AE" w:rsidR="004C18B7" w:rsidRPr="00FD0A8E" w:rsidRDefault="004C18B7" w:rsidP="00972F5E">
      <w:pPr>
        <w:pStyle w:val="BulletList2Column"/>
      </w:pPr>
      <w:r w:rsidRPr="00FD0A8E">
        <w:t>Submission is brought to Ministerial Council for decision via Health Chief Executives Forum and with advice from the Jurisdictional Advisory Committee</w:t>
      </w:r>
      <w:r w:rsidR="00677F1F">
        <w:t>.</w:t>
      </w:r>
    </w:p>
    <w:p w14:paraId="76549541" w14:textId="6701790C" w:rsidR="004C18B7" w:rsidRPr="00FD0A8E" w:rsidRDefault="004C18B7" w:rsidP="00972F5E">
      <w:pPr>
        <w:pStyle w:val="ListBullet"/>
      </w:pPr>
      <w:r w:rsidRPr="00FD0A8E">
        <w:t>If approved, Ahpra establishes a specialist register that is kept and maintained with the National Board</w:t>
      </w:r>
      <w:r w:rsidR="000B3293">
        <w:t>.</w:t>
      </w:r>
    </w:p>
    <w:p w14:paraId="7F0EE955" w14:textId="6C2F2D88" w:rsidR="00FA2F1C" w:rsidRDefault="004C18B7" w:rsidP="00972F5E">
      <w:pPr>
        <w:pStyle w:val="ListBullet"/>
      </w:pPr>
      <w:r w:rsidRPr="00FD0A8E">
        <w:t>Estimated timeframe for process to submission –  24 months</w:t>
      </w:r>
      <w:r w:rsidR="000B3293">
        <w:t>.</w:t>
      </w:r>
    </w:p>
    <w:p w14:paraId="0DD6B34E" w14:textId="77777777" w:rsidR="007D4191" w:rsidRDefault="007D4191" w:rsidP="00E22FF5">
      <w:pPr>
        <w:pStyle w:val="BodyText"/>
      </w:pPr>
    </w:p>
    <w:p w14:paraId="395062EB" w14:textId="77777777" w:rsidR="00F62F89" w:rsidRDefault="00F62F89" w:rsidP="00E22FF5">
      <w:pPr>
        <w:pStyle w:val="BodyText"/>
        <w:sectPr w:rsidR="00F62F89" w:rsidSect="007F4E7D">
          <w:pgSz w:w="11906" w:h="16838" w:code="9"/>
          <w:pgMar w:top="1531" w:right="1531" w:bottom="1531" w:left="1531" w:header="709" w:footer="709" w:gutter="0"/>
          <w:cols w:space="708"/>
          <w:docGrid w:linePitch="360"/>
        </w:sectPr>
      </w:pPr>
    </w:p>
    <w:p w14:paraId="171BE0E7" w14:textId="217F2364" w:rsidR="00751FC5" w:rsidRDefault="00F11295" w:rsidP="00F11295">
      <w:pPr>
        <w:pStyle w:val="HeaderTitle"/>
      </w:pPr>
      <w:r>
        <w:t xml:space="preserve">Appendix </w:t>
      </w:r>
      <w:r w:rsidR="000B3293">
        <w:t>D</w:t>
      </w:r>
      <w:r w:rsidR="001E7B03">
        <w:t xml:space="preserve"> –</w:t>
      </w:r>
      <w:r>
        <w:t xml:space="preserve"> Workforce estimates</w:t>
      </w:r>
    </w:p>
    <w:tbl>
      <w:tblPr>
        <w:tblStyle w:val="BodyTable"/>
        <w:tblW w:w="13800" w:type="dxa"/>
        <w:tblLayout w:type="fixed"/>
        <w:tblLook w:val="04A0" w:firstRow="1" w:lastRow="0" w:firstColumn="1" w:lastColumn="0" w:noHBand="0" w:noVBand="1"/>
      </w:tblPr>
      <w:tblGrid>
        <w:gridCol w:w="1300"/>
        <w:gridCol w:w="2112"/>
        <w:gridCol w:w="1033"/>
        <w:gridCol w:w="1034"/>
        <w:gridCol w:w="1034"/>
        <w:gridCol w:w="1035"/>
        <w:gridCol w:w="1034"/>
        <w:gridCol w:w="1035"/>
        <w:gridCol w:w="1034"/>
        <w:gridCol w:w="1035"/>
        <w:gridCol w:w="1034"/>
        <w:gridCol w:w="1030"/>
        <w:gridCol w:w="50"/>
      </w:tblGrid>
      <w:tr w:rsidR="00C2748F" w:rsidRPr="00506557" w14:paraId="74F40487" w14:textId="77777777" w:rsidTr="00256D8D">
        <w:trPr>
          <w:cnfStyle w:val="100000000000" w:firstRow="1" w:lastRow="0" w:firstColumn="0" w:lastColumn="0" w:oddVBand="0" w:evenVBand="0" w:oddHBand="0" w:evenHBand="0" w:firstRowFirstColumn="0" w:firstRowLastColumn="0" w:lastRowFirstColumn="0" w:lastRowLastColumn="0"/>
          <w:trHeight w:val="299"/>
        </w:trPr>
        <w:tc>
          <w:tcPr>
            <w:tcW w:w="1300" w:type="dxa"/>
            <w:noWrap/>
            <w:hideMark/>
          </w:tcPr>
          <w:p w14:paraId="548015AE"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Start</w:t>
            </w:r>
          </w:p>
        </w:tc>
        <w:tc>
          <w:tcPr>
            <w:tcW w:w="2112" w:type="dxa"/>
            <w:noWrap/>
            <w:hideMark/>
          </w:tcPr>
          <w:p w14:paraId="50CCA31B"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Date</w:t>
            </w:r>
          </w:p>
        </w:tc>
        <w:tc>
          <w:tcPr>
            <w:tcW w:w="1033" w:type="dxa"/>
            <w:noWrap/>
            <w:hideMark/>
          </w:tcPr>
          <w:p w14:paraId="559A160E"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01-Jul-24</w:t>
            </w:r>
          </w:p>
        </w:tc>
        <w:tc>
          <w:tcPr>
            <w:tcW w:w="1034" w:type="dxa"/>
            <w:noWrap/>
            <w:hideMark/>
          </w:tcPr>
          <w:p w14:paraId="134CE95C"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01-Jul-25</w:t>
            </w:r>
          </w:p>
        </w:tc>
        <w:tc>
          <w:tcPr>
            <w:tcW w:w="1034" w:type="dxa"/>
            <w:noWrap/>
            <w:hideMark/>
          </w:tcPr>
          <w:p w14:paraId="08A132D6"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01-Jul-26</w:t>
            </w:r>
          </w:p>
        </w:tc>
        <w:tc>
          <w:tcPr>
            <w:tcW w:w="1035" w:type="dxa"/>
            <w:noWrap/>
            <w:hideMark/>
          </w:tcPr>
          <w:p w14:paraId="2B27E90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01-Jul-27</w:t>
            </w:r>
          </w:p>
        </w:tc>
        <w:tc>
          <w:tcPr>
            <w:tcW w:w="1034" w:type="dxa"/>
            <w:noWrap/>
            <w:hideMark/>
          </w:tcPr>
          <w:p w14:paraId="352273C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01-Jul-28</w:t>
            </w:r>
          </w:p>
        </w:tc>
        <w:tc>
          <w:tcPr>
            <w:tcW w:w="1035" w:type="dxa"/>
            <w:noWrap/>
            <w:hideMark/>
          </w:tcPr>
          <w:p w14:paraId="05BF62EC"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01-Jul-29</w:t>
            </w:r>
          </w:p>
        </w:tc>
        <w:tc>
          <w:tcPr>
            <w:tcW w:w="1034" w:type="dxa"/>
            <w:noWrap/>
            <w:hideMark/>
          </w:tcPr>
          <w:p w14:paraId="1A42A6DE"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01-Jul-30</w:t>
            </w:r>
          </w:p>
        </w:tc>
        <w:tc>
          <w:tcPr>
            <w:tcW w:w="1035" w:type="dxa"/>
            <w:noWrap/>
            <w:hideMark/>
          </w:tcPr>
          <w:p w14:paraId="0A084FCB"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01-Jul-31</w:t>
            </w:r>
          </w:p>
        </w:tc>
        <w:tc>
          <w:tcPr>
            <w:tcW w:w="1034" w:type="dxa"/>
            <w:noWrap/>
            <w:hideMark/>
          </w:tcPr>
          <w:p w14:paraId="7BE9DA9C"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01-Jul-32</w:t>
            </w:r>
          </w:p>
        </w:tc>
        <w:tc>
          <w:tcPr>
            <w:tcW w:w="1080" w:type="dxa"/>
            <w:gridSpan w:val="2"/>
            <w:noWrap/>
            <w:hideMark/>
          </w:tcPr>
          <w:p w14:paraId="557497E5"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01-Jul-33</w:t>
            </w:r>
          </w:p>
        </w:tc>
      </w:tr>
      <w:tr w:rsidR="00C2748F" w:rsidRPr="00506557" w14:paraId="14DCB7E8" w14:textId="77777777" w:rsidTr="00256D8D">
        <w:trPr>
          <w:trHeight w:val="299"/>
        </w:trPr>
        <w:tc>
          <w:tcPr>
            <w:tcW w:w="1300" w:type="dxa"/>
            <w:noWrap/>
            <w:hideMark/>
          </w:tcPr>
          <w:p w14:paraId="505EB52A"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Mid</w:t>
            </w:r>
          </w:p>
        </w:tc>
        <w:tc>
          <w:tcPr>
            <w:tcW w:w="2112" w:type="dxa"/>
            <w:noWrap/>
            <w:hideMark/>
          </w:tcPr>
          <w:p w14:paraId="5C58EB7E"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Date</w:t>
            </w:r>
          </w:p>
        </w:tc>
        <w:tc>
          <w:tcPr>
            <w:tcW w:w="1033" w:type="dxa"/>
            <w:noWrap/>
            <w:hideMark/>
          </w:tcPr>
          <w:p w14:paraId="5A4F1571"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31-Dec-24</w:t>
            </w:r>
          </w:p>
        </w:tc>
        <w:tc>
          <w:tcPr>
            <w:tcW w:w="1034" w:type="dxa"/>
            <w:noWrap/>
            <w:hideMark/>
          </w:tcPr>
          <w:p w14:paraId="26F673A2"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31-Dec-25</w:t>
            </w:r>
          </w:p>
        </w:tc>
        <w:tc>
          <w:tcPr>
            <w:tcW w:w="1034" w:type="dxa"/>
            <w:noWrap/>
            <w:hideMark/>
          </w:tcPr>
          <w:p w14:paraId="57BED0B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31-Dec-26</w:t>
            </w:r>
          </w:p>
        </w:tc>
        <w:tc>
          <w:tcPr>
            <w:tcW w:w="1035" w:type="dxa"/>
            <w:noWrap/>
            <w:hideMark/>
          </w:tcPr>
          <w:p w14:paraId="4E58CAAD"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31-Dec-27</w:t>
            </w:r>
          </w:p>
        </w:tc>
        <w:tc>
          <w:tcPr>
            <w:tcW w:w="1034" w:type="dxa"/>
            <w:noWrap/>
            <w:hideMark/>
          </w:tcPr>
          <w:p w14:paraId="3F64276A"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31-Dec-28</w:t>
            </w:r>
          </w:p>
        </w:tc>
        <w:tc>
          <w:tcPr>
            <w:tcW w:w="1035" w:type="dxa"/>
            <w:noWrap/>
            <w:hideMark/>
          </w:tcPr>
          <w:p w14:paraId="0048DBD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31-Dec-29</w:t>
            </w:r>
          </w:p>
        </w:tc>
        <w:tc>
          <w:tcPr>
            <w:tcW w:w="1034" w:type="dxa"/>
            <w:noWrap/>
            <w:hideMark/>
          </w:tcPr>
          <w:p w14:paraId="062566ED"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31-Dec-30</w:t>
            </w:r>
          </w:p>
        </w:tc>
        <w:tc>
          <w:tcPr>
            <w:tcW w:w="1035" w:type="dxa"/>
            <w:noWrap/>
            <w:hideMark/>
          </w:tcPr>
          <w:p w14:paraId="63EA3397"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31-Dec-31</w:t>
            </w:r>
          </w:p>
        </w:tc>
        <w:tc>
          <w:tcPr>
            <w:tcW w:w="1034" w:type="dxa"/>
            <w:noWrap/>
            <w:hideMark/>
          </w:tcPr>
          <w:p w14:paraId="2ACA177C"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31-Dec-32</w:t>
            </w:r>
          </w:p>
        </w:tc>
        <w:tc>
          <w:tcPr>
            <w:tcW w:w="1080" w:type="dxa"/>
            <w:gridSpan w:val="2"/>
            <w:noWrap/>
            <w:hideMark/>
          </w:tcPr>
          <w:p w14:paraId="25F3CBC3"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31-Dec-33</w:t>
            </w:r>
          </w:p>
        </w:tc>
      </w:tr>
      <w:tr w:rsidR="00C2748F" w:rsidRPr="00506557" w14:paraId="0B4B38C6" w14:textId="77777777" w:rsidTr="00256D8D">
        <w:trPr>
          <w:trHeight w:val="299"/>
        </w:trPr>
        <w:tc>
          <w:tcPr>
            <w:tcW w:w="1300" w:type="dxa"/>
            <w:noWrap/>
            <w:hideMark/>
          </w:tcPr>
          <w:p w14:paraId="7287FE5E"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End</w:t>
            </w:r>
          </w:p>
        </w:tc>
        <w:tc>
          <w:tcPr>
            <w:tcW w:w="2112" w:type="dxa"/>
            <w:noWrap/>
            <w:hideMark/>
          </w:tcPr>
          <w:p w14:paraId="66365A1A"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Date</w:t>
            </w:r>
          </w:p>
        </w:tc>
        <w:tc>
          <w:tcPr>
            <w:tcW w:w="1033" w:type="dxa"/>
            <w:noWrap/>
            <w:hideMark/>
          </w:tcPr>
          <w:p w14:paraId="4E2B7E52"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30-Jun-25</w:t>
            </w:r>
          </w:p>
        </w:tc>
        <w:tc>
          <w:tcPr>
            <w:tcW w:w="1034" w:type="dxa"/>
            <w:noWrap/>
            <w:hideMark/>
          </w:tcPr>
          <w:p w14:paraId="7599F8B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30-Jun-26</w:t>
            </w:r>
          </w:p>
        </w:tc>
        <w:tc>
          <w:tcPr>
            <w:tcW w:w="1034" w:type="dxa"/>
            <w:noWrap/>
            <w:hideMark/>
          </w:tcPr>
          <w:p w14:paraId="2EE65D2B"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30-Jun-27</w:t>
            </w:r>
          </w:p>
        </w:tc>
        <w:tc>
          <w:tcPr>
            <w:tcW w:w="1035" w:type="dxa"/>
            <w:noWrap/>
            <w:hideMark/>
          </w:tcPr>
          <w:p w14:paraId="5690FD62"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30-Jun-28</w:t>
            </w:r>
          </w:p>
        </w:tc>
        <w:tc>
          <w:tcPr>
            <w:tcW w:w="1034" w:type="dxa"/>
            <w:noWrap/>
            <w:hideMark/>
          </w:tcPr>
          <w:p w14:paraId="13556C6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30-Jun-29</w:t>
            </w:r>
          </w:p>
        </w:tc>
        <w:tc>
          <w:tcPr>
            <w:tcW w:w="1035" w:type="dxa"/>
            <w:noWrap/>
            <w:hideMark/>
          </w:tcPr>
          <w:p w14:paraId="4F2B5533"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30-Jun-30</w:t>
            </w:r>
          </w:p>
        </w:tc>
        <w:tc>
          <w:tcPr>
            <w:tcW w:w="1034" w:type="dxa"/>
            <w:noWrap/>
            <w:hideMark/>
          </w:tcPr>
          <w:p w14:paraId="4C705374"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30-Jun-31</w:t>
            </w:r>
          </w:p>
        </w:tc>
        <w:tc>
          <w:tcPr>
            <w:tcW w:w="1035" w:type="dxa"/>
            <w:noWrap/>
            <w:hideMark/>
          </w:tcPr>
          <w:p w14:paraId="0C3E5F63"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30-Jun-32</w:t>
            </w:r>
          </w:p>
        </w:tc>
        <w:tc>
          <w:tcPr>
            <w:tcW w:w="1034" w:type="dxa"/>
            <w:noWrap/>
            <w:hideMark/>
          </w:tcPr>
          <w:p w14:paraId="4FDE0F1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30-Jun-33</w:t>
            </w:r>
          </w:p>
        </w:tc>
        <w:tc>
          <w:tcPr>
            <w:tcW w:w="1080" w:type="dxa"/>
            <w:gridSpan w:val="2"/>
            <w:noWrap/>
            <w:hideMark/>
          </w:tcPr>
          <w:p w14:paraId="14F4B833"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30-Jun-34</w:t>
            </w:r>
          </w:p>
        </w:tc>
      </w:tr>
      <w:tr w:rsidR="00C2748F" w:rsidRPr="00506557" w14:paraId="7AE4FB0A" w14:textId="77777777" w:rsidTr="00256D8D">
        <w:trPr>
          <w:trHeight w:val="299"/>
        </w:trPr>
        <w:tc>
          <w:tcPr>
            <w:tcW w:w="1300" w:type="dxa"/>
            <w:noWrap/>
            <w:hideMark/>
          </w:tcPr>
          <w:p w14:paraId="5FCDB8E7"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No.</w:t>
            </w:r>
          </w:p>
        </w:tc>
        <w:tc>
          <w:tcPr>
            <w:tcW w:w="2112" w:type="dxa"/>
            <w:noWrap/>
            <w:hideMark/>
          </w:tcPr>
          <w:p w14:paraId="723B5FDD"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w:t>
            </w:r>
          </w:p>
        </w:tc>
        <w:tc>
          <w:tcPr>
            <w:tcW w:w="1033" w:type="dxa"/>
            <w:noWrap/>
            <w:hideMark/>
          </w:tcPr>
          <w:p w14:paraId="6AD99B57"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1</w:t>
            </w:r>
          </w:p>
        </w:tc>
        <w:tc>
          <w:tcPr>
            <w:tcW w:w="1034" w:type="dxa"/>
            <w:noWrap/>
            <w:hideMark/>
          </w:tcPr>
          <w:p w14:paraId="392954C3"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2</w:t>
            </w:r>
          </w:p>
        </w:tc>
        <w:tc>
          <w:tcPr>
            <w:tcW w:w="1034" w:type="dxa"/>
            <w:noWrap/>
            <w:hideMark/>
          </w:tcPr>
          <w:p w14:paraId="01A595EF"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w:t>
            </w:r>
          </w:p>
        </w:tc>
        <w:tc>
          <w:tcPr>
            <w:tcW w:w="1035" w:type="dxa"/>
            <w:noWrap/>
            <w:hideMark/>
          </w:tcPr>
          <w:p w14:paraId="4875A42D"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4</w:t>
            </w:r>
          </w:p>
        </w:tc>
        <w:tc>
          <w:tcPr>
            <w:tcW w:w="1034" w:type="dxa"/>
            <w:noWrap/>
            <w:hideMark/>
          </w:tcPr>
          <w:p w14:paraId="64282E95"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5</w:t>
            </w:r>
          </w:p>
        </w:tc>
        <w:tc>
          <w:tcPr>
            <w:tcW w:w="1035" w:type="dxa"/>
            <w:noWrap/>
            <w:hideMark/>
          </w:tcPr>
          <w:p w14:paraId="7490066F"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6</w:t>
            </w:r>
          </w:p>
        </w:tc>
        <w:tc>
          <w:tcPr>
            <w:tcW w:w="1034" w:type="dxa"/>
            <w:noWrap/>
            <w:hideMark/>
          </w:tcPr>
          <w:p w14:paraId="5453B746"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7</w:t>
            </w:r>
          </w:p>
        </w:tc>
        <w:tc>
          <w:tcPr>
            <w:tcW w:w="1035" w:type="dxa"/>
            <w:noWrap/>
            <w:hideMark/>
          </w:tcPr>
          <w:p w14:paraId="2AAAE873"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8</w:t>
            </w:r>
          </w:p>
        </w:tc>
        <w:tc>
          <w:tcPr>
            <w:tcW w:w="1034" w:type="dxa"/>
            <w:noWrap/>
            <w:hideMark/>
          </w:tcPr>
          <w:p w14:paraId="79A44C74"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9</w:t>
            </w:r>
          </w:p>
        </w:tc>
        <w:tc>
          <w:tcPr>
            <w:tcW w:w="1080" w:type="dxa"/>
            <w:gridSpan w:val="2"/>
            <w:noWrap/>
            <w:hideMark/>
          </w:tcPr>
          <w:p w14:paraId="2F1605B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10</w:t>
            </w:r>
          </w:p>
        </w:tc>
      </w:tr>
      <w:tr w:rsidR="00C2748F" w:rsidRPr="00506557" w14:paraId="47EF07C2" w14:textId="77777777" w:rsidTr="00256D8D">
        <w:trPr>
          <w:trHeight w:val="299"/>
        </w:trPr>
        <w:tc>
          <w:tcPr>
            <w:tcW w:w="1300" w:type="dxa"/>
            <w:noWrap/>
            <w:hideMark/>
          </w:tcPr>
          <w:p w14:paraId="3D7FA120"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Days in Year</w:t>
            </w:r>
          </w:p>
        </w:tc>
        <w:tc>
          <w:tcPr>
            <w:tcW w:w="2112" w:type="dxa"/>
            <w:noWrap/>
            <w:hideMark/>
          </w:tcPr>
          <w:p w14:paraId="64551114"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w:t>
            </w:r>
          </w:p>
        </w:tc>
        <w:tc>
          <w:tcPr>
            <w:tcW w:w="1033" w:type="dxa"/>
            <w:noWrap/>
            <w:hideMark/>
          </w:tcPr>
          <w:p w14:paraId="2E7D1EE8"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4" w:type="dxa"/>
            <w:noWrap/>
            <w:hideMark/>
          </w:tcPr>
          <w:p w14:paraId="111780AD"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4" w:type="dxa"/>
            <w:noWrap/>
            <w:hideMark/>
          </w:tcPr>
          <w:p w14:paraId="4DB030E2"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5" w:type="dxa"/>
            <w:noWrap/>
            <w:hideMark/>
          </w:tcPr>
          <w:p w14:paraId="7B50253D"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366 </w:t>
            </w:r>
          </w:p>
        </w:tc>
        <w:tc>
          <w:tcPr>
            <w:tcW w:w="1034" w:type="dxa"/>
            <w:noWrap/>
            <w:hideMark/>
          </w:tcPr>
          <w:p w14:paraId="4CB19EE1"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5" w:type="dxa"/>
            <w:noWrap/>
            <w:hideMark/>
          </w:tcPr>
          <w:p w14:paraId="5528F22E"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4" w:type="dxa"/>
            <w:noWrap/>
            <w:hideMark/>
          </w:tcPr>
          <w:p w14:paraId="1EDFC3C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5" w:type="dxa"/>
            <w:noWrap/>
            <w:hideMark/>
          </w:tcPr>
          <w:p w14:paraId="09656BF4"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366 </w:t>
            </w:r>
          </w:p>
        </w:tc>
        <w:tc>
          <w:tcPr>
            <w:tcW w:w="1034" w:type="dxa"/>
            <w:noWrap/>
            <w:hideMark/>
          </w:tcPr>
          <w:p w14:paraId="12EB22E5"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365 </w:t>
            </w:r>
          </w:p>
        </w:tc>
        <w:tc>
          <w:tcPr>
            <w:tcW w:w="1080" w:type="dxa"/>
            <w:gridSpan w:val="2"/>
            <w:noWrap/>
            <w:hideMark/>
          </w:tcPr>
          <w:p w14:paraId="61A667F5"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365 </w:t>
            </w:r>
          </w:p>
        </w:tc>
      </w:tr>
      <w:tr w:rsidR="00C2748F" w:rsidRPr="00506557" w14:paraId="18F8B9B7" w14:textId="77777777" w:rsidTr="00256D8D">
        <w:trPr>
          <w:gridAfter w:val="1"/>
          <w:wAfter w:w="50" w:type="dxa"/>
          <w:trHeight w:val="299"/>
        </w:trPr>
        <w:tc>
          <w:tcPr>
            <w:tcW w:w="1300" w:type="dxa"/>
            <w:noWrap/>
            <w:hideMark/>
          </w:tcPr>
          <w:p w14:paraId="38096A94"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Financial Year</w:t>
            </w:r>
          </w:p>
        </w:tc>
        <w:tc>
          <w:tcPr>
            <w:tcW w:w="2112" w:type="dxa"/>
            <w:noWrap/>
            <w:hideMark/>
          </w:tcPr>
          <w:p w14:paraId="5C4A8615"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FY</w:t>
            </w:r>
          </w:p>
        </w:tc>
        <w:tc>
          <w:tcPr>
            <w:tcW w:w="1033" w:type="dxa"/>
            <w:noWrap/>
            <w:hideMark/>
          </w:tcPr>
          <w:p w14:paraId="3206B70F"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2025 </w:t>
            </w:r>
          </w:p>
        </w:tc>
        <w:tc>
          <w:tcPr>
            <w:tcW w:w="1034" w:type="dxa"/>
            <w:noWrap/>
            <w:hideMark/>
          </w:tcPr>
          <w:p w14:paraId="46A995B6"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2026 </w:t>
            </w:r>
          </w:p>
        </w:tc>
        <w:tc>
          <w:tcPr>
            <w:tcW w:w="1034" w:type="dxa"/>
            <w:noWrap/>
            <w:hideMark/>
          </w:tcPr>
          <w:p w14:paraId="72E14A18"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2027 </w:t>
            </w:r>
          </w:p>
        </w:tc>
        <w:tc>
          <w:tcPr>
            <w:tcW w:w="1035" w:type="dxa"/>
            <w:noWrap/>
            <w:hideMark/>
          </w:tcPr>
          <w:p w14:paraId="47E478E6"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2028 </w:t>
            </w:r>
          </w:p>
        </w:tc>
        <w:tc>
          <w:tcPr>
            <w:tcW w:w="1034" w:type="dxa"/>
            <w:noWrap/>
            <w:hideMark/>
          </w:tcPr>
          <w:p w14:paraId="22FEE4E6"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2029 </w:t>
            </w:r>
          </w:p>
        </w:tc>
        <w:tc>
          <w:tcPr>
            <w:tcW w:w="1035" w:type="dxa"/>
            <w:noWrap/>
            <w:hideMark/>
          </w:tcPr>
          <w:p w14:paraId="27A02120"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2030 </w:t>
            </w:r>
          </w:p>
        </w:tc>
        <w:tc>
          <w:tcPr>
            <w:tcW w:w="1034" w:type="dxa"/>
            <w:noWrap/>
            <w:hideMark/>
          </w:tcPr>
          <w:p w14:paraId="45238CBC"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2031 </w:t>
            </w:r>
          </w:p>
        </w:tc>
        <w:tc>
          <w:tcPr>
            <w:tcW w:w="1035" w:type="dxa"/>
            <w:noWrap/>
            <w:hideMark/>
          </w:tcPr>
          <w:p w14:paraId="7FDAE667"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w:t>
            </w:r>
            <w:r>
              <w:rPr>
                <w:rFonts w:eastAsia="Times New Roman" w:cs="Calibri Light"/>
                <w:color w:val="000000"/>
                <w:szCs w:val="20"/>
                <w:lang w:eastAsia="en-AU"/>
              </w:rPr>
              <w:t>2</w:t>
            </w:r>
            <w:r w:rsidRPr="00506557">
              <w:rPr>
                <w:rFonts w:eastAsia="Times New Roman" w:cs="Calibri Light"/>
                <w:color w:val="000000"/>
                <w:szCs w:val="20"/>
                <w:lang w:eastAsia="en-AU"/>
              </w:rPr>
              <w:t xml:space="preserve">032 </w:t>
            </w:r>
          </w:p>
        </w:tc>
        <w:tc>
          <w:tcPr>
            <w:tcW w:w="1034" w:type="dxa"/>
            <w:noWrap/>
            <w:hideMark/>
          </w:tcPr>
          <w:p w14:paraId="0BC60305"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2033 </w:t>
            </w:r>
          </w:p>
        </w:tc>
        <w:tc>
          <w:tcPr>
            <w:tcW w:w="1030" w:type="dxa"/>
            <w:noWrap/>
            <w:hideMark/>
          </w:tcPr>
          <w:p w14:paraId="466E8532" w14:textId="77777777" w:rsidR="00C2748F" w:rsidRPr="00506557" w:rsidRDefault="00C2748F">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2034 </w:t>
            </w:r>
          </w:p>
        </w:tc>
      </w:tr>
      <w:tr w:rsidR="003F5901" w:rsidRPr="00506557" w14:paraId="335C41B0" w14:textId="77777777" w:rsidTr="00256D8D">
        <w:trPr>
          <w:gridAfter w:val="1"/>
          <w:wAfter w:w="50" w:type="dxa"/>
          <w:trHeight w:val="299"/>
        </w:trPr>
        <w:tc>
          <w:tcPr>
            <w:tcW w:w="1300" w:type="dxa"/>
            <w:shd w:val="clear" w:color="auto" w:fill="F2F2F2" w:themeFill="background1" w:themeFillShade="F2"/>
            <w:noWrap/>
            <w:hideMark/>
          </w:tcPr>
          <w:p w14:paraId="18F96033" w14:textId="77777777" w:rsidR="00C2748F" w:rsidRPr="00506557" w:rsidRDefault="00C2748F">
            <w:pPr>
              <w:spacing w:line="240" w:lineRule="auto"/>
              <w:rPr>
                <w:rFonts w:eastAsia="Times New Roman" w:cs="Calibri Light"/>
                <w:b/>
                <w:color w:val="000000"/>
                <w:szCs w:val="20"/>
                <w:lang w:eastAsia="en-AU"/>
              </w:rPr>
            </w:pPr>
            <w:r w:rsidRPr="00506557">
              <w:rPr>
                <w:rFonts w:eastAsia="Times New Roman" w:cs="Calibri Light"/>
                <w:b/>
                <w:bCs/>
                <w:color w:val="000000"/>
                <w:szCs w:val="20"/>
                <w:lang w:eastAsia="en-AU"/>
              </w:rPr>
              <w:t>Current state</w:t>
            </w:r>
          </w:p>
        </w:tc>
        <w:tc>
          <w:tcPr>
            <w:tcW w:w="2112" w:type="dxa"/>
            <w:shd w:val="clear" w:color="auto" w:fill="F2F2F2" w:themeFill="background1" w:themeFillShade="F2"/>
            <w:noWrap/>
            <w:hideMark/>
          </w:tcPr>
          <w:p w14:paraId="31EC3947"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3" w:type="dxa"/>
            <w:shd w:val="clear" w:color="auto" w:fill="F2F2F2" w:themeFill="background1" w:themeFillShade="F2"/>
            <w:noWrap/>
            <w:hideMark/>
          </w:tcPr>
          <w:p w14:paraId="4E5E2DD6"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0E114ACE"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486F6F11"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5" w:type="dxa"/>
            <w:shd w:val="clear" w:color="auto" w:fill="F2F2F2" w:themeFill="background1" w:themeFillShade="F2"/>
            <w:noWrap/>
            <w:hideMark/>
          </w:tcPr>
          <w:p w14:paraId="7604BBC9"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2EA4FB57"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5" w:type="dxa"/>
            <w:shd w:val="clear" w:color="auto" w:fill="F2F2F2" w:themeFill="background1" w:themeFillShade="F2"/>
            <w:noWrap/>
            <w:hideMark/>
          </w:tcPr>
          <w:p w14:paraId="0A4B130C"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7D26700C"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5" w:type="dxa"/>
            <w:shd w:val="clear" w:color="auto" w:fill="F2F2F2" w:themeFill="background1" w:themeFillShade="F2"/>
            <w:noWrap/>
            <w:hideMark/>
          </w:tcPr>
          <w:p w14:paraId="46A58182"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56662986"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0" w:type="dxa"/>
            <w:shd w:val="clear" w:color="auto" w:fill="F2F2F2" w:themeFill="background1" w:themeFillShade="F2"/>
            <w:noWrap/>
            <w:hideMark/>
          </w:tcPr>
          <w:p w14:paraId="2853D698" w14:textId="77777777" w:rsidR="00C2748F" w:rsidRPr="00506557" w:rsidRDefault="00C2748F">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r>
      <w:tr w:rsidR="00C2748F" w:rsidRPr="00506557" w14:paraId="0070866F" w14:textId="77777777" w:rsidTr="00256D8D">
        <w:trPr>
          <w:gridAfter w:val="1"/>
          <w:wAfter w:w="50" w:type="dxa"/>
          <w:trHeight w:val="299"/>
        </w:trPr>
        <w:tc>
          <w:tcPr>
            <w:tcW w:w="3412" w:type="dxa"/>
            <w:gridSpan w:val="2"/>
            <w:noWrap/>
            <w:hideMark/>
          </w:tcPr>
          <w:p w14:paraId="7550C6D0" w14:textId="77777777" w:rsidR="00C2748F" w:rsidRPr="00506557" w:rsidRDefault="00C2748F">
            <w:pPr>
              <w:spacing w:line="240" w:lineRule="auto"/>
              <w:rPr>
                <w:rFonts w:eastAsia="Times New Roman" w:cs="Calibri Light"/>
                <w:b/>
                <w:bCs/>
                <w:color w:val="000000"/>
                <w:szCs w:val="20"/>
                <w:lang w:eastAsia="en-AU"/>
              </w:rPr>
            </w:pPr>
            <w:r w:rsidRPr="00506557">
              <w:rPr>
                <w:rFonts w:eastAsia="Times New Roman" w:cs="Calibri Light"/>
                <w:b/>
                <w:bCs/>
                <w:color w:val="000000"/>
                <w:szCs w:val="20"/>
                <w:lang w:eastAsia="en-AU"/>
              </w:rPr>
              <w:t>Total number of practising audiologists</w:t>
            </w:r>
          </w:p>
        </w:tc>
        <w:tc>
          <w:tcPr>
            <w:tcW w:w="1033" w:type="dxa"/>
            <w:noWrap/>
            <w:hideMark/>
          </w:tcPr>
          <w:p w14:paraId="36E81D83"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3850</w:t>
            </w:r>
          </w:p>
        </w:tc>
        <w:tc>
          <w:tcPr>
            <w:tcW w:w="1034" w:type="dxa"/>
            <w:noWrap/>
            <w:hideMark/>
          </w:tcPr>
          <w:p w14:paraId="01C0FF7D"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4004</w:t>
            </w:r>
          </w:p>
        </w:tc>
        <w:tc>
          <w:tcPr>
            <w:tcW w:w="1034" w:type="dxa"/>
            <w:noWrap/>
            <w:hideMark/>
          </w:tcPr>
          <w:p w14:paraId="64160A2B"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4164</w:t>
            </w:r>
          </w:p>
        </w:tc>
        <w:tc>
          <w:tcPr>
            <w:tcW w:w="1035" w:type="dxa"/>
            <w:noWrap/>
            <w:hideMark/>
          </w:tcPr>
          <w:p w14:paraId="3C90F076"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4331</w:t>
            </w:r>
          </w:p>
        </w:tc>
        <w:tc>
          <w:tcPr>
            <w:tcW w:w="1034" w:type="dxa"/>
            <w:noWrap/>
            <w:hideMark/>
          </w:tcPr>
          <w:p w14:paraId="1F65AB5F"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4504</w:t>
            </w:r>
          </w:p>
        </w:tc>
        <w:tc>
          <w:tcPr>
            <w:tcW w:w="1035" w:type="dxa"/>
            <w:noWrap/>
            <w:hideMark/>
          </w:tcPr>
          <w:p w14:paraId="1A6C2073"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4684</w:t>
            </w:r>
          </w:p>
        </w:tc>
        <w:tc>
          <w:tcPr>
            <w:tcW w:w="1034" w:type="dxa"/>
            <w:noWrap/>
            <w:hideMark/>
          </w:tcPr>
          <w:p w14:paraId="41259373"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4871</w:t>
            </w:r>
          </w:p>
        </w:tc>
        <w:tc>
          <w:tcPr>
            <w:tcW w:w="1035" w:type="dxa"/>
            <w:noWrap/>
            <w:hideMark/>
          </w:tcPr>
          <w:p w14:paraId="59967B0B"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5066</w:t>
            </w:r>
          </w:p>
        </w:tc>
        <w:tc>
          <w:tcPr>
            <w:tcW w:w="1034" w:type="dxa"/>
            <w:noWrap/>
            <w:hideMark/>
          </w:tcPr>
          <w:p w14:paraId="7CFB2DC8"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5269</w:t>
            </w:r>
          </w:p>
        </w:tc>
        <w:tc>
          <w:tcPr>
            <w:tcW w:w="1030" w:type="dxa"/>
            <w:noWrap/>
            <w:hideMark/>
          </w:tcPr>
          <w:p w14:paraId="4B185B39" w14:textId="77777777" w:rsidR="00C2748F" w:rsidRPr="00506557" w:rsidRDefault="00C2748F">
            <w:pPr>
              <w:spacing w:line="240" w:lineRule="auto"/>
              <w:jc w:val="right"/>
              <w:rPr>
                <w:rFonts w:eastAsia="Times New Roman" w:cs="Calibri Light"/>
                <w:b/>
                <w:bCs/>
                <w:color w:val="000000"/>
                <w:szCs w:val="20"/>
                <w:lang w:eastAsia="en-AU"/>
              </w:rPr>
            </w:pPr>
            <w:r w:rsidRPr="00506557">
              <w:rPr>
                <w:rFonts w:eastAsia="Times New Roman" w:cs="Calibri Light"/>
                <w:b/>
                <w:bCs/>
                <w:color w:val="000000"/>
                <w:szCs w:val="20"/>
                <w:lang w:eastAsia="en-AU"/>
              </w:rPr>
              <w:t>5480</w:t>
            </w:r>
          </w:p>
        </w:tc>
      </w:tr>
      <w:tr w:rsidR="00C2748F" w:rsidRPr="00506557" w14:paraId="6312DC48" w14:textId="77777777" w:rsidTr="00256D8D">
        <w:trPr>
          <w:trHeight w:val="299"/>
        </w:trPr>
        <w:tc>
          <w:tcPr>
            <w:tcW w:w="3412" w:type="dxa"/>
            <w:gridSpan w:val="2"/>
            <w:noWrap/>
            <w:hideMark/>
          </w:tcPr>
          <w:p w14:paraId="77E1F2F0" w14:textId="77777777" w:rsidR="00C2748F" w:rsidRPr="003F3DFF" w:rsidRDefault="00C2748F">
            <w:pPr>
              <w:spacing w:line="240" w:lineRule="auto"/>
              <w:rPr>
                <w:rFonts w:eastAsia="Times New Roman" w:cs="Calibri Light"/>
                <w:color w:val="000000"/>
                <w:szCs w:val="20"/>
                <w:lang w:eastAsia="en-AU"/>
              </w:rPr>
            </w:pPr>
            <w:r w:rsidRPr="003F3DFF">
              <w:rPr>
                <w:rFonts w:eastAsia="Times New Roman" w:cs="Calibri Light"/>
                <w:color w:val="000000"/>
                <w:szCs w:val="20"/>
                <w:lang w:eastAsia="en-AU"/>
              </w:rPr>
              <w:t>Public sector audiologists</w:t>
            </w:r>
          </w:p>
        </w:tc>
        <w:tc>
          <w:tcPr>
            <w:tcW w:w="1033" w:type="dxa"/>
            <w:noWrap/>
            <w:hideMark/>
          </w:tcPr>
          <w:p w14:paraId="3231DE3F"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424</w:t>
            </w:r>
          </w:p>
        </w:tc>
        <w:tc>
          <w:tcPr>
            <w:tcW w:w="1034" w:type="dxa"/>
            <w:noWrap/>
            <w:hideMark/>
          </w:tcPr>
          <w:p w14:paraId="3E27DC0C"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440</w:t>
            </w:r>
          </w:p>
        </w:tc>
        <w:tc>
          <w:tcPr>
            <w:tcW w:w="1034" w:type="dxa"/>
            <w:noWrap/>
            <w:hideMark/>
          </w:tcPr>
          <w:p w14:paraId="1A3184F0"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458</w:t>
            </w:r>
          </w:p>
        </w:tc>
        <w:tc>
          <w:tcPr>
            <w:tcW w:w="1035" w:type="dxa"/>
            <w:noWrap/>
            <w:hideMark/>
          </w:tcPr>
          <w:p w14:paraId="78C5B716"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476</w:t>
            </w:r>
          </w:p>
        </w:tc>
        <w:tc>
          <w:tcPr>
            <w:tcW w:w="1034" w:type="dxa"/>
            <w:noWrap/>
            <w:hideMark/>
          </w:tcPr>
          <w:p w14:paraId="540DC745"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495</w:t>
            </w:r>
          </w:p>
        </w:tc>
        <w:tc>
          <w:tcPr>
            <w:tcW w:w="1035" w:type="dxa"/>
            <w:noWrap/>
            <w:hideMark/>
          </w:tcPr>
          <w:p w14:paraId="2FA27AB5"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515</w:t>
            </w:r>
          </w:p>
        </w:tc>
        <w:tc>
          <w:tcPr>
            <w:tcW w:w="1034" w:type="dxa"/>
            <w:noWrap/>
            <w:hideMark/>
          </w:tcPr>
          <w:p w14:paraId="074A4707"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536</w:t>
            </w:r>
          </w:p>
        </w:tc>
        <w:tc>
          <w:tcPr>
            <w:tcW w:w="1035" w:type="dxa"/>
            <w:noWrap/>
            <w:hideMark/>
          </w:tcPr>
          <w:p w14:paraId="47937FC8"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557</w:t>
            </w:r>
          </w:p>
        </w:tc>
        <w:tc>
          <w:tcPr>
            <w:tcW w:w="1034" w:type="dxa"/>
            <w:noWrap/>
            <w:hideMark/>
          </w:tcPr>
          <w:p w14:paraId="0099E3E4"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580</w:t>
            </w:r>
          </w:p>
        </w:tc>
        <w:tc>
          <w:tcPr>
            <w:tcW w:w="1080" w:type="dxa"/>
            <w:gridSpan w:val="2"/>
            <w:noWrap/>
            <w:hideMark/>
          </w:tcPr>
          <w:p w14:paraId="2AC85934"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603</w:t>
            </w:r>
          </w:p>
        </w:tc>
      </w:tr>
      <w:tr w:rsidR="00C2748F" w:rsidRPr="00506557" w14:paraId="780D9581" w14:textId="77777777" w:rsidTr="00256D8D">
        <w:trPr>
          <w:trHeight w:val="299"/>
        </w:trPr>
        <w:tc>
          <w:tcPr>
            <w:tcW w:w="3412" w:type="dxa"/>
            <w:gridSpan w:val="2"/>
            <w:noWrap/>
            <w:hideMark/>
          </w:tcPr>
          <w:p w14:paraId="6599AAEE" w14:textId="77777777" w:rsidR="00C2748F" w:rsidRPr="003F3DFF" w:rsidRDefault="00C2748F">
            <w:pPr>
              <w:spacing w:line="240" w:lineRule="auto"/>
              <w:rPr>
                <w:rFonts w:eastAsia="Times New Roman" w:cs="Calibri Light"/>
                <w:color w:val="000000"/>
                <w:szCs w:val="20"/>
                <w:lang w:eastAsia="en-AU"/>
              </w:rPr>
            </w:pPr>
            <w:r w:rsidRPr="003F3DFF">
              <w:rPr>
                <w:rFonts w:eastAsia="Times New Roman" w:cs="Calibri Light"/>
                <w:color w:val="000000"/>
                <w:szCs w:val="20"/>
                <w:lang w:eastAsia="en-AU"/>
              </w:rPr>
              <w:t>Private sector audiologists</w:t>
            </w:r>
          </w:p>
        </w:tc>
        <w:tc>
          <w:tcPr>
            <w:tcW w:w="1033" w:type="dxa"/>
            <w:noWrap/>
            <w:hideMark/>
          </w:tcPr>
          <w:p w14:paraId="533F5CDA"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3427</w:t>
            </w:r>
          </w:p>
        </w:tc>
        <w:tc>
          <w:tcPr>
            <w:tcW w:w="1034" w:type="dxa"/>
            <w:noWrap/>
            <w:hideMark/>
          </w:tcPr>
          <w:p w14:paraId="40DA02B8"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3564</w:t>
            </w:r>
          </w:p>
        </w:tc>
        <w:tc>
          <w:tcPr>
            <w:tcW w:w="1034" w:type="dxa"/>
            <w:noWrap/>
            <w:hideMark/>
          </w:tcPr>
          <w:p w14:paraId="06A7196D"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3706</w:t>
            </w:r>
          </w:p>
        </w:tc>
        <w:tc>
          <w:tcPr>
            <w:tcW w:w="1035" w:type="dxa"/>
            <w:noWrap/>
            <w:hideMark/>
          </w:tcPr>
          <w:p w14:paraId="53871023"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3854</w:t>
            </w:r>
          </w:p>
        </w:tc>
        <w:tc>
          <w:tcPr>
            <w:tcW w:w="1034" w:type="dxa"/>
            <w:noWrap/>
            <w:hideMark/>
          </w:tcPr>
          <w:p w14:paraId="7F82E8A0"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4009</w:t>
            </w:r>
          </w:p>
        </w:tc>
        <w:tc>
          <w:tcPr>
            <w:tcW w:w="1035" w:type="dxa"/>
            <w:noWrap/>
            <w:hideMark/>
          </w:tcPr>
          <w:p w14:paraId="5C234121"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4169</w:t>
            </w:r>
          </w:p>
        </w:tc>
        <w:tc>
          <w:tcPr>
            <w:tcW w:w="1034" w:type="dxa"/>
            <w:noWrap/>
            <w:hideMark/>
          </w:tcPr>
          <w:p w14:paraId="4F866455"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4336</w:t>
            </w:r>
          </w:p>
        </w:tc>
        <w:tc>
          <w:tcPr>
            <w:tcW w:w="1035" w:type="dxa"/>
            <w:noWrap/>
            <w:hideMark/>
          </w:tcPr>
          <w:p w14:paraId="71C3E672"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4509</w:t>
            </w:r>
          </w:p>
        </w:tc>
        <w:tc>
          <w:tcPr>
            <w:tcW w:w="1034" w:type="dxa"/>
            <w:noWrap/>
            <w:hideMark/>
          </w:tcPr>
          <w:p w14:paraId="036C8DE4"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4689</w:t>
            </w:r>
          </w:p>
        </w:tc>
        <w:tc>
          <w:tcPr>
            <w:tcW w:w="1080" w:type="dxa"/>
            <w:gridSpan w:val="2"/>
            <w:noWrap/>
            <w:hideMark/>
          </w:tcPr>
          <w:p w14:paraId="768C1BA6"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4877</w:t>
            </w:r>
          </w:p>
        </w:tc>
      </w:tr>
      <w:tr w:rsidR="00C2748F" w:rsidRPr="00506557" w14:paraId="5163BB36" w14:textId="77777777" w:rsidTr="00256D8D">
        <w:trPr>
          <w:trHeight w:val="299"/>
        </w:trPr>
        <w:tc>
          <w:tcPr>
            <w:tcW w:w="3412" w:type="dxa"/>
            <w:gridSpan w:val="2"/>
            <w:noWrap/>
            <w:hideMark/>
          </w:tcPr>
          <w:p w14:paraId="3C2D6CC6" w14:textId="77777777" w:rsidR="00C2748F" w:rsidRPr="003F3DFF" w:rsidRDefault="00C2748F">
            <w:pPr>
              <w:spacing w:line="240" w:lineRule="auto"/>
              <w:rPr>
                <w:rFonts w:eastAsia="Times New Roman" w:cs="Calibri Light"/>
                <w:color w:val="000000"/>
                <w:szCs w:val="20"/>
                <w:lang w:eastAsia="en-AU"/>
              </w:rPr>
            </w:pPr>
            <w:r w:rsidRPr="003F3DFF">
              <w:rPr>
                <w:rFonts w:eastAsia="Times New Roman" w:cs="Calibri Light"/>
                <w:color w:val="000000"/>
                <w:szCs w:val="20"/>
                <w:lang w:eastAsia="en-AU"/>
              </w:rPr>
              <w:t>Workforce with current clinical certification (either PPB)</w:t>
            </w:r>
          </w:p>
        </w:tc>
        <w:tc>
          <w:tcPr>
            <w:tcW w:w="1033" w:type="dxa"/>
            <w:noWrap/>
            <w:hideMark/>
          </w:tcPr>
          <w:p w14:paraId="35B2CBF6"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3465</w:t>
            </w:r>
          </w:p>
        </w:tc>
        <w:tc>
          <w:tcPr>
            <w:tcW w:w="1034" w:type="dxa"/>
            <w:noWrap/>
            <w:hideMark/>
          </w:tcPr>
          <w:p w14:paraId="274762A7"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3604</w:t>
            </w:r>
          </w:p>
        </w:tc>
        <w:tc>
          <w:tcPr>
            <w:tcW w:w="1034" w:type="dxa"/>
            <w:noWrap/>
            <w:hideMark/>
          </w:tcPr>
          <w:p w14:paraId="78A062AD"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3748</w:t>
            </w:r>
          </w:p>
        </w:tc>
        <w:tc>
          <w:tcPr>
            <w:tcW w:w="1035" w:type="dxa"/>
            <w:noWrap/>
            <w:hideMark/>
          </w:tcPr>
          <w:p w14:paraId="3BF68806"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3898</w:t>
            </w:r>
          </w:p>
        </w:tc>
        <w:tc>
          <w:tcPr>
            <w:tcW w:w="1034" w:type="dxa"/>
            <w:noWrap/>
            <w:hideMark/>
          </w:tcPr>
          <w:p w14:paraId="7BCD2DB6"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4054</w:t>
            </w:r>
          </w:p>
        </w:tc>
        <w:tc>
          <w:tcPr>
            <w:tcW w:w="1035" w:type="dxa"/>
            <w:noWrap/>
            <w:hideMark/>
          </w:tcPr>
          <w:p w14:paraId="095F8FAA"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4216</w:t>
            </w:r>
          </w:p>
        </w:tc>
        <w:tc>
          <w:tcPr>
            <w:tcW w:w="1034" w:type="dxa"/>
            <w:noWrap/>
            <w:hideMark/>
          </w:tcPr>
          <w:p w14:paraId="321719A4"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4384</w:t>
            </w:r>
          </w:p>
        </w:tc>
        <w:tc>
          <w:tcPr>
            <w:tcW w:w="1035" w:type="dxa"/>
            <w:noWrap/>
            <w:hideMark/>
          </w:tcPr>
          <w:p w14:paraId="3B3F7ADA"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4560</w:t>
            </w:r>
          </w:p>
        </w:tc>
        <w:tc>
          <w:tcPr>
            <w:tcW w:w="1034" w:type="dxa"/>
            <w:noWrap/>
            <w:hideMark/>
          </w:tcPr>
          <w:p w14:paraId="0D58C19C"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4742</w:t>
            </w:r>
          </w:p>
        </w:tc>
        <w:tc>
          <w:tcPr>
            <w:tcW w:w="1080" w:type="dxa"/>
            <w:gridSpan w:val="2"/>
            <w:noWrap/>
            <w:hideMark/>
          </w:tcPr>
          <w:p w14:paraId="21082AEE"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4932</w:t>
            </w:r>
          </w:p>
        </w:tc>
      </w:tr>
      <w:tr w:rsidR="00C2748F" w:rsidRPr="00506557" w14:paraId="706BC6C2" w14:textId="77777777" w:rsidTr="00256D8D">
        <w:trPr>
          <w:gridAfter w:val="1"/>
          <w:wAfter w:w="50" w:type="dxa"/>
          <w:trHeight w:val="299"/>
        </w:trPr>
        <w:tc>
          <w:tcPr>
            <w:tcW w:w="3412" w:type="dxa"/>
            <w:gridSpan w:val="2"/>
            <w:noWrap/>
            <w:hideMark/>
          </w:tcPr>
          <w:p w14:paraId="7A11DCC8" w14:textId="77777777" w:rsidR="00C2748F" w:rsidRPr="003F3DFF" w:rsidRDefault="00C2748F">
            <w:pPr>
              <w:spacing w:line="240" w:lineRule="auto"/>
              <w:rPr>
                <w:rFonts w:eastAsia="Times New Roman" w:cs="Calibri Light"/>
                <w:color w:val="000000"/>
                <w:szCs w:val="20"/>
                <w:lang w:eastAsia="en-AU"/>
              </w:rPr>
            </w:pPr>
            <w:r w:rsidRPr="003F3DFF">
              <w:rPr>
                <w:rFonts w:eastAsia="Times New Roman" w:cs="Calibri Light"/>
                <w:color w:val="000000"/>
                <w:szCs w:val="20"/>
                <w:lang w:eastAsia="en-AU"/>
              </w:rPr>
              <w:t>Workforce without current clinical certification (either PPB)</w:t>
            </w:r>
          </w:p>
        </w:tc>
        <w:tc>
          <w:tcPr>
            <w:tcW w:w="1033" w:type="dxa"/>
            <w:noWrap/>
            <w:hideMark/>
          </w:tcPr>
          <w:p w14:paraId="1A4FE084"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385</w:t>
            </w:r>
          </w:p>
        </w:tc>
        <w:tc>
          <w:tcPr>
            <w:tcW w:w="1034" w:type="dxa"/>
            <w:noWrap/>
            <w:hideMark/>
          </w:tcPr>
          <w:p w14:paraId="0564E52C"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400</w:t>
            </w:r>
          </w:p>
        </w:tc>
        <w:tc>
          <w:tcPr>
            <w:tcW w:w="1034" w:type="dxa"/>
            <w:noWrap/>
            <w:hideMark/>
          </w:tcPr>
          <w:p w14:paraId="0AB88BD3"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416</w:t>
            </w:r>
          </w:p>
        </w:tc>
        <w:tc>
          <w:tcPr>
            <w:tcW w:w="1035" w:type="dxa"/>
            <w:noWrap/>
            <w:hideMark/>
          </w:tcPr>
          <w:p w14:paraId="64D8D206"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433</w:t>
            </w:r>
          </w:p>
        </w:tc>
        <w:tc>
          <w:tcPr>
            <w:tcW w:w="1034" w:type="dxa"/>
            <w:noWrap/>
            <w:hideMark/>
          </w:tcPr>
          <w:p w14:paraId="6CFE2F1B"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450</w:t>
            </w:r>
          </w:p>
        </w:tc>
        <w:tc>
          <w:tcPr>
            <w:tcW w:w="1035" w:type="dxa"/>
            <w:noWrap/>
            <w:hideMark/>
          </w:tcPr>
          <w:p w14:paraId="6E621378"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468</w:t>
            </w:r>
          </w:p>
        </w:tc>
        <w:tc>
          <w:tcPr>
            <w:tcW w:w="1034" w:type="dxa"/>
            <w:noWrap/>
            <w:hideMark/>
          </w:tcPr>
          <w:p w14:paraId="4391DBC1"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487</w:t>
            </w:r>
          </w:p>
        </w:tc>
        <w:tc>
          <w:tcPr>
            <w:tcW w:w="1035" w:type="dxa"/>
            <w:noWrap/>
            <w:hideMark/>
          </w:tcPr>
          <w:p w14:paraId="4DA84A03"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507</w:t>
            </w:r>
          </w:p>
        </w:tc>
        <w:tc>
          <w:tcPr>
            <w:tcW w:w="1034" w:type="dxa"/>
            <w:noWrap/>
            <w:hideMark/>
          </w:tcPr>
          <w:p w14:paraId="4C2C3932"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527</w:t>
            </w:r>
          </w:p>
        </w:tc>
        <w:tc>
          <w:tcPr>
            <w:tcW w:w="1030" w:type="dxa"/>
            <w:noWrap/>
            <w:hideMark/>
          </w:tcPr>
          <w:p w14:paraId="579B006A" w14:textId="77777777" w:rsidR="00C2748F" w:rsidRPr="003F3DFF" w:rsidRDefault="00C2748F">
            <w:pPr>
              <w:spacing w:line="240" w:lineRule="auto"/>
              <w:jc w:val="right"/>
              <w:rPr>
                <w:rFonts w:eastAsia="Times New Roman" w:cs="Calibri Light"/>
                <w:color w:val="000000"/>
                <w:szCs w:val="20"/>
                <w:lang w:eastAsia="en-AU"/>
              </w:rPr>
            </w:pPr>
            <w:r w:rsidRPr="003F3DFF">
              <w:rPr>
                <w:rFonts w:eastAsia="Times New Roman" w:cs="Calibri Light"/>
                <w:color w:val="000000"/>
                <w:szCs w:val="20"/>
                <w:lang w:eastAsia="en-AU"/>
              </w:rPr>
              <w:t>548</w:t>
            </w:r>
          </w:p>
        </w:tc>
      </w:tr>
    </w:tbl>
    <w:p w14:paraId="103DDCAD" w14:textId="77777777" w:rsidR="00F11295" w:rsidRDefault="00F11295" w:rsidP="00E22FF5">
      <w:pPr>
        <w:pStyle w:val="BodyText"/>
      </w:pPr>
    </w:p>
    <w:p w14:paraId="7B124A23" w14:textId="77777777" w:rsidR="00F05B2B" w:rsidRDefault="00F05B2B" w:rsidP="00E22FF5">
      <w:pPr>
        <w:pStyle w:val="BodyText"/>
      </w:pPr>
    </w:p>
    <w:p w14:paraId="359BBDEC" w14:textId="77777777" w:rsidR="00F05B2B" w:rsidRDefault="00F05B2B" w:rsidP="00E22FF5">
      <w:pPr>
        <w:pStyle w:val="BodyText"/>
      </w:pPr>
    </w:p>
    <w:p w14:paraId="5868A5E6" w14:textId="77777777" w:rsidR="00F05B2B" w:rsidRDefault="00F05B2B" w:rsidP="00E22FF5">
      <w:pPr>
        <w:pStyle w:val="BodyText"/>
      </w:pPr>
    </w:p>
    <w:p w14:paraId="2929E214" w14:textId="77777777" w:rsidR="00F05B2B" w:rsidRDefault="00F05B2B" w:rsidP="00E22FF5">
      <w:pPr>
        <w:pStyle w:val="BodyText"/>
      </w:pPr>
    </w:p>
    <w:tbl>
      <w:tblPr>
        <w:tblStyle w:val="BodyTable"/>
        <w:tblW w:w="13800" w:type="dxa"/>
        <w:tblLayout w:type="fixed"/>
        <w:tblLook w:val="04A0" w:firstRow="1" w:lastRow="0" w:firstColumn="1" w:lastColumn="0" w:noHBand="0" w:noVBand="1"/>
      </w:tblPr>
      <w:tblGrid>
        <w:gridCol w:w="1300"/>
        <w:gridCol w:w="2112"/>
        <w:gridCol w:w="1033"/>
        <w:gridCol w:w="1034"/>
        <w:gridCol w:w="1034"/>
        <w:gridCol w:w="1035"/>
        <w:gridCol w:w="1034"/>
        <w:gridCol w:w="1035"/>
        <w:gridCol w:w="1034"/>
        <w:gridCol w:w="1035"/>
        <w:gridCol w:w="1034"/>
        <w:gridCol w:w="1030"/>
        <w:gridCol w:w="50"/>
      </w:tblGrid>
      <w:tr w:rsidR="00F05B2B" w:rsidRPr="00506557" w14:paraId="3AC3587F" w14:textId="77777777">
        <w:trPr>
          <w:cnfStyle w:val="100000000000" w:firstRow="1" w:lastRow="0" w:firstColumn="0" w:lastColumn="0" w:oddVBand="0" w:evenVBand="0" w:oddHBand="0" w:evenHBand="0" w:firstRowFirstColumn="0" w:firstRowLastColumn="0" w:lastRowFirstColumn="0" w:lastRowLastColumn="0"/>
          <w:trHeight w:val="299"/>
        </w:trPr>
        <w:tc>
          <w:tcPr>
            <w:tcW w:w="1300" w:type="dxa"/>
            <w:noWrap/>
            <w:hideMark/>
          </w:tcPr>
          <w:p w14:paraId="587C831E"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Start</w:t>
            </w:r>
          </w:p>
        </w:tc>
        <w:tc>
          <w:tcPr>
            <w:tcW w:w="2112" w:type="dxa"/>
            <w:noWrap/>
            <w:hideMark/>
          </w:tcPr>
          <w:p w14:paraId="3BBEEF37"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Date</w:t>
            </w:r>
          </w:p>
        </w:tc>
        <w:tc>
          <w:tcPr>
            <w:tcW w:w="1033" w:type="dxa"/>
            <w:noWrap/>
            <w:hideMark/>
          </w:tcPr>
          <w:p w14:paraId="26EBE6A0"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01-Jul-24</w:t>
            </w:r>
          </w:p>
        </w:tc>
        <w:tc>
          <w:tcPr>
            <w:tcW w:w="1034" w:type="dxa"/>
            <w:noWrap/>
            <w:hideMark/>
          </w:tcPr>
          <w:p w14:paraId="42FB533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01-Jul-25</w:t>
            </w:r>
          </w:p>
        </w:tc>
        <w:tc>
          <w:tcPr>
            <w:tcW w:w="1034" w:type="dxa"/>
            <w:noWrap/>
            <w:hideMark/>
          </w:tcPr>
          <w:p w14:paraId="3EB3CBE1"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01-Jul-26</w:t>
            </w:r>
          </w:p>
        </w:tc>
        <w:tc>
          <w:tcPr>
            <w:tcW w:w="1035" w:type="dxa"/>
            <w:noWrap/>
            <w:hideMark/>
          </w:tcPr>
          <w:p w14:paraId="12A1565A"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01-Jul-27</w:t>
            </w:r>
          </w:p>
        </w:tc>
        <w:tc>
          <w:tcPr>
            <w:tcW w:w="1034" w:type="dxa"/>
            <w:noWrap/>
            <w:hideMark/>
          </w:tcPr>
          <w:p w14:paraId="527A657B"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01-Jul-28</w:t>
            </w:r>
          </w:p>
        </w:tc>
        <w:tc>
          <w:tcPr>
            <w:tcW w:w="1035" w:type="dxa"/>
            <w:noWrap/>
            <w:hideMark/>
          </w:tcPr>
          <w:p w14:paraId="3C93EEA9"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01-Jul-29</w:t>
            </w:r>
          </w:p>
        </w:tc>
        <w:tc>
          <w:tcPr>
            <w:tcW w:w="1034" w:type="dxa"/>
            <w:noWrap/>
            <w:hideMark/>
          </w:tcPr>
          <w:p w14:paraId="12378E1B"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01-Jul-30</w:t>
            </w:r>
          </w:p>
        </w:tc>
        <w:tc>
          <w:tcPr>
            <w:tcW w:w="1035" w:type="dxa"/>
            <w:noWrap/>
            <w:hideMark/>
          </w:tcPr>
          <w:p w14:paraId="78536AE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01-Jul-31</w:t>
            </w:r>
          </w:p>
        </w:tc>
        <w:tc>
          <w:tcPr>
            <w:tcW w:w="1034" w:type="dxa"/>
            <w:noWrap/>
            <w:hideMark/>
          </w:tcPr>
          <w:p w14:paraId="333A5DD1"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01-Jul-32</w:t>
            </w:r>
          </w:p>
        </w:tc>
        <w:tc>
          <w:tcPr>
            <w:tcW w:w="1080" w:type="dxa"/>
            <w:gridSpan w:val="2"/>
            <w:noWrap/>
            <w:hideMark/>
          </w:tcPr>
          <w:p w14:paraId="612DF2AA"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01-Jul-33</w:t>
            </w:r>
          </w:p>
        </w:tc>
      </w:tr>
      <w:tr w:rsidR="00F05B2B" w:rsidRPr="00506557" w14:paraId="4B0430EE" w14:textId="77777777">
        <w:trPr>
          <w:trHeight w:val="299"/>
        </w:trPr>
        <w:tc>
          <w:tcPr>
            <w:tcW w:w="1300" w:type="dxa"/>
            <w:noWrap/>
            <w:hideMark/>
          </w:tcPr>
          <w:p w14:paraId="7326D9D3"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Mid</w:t>
            </w:r>
          </w:p>
        </w:tc>
        <w:tc>
          <w:tcPr>
            <w:tcW w:w="2112" w:type="dxa"/>
            <w:noWrap/>
            <w:hideMark/>
          </w:tcPr>
          <w:p w14:paraId="347F5DC0"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Date</w:t>
            </w:r>
          </w:p>
        </w:tc>
        <w:tc>
          <w:tcPr>
            <w:tcW w:w="1033" w:type="dxa"/>
            <w:noWrap/>
            <w:hideMark/>
          </w:tcPr>
          <w:p w14:paraId="153C7062"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31-Dec-24</w:t>
            </w:r>
          </w:p>
        </w:tc>
        <w:tc>
          <w:tcPr>
            <w:tcW w:w="1034" w:type="dxa"/>
            <w:noWrap/>
            <w:hideMark/>
          </w:tcPr>
          <w:p w14:paraId="4AB02D1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31-Dec-25</w:t>
            </w:r>
          </w:p>
        </w:tc>
        <w:tc>
          <w:tcPr>
            <w:tcW w:w="1034" w:type="dxa"/>
            <w:noWrap/>
            <w:hideMark/>
          </w:tcPr>
          <w:p w14:paraId="63BE2B0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31-Dec-26</w:t>
            </w:r>
          </w:p>
        </w:tc>
        <w:tc>
          <w:tcPr>
            <w:tcW w:w="1035" w:type="dxa"/>
            <w:noWrap/>
            <w:hideMark/>
          </w:tcPr>
          <w:p w14:paraId="1186D3A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31-Dec-27</w:t>
            </w:r>
          </w:p>
        </w:tc>
        <w:tc>
          <w:tcPr>
            <w:tcW w:w="1034" w:type="dxa"/>
            <w:noWrap/>
            <w:hideMark/>
          </w:tcPr>
          <w:p w14:paraId="7C71F159"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31-Dec-28</w:t>
            </w:r>
          </w:p>
        </w:tc>
        <w:tc>
          <w:tcPr>
            <w:tcW w:w="1035" w:type="dxa"/>
            <w:noWrap/>
            <w:hideMark/>
          </w:tcPr>
          <w:p w14:paraId="3A44DB11"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31-Dec-29</w:t>
            </w:r>
          </w:p>
        </w:tc>
        <w:tc>
          <w:tcPr>
            <w:tcW w:w="1034" w:type="dxa"/>
            <w:noWrap/>
            <w:hideMark/>
          </w:tcPr>
          <w:p w14:paraId="7E94FF3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31-Dec-30</w:t>
            </w:r>
          </w:p>
        </w:tc>
        <w:tc>
          <w:tcPr>
            <w:tcW w:w="1035" w:type="dxa"/>
            <w:noWrap/>
            <w:hideMark/>
          </w:tcPr>
          <w:p w14:paraId="350F5A8A"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31-Dec-31</w:t>
            </w:r>
          </w:p>
        </w:tc>
        <w:tc>
          <w:tcPr>
            <w:tcW w:w="1034" w:type="dxa"/>
            <w:noWrap/>
            <w:hideMark/>
          </w:tcPr>
          <w:p w14:paraId="2911224C"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31-Dec-32</w:t>
            </w:r>
          </w:p>
        </w:tc>
        <w:tc>
          <w:tcPr>
            <w:tcW w:w="1080" w:type="dxa"/>
            <w:gridSpan w:val="2"/>
            <w:noWrap/>
            <w:hideMark/>
          </w:tcPr>
          <w:p w14:paraId="115D8000"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31-Dec-33</w:t>
            </w:r>
          </w:p>
        </w:tc>
      </w:tr>
      <w:tr w:rsidR="00F05B2B" w:rsidRPr="00506557" w14:paraId="530C10AB" w14:textId="77777777">
        <w:trPr>
          <w:trHeight w:val="299"/>
        </w:trPr>
        <w:tc>
          <w:tcPr>
            <w:tcW w:w="1300" w:type="dxa"/>
            <w:noWrap/>
            <w:hideMark/>
          </w:tcPr>
          <w:p w14:paraId="7AD5E563"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End</w:t>
            </w:r>
          </w:p>
        </w:tc>
        <w:tc>
          <w:tcPr>
            <w:tcW w:w="2112" w:type="dxa"/>
            <w:noWrap/>
            <w:hideMark/>
          </w:tcPr>
          <w:p w14:paraId="7ACDF961"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Date</w:t>
            </w:r>
          </w:p>
        </w:tc>
        <w:tc>
          <w:tcPr>
            <w:tcW w:w="1033" w:type="dxa"/>
            <w:noWrap/>
            <w:hideMark/>
          </w:tcPr>
          <w:p w14:paraId="4AE4E62A"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30-Jun-25</w:t>
            </w:r>
          </w:p>
        </w:tc>
        <w:tc>
          <w:tcPr>
            <w:tcW w:w="1034" w:type="dxa"/>
            <w:noWrap/>
            <w:hideMark/>
          </w:tcPr>
          <w:p w14:paraId="4A5EB0B3"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30-Jun-26</w:t>
            </w:r>
          </w:p>
        </w:tc>
        <w:tc>
          <w:tcPr>
            <w:tcW w:w="1034" w:type="dxa"/>
            <w:noWrap/>
            <w:hideMark/>
          </w:tcPr>
          <w:p w14:paraId="2DAD9BE5"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30-Jun-27</w:t>
            </w:r>
          </w:p>
        </w:tc>
        <w:tc>
          <w:tcPr>
            <w:tcW w:w="1035" w:type="dxa"/>
            <w:noWrap/>
            <w:hideMark/>
          </w:tcPr>
          <w:p w14:paraId="78426400"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30-Jun-28</w:t>
            </w:r>
          </w:p>
        </w:tc>
        <w:tc>
          <w:tcPr>
            <w:tcW w:w="1034" w:type="dxa"/>
            <w:noWrap/>
            <w:hideMark/>
          </w:tcPr>
          <w:p w14:paraId="26033C9A"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30-Jun-29</w:t>
            </w:r>
          </w:p>
        </w:tc>
        <w:tc>
          <w:tcPr>
            <w:tcW w:w="1035" w:type="dxa"/>
            <w:noWrap/>
            <w:hideMark/>
          </w:tcPr>
          <w:p w14:paraId="6538A94C"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30-Jun-30</w:t>
            </w:r>
          </w:p>
        </w:tc>
        <w:tc>
          <w:tcPr>
            <w:tcW w:w="1034" w:type="dxa"/>
            <w:noWrap/>
            <w:hideMark/>
          </w:tcPr>
          <w:p w14:paraId="49C3C225"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30-Jun-31</w:t>
            </w:r>
          </w:p>
        </w:tc>
        <w:tc>
          <w:tcPr>
            <w:tcW w:w="1035" w:type="dxa"/>
            <w:noWrap/>
            <w:hideMark/>
          </w:tcPr>
          <w:p w14:paraId="75FBD0BE"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30-Jun-32</w:t>
            </w:r>
          </w:p>
        </w:tc>
        <w:tc>
          <w:tcPr>
            <w:tcW w:w="1034" w:type="dxa"/>
            <w:noWrap/>
            <w:hideMark/>
          </w:tcPr>
          <w:p w14:paraId="5883F7EB"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30-Jun-33</w:t>
            </w:r>
          </w:p>
        </w:tc>
        <w:tc>
          <w:tcPr>
            <w:tcW w:w="1080" w:type="dxa"/>
            <w:gridSpan w:val="2"/>
            <w:noWrap/>
            <w:hideMark/>
          </w:tcPr>
          <w:p w14:paraId="59CAC59D"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30-Jun-34</w:t>
            </w:r>
          </w:p>
        </w:tc>
      </w:tr>
      <w:tr w:rsidR="00F05B2B" w:rsidRPr="00506557" w14:paraId="1EC49A28" w14:textId="77777777">
        <w:trPr>
          <w:trHeight w:val="299"/>
        </w:trPr>
        <w:tc>
          <w:tcPr>
            <w:tcW w:w="1300" w:type="dxa"/>
            <w:noWrap/>
            <w:hideMark/>
          </w:tcPr>
          <w:p w14:paraId="10E85AE6"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Period No.</w:t>
            </w:r>
          </w:p>
        </w:tc>
        <w:tc>
          <w:tcPr>
            <w:tcW w:w="2112" w:type="dxa"/>
            <w:noWrap/>
            <w:hideMark/>
          </w:tcPr>
          <w:p w14:paraId="3CF3D6D0"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w:t>
            </w:r>
          </w:p>
        </w:tc>
        <w:tc>
          <w:tcPr>
            <w:tcW w:w="1033" w:type="dxa"/>
            <w:noWrap/>
            <w:hideMark/>
          </w:tcPr>
          <w:p w14:paraId="7184B84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1</w:t>
            </w:r>
          </w:p>
        </w:tc>
        <w:tc>
          <w:tcPr>
            <w:tcW w:w="1034" w:type="dxa"/>
            <w:noWrap/>
            <w:hideMark/>
          </w:tcPr>
          <w:p w14:paraId="0B9FAB3C"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2</w:t>
            </w:r>
          </w:p>
        </w:tc>
        <w:tc>
          <w:tcPr>
            <w:tcW w:w="1034" w:type="dxa"/>
            <w:noWrap/>
            <w:hideMark/>
          </w:tcPr>
          <w:p w14:paraId="0778CC15"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3</w:t>
            </w:r>
          </w:p>
        </w:tc>
        <w:tc>
          <w:tcPr>
            <w:tcW w:w="1035" w:type="dxa"/>
            <w:noWrap/>
            <w:hideMark/>
          </w:tcPr>
          <w:p w14:paraId="4039E658"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4</w:t>
            </w:r>
          </w:p>
        </w:tc>
        <w:tc>
          <w:tcPr>
            <w:tcW w:w="1034" w:type="dxa"/>
            <w:noWrap/>
            <w:hideMark/>
          </w:tcPr>
          <w:p w14:paraId="084697F6"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5</w:t>
            </w:r>
          </w:p>
        </w:tc>
        <w:tc>
          <w:tcPr>
            <w:tcW w:w="1035" w:type="dxa"/>
            <w:noWrap/>
            <w:hideMark/>
          </w:tcPr>
          <w:p w14:paraId="1740719D"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6</w:t>
            </w:r>
          </w:p>
        </w:tc>
        <w:tc>
          <w:tcPr>
            <w:tcW w:w="1034" w:type="dxa"/>
            <w:noWrap/>
            <w:hideMark/>
          </w:tcPr>
          <w:p w14:paraId="1E53652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7</w:t>
            </w:r>
          </w:p>
        </w:tc>
        <w:tc>
          <w:tcPr>
            <w:tcW w:w="1035" w:type="dxa"/>
            <w:noWrap/>
            <w:hideMark/>
          </w:tcPr>
          <w:p w14:paraId="005D8B0E"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8</w:t>
            </w:r>
          </w:p>
        </w:tc>
        <w:tc>
          <w:tcPr>
            <w:tcW w:w="1034" w:type="dxa"/>
            <w:noWrap/>
            <w:hideMark/>
          </w:tcPr>
          <w:p w14:paraId="1FAC366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9</w:t>
            </w:r>
          </w:p>
        </w:tc>
        <w:tc>
          <w:tcPr>
            <w:tcW w:w="1080" w:type="dxa"/>
            <w:gridSpan w:val="2"/>
            <w:noWrap/>
            <w:hideMark/>
          </w:tcPr>
          <w:p w14:paraId="2CB10975"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10</w:t>
            </w:r>
          </w:p>
        </w:tc>
      </w:tr>
      <w:tr w:rsidR="00F05B2B" w:rsidRPr="00506557" w14:paraId="06BEDD64" w14:textId="77777777">
        <w:trPr>
          <w:trHeight w:val="299"/>
        </w:trPr>
        <w:tc>
          <w:tcPr>
            <w:tcW w:w="1300" w:type="dxa"/>
            <w:noWrap/>
            <w:hideMark/>
          </w:tcPr>
          <w:p w14:paraId="775AC366"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Days in Year</w:t>
            </w:r>
          </w:p>
        </w:tc>
        <w:tc>
          <w:tcPr>
            <w:tcW w:w="2112" w:type="dxa"/>
            <w:noWrap/>
            <w:hideMark/>
          </w:tcPr>
          <w:p w14:paraId="70071C35"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w:t>
            </w:r>
          </w:p>
        </w:tc>
        <w:tc>
          <w:tcPr>
            <w:tcW w:w="1033" w:type="dxa"/>
            <w:noWrap/>
            <w:hideMark/>
          </w:tcPr>
          <w:p w14:paraId="5BD21CB5"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4" w:type="dxa"/>
            <w:noWrap/>
            <w:hideMark/>
          </w:tcPr>
          <w:p w14:paraId="26A4248C"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4" w:type="dxa"/>
            <w:noWrap/>
            <w:hideMark/>
          </w:tcPr>
          <w:p w14:paraId="021ACBB5"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5" w:type="dxa"/>
            <w:noWrap/>
            <w:hideMark/>
          </w:tcPr>
          <w:p w14:paraId="59057EB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366 </w:t>
            </w:r>
          </w:p>
        </w:tc>
        <w:tc>
          <w:tcPr>
            <w:tcW w:w="1034" w:type="dxa"/>
            <w:noWrap/>
            <w:hideMark/>
          </w:tcPr>
          <w:p w14:paraId="42DC54BC"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5" w:type="dxa"/>
            <w:noWrap/>
            <w:hideMark/>
          </w:tcPr>
          <w:p w14:paraId="19AB77A2"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4" w:type="dxa"/>
            <w:noWrap/>
            <w:hideMark/>
          </w:tcPr>
          <w:p w14:paraId="6219325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365 </w:t>
            </w:r>
          </w:p>
        </w:tc>
        <w:tc>
          <w:tcPr>
            <w:tcW w:w="1035" w:type="dxa"/>
            <w:noWrap/>
            <w:hideMark/>
          </w:tcPr>
          <w:p w14:paraId="7BACAE5B"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366 </w:t>
            </w:r>
          </w:p>
        </w:tc>
        <w:tc>
          <w:tcPr>
            <w:tcW w:w="1034" w:type="dxa"/>
            <w:noWrap/>
            <w:hideMark/>
          </w:tcPr>
          <w:p w14:paraId="2AA9E43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365 </w:t>
            </w:r>
          </w:p>
        </w:tc>
        <w:tc>
          <w:tcPr>
            <w:tcW w:w="1080" w:type="dxa"/>
            <w:gridSpan w:val="2"/>
            <w:noWrap/>
            <w:hideMark/>
          </w:tcPr>
          <w:p w14:paraId="52A45E3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365 </w:t>
            </w:r>
          </w:p>
        </w:tc>
      </w:tr>
      <w:tr w:rsidR="00F05B2B" w:rsidRPr="00506557" w14:paraId="79E13B1D" w14:textId="77777777">
        <w:trPr>
          <w:gridAfter w:val="1"/>
          <w:wAfter w:w="50" w:type="dxa"/>
          <w:trHeight w:val="299"/>
        </w:trPr>
        <w:tc>
          <w:tcPr>
            <w:tcW w:w="1300" w:type="dxa"/>
            <w:noWrap/>
            <w:hideMark/>
          </w:tcPr>
          <w:p w14:paraId="633FF967"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Financial Year</w:t>
            </w:r>
          </w:p>
        </w:tc>
        <w:tc>
          <w:tcPr>
            <w:tcW w:w="2112" w:type="dxa"/>
            <w:noWrap/>
            <w:hideMark/>
          </w:tcPr>
          <w:p w14:paraId="284FC77A"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FY</w:t>
            </w:r>
          </w:p>
        </w:tc>
        <w:tc>
          <w:tcPr>
            <w:tcW w:w="1033" w:type="dxa"/>
            <w:noWrap/>
            <w:hideMark/>
          </w:tcPr>
          <w:p w14:paraId="17A44BBE"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2025 </w:t>
            </w:r>
          </w:p>
        </w:tc>
        <w:tc>
          <w:tcPr>
            <w:tcW w:w="1034" w:type="dxa"/>
            <w:noWrap/>
            <w:hideMark/>
          </w:tcPr>
          <w:p w14:paraId="14FA8940"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2026 </w:t>
            </w:r>
          </w:p>
        </w:tc>
        <w:tc>
          <w:tcPr>
            <w:tcW w:w="1034" w:type="dxa"/>
            <w:noWrap/>
            <w:hideMark/>
          </w:tcPr>
          <w:p w14:paraId="6A700BD4"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2027 </w:t>
            </w:r>
          </w:p>
        </w:tc>
        <w:tc>
          <w:tcPr>
            <w:tcW w:w="1035" w:type="dxa"/>
            <w:noWrap/>
            <w:hideMark/>
          </w:tcPr>
          <w:p w14:paraId="6782AAF7"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2028 </w:t>
            </w:r>
          </w:p>
        </w:tc>
        <w:tc>
          <w:tcPr>
            <w:tcW w:w="1034" w:type="dxa"/>
            <w:noWrap/>
            <w:hideMark/>
          </w:tcPr>
          <w:p w14:paraId="1AE5B59A"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2029 </w:t>
            </w:r>
          </w:p>
        </w:tc>
        <w:tc>
          <w:tcPr>
            <w:tcW w:w="1035" w:type="dxa"/>
            <w:noWrap/>
            <w:hideMark/>
          </w:tcPr>
          <w:p w14:paraId="79748FB0"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2030 </w:t>
            </w:r>
          </w:p>
        </w:tc>
        <w:tc>
          <w:tcPr>
            <w:tcW w:w="1034" w:type="dxa"/>
            <w:noWrap/>
            <w:hideMark/>
          </w:tcPr>
          <w:p w14:paraId="07B93C5E"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2031 </w:t>
            </w:r>
          </w:p>
        </w:tc>
        <w:tc>
          <w:tcPr>
            <w:tcW w:w="1035" w:type="dxa"/>
            <w:noWrap/>
            <w:hideMark/>
          </w:tcPr>
          <w:p w14:paraId="684D8523"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 </w:t>
            </w:r>
            <w:r>
              <w:rPr>
                <w:rFonts w:eastAsia="Times New Roman" w:cs="Calibri Light"/>
                <w:color w:val="000000"/>
                <w:szCs w:val="20"/>
                <w:lang w:eastAsia="en-AU"/>
              </w:rPr>
              <w:t>2</w:t>
            </w:r>
            <w:r w:rsidRPr="00506557">
              <w:rPr>
                <w:rFonts w:eastAsia="Times New Roman" w:cs="Calibri Light"/>
                <w:color w:val="000000"/>
                <w:szCs w:val="20"/>
                <w:lang w:eastAsia="en-AU"/>
              </w:rPr>
              <w:t xml:space="preserve">032 </w:t>
            </w:r>
          </w:p>
        </w:tc>
        <w:tc>
          <w:tcPr>
            <w:tcW w:w="1034" w:type="dxa"/>
            <w:noWrap/>
            <w:hideMark/>
          </w:tcPr>
          <w:p w14:paraId="00F98941"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2033 </w:t>
            </w:r>
          </w:p>
        </w:tc>
        <w:tc>
          <w:tcPr>
            <w:tcW w:w="1030" w:type="dxa"/>
            <w:noWrap/>
            <w:hideMark/>
          </w:tcPr>
          <w:p w14:paraId="0013278F" w14:textId="77777777" w:rsidR="00F05B2B" w:rsidRPr="00506557" w:rsidRDefault="00F05B2B">
            <w:pPr>
              <w:spacing w:line="240" w:lineRule="auto"/>
              <w:jc w:val="right"/>
              <w:rPr>
                <w:rFonts w:eastAsia="Times New Roman" w:cs="Calibri Light"/>
                <w:color w:val="000000"/>
                <w:szCs w:val="20"/>
                <w:lang w:eastAsia="en-AU"/>
              </w:rPr>
            </w:pPr>
            <w:r w:rsidRPr="00506557">
              <w:rPr>
                <w:rFonts w:eastAsia="Times New Roman" w:cs="Calibri Light"/>
                <w:color w:val="000000"/>
                <w:szCs w:val="20"/>
                <w:lang w:eastAsia="en-AU"/>
              </w:rPr>
              <w:t xml:space="preserve">2034 </w:t>
            </w:r>
          </w:p>
        </w:tc>
      </w:tr>
      <w:tr w:rsidR="00F05B2B" w:rsidRPr="00506557" w14:paraId="7CD3294F" w14:textId="77777777">
        <w:trPr>
          <w:gridAfter w:val="1"/>
          <w:wAfter w:w="50" w:type="dxa"/>
          <w:trHeight w:val="299"/>
        </w:trPr>
        <w:tc>
          <w:tcPr>
            <w:tcW w:w="3412" w:type="dxa"/>
            <w:gridSpan w:val="2"/>
            <w:shd w:val="clear" w:color="auto" w:fill="F2F2F2" w:themeFill="background1" w:themeFillShade="F2"/>
            <w:noWrap/>
            <w:hideMark/>
          </w:tcPr>
          <w:p w14:paraId="03A8A226" w14:textId="7D3E611F" w:rsidR="00F05B2B" w:rsidRPr="00506557" w:rsidRDefault="00F05B2B" w:rsidP="00291449">
            <w:pPr>
              <w:spacing w:line="240" w:lineRule="auto"/>
              <w:rPr>
                <w:rFonts w:eastAsia="Times New Roman" w:cs="Calibri Light"/>
                <w:color w:val="000000"/>
                <w:szCs w:val="20"/>
                <w:lang w:eastAsia="en-AU"/>
              </w:rPr>
            </w:pPr>
            <w:r>
              <w:rPr>
                <w:rFonts w:eastAsia="Times New Roman" w:cs="Calibri Light"/>
                <w:b/>
                <w:bCs/>
                <w:color w:val="000000"/>
                <w:szCs w:val="20"/>
                <w:lang w:eastAsia="en-AU"/>
              </w:rPr>
              <w:t xml:space="preserve">National and </w:t>
            </w:r>
            <w:r w:rsidR="009D65B6">
              <w:rPr>
                <w:rFonts w:eastAsia="Times New Roman" w:cs="Calibri Light"/>
                <w:b/>
                <w:bCs/>
                <w:color w:val="000000"/>
                <w:szCs w:val="20"/>
                <w:lang w:eastAsia="en-AU"/>
              </w:rPr>
              <w:t>Jurisdictional Registration</w:t>
            </w:r>
          </w:p>
        </w:tc>
        <w:tc>
          <w:tcPr>
            <w:tcW w:w="1033" w:type="dxa"/>
            <w:shd w:val="clear" w:color="auto" w:fill="F2F2F2" w:themeFill="background1" w:themeFillShade="F2"/>
            <w:noWrap/>
            <w:hideMark/>
          </w:tcPr>
          <w:p w14:paraId="776134DD"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6735F0CD"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1B63E5AE"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5" w:type="dxa"/>
            <w:shd w:val="clear" w:color="auto" w:fill="F2F2F2" w:themeFill="background1" w:themeFillShade="F2"/>
            <w:noWrap/>
            <w:hideMark/>
          </w:tcPr>
          <w:p w14:paraId="626F0BB1"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59206A14"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5" w:type="dxa"/>
            <w:shd w:val="clear" w:color="auto" w:fill="F2F2F2" w:themeFill="background1" w:themeFillShade="F2"/>
            <w:noWrap/>
            <w:hideMark/>
          </w:tcPr>
          <w:p w14:paraId="4B9266DE"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4A81382D"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5" w:type="dxa"/>
            <w:shd w:val="clear" w:color="auto" w:fill="F2F2F2" w:themeFill="background1" w:themeFillShade="F2"/>
            <w:noWrap/>
            <w:hideMark/>
          </w:tcPr>
          <w:p w14:paraId="5A54F4E8"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4" w:type="dxa"/>
            <w:shd w:val="clear" w:color="auto" w:fill="F2F2F2" w:themeFill="background1" w:themeFillShade="F2"/>
            <w:noWrap/>
            <w:hideMark/>
          </w:tcPr>
          <w:p w14:paraId="08444AF7"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c>
          <w:tcPr>
            <w:tcW w:w="1030" w:type="dxa"/>
            <w:shd w:val="clear" w:color="auto" w:fill="F2F2F2" w:themeFill="background1" w:themeFillShade="F2"/>
            <w:noWrap/>
            <w:hideMark/>
          </w:tcPr>
          <w:p w14:paraId="3EFCA1AC" w14:textId="77777777" w:rsidR="00F05B2B" w:rsidRPr="00506557" w:rsidRDefault="00F05B2B">
            <w:pPr>
              <w:spacing w:line="240" w:lineRule="auto"/>
              <w:rPr>
                <w:rFonts w:eastAsia="Times New Roman" w:cs="Calibri Light"/>
                <w:color w:val="000000"/>
                <w:szCs w:val="20"/>
                <w:lang w:eastAsia="en-AU"/>
              </w:rPr>
            </w:pPr>
            <w:r w:rsidRPr="00506557">
              <w:rPr>
                <w:rFonts w:eastAsia="Times New Roman" w:cs="Calibri Light"/>
                <w:color w:val="000000"/>
                <w:szCs w:val="20"/>
                <w:lang w:eastAsia="en-AU"/>
              </w:rPr>
              <w:t> </w:t>
            </w:r>
          </w:p>
        </w:tc>
      </w:tr>
      <w:tr w:rsidR="00F05B2B" w:rsidRPr="00506557" w14:paraId="361DAD52" w14:textId="77777777" w:rsidTr="00B17E93">
        <w:trPr>
          <w:gridAfter w:val="1"/>
          <w:wAfter w:w="50" w:type="dxa"/>
          <w:trHeight w:val="299"/>
        </w:trPr>
        <w:tc>
          <w:tcPr>
            <w:tcW w:w="3412" w:type="dxa"/>
            <w:gridSpan w:val="2"/>
            <w:noWrap/>
            <w:hideMark/>
          </w:tcPr>
          <w:p w14:paraId="4BE4B622" w14:textId="07B934D3" w:rsidR="00F05B2B" w:rsidRPr="00506557" w:rsidRDefault="00FF66EC">
            <w:pPr>
              <w:spacing w:line="240" w:lineRule="auto"/>
              <w:rPr>
                <w:rFonts w:eastAsia="Times New Roman" w:cs="Calibri Light"/>
                <w:b/>
                <w:bCs/>
                <w:color w:val="000000"/>
                <w:szCs w:val="20"/>
                <w:lang w:eastAsia="en-AU"/>
              </w:rPr>
            </w:pPr>
            <w:r>
              <w:rPr>
                <w:rFonts w:eastAsia="Times New Roman" w:cs="Calibri Light"/>
                <w:b/>
                <w:bCs/>
                <w:color w:val="000000"/>
                <w:szCs w:val="20"/>
                <w:lang w:eastAsia="en-AU"/>
              </w:rPr>
              <w:t>Total workforce</w:t>
            </w:r>
          </w:p>
        </w:tc>
        <w:tc>
          <w:tcPr>
            <w:tcW w:w="1033" w:type="dxa"/>
            <w:noWrap/>
          </w:tcPr>
          <w:p w14:paraId="202C08B3" w14:textId="4309B768" w:rsidR="00F05B2B" w:rsidRPr="00506557" w:rsidRDefault="00F05B2B">
            <w:pPr>
              <w:spacing w:line="240" w:lineRule="auto"/>
              <w:jc w:val="right"/>
              <w:rPr>
                <w:rFonts w:eastAsia="Times New Roman" w:cs="Calibri Light"/>
                <w:b/>
                <w:bCs/>
                <w:color w:val="000000"/>
                <w:szCs w:val="20"/>
                <w:lang w:eastAsia="en-AU"/>
              </w:rPr>
            </w:pPr>
          </w:p>
        </w:tc>
        <w:tc>
          <w:tcPr>
            <w:tcW w:w="1034" w:type="dxa"/>
            <w:noWrap/>
          </w:tcPr>
          <w:p w14:paraId="54568667" w14:textId="18EFCFF5" w:rsidR="00F05B2B" w:rsidRPr="00506557" w:rsidRDefault="00F05B2B">
            <w:pPr>
              <w:spacing w:line="240" w:lineRule="auto"/>
              <w:jc w:val="right"/>
              <w:rPr>
                <w:rFonts w:eastAsia="Times New Roman" w:cs="Calibri Light"/>
                <w:b/>
                <w:bCs/>
                <w:color w:val="000000"/>
                <w:szCs w:val="20"/>
                <w:lang w:eastAsia="en-AU"/>
              </w:rPr>
            </w:pPr>
          </w:p>
        </w:tc>
        <w:tc>
          <w:tcPr>
            <w:tcW w:w="1034" w:type="dxa"/>
            <w:noWrap/>
          </w:tcPr>
          <w:p w14:paraId="166F1348" w14:textId="7B8ADA90" w:rsidR="00F05B2B" w:rsidRPr="00506557" w:rsidRDefault="00F05B2B">
            <w:pPr>
              <w:spacing w:line="240" w:lineRule="auto"/>
              <w:jc w:val="right"/>
              <w:rPr>
                <w:rFonts w:eastAsia="Times New Roman" w:cs="Calibri Light"/>
                <w:b/>
                <w:bCs/>
                <w:color w:val="000000"/>
                <w:szCs w:val="20"/>
                <w:lang w:eastAsia="en-AU"/>
              </w:rPr>
            </w:pPr>
          </w:p>
        </w:tc>
        <w:tc>
          <w:tcPr>
            <w:tcW w:w="1035" w:type="dxa"/>
            <w:noWrap/>
          </w:tcPr>
          <w:p w14:paraId="3E438048" w14:textId="58316F62" w:rsidR="00F05B2B" w:rsidRPr="00506557" w:rsidRDefault="00F05B2B">
            <w:pPr>
              <w:spacing w:line="240" w:lineRule="auto"/>
              <w:jc w:val="right"/>
              <w:rPr>
                <w:rFonts w:eastAsia="Times New Roman" w:cs="Calibri Light"/>
                <w:b/>
                <w:bCs/>
                <w:color w:val="000000"/>
                <w:szCs w:val="20"/>
                <w:lang w:eastAsia="en-AU"/>
              </w:rPr>
            </w:pPr>
          </w:p>
        </w:tc>
        <w:tc>
          <w:tcPr>
            <w:tcW w:w="1034" w:type="dxa"/>
            <w:noWrap/>
          </w:tcPr>
          <w:p w14:paraId="3E9D1CCD" w14:textId="230A2B72" w:rsidR="00F05B2B" w:rsidRPr="00506557" w:rsidRDefault="00F05B2B">
            <w:pPr>
              <w:spacing w:line="240" w:lineRule="auto"/>
              <w:jc w:val="right"/>
              <w:rPr>
                <w:rFonts w:eastAsia="Times New Roman" w:cs="Calibri Light"/>
                <w:b/>
                <w:bCs/>
                <w:color w:val="000000"/>
                <w:szCs w:val="20"/>
                <w:lang w:eastAsia="en-AU"/>
              </w:rPr>
            </w:pPr>
          </w:p>
        </w:tc>
        <w:tc>
          <w:tcPr>
            <w:tcW w:w="1035" w:type="dxa"/>
            <w:noWrap/>
          </w:tcPr>
          <w:p w14:paraId="2C66CBBA" w14:textId="3078BD7D" w:rsidR="00F05B2B" w:rsidRPr="00506557" w:rsidRDefault="00F05B2B">
            <w:pPr>
              <w:spacing w:line="240" w:lineRule="auto"/>
              <w:jc w:val="right"/>
              <w:rPr>
                <w:rFonts w:eastAsia="Times New Roman" w:cs="Calibri Light"/>
                <w:b/>
                <w:bCs/>
                <w:color w:val="000000"/>
                <w:szCs w:val="20"/>
                <w:lang w:eastAsia="en-AU"/>
              </w:rPr>
            </w:pPr>
          </w:p>
        </w:tc>
        <w:tc>
          <w:tcPr>
            <w:tcW w:w="1034" w:type="dxa"/>
            <w:noWrap/>
          </w:tcPr>
          <w:p w14:paraId="7EA25D95" w14:textId="09698750" w:rsidR="00F05B2B" w:rsidRPr="00506557" w:rsidRDefault="00F05B2B">
            <w:pPr>
              <w:spacing w:line="240" w:lineRule="auto"/>
              <w:jc w:val="right"/>
              <w:rPr>
                <w:rFonts w:eastAsia="Times New Roman" w:cs="Calibri Light"/>
                <w:b/>
                <w:bCs/>
                <w:color w:val="000000"/>
                <w:szCs w:val="20"/>
                <w:lang w:eastAsia="en-AU"/>
              </w:rPr>
            </w:pPr>
          </w:p>
        </w:tc>
        <w:tc>
          <w:tcPr>
            <w:tcW w:w="1035" w:type="dxa"/>
            <w:noWrap/>
          </w:tcPr>
          <w:p w14:paraId="35ED141E" w14:textId="0A08A9DF" w:rsidR="00F05B2B" w:rsidRPr="00506557" w:rsidRDefault="00F05B2B">
            <w:pPr>
              <w:spacing w:line="240" w:lineRule="auto"/>
              <w:jc w:val="right"/>
              <w:rPr>
                <w:rFonts w:eastAsia="Times New Roman" w:cs="Calibri Light"/>
                <w:b/>
                <w:bCs/>
                <w:color w:val="000000"/>
                <w:szCs w:val="20"/>
                <w:lang w:eastAsia="en-AU"/>
              </w:rPr>
            </w:pPr>
          </w:p>
        </w:tc>
        <w:tc>
          <w:tcPr>
            <w:tcW w:w="1034" w:type="dxa"/>
            <w:noWrap/>
          </w:tcPr>
          <w:p w14:paraId="63298775" w14:textId="2EF1B710" w:rsidR="00F05B2B" w:rsidRPr="00506557" w:rsidRDefault="00F05B2B">
            <w:pPr>
              <w:spacing w:line="240" w:lineRule="auto"/>
              <w:jc w:val="right"/>
              <w:rPr>
                <w:rFonts w:eastAsia="Times New Roman" w:cs="Calibri Light"/>
                <w:b/>
                <w:bCs/>
                <w:color w:val="000000"/>
                <w:szCs w:val="20"/>
                <w:lang w:eastAsia="en-AU"/>
              </w:rPr>
            </w:pPr>
          </w:p>
        </w:tc>
        <w:tc>
          <w:tcPr>
            <w:tcW w:w="1030" w:type="dxa"/>
            <w:noWrap/>
          </w:tcPr>
          <w:p w14:paraId="4B3E750F" w14:textId="3B43B133" w:rsidR="00F05B2B" w:rsidRPr="00506557" w:rsidRDefault="00F05B2B">
            <w:pPr>
              <w:spacing w:line="240" w:lineRule="auto"/>
              <w:jc w:val="right"/>
              <w:rPr>
                <w:rFonts w:eastAsia="Times New Roman" w:cs="Calibri Light"/>
                <w:b/>
                <w:bCs/>
                <w:color w:val="000000"/>
                <w:szCs w:val="20"/>
                <w:lang w:eastAsia="en-AU"/>
              </w:rPr>
            </w:pPr>
          </w:p>
        </w:tc>
      </w:tr>
      <w:tr w:rsidR="007441B8" w:rsidRPr="00506557" w14:paraId="6B5BC32B" w14:textId="77777777" w:rsidTr="00EE3AA4">
        <w:trPr>
          <w:trHeight w:val="299"/>
        </w:trPr>
        <w:tc>
          <w:tcPr>
            <w:tcW w:w="0" w:type="dxa"/>
            <w:gridSpan w:val="2"/>
            <w:noWrap/>
            <w:vAlign w:val="center"/>
          </w:tcPr>
          <w:p w14:paraId="2B8EF9B5" w14:textId="4665587C" w:rsidR="007441B8" w:rsidRPr="003F3DFF" w:rsidRDefault="007441B8" w:rsidP="00291449">
            <w:pPr>
              <w:spacing w:line="240" w:lineRule="auto"/>
              <w:rPr>
                <w:rFonts w:eastAsia="Times New Roman" w:cs="Calibri Light"/>
                <w:color w:val="000000"/>
                <w:szCs w:val="20"/>
                <w:lang w:eastAsia="en-AU"/>
              </w:rPr>
            </w:pPr>
            <w:r w:rsidRPr="00FA2DFC">
              <w:t>Total number of practising audiologists</w:t>
            </w:r>
          </w:p>
        </w:tc>
        <w:tc>
          <w:tcPr>
            <w:tcW w:w="0" w:type="dxa"/>
            <w:noWrap/>
            <w:vAlign w:val="center"/>
          </w:tcPr>
          <w:p w14:paraId="270E6335" w14:textId="1B770E34" w:rsidR="007441B8" w:rsidRPr="003F3DFF" w:rsidRDefault="007441B8" w:rsidP="00741FA6">
            <w:pPr>
              <w:spacing w:line="240" w:lineRule="auto"/>
              <w:jc w:val="right"/>
              <w:rPr>
                <w:rFonts w:eastAsia="Times New Roman" w:cs="Calibri Light"/>
                <w:color w:val="000000"/>
                <w:szCs w:val="20"/>
                <w:lang w:eastAsia="en-AU"/>
              </w:rPr>
            </w:pPr>
            <w:r w:rsidRPr="002A41CD">
              <w:t xml:space="preserve">3,850 </w:t>
            </w:r>
          </w:p>
        </w:tc>
        <w:tc>
          <w:tcPr>
            <w:tcW w:w="0" w:type="dxa"/>
            <w:noWrap/>
            <w:vAlign w:val="center"/>
          </w:tcPr>
          <w:p w14:paraId="6E00A28C" w14:textId="4CCEE482"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2968BAD7" w14:textId="3ACC5B14"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31D485D3" w14:textId="7373C152"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411EC093" w14:textId="3A1C86FF"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53CEA7D6" w14:textId="1BB99882"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3A098DD1" w14:textId="23CD72CB"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1B9252EF" w14:textId="2DEACD29"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578463A7" w14:textId="02951F9F" w:rsidR="007441B8" w:rsidRPr="003F3DFF" w:rsidRDefault="007441B8" w:rsidP="00741FA6">
            <w:pPr>
              <w:spacing w:line="240" w:lineRule="auto"/>
              <w:jc w:val="right"/>
              <w:rPr>
                <w:rFonts w:eastAsia="Times New Roman" w:cs="Calibri Light"/>
                <w:color w:val="000000"/>
                <w:szCs w:val="20"/>
                <w:lang w:eastAsia="en-AU"/>
              </w:rPr>
            </w:pPr>
          </w:p>
        </w:tc>
        <w:tc>
          <w:tcPr>
            <w:tcW w:w="0" w:type="dxa"/>
            <w:gridSpan w:val="2"/>
            <w:noWrap/>
            <w:vAlign w:val="center"/>
          </w:tcPr>
          <w:p w14:paraId="0CEFECCA" w14:textId="66CDDC9B" w:rsidR="007441B8" w:rsidRPr="003F3DFF" w:rsidRDefault="007441B8" w:rsidP="00741FA6">
            <w:pPr>
              <w:spacing w:line="240" w:lineRule="auto"/>
              <w:jc w:val="right"/>
              <w:rPr>
                <w:rFonts w:eastAsia="Times New Roman" w:cs="Calibri Light"/>
                <w:color w:val="000000"/>
                <w:szCs w:val="20"/>
                <w:lang w:eastAsia="en-AU"/>
              </w:rPr>
            </w:pPr>
          </w:p>
        </w:tc>
      </w:tr>
      <w:tr w:rsidR="007441B8" w:rsidRPr="00506557" w14:paraId="3A136032" w14:textId="77777777" w:rsidTr="00EE3AA4">
        <w:trPr>
          <w:trHeight w:val="299"/>
        </w:trPr>
        <w:tc>
          <w:tcPr>
            <w:tcW w:w="0" w:type="dxa"/>
            <w:gridSpan w:val="2"/>
            <w:noWrap/>
            <w:vAlign w:val="center"/>
          </w:tcPr>
          <w:p w14:paraId="3A5B34E5" w14:textId="509EEAAD" w:rsidR="007441B8" w:rsidRPr="003F3DFF" w:rsidRDefault="00E8548E" w:rsidP="00291449">
            <w:pPr>
              <w:spacing w:line="240" w:lineRule="auto"/>
              <w:rPr>
                <w:rFonts w:eastAsia="Times New Roman" w:cs="Calibri Light"/>
                <w:color w:val="000000"/>
                <w:szCs w:val="20"/>
                <w:lang w:eastAsia="en-AU"/>
              </w:rPr>
            </w:pPr>
            <w:r>
              <w:t>Will</w:t>
            </w:r>
            <w:r w:rsidR="007441B8" w:rsidRPr="00FA2DFC">
              <w:t xml:space="preserve"> not register</w:t>
            </w:r>
          </w:p>
        </w:tc>
        <w:tc>
          <w:tcPr>
            <w:tcW w:w="0" w:type="dxa"/>
            <w:noWrap/>
            <w:vAlign w:val="center"/>
          </w:tcPr>
          <w:p w14:paraId="5808FACC" w14:textId="41688EE6" w:rsidR="007441B8" w:rsidRPr="003F3DFF" w:rsidRDefault="007441B8" w:rsidP="00741FA6">
            <w:pPr>
              <w:spacing w:line="240" w:lineRule="auto"/>
              <w:jc w:val="right"/>
              <w:rPr>
                <w:rFonts w:eastAsia="Times New Roman" w:cs="Calibri Light"/>
                <w:color w:val="000000"/>
                <w:szCs w:val="20"/>
                <w:lang w:eastAsia="en-AU"/>
              </w:rPr>
            </w:pPr>
            <w:r w:rsidRPr="002A41CD">
              <w:t xml:space="preserve">105 </w:t>
            </w:r>
          </w:p>
        </w:tc>
        <w:tc>
          <w:tcPr>
            <w:tcW w:w="0" w:type="dxa"/>
            <w:noWrap/>
            <w:vAlign w:val="center"/>
          </w:tcPr>
          <w:p w14:paraId="6B8A5A7E" w14:textId="598CD918"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35BE93AD" w14:textId="585BEC80"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6B343015" w14:textId="268F0913"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4C258678" w14:textId="3C626A26"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56A498B6" w14:textId="4EC37B6A"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03836646" w14:textId="758A1E90"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62F72AF9" w14:textId="6F5A4807" w:rsidR="007441B8" w:rsidRPr="003F3DFF" w:rsidRDefault="007441B8" w:rsidP="00741FA6">
            <w:pPr>
              <w:spacing w:line="240" w:lineRule="auto"/>
              <w:jc w:val="right"/>
              <w:rPr>
                <w:rFonts w:eastAsia="Times New Roman" w:cs="Calibri Light"/>
                <w:color w:val="000000"/>
                <w:szCs w:val="20"/>
                <w:lang w:eastAsia="en-AU"/>
              </w:rPr>
            </w:pPr>
          </w:p>
        </w:tc>
        <w:tc>
          <w:tcPr>
            <w:tcW w:w="0" w:type="dxa"/>
            <w:noWrap/>
            <w:vAlign w:val="center"/>
          </w:tcPr>
          <w:p w14:paraId="3F387E5B" w14:textId="6F7ED264" w:rsidR="007441B8" w:rsidRPr="003F3DFF" w:rsidRDefault="007441B8" w:rsidP="00741FA6">
            <w:pPr>
              <w:spacing w:line="240" w:lineRule="auto"/>
              <w:jc w:val="right"/>
              <w:rPr>
                <w:rFonts w:eastAsia="Times New Roman" w:cs="Calibri Light"/>
                <w:color w:val="000000"/>
                <w:szCs w:val="20"/>
                <w:lang w:eastAsia="en-AU"/>
              </w:rPr>
            </w:pPr>
          </w:p>
        </w:tc>
        <w:tc>
          <w:tcPr>
            <w:tcW w:w="0" w:type="dxa"/>
            <w:gridSpan w:val="2"/>
            <w:noWrap/>
            <w:vAlign w:val="center"/>
          </w:tcPr>
          <w:p w14:paraId="7554321C" w14:textId="6B95DE52" w:rsidR="007441B8" w:rsidRPr="003F3DFF" w:rsidRDefault="007441B8" w:rsidP="00741FA6">
            <w:pPr>
              <w:spacing w:line="240" w:lineRule="auto"/>
              <w:jc w:val="right"/>
              <w:rPr>
                <w:rFonts w:eastAsia="Times New Roman" w:cs="Calibri Light"/>
                <w:color w:val="000000"/>
                <w:szCs w:val="20"/>
                <w:lang w:eastAsia="en-AU"/>
              </w:rPr>
            </w:pPr>
          </w:p>
        </w:tc>
      </w:tr>
      <w:tr w:rsidR="007441B8" w:rsidRPr="00506557" w14:paraId="59B865F9" w14:textId="77777777" w:rsidTr="00EE3AA4">
        <w:trPr>
          <w:trHeight w:val="299"/>
        </w:trPr>
        <w:tc>
          <w:tcPr>
            <w:tcW w:w="0" w:type="dxa"/>
            <w:gridSpan w:val="2"/>
            <w:noWrap/>
            <w:vAlign w:val="center"/>
          </w:tcPr>
          <w:p w14:paraId="145E3A1B" w14:textId="5E4731D8" w:rsidR="007441B8" w:rsidRPr="00EE3AA4" w:rsidRDefault="007441B8" w:rsidP="00291449">
            <w:pPr>
              <w:spacing w:line="240" w:lineRule="auto"/>
              <w:rPr>
                <w:rFonts w:eastAsia="Times New Roman" w:cs="Calibri Light"/>
                <w:b/>
                <w:bCs/>
                <w:color w:val="000000"/>
                <w:szCs w:val="20"/>
                <w:lang w:eastAsia="en-AU"/>
              </w:rPr>
            </w:pPr>
            <w:r w:rsidRPr="00EE3AA4">
              <w:rPr>
                <w:b/>
                <w:bCs/>
              </w:rPr>
              <w:t>Total number of practising audiologists - remaining</w:t>
            </w:r>
          </w:p>
        </w:tc>
        <w:tc>
          <w:tcPr>
            <w:tcW w:w="0" w:type="dxa"/>
            <w:noWrap/>
            <w:vAlign w:val="center"/>
          </w:tcPr>
          <w:p w14:paraId="7DE7CC69" w14:textId="633ED542"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 xml:space="preserve">3,745 </w:t>
            </w:r>
          </w:p>
        </w:tc>
        <w:tc>
          <w:tcPr>
            <w:tcW w:w="0" w:type="dxa"/>
            <w:noWrap/>
            <w:vAlign w:val="center"/>
          </w:tcPr>
          <w:p w14:paraId="4099D799" w14:textId="7C883EA8"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3895</w:t>
            </w:r>
          </w:p>
        </w:tc>
        <w:tc>
          <w:tcPr>
            <w:tcW w:w="0" w:type="dxa"/>
            <w:noWrap/>
            <w:vAlign w:val="center"/>
          </w:tcPr>
          <w:p w14:paraId="68F0E15F" w14:textId="11D8B2A3"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4051</w:t>
            </w:r>
          </w:p>
        </w:tc>
        <w:tc>
          <w:tcPr>
            <w:tcW w:w="0" w:type="dxa"/>
            <w:noWrap/>
            <w:vAlign w:val="center"/>
          </w:tcPr>
          <w:p w14:paraId="7C02DCB7" w14:textId="4149D794"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4213</w:t>
            </w:r>
          </w:p>
        </w:tc>
        <w:tc>
          <w:tcPr>
            <w:tcW w:w="0" w:type="dxa"/>
            <w:noWrap/>
            <w:vAlign w:val="center"/>
          </w:tcPr>
          <w:p w14:paraId="14DA4534" w14:textId="48E023BA"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4382</w:t>
            </w:r>
          </w:p>
        </w:tc>
        <w:tc>
          <w:tcPr>
            <w:tcW w:w="0" w:type="dxa"/>
            <w:noWrap/>
            <w:vAlign w:val="center"/>
          </w:tcPr>
          <w:p w14:paraId="149DA4F3" w14:textId="59C7840A"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4557</w:t>
            </w:r>
          </w:p>
        </w:tc>
        <w:tc>
          <w:tcPr>
            <w:tcW w:w="0" w:type="dxa"/>
            <w:noWrap/>
            <w:vAlign w:val="center"/>
          </w:tcPr>
          <w:p w14:paraId="7ECDB592" w14:textId="56215BEF"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4739</w:t>
            </w:r>
          </w:p>
        </w:tc>
        <w:tc>
          <w:tcPr>
            <w:tcW w:w="0" w:type="dxa"/>
            <w:noWrap/>
            <w:vAlign w:val="center"/>
          </w:tcPr>
          <w:p w14:paraId="34BBA431" w14:textId="58D0B3AB"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4929</w:t>
            </w:r>
          </w:p>
        </w:tc>
        <w:tc>
          <w:tcPr>
            <w:tcW w:w="0" w:type="dxa"/>
            <w:noWrap/>
            <w:vAlign w:val="center"/>
          </w:tcPr>
          <w:p w14:paraId="1D96B2E9" w14:textId="59898AC6"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5126</w:t>
            </w:r>
          </w:p>
        </w:tc>
        <w:tc>
          <w:tcPr>
            <w:tcW w:w="0" w:type="dxa"/>
            <w:gridSpan w:val="2"/>
            <w:noWrap/>
            <w:vAlign w:val="center"/>
          </w:tcPr>
          <w:p w14:paraId="395A5695" w14:textId="0C9DBE1A" w:rsidR="007441B8" w:rsidRPr="00EE3AA4" w:rsidRDefault="007441B8" w:rsidP="00741FA6">
            <w:pPr>
              <w:spacing w:line="240" w:lineRule="auto"/>
              <w:jc w:val="right"/>
              <w:rPr>
                <w:rFonts w:eastAsia="Times New Roman" w:cs="Calibri Light"/>
                <w:b/>
                <w:bCs/>
                <w:color w:val="000000"/>
                <w:szCs w:val="20"/>
                <w:lang w:eastAsia="en-AU"/>
              </w:rPr>
            </w:pPr>
            <w:r w:rsidRPr="00EE3AA4">
              <w:rPr>
                <w:b/>
                <w:bCs/>
              </w:rPr>
              <w:t>5331</w:t>
            </w:r>
          </w:p>
        </w:tc>
      </w:tr>
      <w:tr w:rsidR="007441B8" w:rsidRPr="00506557" w14:paraId="6EC1C5E5" w14:textId="77777777" w:rsidTr="00EE3AA4">
        <w:trPr>
          <w:gridAfter w:val="1"/>
          <w:wAfter w:w="50" w:type="dxa"/>
          <w:trHeight w:val="299"/>
        </w:trPr>
        <w:tc>
          <w:tcPr>
            <w:tcW w:w="0" w:type="dxa"/>
            <w:gridSpan w:val="2"/>
            <w:shd w:val="clear" w:color="auto" w:fill="F1F2F2" w:themeFill="background2"/>
            <w:noWrap/>
            <w:vAlign w:val="center"/>
          </w:tcPr>
          <w:p w14:paraId="122CE51D" w14:textId="6C5013B1" w:rsidR="007441B8" w:rsidRPr="00EE3AA4" w:rsidRDefault="007441B8" w:rsidP="00291449">
            <w:pPr>
              <w:spacing w:line="240" w:lineRule="auto"/>
              <w:rPr>
                <w:rFonts w:eastAsia="Times New Roman" w:cs="Calibri Light"/>
                <w:b/>
                <w:bCs/>
                <w:color w:val="000000"/>
                <w:szCs w:val="20"/>
                <w:lang w:eastAsia="en-AU"/>
              </w:rPr>
            </w:pPr>
            <w:r w:rsidRPr="00EE3AA4">
              <w:rPr>
                <w:b/>
                <w:bCs/>
              </w:rPr>
              <w:t>Sector figures</w:t>
            </w:r>
          </w:p>
        </w:tc>
        <w:tc>
          <w:tcPr>
            <w:tcW w:w="0" w:type="dxa"/>
            <w:shd w:val="clear" w:color="auto" w:fill="F1F2F2" w:themeFill="background2"/>
            <w:noWrap/>
            <w:vAlign w:val="center"/>
          </w:tcPr>
          <w:p w14:paraId="5F5E5357" w14:textId="48F79BA6"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40B00739" w14:textId="6A4DE283"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3C11EEA6" w14:textId="405A7BD8"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16FD2116" w14:textId="1C6741F8"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07EB071D" w14:textId="5EE1EDA8"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5E7C86E6" w14:textId="031F3286"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6A501B91" w14:textId="06123245"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1E3E66BD" w14:textId="5BAFE5DD"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5AF82B10" w14:textId="5B8A1762" w:rsidR="007441B8" w:rsidRPr="003F3DFF" w:rsidRDefault="007441B8" w:rsidP="00741FA6">
            <w:pPr>
              <w:spacing w:line="240" w:lineRule="auto"/>
              <w:jc w:val="right"/>
              <w:rPr>
                <w:rFonts w:eastAsia="Times New Roman" w:cs="Calibri Light"/>
                <w:color w:val="000000"/>
                <w:szCs w:val="20"/>
                <w:lang w:eastAsia="en-AU"/>
              </w:rPr>
            </w:pPr>
          </w:p>
        </w:tc>
        <w:tc>
          <w:tcPr>
            <w:tcW w:w="0" w:type="dxa"/>
            <w:shd w:val="clear" w:color="auto" w:fill="F1F2F2" w:themeFill="background2"/>
            <w:noWrap/>
            <w:vAlign w:val="center"/>
          </w:tcPr>
          <w:p w14:paraId="7D98ECCF" w14:textId="13205C85" w:rsidR="007441B8" w:rsidRPr="003F3DFF" w:rsidRDefault="007441B8" w:rsidP="00741FA6">
            <w:pPr>
              <w:spacing w:line="240" w:lineRule="auto"/>
              <w:jc w:val="right"/>
              <w:rPr>
                <w:rFonts w:eastAsia="Times New Roman" w:cs="Calibri Light"/>
                <w:color w:val="000000"/>
                <w:szCs w:val="20"/>
                <w:lang w:eastAsia="en-AU"/>
              </w:rPr>
            </w:pPr>
          </w:p>
        </w:tc>
      </w:tr>
      <w:tr w:rsidR="007441B8" w:rsidRPr="00506557" w14:paraId="112C77C5" w14:textId="77777777" w:rsidTr="00EE3AA4">
        <w:trPr>
          <w:gridAfter w:val="1"/>
          <w:wAfter w:w="50" w:type="dxa"/>
          <w:trHeight w:val="299"/>
        </w:trPr>
        <w:tc>
          <w:tcPr>
            <w:tcW w:w="0" w:type="dxa"/>
            <w:gridSpan w:val="2"/>
            <w:noWrap/>
            <w:vAlign w:val="center"/>
          </w:tcPr>
          <w:p w14:paraId="3C6EDE17" w14:textId="5710608A" w:rsidR="007441B8" w:rsidRPr="003F3DFF" w:rsidRDefault="007441B8" w:rsidP="00291449">
            <w:pPr>
              <w:spacing w:line="240" w:lineRule="auto"/>
              <w:rPr>
                <w:rFonts w:eastAsia="Times New Roman" w:cs="Calibri Light"/>
                <w:color w:val="000000"/>
                <w:szCs w:val="20"/>
                <w:lang w:eastAsia="en-AU"/>
              </w:rPr>
            </w:pPr>
            <w:r w:rsidRPr="00FA2DFC">
              <w:t>Public sector audiologists</w:t>
            </w:r>
          </w:p>
        </w:tc>
        <w:tc>
          <w:tcPr>
            <w:tcW w:w="0" w:type="dxa"/>
            <w:noWrap/>
            <w:vAlign w:val="center"/>
          </w:tcPr>
          <w:p w14:paraId="044AE948" w14:textId="1A929BB4" w:rsidR="007441B8" w:rsidRPr="003F3DFF" w:rsidRDefault="007441B8" w:rsidP="00741FA6">
            <w:pPr>
              <w:spacing w:line="240" w:lineRule="auto"/>
              <w:jc w:val="right"/>
              <w:rPr>
                <w:rFonts w:eastAsia="Times New Roman" w:cs="Calibri Light"/>
                <w:color w:val="000000"/>
                <w:szCs w:val="20"/>
                <w:lang w:eastAsia="en-AU"/>
              </w:rPr>
            </w:pPr>
            <w:r w:rsidRPr="002A41CD">
              <w:t>424</w:t>
            </w:r>
          </w:p>
        </w:tc>
        <w:tc>
          <w:tcPr>
            <w:tcW w:w="0" w:type="dxa"/>
            <w:noWrap/>
            <w:vAlign w:val="center"/>
          </w:tcPr>
          <w:p w14:paraId="48E4293A" w14:textId="056BFAF9" w:rsidR="007441B8" w:rsidRPr="003F3DFF" w:rsidRDefault="007441B8" w:rsidP="00741FA6">
            <w:pPr>
              <w:spacing w:line="240" w:lineRule="auto"/>
              <w:jc w:val="right"/>
              <w:rPr>
                <w:rFonts w:eastAsia="Times New Roman" w:cs="Calibri Light"/>
                <w:color w:val="000000"/>
                <w:szCs w:val="20"/>
                <w:lang w:eastAsia="en-AU"/>
              </w:rPr>
            </w:pPr>
            <w:r w:rsidRPr="002A41CD">
              <w:t>440</w:t>
            </w:r>
          </w:p>
        </w:tc>
        <w:tc>
          <w:tcPr>
            <w:tcW w:w="0" w:type="dxa"/>
            <w:noWrap/>
            <w:vAlign w:val="center"/>
          </w:tcPr>
          <w:p w14:paraId="740E6724" w14:textId="1A87C6E0" w:rsidR="007441B8" w:rsidRPr="003F3DFF" w:rsidRDefault="007441B8" w:rsidP="00741FA6">
            <w:pPr>
              <w:spacing w:line="240" w:lineRule="auto"/>
              <w:jc w:val="right"/>
              <w:rPr>
                <w:rFonts w:eastAsia="Times New Roman" w:cs="Calibri Light"/>
                <w:color w:val="000000"/>
                <w:szCs w:val="20"/>
                <w:lang w:eastAsia="en-AU"/>
              </w:rPr>
            </w:pPr>
            <w:r w:rsidRPr="002A41CD">
              <w:t>458</w:t>
            </w:r>
          </w:p>
        </w:tc>
        <w:tc>
          <w:tcPr>
            <w:tcW w:w="0" w:type="dxa"/>
            <w:noWrap/>
            <w:vAlign w:val="center"/>
          </w:tcPr>
          <w:p w14:paraId="6797BE72" w14:textId="65E53D7D" w:rsidR="007441B8" w:rsidRPr="003F3DFF" w:rsidRDefault="007441B8" w:rsidP="00741FA6">
            <w:pPr>
              <w:spacing w:line="240" w:lineRule="auto"/>
              <w:jc w:val="right"/>
              <w:rPr>
                <w:rFonts w:eastAsia="Times New Roman" w:cs="Calibri Light"/>
                <w:color w:val="000000"/>
                <w:szCs w:val="20"/>
                <w:lang w:eastAsia="en-AU"/>
              </w:rPr>
            </w:pPr>
            <w:r w:rsidRPr="002A41CD">
              <w:t>476</w:t>
            </w:r>
          </w:p>
        </w:tc>
        <w:tc>
          <w:tcPr>
            <w:tcW w:w="0" w:type="dxa"/>
            <w:noWrap/>
            <w:vAlign w:val="center"/>
          </w:tcPr>
          <w:p w14:paraId="43720AAF" w14:textId="2674D481" w:rsidR="007441B8" w:rsidRPr="003F3DFF" w:rsidRDefault="007441B8" w:rsidP="00741FA6">
            <w:pPr>
              <w:spacing w:line="240" w:lineRule="auto"/>
              <w:jc w:val="right"/>
              <w:rPr>
                <w:rFonts w:eastAsia="Times New Roman" w:cs="Calibri Light"/>
                <w:color w:val="000000"/>
                <w:szCs w:val="20"/>
                <w:lang w:eastAsia="en-AU"/>
              </w:rPr>
            </w:pPr>
            <w:r w:rsidRPr="002A41CD">
              <w:t>495</w:t>
            </w:r>
          </w:p>
        </w:tc>
        <w:tc>
          <w:tcPr>
            <w:tcW w:w="0" w:type="dxa"/>
            <w:noWrap/>
            <w:vAlign w:val="center"/>
          </w:tcPr>
          <w:p w14:paraId="0910AB4D" w14:textId="6B092882" w:rsidR="007441B8" w:rsidRPr="003F3DFF" w:rsidRDefault="007441B8" w:rsidP="00741FA6">
            <w:pPr>
              <w:spacing w:line="240" w:lineRule="auto"/>
              <w:jc w:val="right"/>
              <w:rPr>
                <w:rFonts w:eastAsia="Times New Roman" w:cs="Calibri Light"/>
                <w:color w:val="000000"/>
                <w:szCs w:val="20"/>
                <w:lang w:eastAsia="en-AU"/>
              </w:rPr>
            </w:pPr>
            <w:r w:rsidRPr="002A41CD">
              <w:t>515</w:t>
            </w:r>
          </w:p>
        </w:tc>
        <w:tc>
          <w:tcPr>
            <w:tcW w:w="0" w:type="dxa"/>
            <w:noWrap/>
            <w:vAlign w:val="center"/>
          </w:tcPr>
          <w:p w14:paraId="5F8866A3" w14:textId="596406A6" w:rsidR="007441B8" w:rsidRPr="003F3DFF" w:rsidRDefault="007441B8" w:rsidP="00741FA6">
            <w:pPr>
              <w:spacing w:line="240" w:lineRule="auto"/>
              <w:jc w:val="right"/>
              <w:rPr>
                <w:rFonts w:eastAsia="Times New Roman" w:cs="Calibri Light"/>
                <w:color w:val="000000"/>
                <w:szCs w:val="20"/>
                <w:lang w:eastAsia="en-AU"/>
              </w:rPr>
            </w:pPr>
            <w:r w:rsidRPr="002A41CD">
              <w:t>536</w:t>
            </w:r>
          </w:p>
        </w:tc>
        <w:tc>
          <w:tcPr>
            <w:tcW w:w="0" w:type="dxa"/>
            <w:noWrap/>
            <w:vAlign w:val="center"/>
          </w:tcPr>
          <w:p w14:paraId="0ED667DD" w14:textId="6D5FFF38" w:rsidR="007441B8" w:rsidRPr="003F3DFF" w:rsidRDefault="007441B8" w:rsidP="00741FA6">
            <w:pPr>
              <w:spacing w:line="240" w:lineRule="auto"/>
              <w:jc w:val="right"/>
              <w:rPr>
                <w:rFonts w:eastAsia="Times New Roman" w:cs="Calibri Light"/>
                <w:color w:val="000000"/>
                <w:szCs w:val="20"/>
                <w:lang w:eastAsia="en-AU"/>
              </w:rPr>
            </w:pPr>
            <w:r w:rsidRPr="002A41CD">
              <w:t>557</w:t>
            </w:r>
          </w:p>
        </w:tc>
        <w:tc>
          <w:tcPr>
            <w:tcW w:w="0" w:type="dxa"/>
            <w:noWrap/>
            <w:vAlign w:val="center"/>
          </w:tcPr>
          <w:p w14:paraId="525B4B4C" w14:textId="16CEFD49" w:rsidR="007441B8" w:rsidRPr="003F3DFF" w:rsidRDefault="007441B8" w:rsidP="00741FA6">
            <w:pPr>
              <w:spacing w:line="240" w:lineRule="auto"/>
              <w:jc w:val="right"/>
              <w:rPr>
                <w:rFonts w:eastAsia="Times New Roman" w:cs="Calibri Light"/>
                <w:color w:val="000000"/>
                <w:szCs w:val="20"/>
                <w:lang w:eastAsia="en-AU"/>
              </w:rPr>
            </w:pPr>
            <w:r w:rsidRPr="002A41CD">
              <w:t>580</w:t>
            </w:r>
          </w:p>
        </w:tc>
        <w:tc>
          <w:tcPr>
            <w:tcW w:w="0" w:type="dxa"/>
            <w:noWrap/>
            <w:vAlign w:val="center"/>
          </w:tcPr>
          <w:p w14:paraId="13647D6D" w14:textId="1DD78967" w:rsidR="007441B8" w:rsidRPr="003F3DFF" w:rsidRDefault="007441B8" w:rsidP="00741FA6">
            <w:pPr>
              <w:spacing w:line="240" w:lineRule="auto"/>
              <w:jc w:val="right"/>
              <w:rPr>
                <w:rFonts w:eastAsia="Times New Roman" w:cs="Calibri Light"/>
                <w:color w:val="000000"/>
                <w:szCs w:val="20"/>
                <w:lang w:eastAsia="en-AU"/>
              </w:rPr>
            </w:pPr>
            <w:r w:rsidRPr="002A41CD">
              <w:t>603</w:t>
            </w:r>
          </w:p>
        </w:tc>
      </w:tr>
      <w:tr w:rsidR="005E0775" w:rsidRPr="00506557" w14:paraId="7003AD04" w14:textId="77777777" w:rsidTr="00291449">
        <w:trPr>
          <w:gridAfter w:val="1"/>
          <w:wAfter w:w="50" w:type="dxa"/>
          <w:trHeight w:val="299"/>
        </w:trPr>
        <w:tc>
          <w:tcPr>
            <w:tcW w:w="0" w:type="dxa"/>
            <w:gridSpan w:val="2"/>
            <w:noWrap/>
            <w:vAlign w:val="center"/>
          </w:tcPr>
          <w:p w14:paraId="4DB03B0F" w14:textId="5EA8E2EE" w:rsidR="00741FA6" w:rsidRPr="00506557" w:rsidRDefault="00741FA6" w:rsidP="00291449">
            <w:pPr>
              <w:spacing w:line="240" w:lineRule="auto"/>
              <w:rPr>
                <w:rFonts w:eastAsia="Times New Roman" w:cs="Calibri Light"/>
                <w:color w:val="000000"/>
                <w:szCs w:val="20"/>
                <w:lang w:eastAsia="en-AU"/>
              </w:rPr>
            </w:pPr>
            <w:r w:rsidRPr="00FB5154">
              <w:t>Private sector audiologists</w:t>
            </w:r>
          </w:p>
        </w:tc>
        <w:tc>
          <w:tcPr>
            <w:tcW w:w="0" w:type="dxa"/>
            <w:tcBorders>
              <w:top w:val="nil"/>
              <w:left w:val="nil"/>
              <w:bottom w:val="nil"/>
              <w:right w:val="nil"/>
            </w:tcBorders>
            <w:shd w:val="clear" w:color="000000" w:fill="FFFFFF"/>
            <w:noWrap/>
            <w:vAlign w:val="center"/>
          </w:tcPr>
          <w:p w14:paraId="7CD692A0" w14:textId="47ADC78C" w:rsidR="00741FA6" w:rsidRPr="00EE3AA4" w:rsidRDefault="00741FA6" w:rsidP="00741FA6">
            <w:pPr>
              <w:spacing w:line="240" w:lineRule="auto"/>
              <w:jc w:val="right"/>
            </w:pPr>
            <w:r w:rsidRPr="00191DC2">
              <w:t>3322</w:t>
            </w:r>
          </w:p>
        </w:tc>
        <w:tc>
          <w:tcPr>
            <w:tcW w:w="0" w:type="dxa"/>
            <w:tcBorders>
              <w:top w:val="nil"/>
              <w:left w:val="nil"/>
              <w:bottom w:val="nil"/>
              <w:right w:val="nil"/>
            </w:tcBorders>
            <w:shd w:val="clear" w:color="000000" w:fill="FFFFFF"/>
            <w:noWrap/>
            <w:vAlign w:val="center"/>
          </w:tcPr>
          <w:p w14:paraId="4EC3FEB5" w14:textId="70CD13C8" w:rsidR="00741FA6" w:rsidRPr="00EE3AA4" w:rsidRDefault="00741FA6" w:rsidP="00741FA6">
            <w:pPr>
              <w:spacing w:line="240" w:lineRule="auto"/>
              <w:jc w:val="right"/>
            </w:pPr>
            <w:r w:rsidRPr="00191DC2">
              <w:t>3455</w:t>
            </w:r>
          </w:p>
        </w:tc>
        <w:tc>
          <w:tcPr>
            <w:tcW w:w="0" w:type="dxa"/>
            <w:tcBorders>
              <w:top w:val="nil"/>
              <w:left w:val="nil"/>
              <w:bottom w:val="nil"/>
              <w:right w:val="nil"/>
            </w:tcBorders>
            <w:shd w:val="clear" w:color="000000" w:fill="FFFFFF"/>
            <w:noWrap/>
            <w:vAlign w:val="center"/>
          </w:tcPr>
          <w:p w14:paraId="500F45E3" w14:textId="067CDC44" w:rsidR="00741FA6" w:rsidRPr="00EE3AA4" w:rsidRDefault="00741FA6" w:rsidP="00741FA6">
            <w:pPr>
              <w:spacing w:line="240" w:lineRule="auto"/>
              <w:jc w:val="right"/>
            </w:pPr>
            <w:r w:rsidRPr="00191DC2">
              <w:t>3593</w:t>
            </w:r>
          </w:p>
        </w:tc>
        <w:tc>
          <w:tcPr>
            <w:tcW w:w="0" w:type="dxa"/>
            <w:tcBorders>
              <w:top w:val="nil"/>
              <w:left w:val="nil"/>
              <w:bottom w:val="nil"/>
              <w:right w:val="nil"/>
            </w:tcBorders>
            <w:shd w:val="clear" w:color="000000" w:fill="FFFFFF"/>
            <w:noWrap/>
            <w:vAlign w:val="center"/>
          </w:tcPr>
          <w:p w14:paraId="74F8F106" w14:textId="7F1AD2DF" w:rsidR="00741FA6" w:rsidRPr="00EE3AA4" w:rsidRDefault="00741FA6" w:rsidP="00741FA6">
            <w:pPr>
              <w:spacing w:line="240" w:lineRule="auto"/>
              <w:jc w:val="right"/>
            </w:pPr>
            <w:r w:rsidRPr="00191DC2">
              <w:t>3737</w:t>
            </w:r>
          </w:p>
        </w:tc>
        <w:tc>
          <w:tcPr>
            <w:tcW w:w="0" w:type="dxa"/>
            <w:tcBorders>
              <w:top w:val="nil"/>
              <w:left w:val="nil"/>
              <w:bottom w:val="nil"/>
              <w:right w:val="nil"/>
            </w:tcBorders>
            <w:shd w:val="clear" w:color="000000" w:fill="FFFFFF"/>
            <w:noWrap/>
            <w:vAlign w:val="center"/>
          </w:tcPr>
          <w:p w14:paraId="0D437209" w14:textId="4318C1BA" w:rsidR="00741FA6" w:rsidRPr="00EE3AA4" w:rsidRDefault="00741FA6" w:rsidP="00741FA6">
            <w:pPr>
              <w:spacing w:line="240" w:lineRule="auto"/>
              <w:jc w:val="right"/>
            </w:pPr>
            <w:r w:rsidRPr="00191DC2">
              <w:t>3886</w:t>
            </w:r>
          </w:p>
        </w:tc>
        <w:tc>
          <w:tcPr>
            <w:tcW w:w="0" w:type="dxa"/>
            <w:tcBorders>
              <w:top w:val="nil"/>
              <w:left w:val="nil"/>
              <w:bottom w:val="nil"/>
              <w:right w:val="nil"/>
            </w:tcBorders>
            <w:shd w:val="clear" w:color="000000" w:fill="FFFFFF"/>
            <w:noWrap/>
            <w:vAlign w:val="center"/>
          </w:tcPr>
          <w:p w14:paraId="6F7A8AAC" w14:textId="27CCDB35" w:rsidR="00741FA6" w:rsidRPr="00EE3AA4" w:rsidRDefault="00741FA6" w:rsidP="00741FA6">
            <w:pPr>
              <w:spacing w:line="240" w:lineRule="auto"/>
              <w:jc w:val="right"/>
            </w:pPr>
            <w:r w:rsidRPr="00191DC2">
              <w:t>4042</w:t>
            </w:r>
          </w:p>
        </w:tc>
        <w:tc>
          <w:tcPr>
            <w:tcW w:w="0" w:type="dxa"/>
            <w:tcBorders>
              <w:top w:val="nil"/>
              <w:left w:val="nil"/>
              <w:bottom w:val="nil"/>
              <w:right w:val="nil"/>
            </w:tcBorders>
            <w:shd w:val="clear" w:color="000000" w:fill="FFFFFF"/>
            <w:noWrap/>
            <w:vAlign w:val="center"/>
          </w:tcPr>
          <w:p w14:paraId="4B26ECA8" w14:textId="79024389" w:rsidR="00741FA6" w:rsidRPr="00EE3AA4" w:rsidRDefault="00741FA6" w:rsidP="00741FA6">
            <w:pPr>
              <w:spacing w:line="240" w:lineRule="auto"/>
              <w:jc w:val="right"/>
            </w:pPr>
            <w:r w:rsidRPr="00191DC2">
              <w:t>4203</w:t>
            </w:r>
          </w:p>
        </w:tc>
        <w:tc>
          <w:tcPr>
            <w:tcW w:w="0" w:type="dxa"/>
            <w:tcBorders>
              <w:top w:val="nil"/>
              <w:left w:val="nil"/>
              <w:bottom w:val="nil"/>
              <w:right w:val="nil"/>
            </w:tcBorders>
            <w:shd w:val="clear" w:color="000000" w:fill="FFFFFF"/>
            <w:noWrap/>
            <w:vAlign w:val="center"/>
          </w:tcPr>
          <w:p w14:paraId="2F51D2C2" w14:textId="66E5E351" w:rsidR="00741FA6" w:rsidRPr="00EE3AA4" w:rsidRDefault="00741FA6" w:rsidP="00741FA6">
            <w:pPr>
              <w:spacing w:line="240" w:lineRule="auto"/>
              <w:jc w:val="right"/>
            </w:pPr>
            <w:r w:rsidRPr="00191DC2">
              <w:t>4371</w:t>
            </w:r>
          </w:p>
        </w:tc>
        <w:tc>
          <w:tcPr>
            <w:tcW w:w="0" w:type="dxa"/>
            <w:tcBorders>
              <w:top w:val="nil"/>
              <w:left w:val="nil"/>
              <w:bottom w:val="nil"/>
              <w:right w:val="nil"/>
            </w:tcBorders>
            <w:shd w:val="clear" w:color="000000" w:fill="FFFFFF"/>
            <w:noWrap/>
            <w:vAlign w:val="center"/>
          </w:tcPr>
          <w:p w14:paraId="710F1B44" w14:textId="1C4E80B5" w:rsidR="00741FA6" w:rsidRPr="00EE3AA4" w:rsidRDefault="00741FA6" w:rsidP="00741FA6">
            <w:pPr>
              <w:spacing w:line="240" w:lineRule="auto"/>
              <w:jc w:val="right"/>
            </w:pPr>
            <w:r w:rsidRPr="00191DC2">
              <w:t>4546</w:t>
            </w:r>
          </w:p>
        </w:tc>
        <w:tc>
          <w:tcPr>
            <w:tcW w:w="0" w:type="dxa"/>
            <w:tcBorders>
              <w:top w:val="nil"/>
              <w:left w:val="nil"/>
              <w:bottom w:val="nil"/>
              <w:right w:val="nil"/>
            </w:tcBorders>
            <w:shd w:val="clear" w:color="000000" w:fill="FFFFFF"/>
            <w:noWrap/>
            <w:vAlign w:val="center"/>
          </w:tcPr>
          <w:p w14:paraId="6B95E1C8" w14:textId="0AAC50E9" w:rsidR="00741FA6" w:rsidRPr="00EE3AA4" w:rsidRDefault="00741FA6" w:rsidP="00741FA6">
            <w:pPr>
              <w:spacing w:line="240" w:lineRule="auto"/>
              <w:jc w:val="right"/>
            </w:pPr>
            <w:r w:rsidRPr="00191DC2">
              <w:t>4728</w:t>
            </w:r>
          </w:p>
        </w:tc>
      </w:tr>
      <w:tr w:rsidR="00407AF4" w:rsidRPr="00506557" w14:paraId="57C57E37" w14:textId="77777777" w:rsidTr="00EE3AA4">
        <w:trPr>
          <w:trHeight w:val="299"/>
        </w:trPr>
        <w:tc>
          <w:tcPr>
            <w:tcW w:w="0" w:type="dxa"/>
            <w:gridSpan w:val="2"/>
            <w:noWrap/>
            <w:vAlign w:val="center"/>
          </w:tcPr>
          <w:p w14:paraId="581159EE" w14:textId="748E40F7" w:rsidR="00407AF4" w:rsidRPr="00EE3AA4" w:rsidRDefault="00407AF4" w:rsidP="00291449">
            <w:pPr>
              <w:spacing w:line="240" w:lineRule="auto"/>
              <w:rPr>
                <w:rFonts w:eastAsia="Times New Roman" w:cs="Calibri Light"/>
                <w:b/>
                <w:bCs/>
                <w:color w:val="000000"/>
                <w:szCs w:val="20"/>
                <w:lang w:eastAsia="en-AU"/>
              </w:rPr>
            </w:pPr>
            <w:r w:rsidRPr="00EE3AA4">
              <w:rPr>
                <w:b/>
                <w:bCs/>
              </w:rPr>
              <w:t>Total audiologists</w:t>
            </w:r>
          </w:p>
        </w:tc>
        <w:tc>
          <w:tcPr>
            <w:tcW w:w="0" w:type="dxa"/>
            <w:noWrap/>
            <w:vAlign w:val="center"/>
          </w:tcPr>
          <w:p w14:paraId="2CB3D375" w14:textId="61DA8666"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3745</w:t>
            </w:r>
          </w:p>
        </w:tc>
        <w:tc>
          <w:tcPr>
            <w:tcW w:w="0" w:type="dxa"/>
            <w:noWrap/>
            <w:vAlign w:val="center"/>
          </w:tcPr>
          <w:p w14:paraId="09C3FABC" w14:textId="1762DC5C"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3895</w:t>
            </w:r>
          </w:p>
        </w:tc>
        <w:tc>
          <w:tcPr>
            <w:tcW w:w="0" w:type="dxa"/>
            <w:noWrap/>
            <w:vAlign w:val="center"/>
          </w:tcPr>
          <w:p w14:paraId="3E76BFDC" w14:textId="46AC7F14"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4051</w:t>
            </w:r>
          </w:p>
        </w:tc>
        <w:tc>
          <w:tcPr>
            <w:tcW w:w="0" w:type="dxa"/>
            <w:noWrap/>
            <w:vAlign w:val="center"/>
          </w:tcPr>
          <w:p w14:paraId="6CAB3249" w14:textId="6293EAF2"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4213</w:t>
            </w:r>
          </w:p>
        </w:tc>
        <w:tc>
          <w:tcPr>
            <w:tcW w:w="0" w:type="dxa"/>
            <w:noWrap/>
            <w:vAlign w:val="center"/>
          </w:tcPr>
          <w:p w14:paraId="7EB512C7" w14:textId="5FA92718"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4382</w:t>
            </w:r>
          </w:p>
        </w:tc>
        <w:tc>
          <w:tcPr>
            <w:tcW w:w="0" w:type="dxa"/>
            <w:noWrap/>
            <w:vAlign w:val="center"/>
          </w:tcPr>
          <w:p w14:paraId="039E4AAB" w14:textId="774DB41C"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4557</w:t>
            </w:r>
          </w:p>
        </w:tc>
        <w:tc>
          <w:tcPr>
            <w:tcW w:w="0" w:type="dxa"/>
            <w:noWrap/>
            <w:vAlign w:val="center"/>
          </w:tcPr>
          <w:p w14:paraId="6AA324A9" w14:textId="7B0381B1"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4739</w:t>
            </w:r>
          </w:p>
        </w:tc>
        <w:tc>
          <w:tcPr>
            <w:tcW w:w="0" w:type="dxa"/>
            <w:noWrap/>
            <w:vAlign w:val="center"/>
          </w:tcPr>
          <w:p w14:paraId="0FC25D7C" w14:textId="50935651"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4929</w:t>
            </w:r>
          </w:p>
        </w:tc>
        <w:tc>
          <w:tcPr>
            <w:tcW w:w="0" w:type="dxa"/>
            <w:noWrap/>
            <w:vAlign w:val="center"/>
          </w:tcPr>
          <w:p w14:paraId="2E891BB7" w14:textId="3F63345F"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5126</w:t>
            </w:r>
          </w:p>
        </w:tc>
        <w:tc>
          <w:tcPr>
            <w:tcW w:w="0" w:type="dxa"/>
            <w:gridSpan w:val="2"/>
            <w:noWrap/>
            <w:vAlign w:val="center"/>
          </w:tcPr>
          <w:p w14:paraId="5CF901C3" w14:textId="5BDCFD46" w:rsidR="00407AF4" w:rsidRPr="00EE3AA4" w:rsidRDefault="00407AF4" w:rsidP="00741FA6">
            <w:pPr>
              <w:spacing w:line="240" w:lineRule="auto"/>
              <w:jc w:val="right"/>
              <w:rPr>
                <w:rFonts w:eastAsia="Times New Roman" w:cs="Calibri Light"/>
                <w:b/>
                <w:bCs/>
                <w:color w:val="000000"/>
                <w:szCs w:val="20"/>
                <w:lang w:eastAsia="en-AU"/>
              </w:rPr>
            </w:pPr>
            <w:r w:rsidRPr="00EE3AA4">
              <w:rPr>
                <w:b/>
                <w:bCs/>
              </w:rPr>
              <w:t>5331</w:t>
            </w:r>
          </w:p>
        </w:tc>
      </w:tr>
    </w:tbl>
    <w:p w14:paraId="7CD622AA" w14:textId="77777777" w:rsidR="00F11295" w:rsidRDefault="00F11295" w:rsidP="00E22FF5">
      <w:pPr>
        <w:pStyle w:val="BodyText"/>
        <w:sectPr w:rsidR="00F11295" w:rsidSect="00F11295">
          <w:pgSz w:w="16838" w:h="11906" w:orient="landscape" w:code="9"/>
          <w:pgMar w:top="1531" w:right="1531" w:bottom="1531" w:left="1531" w:header="709" w:footer="709" w:gutter="0"/>
          <w:cols w:space="708"/>
          <w:docGrid w:linePitch="360"/>
        </w:sectPr>
      </w:pPr>
    </w:p>
    <w:p w14:paraId="18A552DD" w14:textId="1D8C8431" w:rsidR="00ED59B9" w:rsidRDefault="00CA1789" w:rsidP="00CA1789">
      <w:pPr>
        <w:pStyle w:val="HeaderTitle"/>
      </w:pPr>
      <w:r>
        <w:t xml:space="preserve">Appendix E – </w:t>
      </w:r>
      <w:r w:rsidR="00100659">
        <w:t xml:space="preserve">Additional </w:t>
      </w:r>
      <w:r w:rsidR="00E1609A">
        <w:t>cost</w:t>
      </w:r>
      <w:r w:rsidR="00100659">
        <w:t xml:space="preserve"> tables</w:t>
      </w:r>
    </w:p>
    <w:p w14:paraId="4409B027" w14:textId="53E305EF" w:rsidR="00100659" w:rsidRDefault="00AC4B10" w:rsidP="00100659">
      <w:pPr>
        <w:pStyle w:val="BodyText"/>
      </w:pPr>
      <w:r>
        <w:t xml:space="preserve">The following </w:t>
      </w:r>
      <w:r w:rsidR="00E1609A">
        <w:t>cost</w:t>
      </w:r>
      <w:r>
        <w:t xml:space="preserve"> tables are provided for FY</w:t>
      </w:r>
      <w:r w:rsidR="001E7BBD">
        <w:t xml:space="preserve">26 to FY29, across each option by stakeholder. These tables are reported in </w:t>
      </w:r>
      <w:r w:rsidR="00D405BA">
        <w:t xml:space="preserve">FY25 real undiscounted terms in order to provide additional information </w:t>
      </w:r>
      <w:r w:rsidR="00924D2C">
        <w:t>to readers</w:t>
      </w:r>
      <w:r w:rsidR="00794E67">
        <w:t>. Please note, these tables should not be interpreted as financial cash flow estimates as:</w:t>
      </w:r>
    </w:p>
    <w:p w14:paraId="27B9871E" w14:textId="0BDC7B91" w:rsidR="00794E67" w:rsidRDefault="007121A2" w:rsidP="00794E67">
      <w:pPr>
        <w:pStyle w:val="ListBullet"/>
      </w:pPr>
      <w:r>
        <w:t xml:space="preserve">financial cash flows will be experienced in nominal undiscounted terms (i.e. the tables below do not include </w:t>
      </w:r>
      <w:r w:rsidR="007276C2">
        <w:t xml:space="preserve">the effects of </w:t>
      </w:r>
      <w:r>
        <w:t>inflation)</w:t>
      </w:r>
    </w:p>
    <w:p w14:paraId="68BD2DE6" w14:textId="16B424EA" w:rsidR="00D673FB" w:rsidRDefault="000465C1" w:rsidP="00F940A1">
      <w:pPr>
        <w:pStyle w:val="ListBullet"/>
      </w:pPr>
      <w:r>
        <w:t xml:space="preserve">costs for employers </w:t>
      </w:r>
      <w:r w:rsidR="00F55A24">
        <w:t>are c</w:t>
      </w:r>
      <w:r w:rsidR="007E2A8C">
        <w:t>omprised of</w:t>
      </w:r>
      <w:r>
        <w:t xml:space="preserve"> economic costs (</w:t>
      </w:r>
      <w:r w:rsidR="008944FB">
        <w:t>e.g.,</w:t>
      </w:r>
      <w:r>
        <w:t xml:space="preserve"> the value of time </w:t>
      </w:r>
      <w:r w:rsidR="007E2A8C">
        <w:t>savings</w:t>
      </w:r>
      <w:r w:rsidR="00187AE8">
        <w:t>)</w:t>
      </w:r>
      <w:r w:rsidR="00CB0DD5">
        <w:t xml:space="preserve"> which would not be directly reflected </w:t>
      </w:r>
      <w:r w:rsidR="005722C5">
        <w:t>in financial cash flows</w:t>
      </w:r>
      <w:r w:rsidR="00187AE8">
        <w:t>.</w:t>
      </w:r>
    </w:p>
    <w:p w14:paraId="37B887DE" w14:textId="3277E565" w:rsidR="008944FB" w:rsidRDefault="008944FB" w:rsidP="0007458C">
      <w:pPr>
        <w:pStyle w:val="Caption"/>
        <w:keepNext/>
      </w:pPr>
      <w:r>
        <w:t xml:space="preserve">Table </w:t>
      </w:r>
      <w:fldSimple w:instr=" STYLEREF 1 \s ">
        <w:r w:rsidR="00F32107">
          <w:rPr>
            <w:noProof/>
          </w:rPr>
          <w:t>10</w:t>
        </w:r>
      </w:fldSimple>
      <w:r>
        <w:t>.</w:t>
      </w:r>
      <w:fldSimple w:instr=" SEQ Table \* ARABIC \s 1 ">
        <w:r w:rsidR="00F32107">
          <w:rPr>
            <w:noProof/>
          </w:rPr>
          <w:t>2</w:t>
        </w:r>
      </w:fldSimple>
      <w:r>
        <w:t xml:space="preserve"> FY26-FY29 cost table (FY25 real, undiscounted terms), for government stakeholder</w:t>
      </w:r>
    </w:p>
    <w:tbl>
      <w:tblPr>
        <w:tblStyle w:val="BodyTable"/>
        <w:tblW w:w="9077" w:type="dxa"/>
        <w:tblInd w:w="2" w:type="dxa"/>
        <w:tblLayout w:type="fixed"/>
        <w:tblLook w:val="04A0" w:firstRow="1" w:lastRow="0" w:firstColumn="1" w:lastColumn="0" w:noHBand="0" w:noVBand="1"/>
      </w:tblPr>
      <w:tblGrid>
        <w:gridCol w:w="27"/>
        <w:gridCol w:w="2658"/>
        <w:gridCol w:w="1597"/>
        <w:gridCol w:w="1599"/>
        <w:gridCol w:w="1597"/>
        <w:gridCol w:w="1599"/>
      </w:tblGrid>
      <w:tr w:rsidR="00D204D5" w:rsidRPr="00466057" w14:paraId="2596D8A3" w14:textId="77777777" w:rsidTr="0007458C">
        <w:trPr>
          <w:gridBefore w:val="1"/>
          <w:cnfStyle w:val="100000000000" w:firstRow="1" w:lastRow="0" w:firstColumn="0" w:lastColumn="0" w:oddVBand="0" w:evenVBand="0" w:oddHBand="0" w:evenHBand="0" w:firstRowFirstColumn="0" w:firstRowLastColumn="0" w:lastRowFirstColumn="0" w:lastRowLastColumn="0"/>
          <w:wBefore w:w="27" w:type="dxa"/>
          <w:trHeight w:val="315"/>
        </w:trPr>
        <w:tc>
          <w:tcPr>
            <w:tcW w:w="2658" w:type="dxa"/>
          </w:tcPr>
          <w:p w14:paraId="6EBD3AAF" w14:textId="3DB38E64" w:rsidR="00D204D5" w:rsidRPr="00CF77E4" w:rsidRDefault="00D204D5">
            <w:pPr>
              <w:spacing w:line="240" w:lineRule="auto"/>
              <w:rPr>
                <w:b/>
              </w:rPr>
            </w:pPr>
            <w:r>
              <w:rPr>
                <w:b/>
              </w:rPr>
              <w:t>Option</w:t>
            </w:r>
          </w:p>
        </w:tc>
        <w:tc>
          <w:tcPr>
            <w:tcW w:w="1597" w:type="dxa"/>
            <w:noWrap/>
          </w:tcPr>
          <w:p w14:paraId="2FCF2C7B" w14:textId="4C13FD8B" w:rsidR="00D204D5" w:rsidRPr="00466057" w:rsidRDefault="00D204D5">
            <w:pPr>
              <w:spacing w:line="240" w:lineRule="auto"/>
              <w:jc w:val="right"/>
              <w:rPr>
                <w:rFonts w:eastAsia="Times New Roman" w:cs="Calibri Light"/>
                <w:color w:val="000000"/>
                <w:szCs w:val="20"/>
                <w:lang w:eastAsia="en-AU"/>
              </w:rPr>
            </w:pPr>
            <w:r>
              <w:rPr>
                <w:b/>
                <w:bCs/>
              </w:rPr>
              <w:t>FY26</w:t>
            </w:r>
          </w:p>
        </w:tc>
        <w:tc>
          <w:tcPr>
            <w:tcW w:w="1599" w:type="dxa"/>
            <w:noWrap/>
          </w:tcPr>
          <w:p w14:paraId="6B453AFF" w14:textId="32027347" w:rsidR="00D204D5" w:rsidRPr="00466057" w:rsidRDefault="00D204D5">
            <w:pPr>
              <w:spacing w:line="240" w:lineRule="auto"/>
              <w:jc w:val="right"/>
              <w:rPr>
                <w:rFonts w:eastAsia="Times New Roman" w:cs="Calibri Light"/>
                <w:color w:val="000000"/>
                <w:szCs w:val="20"/>
                <w:lang w:eastAsia="en-AU"/>
              </w:rPr>
            </w:pPr>
            <w:r>
              <w:rPr>
                <w:b/>
                <w:bCs/>
              </w:rPr>
              <w:t>FY27</w:t>
            </w:r>
          </w:p>
        </w:tc>
        <w:tc>
          <w:tcPr>
            <w:tcW w:w="1597" w:type="dxa"/>
            <w:noWrap/>
          </w:tcPr>
          <w:p w14:paraId="2F3DB134" w14:textId="6BC9988B" w:rsidR="00D204D5" w:rsidRPr="00466057" w:rsidRDefault="00D204D5">
            <w:pPr>
              <w:spacing w:line="240" w:lineRule="auto"/>
              <w:jc w:val="right"/>
              <w:rPr>
                <w:rFonts w:eastAsia="Times New Roman" w:cs="Calibri Light"/>
                <w:color w:val="000000"/>
                <w:szCs w:val="20"/>
                <w:lang w:eastAsia="en-AU"/>
              </w:rPr>
            </w:pPr>
            <w:r>
              <w:rPr>
                <w:b/>
                <w:bCs/>
              </w:rPr>
              <w:t>FY28</w:t>
            </w:r>
          </w:p>
        </w:tc>
        <w:tc>
          <w:tcPr>
            <w:tcW w:w="1599" w:type="dxa"/>
          </w:tcPr>
          <w:p w14:paraId="34A47E87" w14:textId="04C41601" w:rsidR="00D204D5" w:rsidRPr="006A1D83" w:rsidRDefault="00D204D5">
            <w:pPr>
              <w:spacing w:line="240" w:lineRule="auto"/>
              <w:ind w:left="113" w:right="113"/>
              <w:jc w:val="right"/>
              <w:rPr>
                <w:b/>
              </w:rPr>
            </w:pPr>
            <w:r>
              <w:rPr>
                <w:b/>
                <w:bCs/>
              </w:rPr>
              <w:t>FY29</w:t>
            </w:r>
          </w:p>
        </w:tc>
      </w:tr>
      <w:tr w:rsidR="007276C2" w:rsidRPr="00466057" w14:paraId="426B33A3" w14:textId="77777777" w:rsidTr="0007458C">
        <w:trPr>
          <w:gridBefore w:val="1"/>
          <w:wBefore w:w="27" w:type="dxa"/>
          <w:trHeight w:val="315"/>
        </w:trPr>
        <w:tc>
          <w:tcPr>
            <w:tcW w:w="2658" w:type="dxa"/>
            <w:tcBorders>
              <w:top w:val="single" w:sz="4" w:space="0" w:color="000000" w:themeColor="text1"/>
              <w:bottom w:val="single" w:sz="4" w:space="0" w:color="auto"/>
            </w:tcBorders>
          </w:tcPr>
          <w:p w14:paraId="76482E9F" w14:textId="246CD2C7" w:rsidR="007276C2" w:rsidRPr="006B45B9" w:rsidRDefault="007276C2" w:rsidP="007276C2">
            <w:pPr>
              <w:spacing w:line="240" w:lineRule="auto"/>
            </w:pPr>
            <w:r>
              <w:t>Strengthened Status Quo</w:t>
            </w:r>
            <w:r w:rsidR="005E3C6B">
              <w:t>^</w:t>
            </w:r>
          </w:p>
        </w:tc>
        <w:tc>
          <w:tcPr>
            <w:tcW w:w="1597" w:type="dxa"/>
            <w:tcBorders>
              <w:top w:val="single" w:sz="4" w:space="0" w:color="000000" w:themeColor="text1"/>
              <w:left w:val="nil"/>
              <w:bottom w:val="single" w:sz="4" w:space="0" w:color="auto"/>
              <w:right w:val="nil"/>
            </w:tcBorders>
            <w:shd w:val="clear" w:color="000000" w:fill="FFFFFF"/>
            <w:noWrap/>
          </w:tcPr>
          <w:p w14:paraId="65732958" w14:textId="3AB04C6F" w:rsidR="007276C2" w:rsidRPr="006B45B9" w:rsidRDefault="007276C2" w:rsidP="007276C2">
            <w:pPr>
              <w:spacing w:line="240" w:lineRule="auto"/>
              <w:jc w:val="right"/>
            </w:pPr>
            <w:r w:rsidRPr="005B2FAF">
              <w:t xml:space="preserve"> $-   </w:t>
            </w:r>
          </w:p>
        </w:tc>
        <w:tc>
          <w:tcPr>
            <w:tcW w:w="1599" w:type="dxa"/>
            <w:tcBorders>
              <w:top w:val="single" w:sz="4" w:space="0" w:color="000000" w:themeColor="text1"/>
              <w:left w:val="nil"/>
              <w:bottom w:val="single" w:sz="4" w:space="0" w:color="auto"/>
              <w:right w:val="nil"/>
            </w:tcBorders>
            <w:shd w:val="clear" w:color="000000" w:fill="FFFFFF"/>
            <w:noWrap/>
          </w:tcPr>
          <w:p w14:paraId="0E061480" w14:textId="18710057" w:rsidR="007276C2" w:rsidRPr="006B45B9" w:rsidRDefault="007276C2" w:rsidP="007276C2">
            <w:pPr>
              <w:spacing w:line="240" w:lineRule="auto"/>
              <w:jc w:val="right"/>
            </w:pPr>
            <w:r w:rsidRPr="005B2FAF">
              <w:t xml:space="preserve"> $-   </w:t>
            </w:r>
          </w:p>
        </w:tc>
        <w:tc>
          <w:tcPr>
            <w:tcW w:w="1597" w:type="dxa"/>
            <w:tcBorders>
              <w:top w:val="single" w:sz="4" w:space="0" w:color="000000" w:themeColor="text1"/>
              <w:left w:val="nil"/>
              <w:bottom w:val="single" w:sz="4" w:space="0" w:color="auto"/>
              <w:right w:val="nil"/>
            </w:tcBorders>
            <w:shd w:val="clear" w:color="000000" w:fill="FFFFFF"/>
            <w:noWrap/>
          </w:tcPr>
          <w:p w14:paraId="1A4D2BD3" w14:textId="4226BE0E" w:rsidR="007276C2" w:rsidRPr="006B45B9" w:rsidRDefault="007276C2" w:rsidP="007276C2">
            <w:pPr>
              <w:spacing w:line="240" w:lineRule="auto"/>
              <w:jc w:val="right"/>
            </w:pPr>
            <w:r w:rsidRPr="005B2FAF">
              <w:t xml:space="preserve"> $-   </w:t>
            </w:r>
          </w:p>
        </w:tc>
        <w:tc>
          <w:tcPr>
            <w:tcW w:w="1599" w:type="dxa"/>
            <w:tcBorders>
              <w:top w:val="single" w:sz="4" w:space="0" w:color="000000" w:themeColor="text1"/>
              <w:left w:val="nil"/>
              <w:bottom w:val="single" w:sz="4" w:space="0" w:color="auto"/>
              <w:right w:val="nil"/>
            </w:tcBorders>
            <w:shd w:val="clear" w:color="000000" w:fill="FFFFFF"/>
          </w:tcPr>
          <w:p w14:paraId="1D96EF68" w14:textId="6355FE9E" w:rsidR="007276C2" w:rsidRPr="006B45B9" w:rsidRDefault="007276C2" w:rsidP="007276C2">
            <w:pPr>
              <w:spacing w:line="240" w:lineRule="auto"/>
              <w:jc w:val="right"/>
            </w:pPr>
            <w:r w:rsidRPr="005B2FAF">
              <w:t xml:space="preserve"> $-   </w:t>
            </w:r>
          </w:p>
        </w:tc>
      </w:tr>
      <w:tr w:rsidR="007276C2" w:rsidRPr="00466057" w14:paraId="088C9CD5" w14:textId="77777777" w:rsidTr="0007458C">
        <w:trPr>
          <w:trHeight w:val="315"/>
        </w:trPr>
        <w:tc>
          <w:tcPr>
            <w:tcW w:w="2685" w:type="dxa"/>
            <w:gridSpan w:val="2"/>
            <w:tcBorders>
              <w:top w:val="single" w:sz="4" w:space="0" w:color="000000" w:themeColor="text1"/>
              <w:bottom w:val="single" w:sz="4" w:space="0" w:color="auto"/>
            </w:tcBorders>
          </w:tcPr>
          <w:p w14:paraId="25A8B94D" w14:textId="42F6C03C" w:rsidR="007276C2" w:rsidRDefault="007276C2" w:rsidP="007276C2">
            <w:pPr>
              <w:spacing w:line="240" w:lineRule="auto"/>
            </w:pPr>
            <w:r>
              <w:t>Jurisdictional Registration</w:t>
            </w:r>
          </w:p>
        </w:tc>
        <w:tc>
          <w:tcPr>
            <w:tcW w:w="1597" w:type="dxa"/>
            <w:tcBorders>
              <w:top w:val="single" w:sz="4" w:space="0" w:color="000000" w:themeColor="text1"/>
              <w:left w:val="nil"/>
              <w:bottom w:val="single" w:sz="4" w:space="0" w:color="auto"/>
              <w:right w:val="nil"/>
            </w:tcBorders>
            <w:shd w:val="clear" w:color="000000" w:fill="FFFFFF"/>
            <w:noWrap/>
          </w:tcPr>
          <w:p w14:paraId="37C01827" w14:textId="7515E3F0" w:rsidR="007276C2" w:rsidRPr="003D2A72" w:rsidRDefault="007276C2" w:rsidP="007276C2">
            <w:pPr>
              <w:spacing w:line="240" w:lineRule="auto"/>
              <w:jc w:val="right"/>
            </w:pPr>
            <w:r w:rsidRPr="005B2FAF">
              <w:t xml:space="preserve"> $9,306,000 </w:t>
            </w:r>
          </w:p>
        </w:tc>
        <w:tc>
          <w:tcPr>
            <w:tcW w:w="1599" w:type="dxa"/>
            <w:tcBorders>
              <w:top w:val="single" w:sz="4" w:space="0" w:color="000000" w:themeColor="text1"/>
              <w:left w:val="nil"/>
              <w:bottom w:val="single" w:sz="4" w:space="0" w:color="auto"/>
              <w:right w:val="nil"/>
            </w:tcBorders>
            <w:shd w:val="clear" w:color="000000" w:fill="FFFFFF"/>
            <w:noWrap/>
          </w:tcPr>
          <w:p w14:paraId="5F6B69B5" w14:textId="63D667A5" w:rsidR="007276C2" w:rsidRPr="003D2A72" w:rsidRDefault="007276C2" w:rsidP="007276C2">
            <w:pPr>
              <w:spacing w:line="240" w:lineRule="auto"/>
              <w:jc w:val="right"/>
            </w:pPr>
            <w:r w:rsidRPr="005B2FAF">
              <w:t xml:space="preserve"> $9,306,000 </w:t>
            </w:r>
          </w:p>
        </w:tc>
        <w:tc>
          <w:tcPr>
            <w:tcW w:w="1597" w:type="dxa"/>
            <w:tcBorders>
              <w:top w:val="single" w:sz="4" w:space="0" w:color="000000" w:themeColor="text1"/>
              <w:left w:val="nil"/>
              <w:bottom w:val="single" w:sz="4" w:space="0" w:color="auto"/>
              <w:right w:val="nil"/>
            </w:tcBorders>
            <w:shd w:val="clear" w:color="000000" w:fill="FFFFFF"/>
            <w:noWrap/>
          </w:tcPr>
          <w:p w14:paraId="36C320EB" w14:textId="33530FB7" w:rsidR="007276C2" w:rsidRPr="003D2A72" w:rsidRDefault="007276C2" w:rsidP="007276C2">
            <w:pPr>
              <w:spacing w:line="240" w:lineRule="auto"/>
              <w:jc w:val="right"/>
            </w:pPr>
            <w:r w:rsidRPr="005B2FAF">
              <w:t xml:space="preserve"> $9,408,500 </w:t>
            </w:r>
          </w:p>
        </w:tc>
        <w:tc>
          <w:tcPr>
            <w:tcW w:w="1599" w:type="dxa"/>
            <w:tcBorders>
              <w:top w:val="single" w:sz="4" w:space="0" w:color="000000" w:themeColor="text1"/>
              <w:left w:val="nil"/>
              <w:bottom w:val="single" w:sz="4" w:space="0" w:color="auto"/>
              <w:right w:val="nil"/>
            </w:tcBorders>
            <w:shd w:val="clear" w:color="000000" w:fill="FFFFFF"/>
          </w:tcPr>
          <w:p w14:paraId="76D29AE1" w14:textId="148EB31A" w:rsidR="007276C2" w:rsidRPr="003D2A72" w:rsidRDefault="007276C2" w:rsidP="007276C2">
            <w:pPr>
              <w:spacing w:line="240" w:lineRule="auto"/>
              <w:jc w:val="right"/>
            </w:pPr>
            <w:r w:rsidRPr="005B2FAF">
              <w:t xml:space="preserve"> $-   </w:t>
            </w:r>
          </w:p>
        </w:tc>
      </w:tr>
      <w:tr w:rsidR="007276C2" w:rsidRPr="00466057" w14:paraId="3B26BFEE" w14:textId="77777777" w:rsidTr="0007458C">
        <w:trPr>
          <w:gridBefore w:val="1"/>
          <w:wBefore w:w="27" w:type="dxa"/>
          <w:trHeight w:val="315"/>
        </w:trPr>
        <w:tc>
          <w:tcPr>
            <w:tcW w:w="2658" w:type="dxa"/>
            <w:tcBorders>
              <w:top w:val="single" w:sz="4" w:space="0" w:color="auto"/>
              <w:bottom w:val="single" w:sz="4" w:space="0" w:color="auto"/>
            </w:tcBorders>
          </w:tcPr>
          <w:p w14:paraId="15694ADC" w14:textId="71B8202D" w:rsidR="007276C2" w:rsidRPr="006B45B9" w:rsidRDefault="007276C2" w:rsidP="007276C2">
            <w:pPr>
              <w:spacing w:line="240" w:lineRule="auto"/>
            </w:pPr>
            <w:r>
              <w:t>National Registration (Single Profession Board)</w:t>
            </w:r>
          </w:p>
        </w:tc>
        <w:tc>
          <w:tcPr>
            <w:tcW w:w="1597" w:type="dxa"/>
            <w:tcBorders>
              <w:top w:val="single" w:sz="4" w:space="0" w:color="auto"/>
              <w:left w:val="nil"/>
              <w:bottom w:val="single" w:sz="4" w:space="0" w:color="auto"/>
              <w:right w:val="nil"/>
            </w:tcBorders>
            <w:shd w:val="clear" w:color="000000" w:fill="FFFFFF"/>
            <w:noWrap/>
          </w:tcPr>
          <w:p w14:paraId="022901D4" w14:textId="4179BB32" w:rsidR="007276C2" w:rsidRPr="006B45B9" w:rsidRDefault="007276C2" w:rsidP="007276C2">
            <w:pPr>
              <w:spacing w:line="240" w:lineRule="auto"/>
              <w:jc w:val="right"/>
            </w:pPr>
            <w:r w:rsidRPr="005B2FAF">
              <w:t xml:space="preserve"> $1,000,000 </w:t>
            </w:r>
          </w:p>
        </w:tc>
        <w:tc>
          <w:tcPr>
            <w:tcW w:w="1599" w:type="dxa"/>
            <w:tcBorders>
              <w:top w:val="single" w:sz="4" w:space="0" w:color="auto"/>
              <w:left w:val="nil"/>
              <w:bottom w:val="single" w:sz="4" w:space="0" w:color="auto"/>
              <w:right w:val="nil"/>
            </w:tcBorders>
            <w:shd w:val="clear" w:color="000000" w:fill="FFFFFF"/>
            <w:noWrap/>
          </w:tcPr>
          <w:p w14:paraId="7A37C9E0" w14:textId="760F4354" w:rsidR="007276C2" w:rsidRPr="006B45B9" w:rsidRDefault="007276C2" w:rsidP="007276C2">
            <w:pPr>
              <w:spacing w:line="240" w:lineRule="auto"/>
              <w:jc w:val="right"/>
            </w:pPr>
            <w:r w:rsidRPr="005B2FAF">
              <w:t xml:space="preserve"> $2,200,000 </w:t>
            </w:r>
          </w:p>
        </w:tc>
        <w:tc>
          <w:tcPr>
            <w:tcW w:w="1597" w:type="dxa"/>
            <w:tcBorders>
              <w:top w:val="single" w:sz="4" w:space="0" w:color="auto"/>
              <w:left w:val="nil"/>
              <w:bottom w:val="single" w:sz="4" w:space="0" w:color="auto"/>
              <w:right w:val="nil"/>
            </w:tcBorders>
            <w:shd w:val="clear" w:color="000000" w:fill="FFFFFF"/>
            <w:noWrap/>
          </w:tcPr>
          <w:p w14:paraId="4948887E" w14:textId="4296E95F" w:rsidR="007276C2" w:rsidRPr="006B45B9" w:rsidRDefault="007276C2" w:rsidP="007276C2">
            <w:pPr>
              <w:spacing w:line="240" w:lineRule="auto"/>
              <w:jc w:val="right"/>
            </w:pPr>
            <w:r w:rsidRPr="005B2FAF">
              <w:t xml:space="preserve"> $2,302,500 </w:t>
            </w:r>
          </w:p>
        </w:tc>
        <w:tc>
          <w:tcPr>
            <w:tcW w:w="1599" w:type="dxa"/>
            <w:tcBorders>
              <w:top w:val="single" w:sz="4" w:space="0" w:color="auto"/>
              <w:left w:val="nil"/>
              <w:bottom w:val="single" w:sz="4" w:space="0" w:color="auto"/>
              <w:right w:val="nil"/>
            </w:tcBorders>
            <w:shd w:val="clear" w:color="000000" w:fill="FFFFFF"/>
          </w:tcPr>
          <w:p w14:paraId="7EA92CC0" w14:textId="3283C518" w:rsidR="007276C2" w:rsidRPr="006B45B9" w:rsidRDefault="007276C2" w:rsidP="007276C2">
            <w:pPr>
              <w:spacing w:line="240" w:lineRule="auto"/>
              <w:jc w:val="right"/>
            </w:pPr>
            <w:r w:rsidRPr="005B2FAF">
              <w:t xml:space="preserve"> $-   </w:t>
            </w:r>
          </w:p>
        </w:tc>
      </w:tr>
      <w:tr w:rsidR="007276C2" w:rsidRPr="00466057" w14:paraId="4D51257F" w14:textId="77777777" w:rsidTr="0007458C">
        <w:trPr>
          <w:gridBefore w:val="1"/>
          <w:wBefore w:w="27" w:type="dxa"/>
          <w:trHeight w:val="315"/>
        </w:trPr>
        <w:tc>
          <w:tcPr>
            <w:tcW w:w="2658" w:type="dxa"/>
            <w:tcBorders>
              <w:top w:val="single" w:sz="4" w:space="0" w:color="auto"/>
              <w:bottom w:val="single" w:sz="4" w:space="0" w:color="auto"/>
            </w:tcBorders>
          </w:tcPr>
          <w:p w14:paraId="589DE2CE" w14:textId="3C7B6B04" w:rsidR="007276C2" w:rsidRPr="006B45B9" w:rsidRDefault="007276C2" w:rsidP="007276C2">
            <w:pPr>
              <w:spacing w:line="240" w:lineRule="auto"/>
            </w:pPr>
            <w:r>
              <w:t>National Registration (Board with Multiple Professions)</w:t>
            </w:r>
          </w:p>
        </w:tc>
        <w:tc>
          <w:tcPr>
            <w:tcW w:w="1597" w:type="dxa"/>
            <w:tcBorders>
              <w:top w:val="single" w:sz="4" w:space="0" w:color="auto"/>
              <w:left w:val="nil"/>
              <w:bottom w:val="single" w:sz="4" w:space="0" w:color="auto"/>
              <w:right w:val="nil"/>
            </w:tcBorders>
            <w:shd w:val="clear" w:color="000000" w:fill="FFFFFF"/>
            <w:noWrap/>
          </w:tcPr>
          <w:p w14:paraId="38852FE4" w14:textId="042CEC8F" w:rsidR="007276C2" w:rsidRPr="006B45B9" w:rsidRDefault="007276C2" w:rsidP="007276C2">
            <w:pPr>
              <w:spacing w:line="240" w:lineRule="auto"/>
              <w:jc w:val="right"/>
            </w:pPr>
            <w:r w:rsidRPr="005B2FAF">
              <w:t xml:space="preserve"> $1,000,000 </w:t>
            </w:r>
          </w:p>
        </w:tc>
        <w:tc>
          <w:tcPr>
            <w:tcW w:w="1599" w:type="dxa"/>
            <w:tcBorders>
              <w:top w:val="single" w:sz="4" w:space="0" w:color="auto"/>
              <w:left w:val="nil"/>
              <w:bottom w:val="single" w:sz="4" w:space="0" w:color="auto"/>
              <w:right w:val="nil"/>
            </w:tcBorders>
            <w:shd w:val="clear" w:color="000000" w:fill="FFFFFF"/>
            <w:noWrap/>
          </w:tcPr>
          <w:p w14:paraId="688B1BF0" w14:textId="4A7BDE53" w:rsidR="007276C2" w:rsidRPr="006B45B9" w:rsidRDefault="007276C2" w:rsidP="007276C2">
            <w:pPr>
              <w:spacing w:line="240" w:lineRule="auto"/>
              <w:jc w:val="right"/>
            </w:pPr>
            <w:r w:rsidRPr="005B2FAF">
              <w:t xml:space="preserve"> $2,200,000 </w:t>
            </w:r>
          </w:p>
        </w:tc>
        <w:tc>
          <w:tcPr>
            <w:tcW w:w="1597" w:type="dxa"/>
            <w:tcBorders>
              <w:top w:val="single" w:sz="4" w:space="0" w:color="auto"/>
              <w:left w:val="nil"/>
              <w:bottom w:val="single" w:sz="4" w:space="0" w:color="auto"/>
              <w:right w:val="nil"/>
            </w:tcBorders>
            <w:shd w:val="clear" w:color="000000" w:fill="FFFFFF"/>
            <w:noWrap/>
          </w:tcPr>
          <w:p w14:paraId="3BBBA56C" w14:textId="0D0CEEB9" w:rsidR="007276C2" w:rsidRPr="006B45B9" w:rsidRDefault="007276C2" w:rsidP="007276C2">
            <w:pPr>
              <w:spacing w:line="240" w:lineRule="auto"/>
              <w:jc w:val="right"/>
            </w:pPr>
            <w:r w:rsidRPr="005B2FAF">
              <w:t xml:space="preserve"> $2,302,500 </w:t>
            </w:r>
          </w:p>
        </w:tc>
        <w:tc>
          <w:tcPr>
            <w:tcW w:w="1599" w:type="dxa"/>
            <w:tcBorders>
              <w:top w:val="single" w:sz="4" w:space="0" w:color="auto"/>
              <w:left w:val="nil"/>
              <w:bottom w:val="single" w:sz="4" w:space="0" w:color="auto"/>
              <w:right w:val="nil"/>
            </w:tcBorders>
            <w:shd w:val="clear" w:color="000000" w:fill="FFFFFF"/>
          </w:tcPr>
          <w:p w14:paraId="28C5F4E8" w14:textId="442ED725" w:rsidR="007276C2" w:rsidRPr="006B45B9" w:rsidRDefault="007276C2" w:rsidP="007276C2">
            <w:pPr>
              <w:spacing w:line="240" w:lineRule="auto"/>
              <w:jc w:val="right"/>
            </w:pPr>
            <w:r w:rsidRPr="005B2FAF">
              <w:t xml:space="preserve"> $-   </w:t>
            </w:r>
          </w:p>
        </w:tc>
      </w:tr>
    </w:tbl>
    <w:p w14:paraId="055059A0" w14:textId="6D14FC9D" w:rsidR="00187AE8" w:rsidRPr="0007458C" w:rsidRDefault="005E3C6B" w:rsidP="0007458C">
      <w:pPr>
        <w:pStyle w:val="BodyText"/>
        <w:rPr>
          <w:sz w:val="17"/>
          <w:szCs w:val="17"/>
        </w:rPr>
      </w:pPr>
      <w:r w:rsidRPr="0007458C">
        <w:rPr>
          <w:sz w:val="17"/>
          <w:szCs w:val="17"/>
        </w:rPr>
        <w:t xml:space="preserve">^Note: </w:t>
      </w:r>
      <w:r w:rsidR="000C3EC4" w:rsidRPr="0007458C">
        <w:rPr>
          <w:sz w:val="17"/>
          <w:szCs w:val="17"/>
        </w:rPr>
        <w:t>Strengthened Status Quo</w:t>
      </w:r>
      <w:r w:rsidRPr="0007458C">
        <w:rPr>
          <w:sz w:val="17"/>
          <w:szCs w:val="17"/>
        </w:rPr>
        <w:t xml:space="preserve"> does not include the cost of the funding envelope for the CPD uplift which is flexibly set by the</w:t>
      </w:r>
      <w:r w:rsidR="000C3EC4" w:rsidRPr="0007458C">
        <w:rPr>
          <w:sz w:val="17"/>
          <w:szCs w:val="17"/>
        </w:rPr>
        <w:t xml:space="preserve"> government as a</w:t>
      </w:r>
      <w:r w:rsidRPr="0007458C">
        <w:rPr>
          <w:sz w:val="17"/>
          <w:szCs w:val="17"/>
        </w:rPr>
        <w:t xml:space="preserve"> decision-maker</w:t>
      </w:r>
      <w:r w:rsidR="00EA09F4" w:rsidRPr="0007458C">
        <w:rPr>
          <w:sz w:val="17"/>
          <w:szCs w:val="17"/>
        </w:rPr>
        <w:t>.</w:t>
      </w:r>
    </w:p>
    <w:p w14:paraId="6F5D2A45" w14:textId="49543ED1" w:rsidR="00F940A1" w:rsidRDefault="00F940A1" w:rsidP="00F940A1">
      <w:pPr>
        <w:pStyle w:val="Caption"/>
        <w:keepNext/>
      </w:pPr>
      <w:r>
        <w:t xml:space="preserve">Table </w:t>
      </w:r>
      <w:fldSimple w:instr=" STYLEREF 1 \s ">
        <w:r w:rsidR="00F32107">
          <w:rPr>
            <w:noProof/>
          </w:rPr>
          <w:t>10</w:t>
        </w:r>
      </w:fldSimple>
      <w:r>
        <w:t>.</w:t>
      </w:r>
      <w:fldSimple w:instr=" SEQ Table \* ARABIC \s 1 ">
        <w:r w:rsidR="00F32107">
          <w:rPr>
            <w:noProof/>
          </w:rPr>
          <w:t>3</w:t>
        </w:r>
      </w:fldSimple>
      <w:r>
        <w:t xml:space="preserve"> FY26-FY29 cost table (FY25 real, undiscounted terms), for employer stakeholder</w:t>
      </w:r>
    </w:p>
    <w:tbl>
      <w:tblPr>
        <w:tblStyle w:val="BodyTable"/>
        <w:tblW w:w="9077" w:type="dxa"/>
        <w:tblInd w:w="2" w:type="dxa"/>
        <w:tblLayout w:type="fixed"/>
        <w:tblLook w:val="04A0" w:firstRow="1" w:lastRow="0" w:firstColumn="1" w:lastColumn="0" w:noHBand="0" w:noVBand="1"/>
      </w:tblPr>
      <w:tblGrid>
        <w:gridCol w:w="27"/>
        <w:gridCol w:w="2658"/>
        <w:gridCol w:w="1597"/>
        <w:gridCol w:w="1599"/>
        <w:gridCol w:w="1597"/>
        <w:gridCol w:w="1599"/>
      </w:tblGrid>
      <w:tr w:rsidR="00F940A1" w:rsidRPr="00466057" w14:paraId="53B3EEE2" w14:textId="77777777">
        <w:trPr>
          <w:gridBefore w:val="1"/>
          <w:cnfStyle w:val="100000000000" w:firstRow="1" w:lastRow="0" w:firstColumn="0" w:lastColumn="0" w:oddVBand="0" w:evenVBand="0" w:oddHBand="0" w:evenHBand="0" w:firstRowFirstColumn="0" w:firstRowLastColumn="0" w:lastRowFirstColumn="0" w:lastRowLastColumn="0"/>
          <w:wBefore w:w="27" w:type="dxa"/>
          <w:trHeight w:val="315"/>
        </w:trPr>
        <w:tc>
          <w:tcPr>
            <w:tcW w:w="2658" w:type="dxa"/>
          </w:tcPr>
          <w:p w14:paraId="642B8111" w14:textId="77777777" w:rsidR="00F940A1" w:rsidRPr="00CF77E4" w:rsidRDefault="00F940A1">
            <w:pPr>
              <w:spacing w:line="240" w:lineRule="auto"/>
              <w:rPr>
                <w:b/>
              </w:rPr>
            </w:pPr>
            <w:r>
              <w:rPr>
                <w:b/>
              </w:rPr>
              <w:t>Option</w:t>
            </w:r>
          </w:p>
        </w:tc>
        <w:tc>
          <w:tcPr>
            <w:tcW w:w="1597" w:type="dxa"/>
            <w:noWrap/>
          </w:tcPr>
          <w:p w14:paraId="74034782" w14:textId="77777777" w:rsidR="00F940A1" w:rsidRPr="00466057" w:rsidRDefault="00F940A1">
            <w:pPr>
              <w:spacing w:line="240" w:lineRule="auto"/>
              <w:jc w:val="right"/>
              <w:rPr>
                <w:rFonts w:eastAsia="Times New Roman" w:cs="Calibri Light"/>
                <w:color w:val="000000"/>
                <w:szCs w:val="20"/>
                <w:lang w:eastAsia="en-AU"/>
              </w:rPr>
            </w:pPr>
            <w:r>
              <w:rPr>
                <w:b/>
                <w:bCs/>
              </w:rPr>
              <w:t>FY26</w:t>
            </w:r>
          </w:p>
        </w:tc>
        <w:tc>
          <w:tcPr>
            <w:tcW w:w="1599" w:type="dxa"/>
            <w:noWrap/>
          </w:tcPr>
          <w:p w14:paraId="3CDB3A5E" w14:textId="77777777" w:rsidR="00F940A1" w:rsidRPr="00466057" w:rsidRDefault="00F940A1">
            <w:pPr>
              <w:spacing w:line="240" w:lineRule="auto"/>
              <w:jc w:val="right"/>
              <w:rPr>
                <w:rFonts w:eastAsia="Times New Roman" w:cs="Calibri Light"/>
                <w:color w:val="000000"/>
                <w:szCs w:val="20"/>
                <w:lang w:eastAsia="en-AU"/>
              </w:rPr>
            </w:pPr>
            <w:r>
              <w:rPr>
                <w:b/>
                <w:bCs/>
              </w:rPr>
              <w:t>FY27</w:t>
            </w:r>
          </w:p>
        </w:tc>
        <w:tc>
          <w:tcPr>
            <w:tcW w:w="1597" w:type="dxa"/>
            <w:noWrap/>
          </w:tcPr>
          <w:p w14:paraId="415AF09B" w14:textId="77777777" w:rsidR="00F940A1" w:rsidRPr="00466057" w:rsidRDefault="00F940A1">
            <w:pPr>
              <w:spacing w:line="240" w:lineRule="auto"/>
              <w:jc w:val="right"/>
              <w:rPr>
                <w:rFonts w:eastAsia="Times New Roman" w:cs="Calibri Light"/>
                <w:color w:val="000000"/>
                <w:szCs w:val="20"/>
                <w:lang w:eastAsia="en-AU"/>
              </w:rPr>
            </w:pPr>
            <w:r>
              <w:rPr>
                <w:b/>
                <w:bCs/>
              </w:rPr>
              <w:t>FY28</w:t>
            </w:r>
          </w:p>
        </w:tc>
        <w:tc>
          <w:tcPr>
            <w:tcW w:w="1599" w:type="dxa"/>
          </w:tcPr>
          <w:p w14:paraId="58CD3696" w14:textId="77777777" w:rsidR="00F940A1" w:rsidRPr="006A1D83" w:rsidRDefault="00F940A1">
            <w:pPr>
              <w:spacing w:line="240" w:lineRule="auto"/>
              <w:ind w:left="113" w:right="113"/>
              <w:jc w:val="right"/>
              <w:rPr>
                <w:b/>
              </w:rPr>
            </w:pPr>
            <w:r>
              <w:rPr>
                <w:b/>
                <w:bCs/>
              </w:rPr>
              <w:t>FY29</w:t>
            </w:r>
          </w:p>
        </w:tc>
      </w:tr>
      <w:tr w:rsidR="003C38F0" w:rsidRPr="00466057" w14:paraId="11B93B72" w14:textId="77777777">
        <w:trPr>
          <w:gridBefore w:val="1"/>
          <w:wBefore w:w="27" w:type="dxa"/>
          <w:trHeight w:val="315"/>
        </w:trPr>
        <w:tc>
          <w:tcPr>
            <w:tcW w:w="2658" w:type="dxa"/>
            <w:tcBorders>
              <w:top w:val="single" w:sz="4" w:space="0" w:color="000000" w:themeColor="text1"/>
              <w:bottom w:val="single" w:sz="4" w:space="0" w:color="auto"/>
            </w:tcBorders>
          </w:tcPr>
          <w:p w14:paraId="38E03E80" w14:textId="16A32513" w:rsidR="003C38F0" w:rsidRPr="006B45B9" w:rsidRDefault="003C38F0" w:rsidP="003C38F0">
            <w:pPr>
              <w:spacing w:line="240" w:lineRule="auto"/>
            </w:pPr>
            <w:r>
              <w:t>Strengthened Status Quo</w:t>
            </w:r>
            <w:r w:rsidR="00EA09F4">
              <w:t>^</w:t>
            </w:r>
          </w:p>
        </w:tc>
        <w:tc>
          <w:tcPr>
            <w:tcW w:w="1597" w:type="dxa"/>
            <w:tcBorders>
              <w:top w:val="single" w:sz="4" w:space="0" w:color="000000" w:themeColor="text1"/>
              <w:left w:val="nil"/>
              <w:bottom w:val="single" w:sz="4" w:space="0" w:color="auto"/>
              <w:right w:val="nil"/>
            </w:tcBorders>
            <w:shd w:val="clear" w:color="000000" w:fill="FFFFFF"/>
            <w:noWrap/>
          </w:tcPr>
          <w:p w14:paraId="0DCA8BA5" w14:textId="72CDC3BA" w:rsidR="003C38F0" w:rsidRPr="006B45B9" w:rsidRDefault="003C38F0" w:rsidP="003C38F0">
            <w:pPr>
              <w:spacing w:line="240" w:lineRule="auto"/>
              <w:jc w:val="right"/>
            </w:pPr>
            <w:r w:rsidRPr="00F7003A">
              <w:t xml:space="preserve"> $-   </w:t>
            </w:r>
          </w:p>
        </w:tc>
        <w:tc>
          <w:tcPr>
            <w:tcW w:w="1599" w:type="dxa"/>
            <w:tcBorders>
              <w:top w:val="single" w:sz="4" w:space="0" w:color="000000" w:themeColor="text1"/>
              <w:left w:val="nil"/>
              <w:bottom w:val="single" w:sz="4" w:space="0" w:color="auto"/>
              <w:right w:val="nil"/>
            </w:tcBorders>
            <w:shd w:val="clear" w:color="000000" w:fill="FFFFFF"/>
            <w:noWrap/>
          </w:tcPr>
          <w:p w14:paraId="2E5BF5EF" w14:textId="5ADAA7A3" w:rsidR="003C38F0" w:rsidRPr="006B45B9" w:rsidRDefault="003C38F0" w:rsidP="003C38F0">
            <w:pPr>
              <w:spacing w:line="240" w:lineRule="auto"/>
              <w:jc w:val="right"/>
            </w:pPr>
            <w:r w:rsidRPr="00F7003A">
              <w:t xml:space="preserve"> $-   </w:t>
            </w:r>
          </w:p>
        </w:tc>
        <w:tc>
          <w:tcPr>
            <w:tcW w:w="1597" w:type="dxa"/>
            <w:tcBorders>
              <w:top w:val="single" w:sz="4" w:space="0" w:color="000000" w:themeColor="text1"/>
              <w:left w:val="nil"/>
              <w:bottom w:val="single" w:sz="4" w:space="0" w:color="auto"/>
              <w:right w:val="nil"/>
            </w:tcBorders>
            <w:shd w:val="clear" w:color="000000" w:fill="FFFFFF"/>
            <w:noWrap/>
          </w:tcPr>
          <w:p w14:paraId="18F6A61F" w14:textId="115DF5CE" w:rsidR="003C38F0" w:rsidRPr="006B45B9" w:rsidRDefault="003C38F0" w:rsidP="003C38F0">
            <w:pPr>
              <w:spacing w:line="240" w:lineRule="auto"/>
              <w:jc w:val="right"/>
            </w:pPr>
            <w:r w:rsidRPr="00F7003A">
              <w:t xml:space="preserve"> $-   </w:t>
            </w:r>
          </w:p>
        </w:tc>
        <w:tc>
          <w:tcPr>
            <w:tcW w:w="1599" w:type="dxa"/>
            <w:tcBorders>
              <w:top w:val="single" w:sz="4" w:space="0" w:color="000000" w:themeColor="text1"/>
              <w:left w:val="nil"/>
              <w:bottom w:val="single" w:sz="4" w:space="0" w:color="auto"/>
              <w:right w:val="nil"/>
            </w:tcBorders>
            <w:shd w:val="clear" w:color="000000" w:fill="FFFFFF"/>
          </w:tcPr>
          <w:p w14:paraId="494FB400" w14:textId="5CAB8E4A" w:rsidR="003C38F0" w:rsidRPr="006B45B9" w:rsidRDefault="003C38F0" w:rsidP="003C38F0">
            <w:pPr>
              <w:spacing w:line="240" w:lineRule="auto"/>
              <w:jc w:val="right"/>
            </w:pPr>
            <w:r w:rsidRPr="00F7003A">
              <w:t xml:space="preserve"> $545,716 </w:t>
            </w:r>
          </w:p>
        </w:tc>
      </w:tr>
      <w:tr w:rsidR="003C38F0" w:rsidRPr="00466057" w14:paraId="7B43BD4C" w14:textId="77777777">
        <w:trPr>
          <w:trHeight w:val="315"/>
        </w:trPr>
        <w:tc>
          <w:tcPr>
            <w:tcW w:w="2685" w:type="dxa"/>
            <w:gridSpan w:val="2"/>
            <w:tcBorders>
              <w:top w:val="single" w:sz="4" w:space="0" w:color="000000" w:themeColor="text1"/>
              <w:bottom w:val="single" w:sz="4" w:space="0" w:color="auto"/>
            </w:tcBorders>
          </w:tcPr>
          <w:p w14:paraId="0A2A36EB" w14:textId="71EB2DA0" w:rsidR="003C38F0" w:rsidRDefault="003C38F0" w:rsidP="003C38F0">
            <w:pPr>
              <w:spacing w:line="240" w:lineRule="auto"/>
            </w:pPr>
            <w:r>
              <w:t>Jurisdictional Registration</w:t>
            </w:r>
          </w:p>
        </w:tc>
        <w:tc>
          <w:tcPr>
            <w:tcW w:w="1597" w:type="dxa"/>
            <w:tcBorders>
              <w:top w:val="single" w:sz="4" w:space="0" w:color="000000" w:themeColor="text1"/>
              <w:left w:val="nil"/>
              <w:bottom w:val="single" w:sz="4" w:space="0" w:color="auto"/>
              <w:right w:val="nil"/>
            </w:tcBorders>
            <w:shd w:val="clear" w:color="000000" w:fill="FFFFFF"/>
            <w:noWrap/>
          </w:tcPr>
          <w:p w14:paraId="1089992F" w14:textId="3C7E9E66" w:rsidR="003C38F0" w:rsidRPr="003D2A72" w:rsidRDefault="003C38F0" w:rsidP="003C38F0">
            <w:pPr>
              <w:spacing w:line="240" w:lineRule="auto"/>
              <w:jc w:val="right"/>
            </w:pPr>
            <w:r w:rsidRPr="00F7003A">
              <w:t xml:space="preserve"> $-   </w:t>
            </w:r>
          </w:p>
        </w:tc>
        <w:tc>
          <w:tcPr>
            <w:tcW w:w="1599" w:type="dxa"/>
            <w:tcBorders>
              <w:top w:val="single" w:sz="4" w:space="0" w:color="000000" w:themeColor="text1"/>
              <w:left w:val="nil"/>
              <w:bottom w:val="single" w:sz="4" w:space="0" w:color="auto"/>
              <w:right w:val="nil"/>
            </w:tcBorders>
            <w:shd w:val="clear" w:color="000000" w:fill="FFFFFF"/>
            <w:noWrap/>
          </w:tcPr>
          <w:p w14:paraId="09C66251" w14:textId="608F9003" w:rsidR="003C38F0" w:rsidRPr="003D2A72" w:rsidRDefault="003C38F0" w:rsidP="003C38F0">
            <w:pPr>
              <w:spacing w:line="240" w:lineRule="auto"/>
              <w:jc w:val="right"/>
            </w:pPr>
            <w:r w:rsidRPr="00F7003A">
              <w:t xml:space="preserve"> $-   </w:t>
            </w:r>
          </w:p>
        </w:tc>
        <w:tc>
          <w:tcPr>
            <w:tcW w:w="1597" w:type="dxa"/>
            <w:tcBorders>
              <w:top w:val="single" w:sz="4" w:space="0" w:color="000000" w:themeColor="text1"/>
              <w:left w:val="nil"/>
              <w:bottom w:val="single" w:sz="4" w:space="0" w:color="auto"/>
              <w:right w:val="nil"/>
            </w:tcBorders>
            <w:shd w:val="clear" w:color="000000" w:fill="FFFFFF"/>
            <w:noWrap/>
          </w:tcPr>
          <w:p w14:paraId="1AB6606B" w14:textId="7E949E93" w:rsidR="003C38F0" w:rsidRPr="003D2A72" w:rsidRDefault="003C38F0" w:rsidP="003C38F0">
            <w:pPr>
              <w:spacing w:line="240" w:lineRule="auto"/>
              <w:jc w:val="right"/>
            </w:pPr>
            <w:r w:rsidRPr="00F7003A">
              <w:t xml:space="preserve"> $-   </w:t>
            </w:r>
          </w:p>
        </w:tc>
        <w:tc>
          <w:tcPr>
            <w:tcW w:w="1599" w:type="dxa"/>
            <w:tcBorders>
              <w:top w:val="single" w:sz="4" w:space="0" w:color="000000" w:themeColor="text1"/>
              <w:left w:val="nil"/>
              <w:bottom w:val="single" w:sz="4" w:space="0" w:color="auto"/>
              <w:right w:val="nil"/>
            </w:tcBorders>
            <w:shd w:val="clear" w:color="000000" w:fill="FFFFFF"/>
          </w:tcPr>
          <w:p w14:paraId="619DBC0A" w14:textId="2694654A" w:rsidR="003C38F0" w:rsidRPr="003D2A72" w:rsidRDefault="003C38F0" w:rsidP="003C38F0">
            <w:pPr>
              <w:spacing w:line="240" w:lineRule="auto"/>
              <w:jc w:val="right"/>
            </w:pPr>
            <w:r w:rsidRPr="00F7003A">
              <w:t xml:space="preserve"> $2,077,936 </w:t>
            </w:r>
          </w:p>
        </w:tc>
      </w:tr>
      <w:tr w:rsidR="003C38F0" w:rsidRPr="00466057" w14:paraId="76D08274" w14:textId="77777777">
        <w:trPr>
          <w:gridBefore w:val="1"/>
          <w:wBefore w:w="27" w:type="dxa"/>
          <w:trHeight w:val="315"/>
        </w:trPr>
        <w:tc>
          <w:tcPr>
            <w:tcW w:w="2658" w:type="dxa"/>
            <w:tcBorders>
              <w:top w:val="single" w:sz="4" w:space="0" w:color="auto"/>
              <w:bottom w:val="single" w:sz="4" w:space="0" w:color="auto"/>
            </w:tcBorders>
          </w:tcPr>
          <w:p w14:paraId="70C1FB80" w14:textId="66423966" w:rsidR="003C38F0" w:rsidRPr="006B45B9" w:rsidRDefault="003C38F0" w:rsidP="003C38F0">
            <w:pPr>
              <w:spacing w:line="240" w:lineRule="auto"/>
            </w:pPr>
            <w:r>
              <w:t>National Registration (Single Profession Board)</w:t>
            </w:r>
          </w:p>
        </w:tc>
        <w:tc>
          <w:tcPr>
            <w:tcW w:w="1597" w:type="dxa"/>
            <w:tcBorders>
              <w:top w:val="single" w:sz="4" w:space="0" w:color="auto"/>
              <w:left w:val="nil"/>
              <w:bottom w:val="single" w:sz="4" w:space="0" w:color="auto"/>
              <w:right w:val="nil"/>
            </w:tcBorders>
            <w:shd w:val="clear" w:color="000000" w:fill="FFFFFF"/>
            <w:noWrap/>
          </w:tcPr>
          <w:p w14:paraId="5CDA571B" w14:textId="25FE9356" w:rsidR="003C38F0" w:rsidRPr="006B45B9" w:rsidRDefault="003C38F0" w:rsidP="003C38F0">
            <w:pPr>
              <w:spacing w:line="240" w:lineRule="auto"/>
              <w:jc w:val="right"/>
            </w:pPr>
            <w:r w:rsidRPr="00F7003A">
              <w:t xml:space="preserve"> $-   </w:t>
            </w:r>
          </w:p>
        </w:tc>
        <w:tc>
          <w:tcPr>
            <w:tcW w:w="1599" w:type="dxa"/>
            <w:tcBorders>
              <w:top w:val="single" w:sz="4" w:space="0" w:color="auto"/>
              <w:left w:val="nil"/>
              <w:bottom w:val="single" w:sz="4" w:space="0" w:color="auto"/>
              <w:right w:val="nil"/>
            </w:tcBorders>
            <w:shd w:val="clear" w:color="000000" w:fill="FFFFFF"/>
            <w:noWrap/>
          </w:tcPr>
          <w:p w14:paraId="3F4C9F85" w14:textId="326720B6" w:rsidR="003C38F0" w:rsidRPr="006B45B9" w:rsidRDefault="003C38F0" w:rsidP="003C38F0">
            <w:pPr>
              <w:spacing w:line="240" w:lineRule="auto"/>
              <w:jc w:val="right"/>
            </w:pPr>
            <w:r w:rsidRPr="00F7003A">
              <w:t xml:space="preserve"> $-   </w:t>
            </w:r>
          </w:p>
        </w:tc>
        <w:tc>
          <w:tcPr>
            <w:tcW w:w="1597" w:type="dxa"/>
            <w:tcBorders>
              <w:top w:val="single" w:sz="4" w:space="0" w:color="auto"/>
              <w:left w:val="nil"/>
              <w:bottom w:val="single" w:sz="4" w:space="0" w:color="auto"/>
              <w:right w:val="nil"/>
            </w:tcBorders>
            <w:shd w:val="clear" w:color="000000" w:fill="FFFFFF"/>
            <w:noWrap/>
          </w:tcPr>
          <w:p w14:paraId="79907CB1" w14:textId="395EB11F" w:rsidR="003C38F0" w:rsidRPr="006B45B9" w:rsidRDefault="003C38F0" w:rsidP="003C38F0">
            <w:pPr>
              <w:spacing w:line="240" w:lineRule="auto"/>
              <w:jc w:val="right"/>
            </w:pPr>
            <w:r w:rsidRPr="00F7003A">
              <w:t xml:space="preserve"> $-   </w:t>
            </w:r>
          </w:p>
        </w:tc>
        <w:tc>
          <w:tcPr>
            <w:tcW w:w="1599" w:type="dxa"/>
            <w:tcBorders>
              <w:top w:val="single" w:sz="4" w:space="0" w:color="auto"/>
              <w:left w:val="nil"/>
              <w:bottom w:val="single" w:sz="4" w:space="0" w:color="auto"/>
              <w:right w:val="nil"/>
            </w:tcBorders>
            <w:shd w:val="clear" w:color="000000" w:fill="FFFFFF"/>
          </w:tcPr>
          <w:p w14:paraId="370C882A" w14:textId="00BDC549" w:rsidR="003C38F0" w:rsidRPr="006B45B9" w:rsidRDefault="003C38F0" w:rsidP="003C38F0">
            <w:pPr>
              <w:spacing w:line="240" w:lineRule="auto"/>
              <w:jc w:val="right"/>
            </w:pPr>
            <w:r w:rsidRPr="00F7003A">
              <w:t xml:space="preserve"> $2,077,936 </w:t>
            </w:r>
          </w:p>
        </w:tc>
      </w:tr>
      <w:tr w:rsidR="003C38F0" w:rsidRPr="00466057" w14:paraId="2D4F89C1" w14:textId="77777777">
        <w:trPr>
          <w:gridBefore w:val="1"/>
          <w:wBefore w:w="27" w:type="dxa"/>
          <w:trHeight w:val="315"/>
        </w:trPr>
        <w:tc>
          <w:tcPr>
            <w:tcW w:w="2658" w:type="dxa"/>
            <w:tcBorders>
              <w:top w:val="single" w:sz="4" w:space="0" w:color="auto"/>
              <w:bottom w:val="single" w:sz="4" w:space="0" w:color="auto"/>
            </w:tcBorders>
          </w:tcPr>
          <w:p w14:paraId="38299C1E" w14:textId="15A0FC03" w:rsidR="003C38F0" w:rsidRPr="006B45B9" w:rsidRDefault="003C38F0" w:rsidP="003C38F0">
            <w:pPr>
              <w:spacing w:line="240" w:lineRule="auto"/>
            </w:pPr>
            <w:r>
              <w:t>National Registration (Board with Multiple Professions)</w:t>
            </w:r>
          </w:p>
        </w:tc>
        <w:tc>
          <w:tcPr>
            <w:tcW w:w="1597" w:type="dxa"/>
            <w:tcBorders>
              <w:top w:val="single" w:sz="4" w:space="0" w:color="auto"/>
              <w:left w:val="nil"/>
              <w:bottom w:val="single" w:sz="4" w:space="0" w:color="auto"/>
              <w:right w:val="nil"/>
            </w:tcBorders>
            <w:shd w:val="clear" w:color="000000" w:fill="FFFFFF"/>
            <w:noWrap/>
          </w:tcPr>
          <w:p w14:paraId="2F570E08" w14:textId="0B463EE4" w:rsidR="003C38F0" w:rsidRPr="006B45B9" w:rsidRDefault="003C38F0" w:rsidP="003C38F0">
            <w:pPr>
              <w:spacing w:line="240" w:lineRule="auto"/>
              <w:jc w:val="right"/>
            </w:pPr>
            <w:r w:rsidRPr="00F7003A">
              <w:t xml:space="preserve"> $-   </w:t>
            </w:r>
          </w:p>
        </w:tc>
        <w:tc>
          <w:tcPr>
            <w:tcW w:w="1599" w:type="dxa"/>
            <w:tcBorders>
              <w:top w:val="single" w:sz="4" w:space="0" w:color="auto"/>
              <w:left w:val="nil"/>
              <w:bottom w:val="single" w:sz="4" w:space="0" w:color="auto"/>
              <w:right w:val="nil"/>
            </w:tcBorders>
            <w:shd w:val="clear" w:color="000000" w:fill="FFFFFF"/>
            <w:noWrap/>
          </w:tcPr>
          <w:p w14:paraId="39C2084C" w14:textId="20E75B3E" w:rsidR="003C38F0" w:rsidRPr="006B45B9" w:rsidRDefault="003C38F0" w:rsidP="003C38F0">
            <w:pPr>
              <w:spacing w:line="240" w:lineRule="auto"/>
              <w:jc w:val="right"/>
            </w:pPr>
            <w:r w:rsidRPr="00F7003A">
              <w:t xml:space="preserve"> $-   </w:t>
            </w:r>
          </w:p>
        </w:tc>
        <w:tc>
          <w:tcPr>
            <w:tcW w:w="1597" w:type="dxa"/>
            <w:tcBorders>
              <w:top w:val="single" w:sz="4" w:space="0" w:color="auto"/>
              <w:left w:val="nil"/>
              <w:bottom w:val="single" w:sz="4" w:space="0" w:color="auto"/>
              <w:right w:val="nil"/>
            </w:tcBorders>
            <w:shd w:val="clear" w:color="000000" w:fill="FFFFFF"/>
            <w:noWrap/>
          </w:tcPr>
          <w:p w14:paraId="63C518B5" w14:textId="66A41128" w:rsidR="003C38F0" w:rsidRPr="006B45B9" w:rsidRDefault="003C38F0" w:rsidP="003C38F0">
            <w:pPr>
              <w:spacing w:line="240" w:lineRule="auto"/>
              <w:jc w:val="right"/>
            </w:pPr>
            <w:r w:rsidRPr="00F7003A">
              <w:t xml:space="preserve"> $-   </w:t>
            </w:r>
          </w:p>
        </w:tc>
        <w:tc>
          <w:tcPr>
            <w:tcW w:w="1599" w:type="dxa"/>
            <w:tcBorders>
              <w:top w:val="single" w:sz="4" w:space="0" w:color="auto"/>
              <w:left w:val="nil"/>
              <w:bottom w:val="single" w:sz="4" w:space="0" w:color="auto"/>
              <w:right w:val="nil"/>
            </w:tcBorders>
            <w:shd w:val="clear" w:color="000000" w:fill="FFFFFF"/>
          </w:tcPr>
          <w:p w14:paraId="1B51D470" w14:textId="3F33137F" w:rsidR="003C38F0" w:rsidRPr="006B45B9" w:rsidRDefault="003C38F0" w:rsidP="003C38F0">
            <w:pPr>
              <w:spacing w:line="240" w:lineRule="auto"/>
              <w:jc w:val="right"/>
            </w:pPr>
            <w:r w:rsidRPr="00F7003A">
              <w:t xml:space="preserve"> $2,077,936 </w:t>
            </w:r>
          </w:p>
        </w:tc>
      </w:tr>
    </w:tbl>
    <w:p w14:paraId="1014448B" w14:textId="556AF854" w:rsidR="00F940A1" w:rsidRPr="0007458C" w:rsidRDefault="00EA09F4" w:rsidP="0007458C">
      <w:pPr>
        <w:pStyle w:val="BodyText"/>
        <w:rPr>
          <w:sz w:val="17"/>
          <w:szCs w:val="17"/>
        </w:rPr>
      </w:pPr>
      <w:r w:rsidRPr="0007458C">
        <w:rPr>
          <w:sz w:val="17"/>
          <w:szCs w:val="17"/>
        </w:rPr>
        <w:t xml:space="preserve">^Note: </w:t>
      </w:r>
      <w:r w:rsidR="000C3EC4" w:rsidRPr="0007458C">
        <w:rPr>
          <w:sz w:val="17"/>
          <w:szCs w:val="17"/>
        </w:rPr>
        <w:t>Strengthened Status Quo</w:t>
      </w:r>
      <w:r w:rsidRPr="0007458C">
        <w:rPr>
          <w:sz w:val="17"/>
          <w:szCs w:val="17"/>
        </w:rPr>
        <w:t xml:space="preserve"> does not include the cost of </w:t>
      </w:r>
      <w:r w:rsidR="000C3EC4" w:rsidRPr="0007458C">
        <w:rPr>
          <w:sz w:val="17"/>
          <w:szCs w:val="17"/>
        </w:rPr>
        <w:t>any potential precedent setting for current clinical certification fees to be paid by the public sector employer.</w:t>
      </w:r>
    </w:p>
    <w:p w14:paraId="055AB031" w14:textId="71BF9152" w:rsidR="003C38F0" w:rsidRDefault="003C38F0" w:rsidP="003C38F0">
      <w:pPr>
        <w:pStyle w:val="Caption"/>
        <w:keepNext/>
      </w:pPr>
      <w:r>
        <w:t xml:space="preserve">Table </w:t>
      </w:r>
      <w:fldSimple w:instr=" STYLEREF 1 \s ">
        <w:r w:rsidR="00F32107">
          <w:rPr>
            <w:noProof/>
          </w:rPr>
          <w:t>10</w:t>
        </w:r>
      </w:fldSimple>
      <w:r>
        <w:t>.</w:t>
      </w:r>
      <w:fldSimple w:instr=" SEQ Table \* ARABIC \s 1 ">
        <w:r w:rsidR="00F32107">
          <w:rPr>
            <w:noProof/>
          </w:rPr>
          <w:t>4</w:t>
        </w:r>
      </w:fldSimple>
      <w:r>
        <w:t xml:space="preserve"> FY26-FY29 cost table (FY25 real, undiscounted terms), for </w:t>
      </w:r>
      <w:r w:rsidR="004C2B28">
        <w:t>audiologist</w:t>
      </w:r>
      <w:r>
        <w:t xml:space="preserve"> stakeholder</w:t>
      </w:r>
    </w:p>
    <w:tbl>
      <w:tblPr>
        <w:tblStyle w:val="BodyTable"/>
        <w:tblW w:w="9077" w:type="dxa"/>
        <w:tblInd w:w="2" w:type="dxa"/>
        <w:tblLayout w:type="fixed"/>
        <w:tblLook w:val="04A0" w:firstRow="1" w:lastRow="0" w:firstColumn="1" w:lastColumn="0" w:noHBand="0" w:noVBand="1"/>
      </w:tblPr>
      <w:tblGrid>
        <w:gridCol w:w="27"/>
        <w:gridCol w:w="2658"/>
        <w:gridCol w:w="1597"/>
        <w:gridCol w:w="1599"/>
        <w:gridCol w:w="1597"/>
        <w:gridCol w:w="1599"/>
      </w:tblGrid>
      <w:tr w:rsidR="003C38F0" w:rsidRPr="00466057" w14:paraId="18AFE560" w14:textId="77777777">
        <w:trPr>
          <w:gridBefore w:val="1"/>
          <w:cnfStyle w:val="100000000000" w:firstRow="1" w:lastRow="0" w:firstColumn="0" w:lastColumn="0" w:oddVBand="0" w:evenVBand="0" w:oddHBand="0" w:evenHBand="0" w:firstRowFirstColumn="0" w:firstRowLastColumn="0" w:lastRowFirstColumn="0" w:lastRowLastColumn="0"/>
          <w:wBefore w:w="27" w:type="dxa"/>
          <w:trHeight w:val="315"/>
        </w:trPr>
        <w:tc>
          <w:tcPr>
            <w:tcW w:w="2658" w:type="dxa"/>
          </w:tcPr>
          <w:p w14:paraId="0325E8B3" w14:textId="77777777" w:rsidR="003C38F0" w:rsidRPr="00CF77E4" w:rsidRDefault="003C38F0" w:rsidP="0007458C">
            <w:pPr>
              <w:keepNext/>
              <w:spacing w:line="240" w:lineRule="auto"/>
              <w:rPr>
                <w:b/>
              </w:rPr>
            </w:pPr>
            <w:r>
              <w:rPr>
                <w:b/>
              </w:rPr>
              <w:t>Option</w:t>
            </w:r>
          </w:p>
        </w:tc>
        <w:tc>
          <w:tcPr>
            <w:tcW w:w="1597" w:type="dxa"/>
            <w:noWrap/>
          </w:tcPr>
          <w:p w14:paraId="605CC489" w14:textId="77777777" w:rsidR="003C38F0" w:rsidRPr="00466057" w:rsidRDefault="003C38F0" w:rsidP="0007458C">
            <w:pPr>
              <w:keepNext/>
              <w:spacing w:line="240" w:lineRule="auto"/>
              <w:jc w:val="right"/>
              <w:rPr>
                <w:rFonts w:eastAsia="Times New Roman" w:cs="Calibri Light"/>
                <w:color w:val="000000"/>
                <w:szCs w:val="20"/>
                <w:lang w:eastAsia="en-AU"/>
              </w:rPr>
            </w:pPr>
            <w:r>
              <w:rPr>
                <w:b/>
                <w:bCs/>
              </w:rPr>
              <w:t>FY26</w:t>
            </w:r>
          </w:p>
        </w:tc>
        <w:tc>
          <w:tcPr>
            <w:tcW w:w="1599" w:type="dxa"/>
            <w:noWrap/>
          </w:tcPr>
          <w:p w14:paraId="61ECADBC" w14:textId="77777777" w:rsidR="003C38F0" w:rsidRPr="00466057" w:rsidRDefault="003C38F0" w:rsidP="0007458C">
            <w:pPr>
              <w:keepNext/>
              <w:spacing w:line="240" w:lineRule="auto"/>
              <w:jc w:val="right"/>
              <w:rPr>
                <w:rFonts w:eastAsia="Times New Roman" w:cs="Calibri Light"/>
                <w:color w:val="000000"/>
                <w:szCs w:val="20"/>
                <w:lang w:eastAsia="en-AU"/>
              </w:rPr>
            </w:pPr>
            <w:r>
              <w:rPr>
                <w:b/>
                <w:bCs/>
              </w:rPr>
              <w:t>FY27</w:t>
            </w:r>
          </w:p>
        </w:tc>
        <w:tc>
          <w:tcPr>
            <w:tcW w:w="1597" w:type="dxa"/>
            <w:noWrap/>
          </w:tcPr>
          <w:p w14:paraId="4FD200B4" w14:textId="77777777" w:rsidR="003C38F0" w:rsidRPr="00466057" w:rsidRDefault="003C38F0" w:rsidP="0007458C">
            <w:pPr>
              <w:keepNext/>
              <w:spacing w:line="240" w:lineRule="auto"/>
              <w:jc w:val="right"/>
              <w:rPr>
                <w:rFonts w:eastAsia="Times New Roman" w:cs="Calibri Light"/>
                <w:color w:val="000000"/>
                <w:szCs w:val="20"/>
                <w:lang w:eastAsia="en-AU"/>
              </w:rPr>
            </w:pPr>
            <w:r>
              <w:rPr>
                <w:b/>
                <w:bCs/>
              </w:rPr>
              <w:t>FY28</w:t>
            </w:r>
          </w:p>
        </w:tc>
        <w:tc>
          <w:tcPr>
            <w:tcW w:w="1599" w:type="dxa"/>
          </w:tcPr>
          <w:p w14:paraId="4671D973" w14:textId="77777777" w:rsidR="003C38F0" w:rsidRPr="006A1D83" w:rsidRDefault="003C38F0" w:rsidP="0007458C">
            <w:pPr>
              <w:keepNext/>
              <w:spacing w:line="240" w:lineRule="auto"/>
              <w:ind w:left="113" w:right="113"/>
              <w:jc w:val="right"/>
              <w:rPr>
                <w:b/>
              </w:rPr>
            </w:pPr>
            <w:r>
              <w:rPr>
                <w:b/>
                <w:bCs/>
              </w:rPr>
              <w:t>FY29</w:t>
            </w:r>
          </w:p>
        </w:tc>
      </w:tr>
      <w:tr w:rsidR="005955C4" w:rsidRPr="00466057" w14:paraId="280AC6DD" w14:textId="77777777">
        <w:trPr>
          <w:gridBefore w:val="1"/>
          <w:wBefore w:w="27" w:type="dxa"/>
          <w:trHeight w:val="315"/>
        </w:trPr>
        <w:tc>
          <w:tcPr>
            <w:tcW w:w="2658" w:type="dxa"/>
            <w:tcBorders>
              <w:top w:val="single" w:sz="4" w:space="0" w:color="000000" w:themeColor="text1"/>
              <w:bottom w:val="single" w:sz="4" w:space="0" w:color="auto"/>
            </w:tcBorders>
          </w:tcPr>
          <w:p w14:paraId="2EFF4A20" w14:textId="77777777" w:rsidR="005955C4" w:rsidRPr="006B45B9" w:rsidRDefault="005955C4" w:rsidP="0007458C">
            <w:pPr>
              <w:keepNext/>
              <w:spacing w:line="240" w:lineRule="auto"/>
            </w:pPr>
            <w:r>
              <w:t>Strengthened Status Quo</w:t>
            </w:r>
          </w:p>
        </w:tc>
        <w:tc>
          <w:tcPr>
            <w:tcW w:w="1597" w:type="dxa"/>
            <w:tcBorders>
              <w:top w:val="single" w:sz="4" w:space="0" w:color="000000" w:themeColor="text1"/>
              <w:left w:val="nil"/>
              <w:bottom w:val="single" w:sz="4" w:space="0" w:color="auto"/>
              <w:right w:val="nil"/>
            </w:tcBorders>
            <w:shd w:val="clear" w:color="000000" w:fill="FFFFFF"/>
            <w:noWrap/>
          </w:tcPr>
          <w:p w14:paraId="12CB7496" w14:textId="0C54137C" w:rsidR="005955C4" w:rsidRPr="006B45B9" w:rsidRDefault="005955C4" w:rsidP="0007458C">
            <w:pPr>
              <w:keepNext/>
              <w:spacing w:line="240" w:lineRule="auto"/>
              <w:jc w:val="right"/>
            </w:pPr>
            <w:r w:rsidRPr="00792EA1">
              <w:t xml:space="preserve"> $-   </w:t>
            </w:r>
          </w:p>
        </w:tc>
        <w:tc>
          <w:tcPr>
            <w:tcW w:w="1599" w:type="dxa"/>
            <w:tcBorders>
              <w:top w:val="single" w:sz="4" w:space="0" w:color="000000" w:themeColor="text1"/>
              <w:left w:val="nil"/>
              <w:bottom w:val="single" w:sz="4" w:space="0" w:color="auto"/>
              <w:right w:val="nil"/>
            </w:tcBorders>
            <w:shd w:val="clear" w:color="000000" w:fill="FFFFFF"/>
            <w:noWrap/>
          </w:tcPr>
          <w:p w14:paraId="2244527F" w14:textId="107C4149" w:rsidR="005955C4" w:rsidRPr="006B45B9" w:rsidRDefault="005955C4" w:rsidP="0007458C">
            <w:pPr>
              <w:keepNext/>
              <w:spacing w:line="240" w:lineRule="auto"/>
              <w:jc w:val="right"/>
            </w:pPr>
            <w:r w:rsidRPr="00792EA1">
              <w:t xml:space="preserve"> $-   </w:t>
            </w:r>
          </w:p>
        </w:tc>
        <w:tc>
          <w:tcPr>
            <w:tcW w:w="1597" w:type="dxa"/>
            <w:tcBorders>
              <w:top w:val="single" w:sz="4" w:space="0" w:color="000000" w:themeColor="text1"/>
              <w:left w:val="nil"/>
              <w:bottom w:val="single" w:sz="4" w:space="0" w:color="auto"/>
              <w:right w:val="nil"/>
            </w:tcBorders>
            <w:shd w:val="clear" w:color="000000" w:fill="FFFFFF"/>
            <w:noWrap/>
          </w:tcPr>
          <w:p w14:paraId="321D87DD" w14:textId="09E13AB4" w:rsidR="005955C4" w:rsidRPr="006B45B9" w:rsidRDefault="005955C4" w:rsidP="0007458C">
            <w:pPr>
              <w:keepNext/>
              <w:spacing w:line="240" w:lineRule="auto"/>
              <w:jc w:val="right"/>
            </w:pPr>
            <w:r w:rsidRPr="00792EA1">
              <w:t xml:space="preserve"> $-   </w:t>
            </w:r>
          </w:p>
        </w:tc>
        <w:tc>
          <w:tcPr>
            <w:tcW w:w="1599" w:type="dxa"/>
            <w:tcBorders>
              <w:top w:val="single" w:sz="4" w:space="0" w:color="000000" w:themeColor="text1"/>
              <w:left w:val="nil"/>
              <w:bottom w:val="single" w:sz="4" w:space="0" w:color="auto"/>
              <w:right w:val="nil"/>
            </w:tcBorders>
            <w:shd w:val="clear" w:color="000000" w:fill="FFFFFF"/>
          </w:tcPr>
          <w:p w14:paraId="31F1E5D4" w14:textId="2095D32D" w:rsidR="005955C4" w:rsidRPr="006B45B9" w:rsidRDefault="005955C4" w:rsidP="0007458C">
            <w:pPr>
              <w:keepNext/>
              <w:spacing w:line="240" w:lineRule="auto"/>
              <w:jc w:val="right"/>
            </w:pPr>
            <w:r w:rsidRPr="00792EA1">
              <w:t xml:space="preserve">-$226,334 </w:t>
            </w:r>
          </w:p>
        </w:tc>
      </w:tr>
      <w:tr w:rsidR="005955C4" w:rsidRPr="00466057" w14:paraId="2CD0321A" w14:textId="77777777">
        <w:trPr>
          <w:trHeight w:val="315"/>
        </w:trPr>
        <w:tc>
          <w:tcPr>
            <w:tcW w:w="2685" w:type="dxa"/>
            <w:gridSpan w:val="2"/>
            <w:tcBorders>
              <w:top w:val="single" w:sz="4" w:space="0" w:color="000000" w:themeColor="text1"/>
              <w:bottom w:val="single" w:sz="4" w:space="0" w:color="auto"/>
            </w:tcBorders>
          </w:tcPr>
          <w:p w14:paraId="407BE5C0" w14:textId="77777777" w:rsidR="005955C4" w:rsidRDefault="005955C4" w:rsidP="0007458C">
            <w:pPr>
              <w:keepNext/>
              <w:spacing w:line="240" w:lineRule="auto"/>
            </w:pPr>
            <w:r>
              <w:t>Jurisdictional Registration</w:t>
            </w:r>
          </w:p>
        </w:tc>
        <w:tc>
          <w:tcPr>
            <w:tcW w:w="1597" w:type="dxa"/>
            <w:tcBorders>
              <w:top w:val="single" w:sz="4" w:space="0" w:color="000000" w:themeColor="text1"/>
              <w:left w:val="nil"/>
              <w:bottom w:val="single" w:sz="4" w:space="0" w:color="auto"/>
              <w:right w:val="nil"/>
            </w:tcBorders>
            <w:shd w:val="clear" w:color="000000" w:fill="FFFFFF"/>
            <w:noWrap/>
          </w:tcPr>
          <w:p w14:paraId="6C29CBF1" w14:textId="2ED31946" w:rsidR="005955C4" w:rsidRPr="003D2A72" w:rsidRDefault="005955C4" w:rsidP="0007458C">
            <w:pPr>
              <w:keepNext/>
              <w:spacing w:line="240" w:lineRule="auto"/>
              <w:jc w:val="right"/>
            </w:pPr>
            <w:r w:rsidRPr="00792EA1">
              <w:t xml:space="preserve">-$45,800 </w:t>
            </w:r>
          </w:p>
        </w:tc>
        <w:tc>
          <w:tcPr>
            <w:tcW w:w="1599" w:type="dxa"/>
            <w:tcBorders>
              <w:top w:val="single" w:sz="4" w:space="0" w:color="000000" w:themeColor="text1"/>
              <w:left w:val="nil"/>
              <w:bottom w:val="single" w:sz="4" w:space="0" w:color="auto"/>
              <w:right w:val="nil"/>
            </w:tcBorders>
            <w:shd w:val="clear" w:color="000000" w:fill="FFFFFF"/>
            <w:noWrap/>
          </w:tcPr>
          <w:p w14:paraId="1A81CA8C" w14:textId="737D678C" w:rsidR="005955C4" w:rsidRPr="003D2A72" w:rsidRDefault="005955C4" w:rsidP="0007458C">
            <w:pPr>
              <w:keepNext/>
              <w:spacing w:line="240" w:lineRule="auto"/>
              <w:jc w:val="right"/>
            </w:pPr>
            <w:r w:rsidRPr="00792EA1">
              <w:t xml:space="preserve">-$45,800 </w:t>
            </w:r>
          </w:p>
        </w:tc>
        <w:tc>
          <w:tcPr>
            <w:tcW w:w="1597" w:type="dxa"/>
            <w:tcBorders>
              <w:top w:val="single" w:sz="4" w:space="0" w:color="000000" w:themeColor="text1"/>
              <w:left w:val="nil"/>
              <w:bottom w:val="single" w:sz="4" w:space="0" w:color="auto"/>
              <w:right w:val="nil"/>
            </w:tcBorders>
            <w:shd w:val="clear" w:color="000000" w:fill="FFFFFF"/>
            <w:noWrap/>
          </w:tcPr>
          <w:p w14:paraId="00442937" w14:textId="2CFA4CE3" w:rsidR="005955C4" w:rsidRPr="003D2A72" w:rsidRDefault="005955C4" w:rsidP="0007458C">
            <w:pPr>
              <w:keepNext/>
              <w:spacing w:line="240" w:lineRule="auto"/>
              <w:jc w:val="right"/>
            </w:pPr>
            <w:r w:rsidRPr="00792EA1">
              <w:t xml:space="preserve"> $3,113,978 </w:t>
            </w:r>
          </w:p>
        </w:tc>
        <w:tc>
          <w:tcPr>
            <w:tcW w:w="1599" w:type="dxa"/>
            <w:tcBorders>
              <w:top w:val="single" w:sz="4" w:space="0" w:color="000000" w:themeColor="text1"/>
              <w:left w:val="nil"/>
              <w:bottom w:val="single" w:sz="4" w:space="0" w:color="auto"/>
              <w:right w:val="nil"/>
            </w:tcBorders>
            <w:shd w:val="clear" w:color="000000" w:fill="FFFFFF"/>
          </w:tcPr>
          <w:p w14:paraId="51EDD9FA" w14:textId="19647104" w:rsidR="005955C4" w:rsidRPr="003D2A72" w:rsidRDefault="005955C4" w:rsidP="0007458C">
            <w:pPr>
              <w:keepNext/>
              <w:spacing w:line="240" w:lineRule="auto"/>
              <w:jc w:val="right"/>
            </w:pPr>
            <w:r w:rsidRPr="00792EA1">
              <w:t xml:space="preserve"> $3,075,038 </w:t>
            </w:r>
          </w:p>
        </w:tc>
      </w:tr>
      <w:tr w:rsidR="005955C4" w:rsidRPr="00466057" w14:paraId="03B3CD6E" w14:textId="77777777">
        <w:trPr>
          <w:gridBefore w:val="1"/>
          <w:wBefore w:w="27" w:type="dxa"/>
          <w:trHeight w:val="315"/>
        </w:trPr>
        <w:tc>
          <w:tcPr>
            <w:tcW w:w="2658" w:type="dxa"/>
            <w:tcBorders>
              <w:top w:val="single" w:sz="4" w:space="0" w:color="auto"/>
              <w:bottom w:val="single" w:sz="4" w:space="0" w:color="auto"/>
            </w:tcBorders>
          </w:tcPr>
          <w:p w14:paraId="4A1ECEFC" w14:textId="77777777" w:rsidR="005955C4" w:rsidRPr="006B45B9" w:rsidRDefault="005955C4" w:rsidP="0007458C">
            <w:pPr>
              <w:keepNext/>
              <w:spacing w:line="240" w:lineRule="auto"/>
            </w:pPr>
            <w:r>
              <w:t>National Registration (Single Profession Board)</w:t>
            </w:r>
          </w:p>
        </w:tc>
        <w:tc>
          <w:tcPr>
            <w:tcW w:w="1597" w:type="dxa"/>
            <w:tcBorders>
              <w:top w:val="single" w:sz="4" w:space="0" w:color="auto"/>
              <w:left w:val="nil"/>
              <w:bottom w:val="single" w:sz="4" w:space="0" w:color="auto"/>
              <w:right w:val="nil"/>
            </w:tcBorders>
            <w:shd w:val="clear" w:color="000000" w:fill="FFFFFF"/>
            <w:noWrap/>
          </w:tcPr>
          <w:p w14:paraId="1AF77496" w14:textId="3D50640B" w:rsidR="005955C4" w:rsidRPr="006B45B9" w:rsidRDefault="005955C4" w:rsidP="0007458C">
            <w:pPr>
              <w:keepNext/>
              <w:spacing w:line="240" w:lineRule="auto"/>
              <w:jc w:val="right"/>
            </w:pPr>
            <w:r w:rsidRPr="00792EA1">
              <w:t xml:space="preserve">-$45,800 </w:t>
            </w:r>
          </w:p>
        </w:tc>
        <w:tc>
          <w:tcPr>
            <w:tcW w:w="1599" w:type="dxa"/>
            <w:tcBorders>
              <w:top w:val="single" w:sz="4" w:space="0" w:color="auto"/>
              <w:left w:val="nil"/>
              <w:bottom w:val="single" w:sz="4" w:space="0" w:color="auto"/>
              <w:right w:val="nil"/>
            </w:tcBorders>
            <w:shd w:val="clear" w:color="000000" w:fill="FFFFFF"/>
            <w:noWrap/>
          </w:tcPr>
          <w:p w14:paraId="22406C92" w14:textId="501ADFAC" w:rsidR="005955C4" w:rsidRPr="006B45B9" w:rsidRDefault="005955C4" w:rsidP="0007458C">
            <w:pPr>
              <w:keepNext/>
              <w:spacing w:line="240" w:lineRule="auto"/>
              <w:jc w:val="right"/>
            </w:pPr>
            <w:r w:rsidRPr="00792EA1">
              <w:t xml:space="preserve">-$45,800 </w:t>
            </w:r>
          </w:p>
        </w:tc>
        <w:tc>
          <w:tcPr>
            <w:tcW w:w="1597" w:type="dxa"/>
            <w:tcBorders>
              <w:top w:val="single" w:sz="4" w:space="0" w:color="auto"/>
              <w:left w:val="nil"/>
              <w:bottom w:val="single" w:sz="4" w:space="0" w:color="auto"/>
              <w:right w:val="nil"/>
            </w:tcBorders>
            <w:shd w:val="clear" w:color="000000" w:fill="FFFFFF"/>
            <w:noWrap/>
          </w:tcPr>
          <w:p w14:paraId="1C91DADB" w14:textId="3203B5FB" w:rsidR="005955C4" w:rsidRPr="006B45B9" w:rsidRDefault="005955C4" w:rsidP="0007458C">
            <w:pPr>
              <w:keepNext/>
              <w:spacing w:line="240" w:lineRule="auto"/>
              <w:jc w:val="right"/>
            </w:pPr>
            <w:r w:rsidRPr="00792EA1">
              <w:t xml:space="preserve"> $2,729,715 </w:t>
            </w:r>
          </w:p>
        </w:tc>
        <w:tc>
          <w:tcPr>
            <w:tcW w:w="1599" w:type="dxa"/>
            <w:tcBorders>
              <w:top w:val="single" w:sz="4" w:space="0" w:color="auto"/>
              <w:left w:val="nil"/>
              <w:bottom w:val="single" w:sz="4" w:space="0" w:color="auto"/>
              <w:right w:val="nil"/>
            </w:tcBorders>
            <w:shd w:val="clear" w:color="000000" w:fill="FFFFFF"/>
          </w:tcPr>
          <w:p w14:paraId="2285D7C8" w14:textId="5369389F" w:rsidR="005955C4" w:rsidRPr="006B45B9" w:rsidRDefault="005955C4" w:rsidP="0007458C">
            <w:pPr>
              <w:keepNext/>
              <w:spacing w:line="240" w:lineRule="auto"/>
              <w:jc w:val="right"/>
            </w:pPr>
            <w:r w:rsidRPr="00792EA1">
              <w:t xml:space="preserve"> $2,627,733 </w:t>
            </w:r>
          </w:p>
        </w:tc>
      </w:tr>
      <w:tr w:rsidR="005955C4" w:rsidRPr="00466057" w14:paraId="09A6278B" w14:textId="77777777">
        <w:trPr>
          <w:gridBefore w:val="1"/>
          <w:wBefore w:w="27" w:type="dxa"/>
          <w:trHeight w:val="315"/>
        </w:trPr>
        <w:tc>
          <w:tcPr>
            <w:tcW w:w="2658" w:type="dxa"/>
            <w:tcBorders>
              <w:top w:val="single" w:sz="4" w:space="0" w:color="auto"/>
              <w:bottom w:val="single" w:sz="4" w:space="0" w:color="auto"/>
            </w:tcBorders>
          </w:tcPr>
          <w:p w14:paraId="23DCAA29" w14:textId="77777777" w:rsidR="005955C4" w:rsidRPr="006B45B9" w:rsidRDefault="005955C4" w:rsidP="0007458C">
            <w:pPr>
              <w:keepNext/>
              <w:spacing w:line="240" w:lineRule="auto"/>
            </w:pPr>
            <w:r>
              <w:t>National Registration (Board with Multiple Professions)</w:t>
            </w:r>
          </w:p>
        </w:tc>
        <w:tc>
          <w:tcPr>
            <w:tcW w:w="1597" w:type="dxa"/>
            <w:tcBorders>
              <w:top w:val="single" w:sz="4" w:space="0" w:color="auto"/>
              <w:left w:val="nil"/>
              <w:bottom w:val="single" w:sz="4" w:space="0" w:color="auto"/>
              <w:right w:val="nil"/>
            </w:tcBorders>
            <w:shd w:val="clear" w:color="000000" w:fill="FFFFFF"/>
            <w:noWrap/>
          </w:tcPr>
          <w:p w14:paraId="6378BF62" w14:textId="06AE0ED2" w:rsidR="005955C4" w:rsidRPr="006B45B9" w:rsidRDefault="005955C4" w:rsidP="0007458C">
            <w:pPr>
              <w:keepNext/>
              <w:spacing w:line="240" w:lineRule="auto"/>
              <w:jc w:val="right"/>
            </w:pPr>
            <w:r w:rsidRPr="00792EA1">
              <w:t xml:space="preserve">-$45,800 </w:t>
            </w:r>
          </w:p>
        </w:tc>
        <w:tc>
          <w:tcPr>
            <w:tcW w:w="1599" w:type="dxa"/>
            <w:tcBorders>
              <w:top w:val="single" w:sz="4" w:space="0" w:color="auto"/>
              <w:left w:val="nil"/>
              <w:bottom w:val="single" w:sz="4" w:space="0" w:color="auto"/>
              <w:right w:val="nil"/>
            </w:tcBorders>
            <w:shd w:val="clear" w:color="000000" w:fill="FFFFFF"/>
            <w:noWrap/>
          </w:tcPr>
          <w:p w14:paraId="2A53004C" w14:textId="5E7B46B5" w:rsidR="005955C4" w:rsidRPr="006B45B9" w:rsidRDefault="005955C4" w:rsidP="0007458C">
            <w:pPr>
              <w:keepNext/>
              <w:spacing w:line="240" w:lineRule="auto"/>
              <w:jc w:val="right"/>
            </w:pPr>
            <w:r w:rsidRPr="00792EA1">
              <w:t xml:space="preserve">-$45,800 </w:t>
            </w:r>
          </w:p>
        </w:tc>
        <w:tc>
          <w:tcPr>
            <w:tcW w:w="1597" w:type="dxa"/>
            <w:tcBorders>
              <w:top w:val="single" w:sz="4" w:space="0" w:color="auto"/>
              <w:left w:val="nil"/>
              <w:bottom w:val="single" w:sz="4" w:space="0" w:color="auto"/>
              <w:right w:val="nil"/>
            </w:tcBorders>
            <w:shd w:val="clear" w:color="000000" w:fill="FFFFFF"/>
            <w:noWrap/>
          </w:tcPr>
          <w:p w14:paraId="4D3F3A73" w14:textId="3A548557" w:rsidR="005955C4" w:rsidRPr="006B45B9" w:rsidRDefault="005955C4" w:rsidP="0007458C">
            <w:pPr>
              <w:keepNext/>
              <w:spacing w:line="240" w:lineRule="auto"/>
              <w:jc w:val="right"/>
            </w:pPr>
            <w:r w:rsidRPr="00792EA1">
              <w:t xml:space="preserve"> $2,519,063 </w:t>
            </w:r>
          </w:p>
        </w:tc>
        <w:tc>
          <w:tcPr>
            <w:tcW w:w="1599" w:type="dxa"/>
            <w:tcBorders>
              <w:top w:val="single" w:sz="4" w:space="0" w:color="auto"/>
              <w:left w:val="nil"/>
              <w:bottom w:val="single" w:sz="4" w:space="0" w:color="auto"/>
              <w:right w:val="nil"/>
            </w:tcBorders>
            <w:shd w:val="clear" w:color="000000" w:fill="FFFFFF"/>
          </w:tcPr>
          <w:p w14:paraId="0DB23BA0" w14:textId="578C308C" w:rsidR="005955C4" w:rsidRPr="006B45B9" w:rsidRDefault="005955C4" w:rsidP="0007458C">
            <w:pPr>
              <w:keepNext/>
              <w:spacing w:line="240" w:lineRule="auto"/>
              <w:jc w:val="right"/>
            </w:pPr>
            <w:r w:rsidRPr="00792EA1">
              <w:t xml:space="preserve"> $2,403,047 </w:t>
            </w:r>
          </w:p>
        </w:tc>
      </w:tr>
    </w:tbl>
    <w:p w14:paraId="1F1F2B99" w14:textId="77777777" w:rsidR="003C38F0" w:rsidRDefault="003C38F0" w:rsidP="00D673FB">
      <w:pPr>
        <w:pStyle w:val="ListBullet"/>
        <w:numPr>
          <w:ilvl w:val="0"/>
          <w:numId w:val="0"/>
        </w:numPr>
        <w:ind w:left="360" w:hanging="360"/>
      </w:pPr>
    </w:p>
    <w:p w14:paraId="792726D1" w14:textId="0C125D70" w:rsidR="005955C4" w:rsidRDefault="005955C4" w:rsidP="005955C4">
      <w:pPr>
        <w:pStyle w:val="Caption"/>
        <w:keepNext/>
      </w:pPr>
      <w:r>
        <w:t xml:space="preserve">Table </w:t>
      </w:r>
      <w:fldSimple w:instr=" STYLEREF 1 \s ">
        <w:r w:rsidR="00F32107">
          <w:rPr>
            <w:noProof/>
          </w:rPr>
          <w:t>10</w:t>
        </w:r>
      </w:fldSimple>
      <w:r>
        <w:t>.</w:t>
      </w:r>
      <w:fldSimple w:instr=" SEQ Table \* ARABIC \s 1 ">
        <w:r w:rsidR="00F32107">
          <w:rPr>
            <w:noProof/>
          </w:rPr>
          <w:t>5</w:t>
        </w:r>
      </w:fldSimple>
      <w:r>
        <w:t xml:space="preserve"> FY26-FY29 cost table (FY25 real, undiscounted terms), for </w:t>
      </w:r>
      <w:r w:rsidR="00841024">
        <w:t>university</w:t>
      </w:r>
      <w:r>
        <w:t xml:space="preserve"> stakeholder</w:t>
      </w:r>
    </w:p>
    <w:tbl>
      <w:tblPr>
        <w:tblStyle w:val="BodyTable"/>
        <w:tblW w:w="9077" w:type="dxa"/>
        <w:tblInd w:w="2" w:type="dxa"/>
        <w:tblLayout w:type="fixed"/>
        <w:tblLook w:val="04A0" w:firstRow="1" w:lastRow="0" w:firstColumn="1" w:lastColumn="0" w:noHBand="0" w:noVBand="1"/>
      </w:tblPr>
      <w:tblGrid>
        <w:gridCol w:w="27"/>
        <w:gridCol w:w="2658"/>
        <w:gridCol w:w="1597"/>
        <w:gridCol w:w="1599"/>
        <w:gridCol w:w="1597"/>
        <w:gridCol w:w="1599"/>
      </w:tblGrid>
      <w:tr w:rsidR="005955C4" w:rsidRPr="00466057" w14:paraId="6582DE7D" w14:textId="77777777">
        <w:trPr>
          <w:gridBefore w:val="1"/>
          <w:cnfStyle w:val="100000000000" w:firstRow="1" w:lastRow="0" w:firstColumn="0" w:lastColumn="0" w:oddVBand="0" w:evenVBand="0" w:oddHBand="0" w:evenHBand="0" w:firstRowFirstColumn="0" w:firstRowLastColumn="0" w:lastRowFirstColumn="0" w:lastRowLastColumn="0"/>
          <w:wBefore w:w="27" w:type="dxa"/>
          <w:trHeight w:val="315"/>
        </w:trPr>
        <w:tc>
          <w:tcPr>
            <w:tcW w:w="2658" w:type="dxa"/>
          </w:tcPr>
          <w:p w14:paraId="6E091556" w14:textId="77777777" w:rsidR="005955C4" w:rsidRPr="00CF77E4" w:rsidRDefault="005955C4">
            <w:pPr>
              <w:keepNext/>
              <w:spacing w:line="240" w:lineRule="auto"/>
              <w:rPr>
                <w:b/>
              </w:rPr>
            </w:pPr>
            <w:r>
              <w:rPr>
                <w:b/>
              </w:rPr>
              <w:t>Option</w:t>
            </w:r>
          </w:p>
        </w:tc>
        <w:tc>
          <w:tcPr>
            <w:tcW w:w="1597" w:type="dxa"/>
            <w:noWrap/>
          </w:tcPr>
          <w:p w14:paraId="6D84765B" w14:textId="77777777" w:rsidR="005955C4" w:rsidRPr="00466057" w:rsidRDefault="005955C4">
            <w:pPr>
              <w:keepNext/>
              <w:spacing w:line="240" w:lineRule="auto"/>
              <w:jc w:val="right"/>
              <w:rPr>
                <w:rFonts w:eastAsia="Times New Roman" w:cs="Calibri Light"/>
                <w:color w:val="000000"/>
                <w:szCs w:val="20"/>
                <w:lang w:eastAsia="en-AU"/>
              </w:rPr>
            </w:pPr>
            <w:r>
              <w:rPr>
                <w:b/>
                <w:bCs/>
              </w:rPr>
              <w:t>FY26</w:t>
            </w:r>
          </w:p>
        </w:tc>
        <w:tc>
          <w:tcPr>
            <w:tcW w:w="1599" w:type="dxa"/>
            <w:noWrap/>
          </w:tcPr>
          <w:p w14:paraId="0DBD737A" w14:textId="77777777" w:rsidR="005955C4" w:rsidRPr="00466057" w:rsidRDefault="005955C4">
            <w:pPr>
              <w:keepNext/>
              <w:spacing w:line="240" w:lineRule="auto"/>
              <w:jc w:val="right"/>
              <w:rPr>
                <w:rFonts w:eastAsia="Times New Roman" w:cs="Calibri Light"/>
                <w:color w:val="000000"/>
                <w:szCs w:val="20"/>
                <w:lang w:eastAsia="en-AU"/>
              </w:rPr>
            </w:pPr>
            <w:r>
              <w:rPr>
                <w:b/>
                <w:bCs/>
              </w:rPr>
              <w:t>FY27</w:t>
            </w:r>
          </w:p>
        </w:tc>
        <w:tc>
          <w:tcPr>
            <w:tcW w:w="1597" w:type="dxa"/>
            <w:noWrap/>
          </w:tcPr>
          <w:p w14:paraId="3803D0E2" w14:textId="77777777" w:rsidR="005955C4" w:rsidRPr="00466057" w:rsidRDefault="005955C4">
            <w:pPr>
              <w:keepNext/>
              <w:spacing w:line="240" w:lineRule="auto"/>
              <w:jc w:val="right"/>
              <w:rPr>
                <w:rFonts w:eastAsia="Times New Roman" w:cs="Calibri Light"/>
                <w:color w:val="000000"/>
                <w:szCs w:val="20"/>
                <w:lang w:eastAsia="en-AU"/>
              </w:rPr>
            </w:pPr>
            <w:r>
              <w:rPr>
                <w:b/>
                <w:bCs/>
              </w:rPr>
              <w:t>FY28</w:t>
            </w:r>
          </w:p>
        </w:tc>
        <w:tc>
          <w:tcPr>
            <w:tcW w:w="1599" w:type="dxa"/>
          </w:tcPr>
          <w:p w14:paraId="05714579" w14:textId="77777777" w:rsidR="005955C4" w:rsidRPr="006A1D83" w:rsidRDefault="005955C4">
            <w:pPr>
              <w:keepNext/>
              <w:spacing w:line="240" w:lineRule="auto"/>
              <w:ind w:left="113" w:right="113"/>
              <w:jc w:val="right"/>
              <w:rPr>
                <w:b/>
              </w:rPr>
            </w:pPr>
            <w:r>
              <w:rPr>
                <w:b/>
                <w:bCs/>
              </w:rPr>
              <w:t>FY29</w:t>
            </w:r>
          </w:p>
        </w:tc>
      </w:tr>
      <w:tr w:rsidR="00007BC6" w:rsidRPr="00466057" w14:paraId="25E928B7" w14:textId="77777777">
        <w:trPr>
          <w:gridBefore w:val="1"/>
          <w:wBefore w:w="27" w:type="dxa"/>
          <w:trHeight w:val="315"/>
        </w:trPr>
        <w:tc>
          <w:tcPr>
            <w:tcW w:w="2658" w:type="dxa"/>
            <w:tcBorders>
              <w:top w:val="single" w:sz="4" w:space="0" w:color="000000" w:themeColor="text1"/>
              <w:bottom w:val="single" w:sz="4" w:space="0" w:color="auto"/>
            </w:tcBorders>
          </w:tcPr>
          <w:p w14:paraId="689E4FB4" w14:textId="77777777" w:rsidR="00007BC6" w:rsidRPr="006B45B9" w:rsidRDefault="00007BC6" w:rsidP="00007BC6">
            <w:pPr>
              <w:keepNext/>
              <w:spacing w:line="240" w:lineRule="auto"/>
            </w:pPr>
            <w:r>
              <w:t>Strengthened Status Quo</w:t>
            </w:r>
          </w:p>
        </w:tc>
        <w:tc>
          <w:tcPr>
            <w:tcW w:w="1597" w:type="dxa"/>
            <w:tcBorders>
              <w:top w:val="single" w:sz="4" w:space="0" w:color="000000" w:themeColor="text1"/>
              <w:left w:val="nil"/>
              <w:bottom w:val="single" w:sz="4" w:space="0" w:color="auto"/>
              <w:right w:val="nil"/>
            </w:tcBorders>
            <w:shd w:val="clear" w:color="000000" w:fill="FFFFFF"/>
            <w:noWrap/>
          </w:tcPr>
          <w:p w14:paraId="1C64949E" w14:textId="05C66AE4" w:rsidR="00007BC6" w:rsidRPr="006B45B9" w:rsidRDefault="00007BC6" w:rsidP="00007BC6">
            <w:pPr>
              <w:keepNext/>
              <w:spacing w:line="240" w:lineRule="auto"/>
              <w:jc w:val="right"/>
            </w:pPr>
            <w:r w:rsidRPr="00F2179B">
              <w:t xml:space="preserve"> $-   </w:t>
            </w:r>
          </w:p>
        </w:tc>
        <w:tc>
          <w:tcPr>
            <w:tcW w:w="1599" w:type="dxa"/>
            <w:tcBorders>
              <w:top w:val="single" w:sz="4" w:space="0" w:color="000000" w:themeColor="text1"/>
              <w:left w:val="nil"/>
              <w:bottom w:val="single" w:sz="4" w:space="0" w:color="auto"/>
              <w:right w:val="nil"/>
            </w:tcBorders>
            <w:shd w:val="clear" w:color="000000" w:fill="FFFFFF"/>
            <w:noWrap/>
          </w:tcPr>
          <w:p w14:paraId="59A63E46" w14:textId="08780088" w:rsidR="00007BC6" w:rsidRPr="006B45B9" w:rsidRDefault="00007BC6" w:rsidP="00007BC6">
            <w:pPr>
              <w:keepNext/>
              <w:spacing w:line="240" w:lineRule="auto"/>
              <w:jc w:val="right"/>
            </w:pPr>
            <w:r w:rsidRPr="00F2179B">
              <w:t xml:space="preserve"> $-   </w:t>
            </w:r>
          </w:p>
        </w:tc>
        <w:tc>
          <w:tcPr>
            <w:tcW w:w="1597" w:type="dxa"/>
            <w:tcBorders>
              <w:top w:val="single" w:sz="4" w:space="0" w:color="000000" w:themeColor="text1"/>
              <w:left w:val="nil"/>
              <w:bottom w:val="single" w:sz="4" w:space="0" w:color="auto"/>
              <w:right w:val="nil"/>
            </w:tcBorders>
            <w:shd w:val="clear" w:color="000000" w:fill="FFFFFF"/>
            <w:noWrap/>
          </w:tcPr>
          <w:p w14:paraId="59AFEB34" w14:textId="1F571D46" w:rsidR="00007BC6" w:rsidRPr="006B45B9" w:rsidRDefault="00007BC6" w:rsidP="00007BC6">
            <w:pPr>
              <w:keepNext/>
              <w:spacing w:line="240" w:lineRule="auto"/>
              <w:jc w:val="right"/>
            </w:pPr>
            <w:r w:rsidRPr="00F2179B">
              <w:t xml:space="preserve"> $-   </w:t>
            </w:r>
          </w:p>
        </w:tc>
        <w:tc>
          <w:tcPr>
            <w:tcW w:w="1599" w:type="dxa"/>
            <w:tcBorders>
              <w:top w:val="single" w:sz="4" w:space="0" w:color="000000" w:themeColor="text1"/>
              <w:left w:val="nil"/>
              <w:bottom w:val="single" w:sz="4" w:space="0" w:color="auto"/>
              <w:right w:val="nil"/>
            </w:tcBorders>
            <w:shd w:val="clear" w:color="000000" w:fill="FFFFFF"/>
          </w:tcPr>
          <w:p w14:paraId="4CDF19AF" w14:textId="743FB74B" w:rsidR="00007BC6" w:rsidRPr="006B45B9" w:rsidRDefault="00007BC6" w:rsidP="00007BC6">
            <w:pPr>
              <w:keepNext/>
              <w:spacing w:line="240" w:lineRule="auto"/>
              <w:jc w:val="right"/>
            </w:pPr>
            <w:r w:rsidRPr="00F2179B">
              <w:t xml:space="preserve"> $-   </w:t>
            </w:r>
          </w:p>
        </w:tc>
      </w:tr>
      <w:tr w:rsidR="00007BC6" w:rsidRPr="00466057" w14:paraId="371F6B6B" w14:textId="77777777">
        <w:trPr>
          <w:trHeight w:val="315"/>
        </w:trPr>
        <w:tc>
          <w:tcPr>
            <w:tcW w:w="2685" w:type="dxa"/>
            <w:gridSpan w:val="2"/>
            <w:tcBorders>
              <w:top w:val="single" w:sz="4" w:space="0" w:color="000000" w:themeColor="text1"/>
              <w:bottom w:val="single" w:sz="4" w:space="0" w:color="auto"/>
            </w:tcBorders>
          </w:tcPr>
          <w:p w14:paraId="7CCBBBA9" w14:textId="77777777" w:rsidR="00007BC6" w:rsidRDefault="00007BC6" w:rsidP="00007BC6">
            <w:pPr>
              <w:keepNext/>
              <w:spacing w:line="240" w:lineRule="auto"/>
            </w:pPr>
            <w:r>
              <w:t>Jurisdictional Registration</w:t>
            </w:r>
          </w:p>
        </w:tc>
        <w:tc>
          <w:tcPr>
            <w:tcW w:w="1597" w:type="dxa"/>
            <w:tcBorders>
              <w:top w:val="single" w:sz="4" w:space="0" w:color="000000" w:themeColor="text1"/>
              <w:left w:val="nil"/>
              <w:bottom w:val="single" w:sz="4" w:space="0" w:color="auto"/>
              <w:right w:val="nil"/>
            </w:tcBorders>
            <w:shd w:val="clear" w:color="000000" w:fill="FFFFFF"/>
            <w:noWrap/>
          </w:tcPr>
          <w:p w14:paraId="2EEB31AA" w14:textId="632D7BC4" w:rsidR="00007BC6" w:rsidRPr="003D2A72" w:rsidRDefault="00007BC6" w:rsidP="00007BC6">
            <w:pPr>
              <w:keepNext/>
              <w:spacing w:line="240" w:lineRule="auto"/>
              <w:jc w:val="right"/>
            </w:pPr>
            <w:r w:rsidRPr="00F2179B">
              <w:t xml:space="preserve"> $-   </w:t>
            </w:r>
          </w:p>
        </w:tc>
        <w:tc>
          <w:tcPr>
            <w:tcW w:w="1599" w:type="dxa"/>
            <w:tcBorders>
              <w:top w:val="single" w:sz="4" w:space="0" w:color="000000" w:themeColor="text1"/>
              <w:left w:val="nil"/>
              <w:bottom w:val="single" w:sz="4" w:space="0" w:color="auto"/>
              <w:right w:val="nil"/>
            </w:tcBorders>
            <w:shd w:val="clear" w:color="000000" w:fill="FFFFFF"/>
            <w:noWrap/>
          </w:tcPr>
          <w:p w14:paraId="0FDD168F" w14:textId="791734DC" w:rsidR="00007BC6" w:rsidRPr="003D2A72" w:rsidRDefault="00007BC6" w:rsidP="00007BC6">
            <w:pPr>
              <w:keepNext/>
              <w:spacing w:line="240" w:lineRule="auto"/>
              <w:jc w:val="right"/>
            </w:pPr>
            <w:r w:rsidRPr="00F2179B">
              <w:t xml:space="preserve"> $-   </w:t>
            </w:r>
          </w:p>
        </w:tc>
        <w:tc>
          <w:tcPr>
            <w:tcW w:w="1597" w:type="dxa"/>
            <w:tcBorders>
              <w:top w:val="single" w:sz="4" w:space="0" w:color="000000" w:themeColor="text1"/>
              <w:left w:val="nil"/>
              <w:bottom w:val="single" w:sz="4" w:space="0" w:color="auto"/>
              <w:right w:val="nil"/>
            </w:tcBorders>
            <w:shd w:val="clear" w:color="000000" w:fill="FFFFFF"/>
            <w:noWrap/>
          </w:tcPr>
          <w:p w14:paraId="2FB73096" w14:textId="4AEC0EEE" w:rsidR="00007BC6" w:rsidRPr="003D2A72" w:rsidRDefault="00007BC6" w:rsidP="00007BC6">
            <w:pPr>
              <w:keepNext/>
              <w:spacing w:line="240" w:lineRule="auto"/>
              <w:jc w:val="right"/>
            </w:pPr>
            <w:r w:rsidRPr="00F2179B">
              <w:t xml:space="preserve"> $176,792 </w:t>
            </w:r>
          </w:p>
        </w:tc>
        <w:tc>
          <w:tcPr>
            <w:tcW w:w="1599" w:type="dxa"/>
            <w:tcBorders>
              <w:top w:val="single" w:sz="4" w:space="0" w:color="000000" w:themeColor="text1"/>
              <w:left w:val="nil"/>
              <w:bottom w:val="single" w:sz="4" w:space="0" w:color="auto"/>
              <w:right w:val="nil"/>
            </w:tcBorders>
            <w:shd w:val="clear" w:color="000000" w:fill="FFFFFF"/>
          </w:tcPr>
          <w:p w14:paraId="21CFACA8" w14:textId="3C6A5D38" w:rsidR="00007BC6" w:rsidRPr="003D2A72" w:rsidRDefault="00007BC6" w:rsidP="00007BC6">
            <w:pPr>
              <w:keepNext/>
              <w:spacing w:line="240" w:lineRule="auto"/>
              <w:jc w:val="right"/>
            </w:pPr>
            <w:r w:rsidRPr="00F2179B">
              <w:t xml:space="preserve">-$19,397 </w:t>
            </w:r>
          </w:p>
        </w:tc>
      </w:tr>
      <w:tr w:rsidR="00007BC6" w:rsidRPr="00466057" w14:paraId="5DB80FAD" w14:textId="77777777">
        <w:trPr>
          <w:gridBefore w:val="1"/>
          <w:wBefore w:w="27" w:type="dxa"/>
          <w:trHeight w:val="315"/>
        </w:trPr>
        <w:tc>
          <w:tcPr>
            <w:tcW w:w="2658" w:type="dxa"/>
            <w:tcBorders>
              <w:top w:val="single" w:sz="4" w:space="0" w:color="auto"/>
              <w:bottom w:val="single" w:sz="4" w:space="0" w:color="auto"/>
            </w:tcBorders>
          </w:tcPr>
          <w:p w14:paraId="4B68BF2A" w14:textId="77777777" w:rsidR="00007BC6" w:rsidRPr="006B45B9" w:rsidRDefault="00007BC6" w:rsidP="00007BC6">
            <w:pPr>
              <w:keepNext/>
              <w:spacing w:line="240" w:lineRule="auto"/>
            </w:pPr>
            <w:r>
              <w:t>National Registration (Single Profession Board)</w:t>
            </w:r>
          </w:p>
        </w:tc>
        <w:tc>
          <w:tcPr>
            <w:tcW w:w="1597" w:type="dxa"/>
            <w:tcBorders>
              <w:top w:val="single" w:sz="4" w:space="0" w:color="auto"/>
              <w:left w:val="nil"/>
              <w:bottom w:val="single" w:sz="4" w:space="0" w:color="auto"/>
              <w:right w:val="nil"/>
            </w:tcBorders>
            <w:shd w:val="clear" w:color="000000" w:fill="FFFFFF"/>
            <w:noWrap/>
          </w:tcPr>
          <w:p w14:paraId="0C7A7931" w14:textId="742830DA" w:rsidR="00007BC6" w:rsidRPr="006B45B9" w:rsidRDefault="00007BC6" w:rsidP="00007BC6">
            <w:pPr>
              <w:keepNext/>
              <w:spacing w:line="240" w:lineRule="auto"/>
              <w:jc w:val="right"/>
            </w:pPr>
            <w:r w:rsidRPr="00F2179B">
              <w:t xml:space="preserve"> $-   </w:t>
            </w:r>
          </w:p>
        </w:tc>
        <w:tc>
          <w:tcPr>
            <w:tcW w:w="1599" w:type="dxa"/>
            <w:tcBorders>
              <w:top w:val="single" w:sz="4" w:space="0" w:color="auto"/>
              <w:left w:val="nil"/>
              <w:bottom w:val="single" w:sz="4" w:space="0" w:color="auto"/>
              <w:right w:val="nil"/>
            </w:tcBorders>
            <w:shd w:val="clear" w:color="000000" w:fill="FFFFFF"/>
            <w:noWrap/>
          </w:tcPr>
          <w:p w14:paraId="5187F27D" w14:textId="70ED8B8E" w:rsidR="00007BC6" w:rsidRPr="006B45B9" w:rsidRDefault="00007BC6" w:rsidP="00007BC6">
            <w:pPr>
              <w:keepNext/>
              <w:spacing w:line="240" w:lineRule="auto"/>
              <w:jc w:val="right"/>
            </w:pPr>
            <w:r w:rsidRPr="00F2179B">
              <w:t xml:space="preserve"> $-   </w:t>
            </w:r>
          </w:p>
        </w:tc>
        <w:tc>
          <w:tcPr>
            <w:tcW w:w="1597" w:type="dxa"/>
            <w:tcBorders>
              <w:top w:val="single" w:sz="4" w:space="0" w:color="auto"/>
              <w:left w:val="nil"/>
              <w:bottom w:val="single" w:sz="4" w:space="0" w:color="auto"/>
              <w:right w:val="nil"/>
            </w:tcBorders>
            <w:shd w:val="clear" w:color="000000" w:fill="FFFFFF"/>
            <w:noWrap/>
          </w:tcPr>
          <w:p w14:paraId="676E8D42" w14:textId="4AD735E3" w:rsidR="00007BC6" w:rsidRPr="006B45B9" w:rsidRDefault="00007BC6" w:rsidP="00007BC6">
            <w:pPr>
              <w:keepNext/>
              <w:spacing w:line="240" w:lineRule="auto"/>
              <w:jc w:val="right"/>
            </w:pPr>
            <w:r w:rsidRPr="00F2179B">
              <w:t xml:space="preserve"> $176,792 </w:t>
            </w:r>
          </w:p>
        </w:tc>
        <w:tc>
          <w:tcPr>
            <w:tcW w:w="1599" w:type="dxa"/>
            <w:tcBorders>
              <w:top w:val="single" w:sz="4" w:space="0" w:color="auto"/>
              <w:left w:val="nil"/>
              <w:bottom w:val="single" w:sz="4" w:space="0" w:color="auto"/>
              <w:right w:val="nil"/>
            </w:tcBorders>
            <w:shd w:val="clear" w:color="000000" w:fill="FFFFFF"/>
          </w:tcPr>
          <w:p w14:paraId="172E13BE" w14:textId="2160572C" w:rsidR="00007BC6" w:rsidRPr="006B45B9" w:rsidRDefault="00007BC6" w:rsidP="00007BC6">
            <w:pPr>
              <w:keepNext/>
              <w:spacing w:line="240" w:lineRule="auto"/>
              <w:jc w:val="right"/>
            </w:pPr>
            <w:r w:rsidRPr="00F2179B">
              <w:t xml:space="preserve">-$19,397 </w:t>
            </w:r>
          </w:p>
        </w:tc>
      </w:tr>
      <w:tr w:rsidR="00007BC6" w:rsidRPr="00466057" w14:paraId="059B4847" w14:textId="77777777">
        <w:trPr>
          <w:gridBefore w:val="1"/>
          <w:wBefore w:w="27" w:type="dxa"/>
          <w:trHeight w:val="315"/>
        </w:trPr>
        <w:tc>
          <w:tcPr>
            <w:tcW w:w="2658" w:type="dxa"/>
            <w:tcBorders>
              <w:top w:val="single" w:sz="4" w:space="0" w:color="auto"/>
              <w:bottom w:val="single" w:sz="4" w:space="0" w:color="auto"/>
            </w:tcBorders>
          </w:tcPr>
          <w:p w14:paraId="793E4DC4" w14:textId="77777777" w:rsidR="00007BC6" w:rsidRPr="006B45B9" w:rsidRDefault="00007BC6" w:rsidP="00007BC6">
            <w:pPr>
              <w:keepNext/>
              <w:spacing w:line="240" w:lineRule="auto"/>
            </w:pPr>
            <w:r>
              <w:t>National Registration (Board with Multiple Professions)</w:t>
            </w:r>
          </w:p>
        </w:tc>
        <w:tc>
          <w:tcPr>
            <w:tcW w:w="1597" w:type="dxa"/>
            <w:tcBorders>
              <w:top w:val="single" w:sz="4" w:space="0" w:color="auto"/>
              <w:left w:val="nil"/>
              <w:bottom w:val="single" w:sz="4" w:space="0" w:color="auto"/>
              <w:right w:val="nil"/>
            </w:tcBorders>
            <w:shd w:val="clear" w:color="000000" w:fill="FFFFFF"/>
            <w:noWrap/>
          </w:tcPr>
          <w:p w14:paraId="663A43F3" w14:textId="0EF94DD3" w:rsidR="00007BC6" w:rsidRPr="006B45B9" w:rsidRDefault="00007BC6" w:rsidP="00007BC6">
            <w:pPr>
              <w:keepNext/>
              <w:spacing w:line="240" w:lineRule="auto"/>
              <w:jc w:val="right"/>
            </w:pPr>
            <w:r w:rsidRPr="00F2179B">
              <w:t xml:space="preserve"> $-   </w:t>
            </w:r>
          </w:p>
        </w:tc>
        <w:tc>
          <w:tcPr>
            <w:tcW w:w="1599" w:type="dxa"/>
            <w:tcBorders>
              <w:top w:val="single" w:sz="4" w:space="0" w:color="auto"/>
              <w:left w:val="nil"/>
              <w:bottom w:val="single" w:sz="4" w:space="0" w:color="auto"/>
              <w:right w:val="nil"/>
            </w:tcBorders>
            <w:shd w:val="clear" w:color="000000" w:fill="FFFFFF"/>
            <w:noWrap/>
          </w:tcPr>
          <w:p w14:paraId="644DA2E8" w14:textId="4FD72F34" w:rsidR="00007BC6" w:rsidRPr="006B45B9" w:rsidRDefault="00007BC6" w:rsidP="00007BC6">
            <w:pPr>
              <w:keepNext/>
              <w:spacing w:line="240" w:lineRule="auto"/>
              <w:jc w:val="right"/>
            </w:pPr>
            <w:r w:rsidRPr="00F2179B">
              <w:t xml:space="preserve"> $-   </w:t>
            </w:r>
          </w:p>
        </w:tc>
        <w:tc>
          <w:tcPr>
            <w:tcW w:w="1597" w:type="dxa"/>
            <w:tcBorders>
              <w:top w:val="single" w:sz="4" w:space="0" w:color="auto"/>
              <w:left w:val="nil"/>
              <w:bottom w:val="single" w:sz="4" w:space="0" w:color="auto"/>
              <w:right w:val="nil"/>
            </w:tcBorders>
            <w:shd w:val="clear" w:color="000000" w:fill="FFFFFF"/>
            <w:noWrap/>
          </w:tcPr>
          <w:p w14:paraId="116F9220" w14:textId="23001794" w:rsidR="00007BC6" w:rsidRPr="006B45B9" w:rsidRDefault="00007BC6" w:rsidP="00007BC6">
            <w:pPr>
              <w:keepNext/>
              <w:spacing w:line="240" w:lineRule="auto"/>
              <w:jc w:val="right"/>
            </w:pPr>
            <w:r w:rsidRPr="00F2179B">
              <w:t xml:space="preserve"> $176,792 </w:t>
            </w:r>
          </w:p>
        </w:tc>
        <w:tc>
          <w:tcPr>
            <w:tcW w:w="1599" w:type="dxa"/>
            <w:tcBorders>
              <w:top w:val="single" w:sz="4" w:space="0" w:color="auto"/>
              <w:left w:val="nil"/>
              <w:bottom w:val="single" w:sz="4" w:space="0" w:color="auto"/>
              <w:right w:val="nil"/>
            </w:tcBorders>
            <w:shd w:val="clear" w:color="000000" w:fill="FFFFFF"/>
          </w:tcPr>
          <w:p w14:paraId="00458210" w14:textId="5C4B64A1" w:rsidR="00007BC6" w:rsidRPr="006B45B9" w:rsidRDefault="00007BC6" w:rsidP="00007BC6">
            <w:pPr>
              <w:keepNext/>
              <w:spacing w:line="240" w:lineRule="auto"/>
              <w:jc w:val="right"/>
            </w:pPr>
            <w:r w:rsidRPr="00F2179B">
              <w:t xml:space="preserve">-$19,397 </w:t>
            </w:r>
          </w:p>
        </w:tc>
      </w:tr>
    </w:tbl>
    <w:p w14:paraId="47F00DED" w14:textId="77777777" w:rsidR="005955C4" w:rsidRPr="00B61D56" w:rsidRDefault="005955C4" w:rsidP="0007458C">
      <w:pPr>
        <w:pStyle w:val="ListBullet"/>
        <w:numPr>
          <w:ilvl w:val="0"/>
          <w:numId w:val="0"/>
        </w:numPr>
        <w:ind w:left="360" w:hanging="360"/>
      </w:pPr>
    </w:p>
    <w:sectPr w:rsidR="005955C4" w:rsidRPr="00B61D56" w:rsidSect="007F4E7D">
      <w:pgSz w:w="11906" w:h="16838"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BF5C3" w14:textId="77777777" w:rsidR="0096680A" w:rsidRDefault="0096680A" w:rsidP="005655C9">
      <w:pPr>
        <w:spacing w:line="240" w:lineRule="auto"/>
      </w:pPr>
      <w:r>
        <w:separator/>
      </w:r>
    </w:p>
    <w:p w14:paraId="278022E4" w14:textId="77777777" w:rsidR="0096680A" w:rsidRDefault="0096680A"/>
    <w:p w14:paraId="79C751C7" w14:textId="77777777" w:rsidR="0096680A" w:rsidRDefault="0096680A" w:rsidP="00952B5B"/>
    <w:p w14:paraId="6E992E09" w14:textId="77777777" w:rsidR="0096680A" w:rsidRDefault="0096680A" w:rsidP="00952B5B"/>
    <w:p w14:paraId="0587FB18" w14:textId="77777777" w:rsidR="0096680A" w:rsidRDefault="0096680A"/>
    <w:p w14:paraId="4CB889E1" w14:textId="77777777" w:rsidR="0096680A" w:rsidRDefault="0096680A"/>
    <w:p w14:paraId="5E8E657D" w14:textId="77777777" w:rsidR="0096680A" w:rsidRDefault="0096680A"/>
    <w:p w14:paraId="17D843B4" w14:textId="77777777" w:rsidR="0096680A" w:rsidRDefault="0096680A"/>
  </w:endnote>
  <w:endnote w:type="continuationSeparator" w:id="0">
    <w:p w14:paraId="3EE6E4D7" w14:textId="77777777" w:rsidR="0096680A" w:rsidRDefault="0096680A" w:rsidP="005655C9">
      <w:pPr>
        <w:spacing w:line="240" w:lineRule="auto"/>
      </w:pPr>
      <w:r>
        <w:continuationSeparator/>
      </w:r>
    </w:p>
    <w:p w14:paraId="3AE5F3F5" w14:textId="77777777" w:rsidR="0096680A" w:rsidRDefault="0096680A"/>
    <w:p w14:paraId="22CCCE67" w14:textId="77777777" w:rsidR="0096680A" w:rsidRDefault="0096680A" w:rsidP="00952B5B"/>
    <w:p w14:paraId="26171B70" w14:textId="77777777" w:rsidR="0096680A" w:rsidRDefault="0096680A" w:rsidP="00952B5B"/>
    <w:p w14:paraId="5F845F3E" w14:textId="77777777" w:rsidR="0096680A" w:rsidRDefault="0096680A"/>
    <w:p w14:paraId="7446B944" w14:textId="77777777" w:rsidR="0096680A" w:rsidRDefault="0096680A"/>
    <w:p w14:paraId="583E6D8C" w14:textId="77777777" w:rsidR="0096680A" w:rsidRDefault="0096680A"/>
    <w:p w14:paraId="6DFD79D6" w14:textId="77777777" w:rsidR="0096680A" w:rsidRDefault="0096680A"/>
  </w:endnote>
  <w:endnote w:type="continuationNotice" w:id="1">
    <w:p w14:paraId="6BE8D7B4" w14:textId="77777777" w:rsidR="0096680A" w:rsidRDefault="009668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ira Sans">
    <w:altName w:val="Calibri"/>
    <w:panose1 w:val="00000000000000000000"/>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46EA" w14:textId="58A72CBC" w:rsidR="005F3118" w:rsidRPr="00B8609F" w:rsidRDefault="005F3118">
    <w:pPr>
      <w:pStyle w:val="Footer"/>
      <w:framePr w:wrap="around" w:vAnchor="text" w:hAnchor="page" w:x="1135" w:y="52"/>
      <w:rPr>
        <w:rStyle w:val="PageNumber"/>
        <w:b w:val="0"/>
        <w:szCs w:val="18"/>
      </w:rPr>
    </w:pPr>
    <w:r w:rsidRPr="00B8609F">
      <w:rPr>
        <w:rStyle w:val="PageNumber"/>
        <w:b w:val="0"/>
        <w:szCs w:val="18"/>
      </w:rPr>
      <w:t>ii</w:t>
    </w:r>
  </w:p>
  <w:p w14:paraId="754E6030" w14:textId="77777777" w:rsidR="005F3118" w:rsidRPr="00D22BC4" w:rsidRDefault="005F3118">
    <w:pPr>
      <w:pStyle w:val="Footer"/>
      <w:tabs>
        <w:tab w:val="left" w:pos="13937"/>
      </w:tabs>
      <w:ind w:right="46"/>
      <w:jc w:val="right"/>
      <w:rPr>
        <w:rFonts w:ascii="Arial" w:hAnsi="Arial" w:cs="Arial"/>
        <w:color w:val="808080"/>
      </w:rPr>
    </w:pPr>
    <w:r w:rsidRPr="00D22BC4">
      <w:rPr>
        <w:rFonts w:ascii="Arial" w:hAnsi="Arial" w:cs="Arial"/>
        <w:color w:val="808080"/>
      </w:rPr>
      <w:t>Health Workforce Principal Committee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C0D8B" w14:textId="1BB24A4F" w:rsidR="005F3118" w:rsidRPr="00B8609F" w:rsidRDefault="005F3118">
    <w:pPr>
      <w:pStyle w:val="Footer"/>
      <w:framePr w:wrap="around" w:vAnchor="text" w:hAnchor="margin" w:xAlign="outside" w:y="1"/>
      <w:rPr>
        <w:rStyle w:val="PageNumber"/>
        <w:b w:val="0"/>
        <w:szCs w:val="18"/>
      </w:rPr>
    </w:pPr>
  </w:p>
  <w:p w14:paraId="003033B7" w14:textId="1DDBE101" w:rsidR="005F3118" w:rsidRPr="00982CA4" w:rsidRDefault="005F3118">
    <w:pPr>
      <w:pStyle w:val="Footer"/>
      <w:tabs>
        <w:tab w:val="left" w:pos="9412"/>
      </w:tabs>
      <w:ind w:right="360"/>
      <w:rPr>
        <w:rFonts w:ascii="Arial" w:hAnsi="Arial" w:cs="Arial"/>
        <w:color w:val="808080"/>
        <w:szCs w:val="18"/>
      </w:rPr>
    </w:pPr>
    <w:r>
      <w:rPr>
        <w:rFonts w:ascii="Arial" w:hAnsi="Arial" w:cs="Arial"/>
        <w:color w:val="808080"/>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D2AB" w14:textId="77777777" w:rsidR="00F61468" w:rsidRDefault="00F614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D8F8" w14:textId="2F1E0F3C" w:rsidR="00DD3033" w:rsidRDefault="00C11B6F" w:rsidP="00EB0EA5">
    <w:pPr>
      <w:pStyle w:val="Footer"/>
    </w:pPr>
    <w:r>
      <w:t>Audiology</w:t>
    </w:r>
    <w:r w:rsidR="00DD3033">
      <w:t xml:space="preserve"> - </w:t>
    </w:r>
    <w:r w:rsidR="005F3118">
      <w:t>Decision Regulatory Impact Statement</w:t>
    </w:r>
    <w:r w:rsidR="00DD3033">
      <w:ptab w:relativeTo="margin" w:alignment="right" w:leader="none"/>
    </w:r>
    <w:r w:rsidR="00DD3033">
      <w:t xml:space="preserve">Page </w:t>
    </w:r>
    <w:r w:rsidR="00DD3033">
      <w:rPr>
        <w:b/>
        <w:bCs/>
      </w:rPr>
      <w:fldChar w:fldCharType="begin"/>
    </w:r>
    <w:r w:rsidR="00DD3033">
      <w:rPr>
        <w:b/>
        <w:bCs/>
      </w:rPr>
      <w:instrText xml:space="preserve"> PAGE  \* Arabic  \* MERGEFORMAT </w:instrText>
    </w:r>
    <w:r w:rsidR="00DD3033">
      <w:rPr>
        <w:b/>
        <w:bCs/>
      </w:rPr>
      <w:fldChar w:fldCharType="separate"/>
    </w:r>
    <w:r w:rsidR="00AB1438">
      <w:rPr>
        <w:b/>
        <w:bCs/>
        <w:noProof/>
      </w:rPr>
      <w:t>5</w:t>
    </w:r>
    <w:r w:rsidR="00DD3033">
      <w:rPr>
        <w:b/>
        <w:bCs/>
      </w:rPr>
      <w:fldChar w:fldCharType="end"/>
    </w:r>
    <w:r w:rsidR="00DD3033">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E491C" w14:textId="795D96FF" w:rsidR="00757ADC" w:rsidRDefault="00757ADC" w:rsidP="00757ADC">
    <w:pPr>
      <w:pStyle w:val="Footer"/>
      <w:tabs>
        <w:tab w:val="clear" w:pos="4513"/>
        <w:tab w:val="center" w:pos="5245"/>
      </w:tabs>
    </w:pPr>
    <w:r>
      <w:rPr>
        <w:noProof/>
        <w:lang w:eastAsia="en-AU"/>
      </w:rPr>
      <w:drawing>
        <wp:anchor distT="0" distB="0" distL="114300" distR="114300" simplePos="0" relativeHeight="251658240" behindDoc="0" locked="0" layoutInCell="1" allowOverlap="1" wp14:anchorId="359F463A" wp14:editId="3A55EE58">
          <wp:simplePos x="0" y="0"/>
          <wp:positionH relativeFrom="column">
            <wp:posOffset>4189730</wp:posOffset>
          </wp:positionH>
          <wp:positionV relativeFrom="page">
            <wp:posOffset>9819880</wp:posOffset>
          </wp:positionV>
          <wp:extent cx="1501775" cy="490220"/>
          <wp:effectExtent l="0" t="0" r="3175" b="5080"/>
          <wp:wrapSquare wrapText="bothSides"/>
          <wp:docPr id="1524813650" name="Picture 1524813650"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B6F">
      <w:t>Audiology</w:t>
    </w:r>
    <w:r>
      <w:t xml:space="preserve"> - </w:t>
    </w:r>
    <w:r w:rsidR="005F3118">
      <w:t>Decision Regulatory Impact Statement</w: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60283" w14:textId="77777777" w:rsidR="0096680A" w:rsidRPr="00DB3896" w:rsidRDefault="0096680A" w:rsidP="00DB3896">
      <w:pPr>
        <w:spacing w:line="240" w:lineRule="auto"/>
        <w:rPr>
          <w:color w:val="D9D9D9" w:themeColor="background1" w:themeShade="D9"/>
        </w:rPr>
      </w:pPr>
      <w:r w:rsidRPr="007638A8">
        <w:rPr>
          <w:color w:val="D9D9D9" w:themeColor="background1" w:themeShade="D9"/>
        </w:rPr>
        <w:separator/>
      </w:r>
    </w:p>
    <w:p w14:paraId="722B08EB" w14:textId="77777777" w:rsidR="0096680A" w:rsidRDefault="0096680A"/>
    <w:p w14:paraId="78021B73" w14:textId="77777777" w:rsidR="0096680A" w:rsidRDefault="0096680A"/>
    <w:p w14:paraId="03E40331" w14:textId="77777777" w:rsidR="0096680A" w:rsidRDefault="0096680A"/>
  </w:footnote>
  <w:footnote w:type="continuationSeparator" w:id="0">
    <w:p w14:paraId="0BA95631" w14:textId="77777777" w:rsidR="0096680A" w:rsidRDefault="0096680A" w:rsidP="005655C9">
      <w:pPr>
        <w:spacing w:line="240" w:lineRule="auto"/>
      </w:pPr>
      <w:r>
        <w:continuationSeparator/>
      </w:r>
    </w:p>
    <w:p w14:paraId="7A5C5F4D" w14:textId="77777777" w:rsidR="0096680A" w:rsidRDefault="0096680A"/>
    <w:p w14:paraId="44C11471" w14:textId="77777777" w:rsidR="0096680A" w:rsidRDefault="0096680A" w:rsidP="00952B5B"/>
    <w:p w14:paraId="3E3A1C7A" w14:textId="77777777" w:rsidR="0096680A" w:rsidRDefault="0096680A" w:rsidP="00952B5B"/>
    <w:p w14:paraId="56633D99" w14:textId="77777777" w:rsidR="0096680A" w:rsidRDefault="0096680A"/>
    <w:p w14:paraId="383F0926" w14:textId="77777777" w:rsidR="0096680A" w:rsidRDefault="0096680A"/>
    <w:p w14:paraId="654EC63A" w14:textId="77777777" w:rsidR="0096680A" w:rsidRDefault="0096680A"/>
    <w:p w14:paraId="1A178D98" w14:textId="77777777" w:rsidR="0096680A" w:rsidRDefault="0096680A"/>
  </w:footnote>
  <w:footnote w:type="continuationNotice" w:id="1">
    <w:p w14:paraId="4D47AAA3" w14:textId="77777777" w:rsidR="0096680A" w:rsidRDefault="0096680A">
      <w:pPr>
        <w:spacing w:line="240" w:lineRule="auto"/>
      </w:pPr>
    </w:p>
  </w:footnote>
  <w:footnote w:id="2">
    <w:p w14:paraId="243894AF" w14:textId="1F5DEC5B" w:rsidR="004E7D3C" w:rsidRDefault="004E7D3C" w:rsidP="004E7D3C">
      <w:pPr>
        <w:pStyle w:val="FootnoteText"/>
      </w:pPr>
      <w:r>
        <w:rPr>
          <w:rStyle w:val="FootnoteReference"/>
        </w:rPr>
        <w:footnoteRef/>
      </w:r>
      <w:r>
        <w:t xml:space="preserve"> Australian Government Department of Health and Aged Care 2024, </w:t>
      </w:r>
      <w:r w:rsidRPr="00DD3177">
        <w:rPr>
          <w:i/>
          <w:iCs/>
        </w:rPr>
        <w:t>Independent review of complexity in the National Registration and Accreditation Scheme</w:t>
      </w:r>
      <w:r>
        <w:t>, accessed from &lt;</w:t>
      </w:r>
      <w:r w:rsidRPr="000A406E">
        <w:t>https://www.health.gov.au/our-work/independent-review-of-complexity-in-the-national-registration-and-accreditation-scheme</w:t>
      </w:r>
      <w:r>
        <w:t>&gt;.</w:t>
      </w:r>
    </w:p>
  </w:footnote>
  <w:footnote w:id="3">
    <w:p w14:paraId="29ACB4F3" w14:textId="2A497EE9" w:rsidR="004E7D3C" w:rsidRDefault="004E7D3C" w:rsidP="004E7D3C">
      <w:pPr>
        <w:pStyle w:val="FootnoteText"/>
      </w:pPr>
      <w:r>
        <w:rPr>
          <w:rStyle w:val="FootnoteReference"/>
        </w:rPr>
        <w:footnoteRef/>
      </w:r>
      <w:r>
        <w:t xml:space="preserve"> Australian Government Department of Health and Aged Care 2024, </w:t>
      </w:r>
      <w:r w:rsidRPr="00DD3177">
        <w:rPr>
          <w:i/>
          <w:iCs/>
        </w:rPr>
        <w:t>Independent review of complexity in the National Registration and Accreditation Scheme</w:t>
      </w:r>
      <w:r>
        <w:rPr>
          <w:i/>
          <w:iCs/>
        </w:rPr>
        <w:t xml:space="preserve"> – Terms of Reference</w:t>
      </w:r>
      <w:r>
        <w:t>, accessed from &lt;</w:t>
      </w:r>
      <w:r w:rsidRPr="00D31120">
        <w:t xml:space="preserve"> https://www.health.gov.au/resources/publications/independent-review-of-complexity-in-the-national-registration-and-accreditation-scheme-terms-of-reference?language=en</w:t>
      </w:r>
      <w:r>
        <w:t>&gt;.</w:t>
      </w:r>
    </w:p>
  </w:footnote>
  <w:footnote w:id="4">
    <w:p w14:paraId="61A68AAB" w14:textId="7674779C" w:rsidR="004E7D3C" w:rsidRPr="007176F0" w:rsidRDefault="004E7D3C" w:rsidP="004E7D3C">
      <w:pPr>
        <w:pStyle w:val="FootnoteText"/>
        <w:rPr>
          <w:lang w:val="en-AU"/>
        </w:rPr>
      </w:pPr>
      <w:r>
        <w:rPr>
          <w:rStyle w:val="FootnoteReference"/>
        </w:rPr>
        <w:footnoteRef/>
      </w:r>
      <w:r>
        <w:t xml:space="preserve"> </w:t>
      </w:r>
      <w:r>
        <w:rPr>
          <w:lang w:val="en-AU"/>
        </w:rPr>
        <w:t xml:space="preserve">Australian Government Department of Health and Aged Care 2024, </w:t>
      </w:r>
      <w:r w:rsidRPr="00004FBF">
        <w:rPr>
          <w:i/>
          <w:iCs/>
          <w:lang w:val="en-AU"/>
        </w:rPr>
        <w:t>Consultation Paper 1: Review of complexity in the National Registration and Accreditation Scheme</w:t>
      </w:r>
      <w:r>
        <w:rPr>
          <w:lang w:val="en-AU"/>
        </w:rPr>
        <w:t>, accessed from &lt;</w:t>
      </w:r>
      <w:r w:rsidRPr="00FC2637">
        <w:t xml:space="preserve"> </w:t>
      </w:r>
      <w:r w:rsidRPr="00FC2637">
        <w:rPr>
          <w:lang w:val="en-AU"/>
        </w:rPr>
        <w:t xml:space="preserve">https://www.health.gov.au/sites/default/files/2024-09/consultation-paper-1-review-of-complexity-in-the-national-registration-and-accreditation-scheme_0.pdf </w:t>
      </w:r>
      <w:r>
        <w:rPr>
          <w:lang w:val="en-AU"/>
        </w:rPr>
        <w:t>&gt;.</w:t>
      </w:r>
    </w:p>
  </w:footnote>
  <w:footnote w:id="5">
    <w:p w14:paraId="1C9B6649" w14:textId="35A3DB9C" w:rsidR="008F7871" w:rsidRPr="007176F0" w:rsidRDefault="008F7871">
      <w:pPr>
        <w:pStyle w:val="FootnoteText"/>
        <w:rPr>
          <w:lang w:val="en-AU"/>
        </w:rPr>
      </w:pPr>
      <w:r>
        <w:rPr>
          <w:rStyle w:val="FootnoteReference"/>
        </w:rPr>
        <w:footnoteRef/>
      </w:r>
      <w:r>
        <w:t xml:space="preserve"> </w:t>
      </w:r>
      <w:r w:rsidR="00E638E3">
        <w:rPr>
          <w:lang w:val="en-AU"/>
        </w:rPr>
        <w:t>Australian Government Department of Health and Aged Care</w:t>
      </w:r>
      <w:r w:rsidR="00004FBF">
        <w:rPr>
          <w:lang w:val="en-AU"/>
        </w:rPr>
        <w:t xml:space="preserve"> 2024</w:t>
      </w:r>
      <w:r w:rsidR="00E638E3">
        <w:rPr>
          <w:lang w:val="en-AU"/>
        </w:rPr>
        <w:t xml:space="preserve">, </w:t>
      </w:r>
      <w:r w:rsidR="00E638E3" w:rsidRPr="00004FBF">
        <w:rPr>
          <w:i/>
          <w:iCs/>
          <w:lang w:val="en-AU"/>
        </w:rPr>
        <w:t>Unleashing the Potential of our Health Workforce – Scope of Practice Review Final Report</w:t>
      </w:r>
      <w:r w:rsidR="00E638E3">
        <w:rPr>
          <w:lang w:val="en-AU"/>
        </w:rPr>
        <w:t>, accessed from &lt;</w:t>
      </w:r>
      <w:r w:rsidR="00E638E3" w:rsidRPr="009F567B">
        <w:t xml:space="preserve"> </w:t>
      </w:r>
      <w:r w:rsidR="00E638E3" w:rsidRPr="009F567B">
        <w:rPr>
          <w:lang w:val="en-AU"/>
        </w:rPr>
        <w:t xml:space="preserve">https://www.health.gov.au/sites/default/files/2024-11/unleashing-the-potential-of-our-health-workforce-scope-of-practice-review-final-report_0.pdf </w:t>
      </w:r>
      <w:r w:rsidR="00E638E3">
        <w:rPr>
          <w:lang w:val="en-AU"/>
        </w:rPr>
        <w:t>&gt;.</w:t>
      </w:r>
    </w:p>
  </w:footnote>
  <w:footnote w:id="6">
    <w:p w14:paraId="74E1EB2B" w14:textId="764AF543" w:rsidR="002B6C73" w:rsidRPr="007176F0" w:rsidRDefault="002B6C73" w:rsidP="002B6C73">
      <w:pPr>
        <w:pStyle w:val="FootnoteText"/>
        <w:rPr>
          <w:lang w:val="en-AU"/>
        </w:rPr>
      </w:pPr>
      <w:r>
        <w:rPr>
          <w:rStyle w:val="FootnoteReference"/>
        </w:rPr>
        <w:footnoteRef/>
      </w:r>
      <w:r>
        <w:t xml:space="preserve"> </w:t>
      </w:r>
      <w:r w:rsidR="00E638E3">
        <w:t>Ibid.</w:t>
      </w:r>
    </w:p>
  </w:footnote>
  <w:footnote w:id="7">
    <w:p w14:paraId="4F7ADC24" w14:textId="52B0825F" w:rsidR="00287EDC" w:rsidRPr="007176F0" w:rsidRDefault="00287EDC">
      <w:pPr>
        <w:pStyle w:val="FootnoteText"/>
        <w:rPr>
          <w:lang w:val="en-AU"/>
        </w:rPr>
      </w:pPr>
      <w:r>
        <w:rPr>
          <w:rStyle w:val="FootnoteReference"/>
        </w:rPr>
        <w:footnoteRef/>
      </w:r>
      <w:r>
        <w:t xml:space="preserve"> </w:t>
      </w:r>
      <w:r w:rsidR="00356E47">
        <w:t>A profession’s entry into the National Scheme includes</w:t>
      </w:r>
      <w:r w:rsidR="00356679">
        <w:t xml:space="preserve"> both a consideration of six Intergovernmental Agreement </w:t>
      </w:r>
      <w:r w:rsidR="004D09E5">
        <w:t xml:space="preserve">(IGA) </w:t>
      </w:r>
      <w:r w:rsidR="00356679">
        <w:t>criteria</w:t>
      </w:r>
      <w:r w:rsidR="00F30FA6">
        <w:t>, as well as a Regulatory Impact Analysis</w:t>
      </w:r>
      <w:r w:rsidR="00576AB5">
        <w:t xml:space="preserve"> (RIA)</w:t>
      </w:r>
      <w:r w:rsidR="00F30FA6">
        <w:t xml:space="preserve"> process. </w:t>
      </w:r>
      <w:r w:rsidR="0073453A">
        <w:rPr>
          <w:lang w:val="en-AU"/>
        </w:rPr>
        <w:t>The review notes that to date,</w:t>
      </w:r>
      <w:r w:rsidR="00A32585">
        <w:rPr>
          <w:lang w:val="en-AU"/>
        </w:rPr>
        <w:t xml:space="preserve"> self-regulated professions </w:t>
      </w:r>
      <w:r w:rsidR="00920F39">
        <w:rPr>
          <w:lang w:val="en-AU"/>
        </w:rPr>
        <w:t>have tended to not meet the</w:t>
      </w:r>
      <w:r w:rsidR="005A1B13">
        <w:rPr>
          <w:lang w:val="en-AU"/>
        </w:rPr>
        <w:t xml:space="preserve"> </w:t>
      </w:r>
      <w:r w:rsidR="004D09E5">
        <w:rPr>
          <w:lang w:val="en-AU"/>
        </w:rPr>
        <w:t xml:space="preserve">second </w:t>
      </w:r>
      <w:r w:rsidR="00576AB5">
        <w:rPr>
          <w:lang w:val="en-AU"/>
        </w:rPr>
        <w:t>IGA criteria,</w:t>
      </w:r>
      <w:r w:rsidR="004D09E5">
        <w:rPr>
          <w:lang w:val="en-AU"/>
        </w:rPr>
        <w:t xml:space="preserve"> </w:t>
      </w:r>
      <w:r w:rsidR="00F92F83">
        <w:rPr>
          <w:lang w:val="en-AU"/>
        </w:rPr>
        <w:t xml:space="preserve"> </w:t>
      </w:r>
      <w:r w:rsidR="001B4FDD">
        <w:rPr>
          <w:lang w:val="en-AU"/>
        </w:rPr>
        <w:t>‘</w:t>
      </w:r>
      <w:r w:rsidR="001B4FDD" w:rsidRPr="007176F0">
        <w:rPr>
          <w:i/>
          <w:iCs/>
          <w:lang w:val="en-AU"/>
        </w:rPr>
        <w:t xml:space="preserve">Do the activities of the occupation pose a significant risk of harm to </w:t>
      </w:r>
      <w:r w:rsidR="000B0DF9" w:rsidRPr="007176F0">
        <w:rPr>
          <w:i/>
          <w:iCs/>
          <w:lang w:val="en-AU"/>
        </w:rPr>
        <w:t>the health and safety of the public?</w:t>
      </w:r>
      <w:r w:rsidR="000B0DF9">
        <w:rPr>
          <w:lang w:val="en-AU"/>
        </w:rPr>
        <w:t xml:space="preserve">’. </w:t>
      </w:r>
      <w:r w:rsidR="00D0188E">
        <w:rPr>
          <w:lang w:val="en-AU"/>
        </w:rPr>
        <w:t>In relation to this criterion, the</w:t>
      </w:r>
      <w:r w:rsidR="00CC4450">
        <w:rPr>
          <w:lang w:val="en-AU"/>
        </w:rPr>
        <w:t xml:space="preserve"> review references New Zealand, where their statutory criterion refers to ‘ either (i) the health services pose a risk of harm to the public or (ii) it is otherwise in the public interest that the provision of health services be regulated.’</w:t>
      </w:r>
    </w:p>
  </w:footnote>
  <w:footnote w:id="8">
    <w:p w14:paraId="4734188E" w14:textId="19D5A44B" w:rsidR="00AC3C63" w:rsidRPr="00AC3C63" w:rsidRDefault="00AC3C63">
      <w:pPr>
        <w:pStyle w:val="FootnoteText"/>
        <w:rPr>
          <w:lang w:val="en-AU"/>
        </w:rPr>
      </w:pPr>
      <w:r>
        <w:rPr>
          <w:rStyle w:val="FootnoteReference"/>
        </w:rPr>
        <w:footnoteRef/>
      </w:r>
      <w:r>
        <w:t xml:space="preserve"> </w:t>
      </w:r>
      <w:r>
        <w:rPr>
          <w:lang w:val="en-AU"/>
        </w:rPr>
        <w:t>HumanAbility</w:t>
      </w:r>
      <w:r w:rsidR="00004FBF">
        <w:rPr>
          <w:lang w:val="en-AU"/>
        </w:rPr>
        <w:t xml:space="preserve"> </w:t>
      </w:r>
      <w:r w:rsidR="00701DBE">
        <w:rPr>
          <w:lang w:val="en-AU"/>
        </w:rPr>
        <w:t>2025</w:t>
      </w:r>
      <w:r>
        <w:rPr>
          <w:lang w:val="en-AU"/>
        </w:rPr>
        <w:t xml:space="preserve">, </w:t>
      </w:r>
      <w:r w:rsidR="00D9569E">
        <w:rPr>
          <w:lang w:val="en-AU"/>
        </w:rPr>
        <w:t>Audiometry Qualification Review, accessed from &lt;</w:t>
      </w:r>
      <w:r w:rsidR="00950685" w:rsidRPr="00950685">
        <w:t xml:space="preserve"> </w:t>
      </w:r>
      <w:r w:rsidR="00950685" w:rsidRPr="00950685">
        <w:rPr>
          <w:lang w:val="en-AU"/>
        </w:rPr>
        <w:t>https://humanability.com.au/projects/audiometry-qualification-review.aspx</w:t>
      </w:r>
      <w:r w:rsidR="00D9569E">
        <w:rPr>
          <w:lang w:val="en-AU"/>
        </w:rPr>
        <w:t>&gt;.</w:t>
      </w:r>
    </w:p>
  </w:footnote>
  <w:footnote w:id="9">
    <w:p w14:paraId="546AFBA1" w14:textId="77777777" w:rsidR="00987774" w:rsidRPr="007A5CF3" w:rsidRDefault="00987774" w:rsidP="00987774">
      <w:pPr>
        <w:pStyle w:val="FootnoteText"/>
      </w:pPr>
      <w:r>
        <w:rPr>
          <w:rStyle w:val="FootnoteReference"/>
        </w:rPr>
        <w:footnoteRef/>
      </w:r>
      <w:r>
        <w:t xml:space="preserve"> Ear Science Institute Australia 2023, </w:t>
      </w:r>
      <w:r w:rsidRPr="00F71049">
        <w:rPr>
          <w:i/>
          <w:iCs/>
        </w:rPr>
        <w:t>Types of Hearing Loss</w:t>
      </w:r>
      <w:r>
        <w:t>, accessed from &lt;</w:t>
      </w:r>
      <w:r w:rsidRPr="004638FE">
        <w:t xml:space="preserve"> https://www.earscience.org.au/lions-hearing-clinic/hearing-loss/types-of-hearing-loss/</w:t>
      </w:r>
      <w:r>
        <w:t>&gt;.</w:t>
      </w:r>
    </w:p>
  </w:footnote>
  <w:footnote w:id="10">
    <w:p w14:paraId="27442F79" w14:textId="54381F06" w:rsidR="00987774" w:rsidRPr="00BF6541" w:rsidRDefault="00987774" w:rsidP="00987774">
      <w:pPr>
        <w:pStyle w:val="FootnoteText"/>
      </w:pPr>
      <w:r>
        <w:rPr>
          <w:rStyle w:val="FootnoteReference"/>
        </w:rPr>
        <w:footnoteRef/>
      </w:r>
      <w:r>
        <w:t xml:space="preserve"> Parliament of Australia 2017, </w:t>
      </w:r>
      <w:r w:rsidRPr="00882910">
        <w:rPr>
          <w:i/>
          <w:iCs/>
        </w:rPr>
        <w:t>Still waiting to be heard...</w:t>
      </w:r>
      <w:r>
        <w:rPr>
          <w:i/>
          <w:iCs/>
        </w:rPr>
        <w:t xml:space="preserve">, </w:t>
      </w:r>
      <w:r>
        <w:t>accessed from &lt;</w:t>
      </w:r>
      <w:r w:rsidRPr="000E6705">
        <w:t>https://www.aph.gov.au/Parliamentary_Business/Committees/House/Health_Aged_Care_and_Sport/HearingHealth/Report_1</w:t>
      </w:r>
      <w:r>
        <w:t>&gt;.</w:t>
      </w:r>
    </w:p>
  </w:footnote>
  <w:footnote w:id="11">
    <w:p w14:paraId="7DDE0294" w14:textId="77777777" w:rsidR="00987774" w:rsidRDefault="00987774" w:rsidP="00987774">
      <w:pPr>
        <w:pStyle w:val="FootnoteText"/>
      </w:pPr>
      <w:r>
        <w:rPr>
          <w:rStyle w:val="FootnoteReference"/>
        </w:rPr>
        <w:footnoteRef/>
      </w:r>
      <w:r>
        <w:t xml:space="preserve"> John Hopkins Medicine 2024, </w:t>
      </w:r>
      <w:r w:rsidRPr="005F75FF">
        <w:rPr>
          <w:i/>
          <w:iCs/>
        </w:rPr>
        <w:t>Types of Hearing Loss</w:t>
      </w:r>
      <w:r>
        <w:t>, accessed from &lt;</w:t>
      </w:r>
      <w:r w:rsidRPr="005F75FF">
        <w:t xml:space="preserve"> https://www.hopkinsmedicine.org/health/conditions-and-diseases/hearing-loss/types-of-hearing-loss</w:t>
      </w:r>
      <w:r>
        <w:t>&gt;.</w:t>
      </w:r>
    </w:p>
  </w:footnote>
  <w:footnote w:id="12">
    <w:p w14:paraId="4915EEDC" w14:textId="77777777" w:rsidR="00987774" w:rsidRPr="00BF6541" w:rsidRDefault="00987774" w:rsidP="00987774">
      <w:pPr>
        <w:pStyle w:val="FootnoteText"/>
      </w:pPr>
      <w:r>
        <w:rPr>
          <w:rStyle w:val="FootnoteReference"/>
        </w:rPr>
        <w:footnoteRef/>
      </w:r>
      <w:r>
        <w:t xml:space="preserve"> Ear Science Institute Australia 2023, </w:t>
      </w:r>
      <w:r w:rsidRPr="00F71049">
        <w:rPr>
          <w:i/>
          <w:iCs/>
        </w:rPr>
        <w:t>Types of Hearing Loss</w:t>
      </w:r>
      <w:r>
        <w:rPr>
          <w:i/>
          <w:iCs/>
        </w:rPr>
        <w:t xml:space="preserve">, </w:t>
      </w:r>
      <w:r>
        <w:t>accessed from &lt;</w:t>
      </w:r>
      <w:r w:rsidRPr="004638FE">
        <w:t xml:space="preserve"> https://www.earscience.org.au/lions-hearing-clinic/hearing-loss/types-of-hearing-loss/</w:t>
      </w:r>
      <w:r>
        <w:t>&gt;.</w:t>
      </w:r>
    </w:p>
  </w:footnote>
  <w:footnote w:id="13">
    <w:p w14:paraId="69795AF1" w14:textId="3C61A861" w:rsidR="00987774" w:rsidRPr="00A453E4" w:rsidRDefault="00987774" w:rsidP="00987774">
      <w:pPr>
        <w:pStyle w:val="FootnoteText"/>
      </w:pPr>
      <w:r>
        <w:rPr>
          <w:rStyle w:val="FootnoteReference"/>
        </w:rPr>
        <w:footnoteRef/>
      </w:r>
      <w:r>
        <w:t xml:space="preserve"> </w:t>
      </w:r>
      <w:r w:rsidRPr="00810FCF">
        <w:t>A cochlear implant (CI) is an electronic device that is surgically implanted in the inner ear to help people with severe hearing loss or deafness perceive sound. The device consists of an external sound processor and an implanted electronics package and electrode array.</w:t>
      </w:r>
    </w:p>
  </w:footnote>
  <w:footnote w:id="14">
    <w:p w14:paraId="6FA2B467" w14:textId="77777777" w:rsidR="00987774" w:rsidRPr="00C66776" w:rsidRDefault="00987774" w:rsidP="00987774">
      <w:pPr>
        <w:pStyle w:val="FootnoteText"/>
      </w:pPr>
      <w:r>
        <w:rPr>
          <w:rStyle w:val="FootnoteReference"/>
        </w:rPr>
        <w:footnoteRef/>
      </w:r>
      <w:r>
        <w:t xml:space="preserve"> Ear Science Institute Australia 2023, </w:t>
      </w:r>
      <w:r w:rsidRPr="00F71049">
        <w:rPr>
          <w:i/>
          <w:iCs/>
        </w:rPr>
        <w:t>Types of Hearing Loss</w:t>
      </w:r>
      <w:r>
        <w:rPr>
          <w:i/>
          <w:iCs/>
        </w:rPr>
        <w:t xml:space="preserve">, </w:t>
      </w:r>
      <w:r>
        <w:t>accessed from &lt;</w:t>
      </w:r>
      <w:r w:rsidRPr="004638FE">
        <w:t xml:space="preserve"> https://www.earscience.org.au/lions-hearing-clinic/hearing-loss/types-of-hearing-loss/</w:t>
      </w:r>
      <w:r>
        <w:t>&gt;.</w:t>
      </w:r>
    </w:p>
  </w:footnote>
  <w:footnote w:id="15">
    <w:p w14:paraId="5C950E4B" w14:textId="0ADD3CF5" w:rsidR="006C7BD2" w:rsidRPr="006C7BD2" w:rsidRDefault="006C7BD2">
      <w:pPr>
        <w:pStyle w:val="FootnoteText"/>
        <w:rPr>
          <w:lang w:val="en-AU"/>
        </w:rPr>
      </w:pPr>
      <w:r>
        <w:rPr>
          <w:rStyle w:val="FootnoteReference"/>
        </w:rPr>
        <w:footnoteRef/>
      </w:r>
      <w:r>
        <w:t xml:space="preserve"> Parliament of Australia 2017, </w:t>
      </w:r>
      <w:r w:rsidRPr="00882910">
        <w:rPr>
          <w:i/>
          <w:iCs/>
        </w:rPr>
        <w:t>Still waiting to be heard...</w:t>
      </w:r>
      <w:r>
        <w:rPr>
          <w:i/>
          <w:iCs/>
        </w:rPr>
        <w:t>,</w:t>
      </w:r>
      <w:r>
        <w:t xml:space="preserve"> accessed from &lt;</w:t>
      </w:r>
      <w:r w:rsidRPr="000E6705">
        <w:t>https://www.aph.gov.au/Parliamentary_Business/Committees/House/Health_Aged_Care_and_Sport/HearingHealth/Report_1</w:t>
      </w:r>
      <w:r>
        <w:t>&gt;.</w:t>
      </w:r>
    </w:p>
  </w:footnote>
  <w:footnote w:id="16">
    <w:p w14:paraId="1DDEA33C" w14:textId="77777777" w:rsidR="000A27B7" w:rsidRDefault="000A27B7" w:rsidP="000A27B7">
      <w:pPr>
        <w:pStyle w:val="FootnoteText"/>
      </w:pPr>
      <w:r>
        <w:rPr>
          <w:rStyle w:val="FootnoteReference"/>
        </w:rPr>
        <w:footnoteRef/>
      </w:r>
      <w:r>
        <w:t>National Framework for Neonatal Hearing Screening 2013, accessed from &lt;</w:t>
      </w:r>
      <w:r w:rsidRPr="00FC0770">
        <w:t>https://www.health.gov.au/sites/default/files/documents/2021/12/national-framework-for-neonatal-hearing-screening.pdf</w:t>
      </w:r>
      <w:r>
        <w:t>&gt;.</w:t>
      </w:r>
    </w:p>
  </w:footnote>
  <w:footnote w:id="17">
    <w:p w14:paraId="0128E534" w14:textId="4C879839" w:rsidR="000A27B7" w:rsidRDefault="000A27B7" w:rsidP="000A27B7">
      <w:pPr>
        <w:pStyle w:val="FootnoteText"/>
      </w:pPr>
      <w:r>
        <w:rPr>
          <w:rStyle w:val="FootnoteReference"/>
        </w:rPr>
        <w:footnoteRef/>
      </w:r>
      <w:r>
        <w:t xml:space="preserve"> ABS 202</w:t>
      </w:r>
      <w:r w:rsidR="00C95598">
        <w:t>4</w:t>
      </w:r>
      <w:r>
        <w:t xml:space="preserve">, </w:t>
      </w:r>
      <w:r w:rsidRPr="000B1375">
        <w:rPr>
          <w:i/>
          <w:iCs/>
        </w:rPr>
        <w:t>Births, Australia</w:t>
      </w:r>
      <w:r>
        <w:t>, accessed from &lt;</w:t>
      </w:r>
      <w:r w:rsidRPr="000B1375">
        <w:t xml:space="preserve">https://www.abs.gov.au/statistics/people/population/births-australia/latest-release </w:t>
      </w:r>
      <w:r>
        <w:t>&gt;.</w:t>
      </w:r>
    </w:p>
  </w:footnote>
  <w:footnote w:id="18">
    <w:p w14:paraId="18EDBC68" w14:textId="77777777" w:rsidR="000A27B7" w:rsidRPr="00EE13E7" w:rsidRDefault="000A27B7" w:rsidP="000A27B7">
      <w:pPr>
        <w:pStyle w:val="FootnoteText"/>
      </w:pPr>
      <w:r>
        <w:rPr>
          <w:rStyle w:val="FootnoteReference"/>
        </w:rPr>
        <w:footnoteRef/>
      </w:r>
      <w:r>
        <w:t xml:space="preserve"> Parliament of Australia 2017, </w:t>
      </w:r>
      <w:r w:rsidRPr="00882910">
        <w:rPr>
          <w:i/>
          <w:iCs/>
        </w:rPr>
        <w:t>Still waiting to be heard...</w:t>
      </w:r>
      <w:r>
        <w:rPr>
          <w:i/>
          <w:iCs/>
        </w:rPr>
        <w:t>,</w:t>
      </w:r>
      <w:r>
        <w:t xml:space="preserve"> accessed from &lt;</w:t>
      </w:r>
      <w:r w:rsidRPr="000E6705">
        <w:t>https://www.aph.gov.au/Parliamentary_Business/Committees/House/Health_Aged_Care_and_Sport/HearingHealth/Report_1</w:t>
      </w:r>
      <w:r>
        <w:t>&gt;.</w:t>
      </w:r>
    </w:p>
  </w:footnote>
  <w:footnote w:id="19">
    <w:p w14:paraId="7361A451" w14:textId="3A6761C5" w:rsidR="000A27B7" w:rsidRPr="00891531" w:rsidRDefault="000A27B7" w:rsidP="000A27B7">
      <w:pPr>
        <w:pStyle w:val="FootnoteText"/>
      </w:pPr>
      <w:r>
        <w:rPr>
          <w:rStyle w:val="FootnoteReference"/>
        </w:rPr>
        <w:footnoteRef/>
      </w:r>
      <w:r>
        <w:t xml:space="preserve"> Australian Institute of Health and Welfare 20</w:t>
      </w:r>
      <w:r w:rsidR="00BA77D1">
        <w:t>24</w:t>
      </w:r>
      <w:r>
        <w:t xml:space="preserve">, </w:t>
      </w:r>
      <w:r w:rsidR="00737CAB" w:rsidRPr="007176F0">
        <w:rPr>
          <w:i/>
          <w:iCs/>
        </w:rPr>
        <w:t>Australia’s health 2024 – in brief</w:t>
      </w:r>
      <w:r w:rsidR="000316F4">
        <w:t>, accessed from &lt;</w:t>
      </w:r>
      <w:r w:rsidR="003276D9" w:rsidRPr="003276D9">
        <w:t xml:space="preserve"> https://www.aihw.gov.au/getmedia/6b19e493-0ebe-420f-a9a3-e48b26aace9f/aihw-aus-249-ib.pdf?v=20240715154739&amp;inline=true</w:t>
      </w:r>
      <w:r w:rsidR="000316F4">
        <w:t>&gt;</w:t>
      </w:r>
      <w:r>
        <w:t xml:space="preserve">. </w:t>
      </w:r>
    </w:p>
  </w:footnote>
  <w:footnote w:id="20">
    <w:p w14:paraId="03E9A829" w14:textId="77777777" w:rsidR="000A27B7" w:rsidRDefault="000A27B7" w:rsidP="000A27B7">
      <w:pPr>
        <w:pStyle w:val="FootnoteText"/>
      </w:pPr>
      <w:r>
        <w:rPr>
          <w:rStyle w:val="FootnoteReference"/>
        </w:rPr>
        <w:footnoteRef/>
      </w:r>
      <w:r>
        <w:t xml:space="preserve"> Australian Institute of Health and Welfare, </w:t>
      </w:r>
      <w:r w:rsidRPr="00206633">
        <w:rPr>
          <w:i/>
          <w:iCs/>
        </w:rPr>
        <w:t>Ear a</w:t>
      </w:r>
      <w:r>
        <w:rPr>
          <w:i/>
          <w:iCs/>
        </w:rPr>
        <w:t xml:space="preserve">nd hearing health of Aboriginal and Torres Strait Islander People 2021, </w:t>
      </w:r>
      <w:r>
        <w:t>accessed from &lt;</w:t>
      </w:r>
      <w:r w:rsidRPr="007E1AA2">
        <w:t>https://www.aihw.gov.au/getmedia/557cc818-3c84-4138-b8a5-daf1b35f28ba/aihw-ihw-262.pdf?v=20230605181821&amp;inline=true</w:t>
      </w:r>
      <w:r>
        <w:t>&gt;.</w:t>
      </w:r>
    </w:p>
  </w:footnote>
  <w:footnote w:id="21">
    <w:p w14:paraId="35E4D7FB" w14:textId="77777777" w:rsidR="000A27B7" w:rsidRDefault="000A27B7" w:rsidP="000A27B7">
      <w:pPr>
        <w:pStyle w:val="FootnoteText"/>
      </w:pPr>
      <w:r>
        <w:rPr>
          <w:rStyle w:val="FootnoteReference"/>
        </w:rPr>
        <w:footnoteRef/>
      </w:r>
      <w:r>
        <w:t xml:space="preserve"> The ABS states that hearing impairment at the time of the interview and test does not necessarily indicate a long-term hearing impairment due to temporary factors such as a concurrent infection.</w:t>
      </w:r>
    </w:p>
  </w:footnote>
  <w:footnote w:id="22">
    <w:p w14:paraId="273E7CAB" w14:textId="77777777" w:rsidR="000A27B7" w:rsidRDefault="000A27B7" w:rsidP="000A27B7">
      <w:pPr>
        <w:pStyle w:val="FootnoteText"/>
      </w:pPr>
      <w:r>
        <w:rPr>
          <w:rStyle w:val="FootnoteReference"/>
        </w:rPr>
        <w:footnoteRef/>
      </w:r>
      <w:r>
        <w:t xml:space="preserve"> Australian Institute of Health and Welfare 2018, </w:t>
      </w:r>
      <w:r w:rsidRPr="00DD5E3D">
        <w:rPr>
          <w:i/>
          <w:iCs/>
        </w:rPr>
        <w:t>Ear health and hearing loss among Indigenous children</w:t>
      </w:r>
      <w:r>
        <w:rPr>
          <w:i/>
          <w:iCs/>
        </w:rPr>
        <w:t xml:space="preserve">, </w:t>
      </w:r>
      <w:r>
        <w:t>accessed from &lt;</w:t>
      </w:r>
      <w:r w:rsidRPr="006202BF">
        <w:t>https://www.aihw.gov.au/getmedia/12c11184-0c0a-43ad-8386-975c42c38105/aihw-aus-221-chapter-6-4.pdf.aspx</w:t>
      </w:r>
      <w:r>
        <w:t>&gt;.</w:t>
      </w:r>
    </w:p>
  </w:footnote>
  <w:footnote w:id="23">
    <w:p w14:paraId="234186B6" w14:textId="77777777" w:rsidR="000A27B7" w:rsidRPr="00A66451" w:rsidRDefault="000A27B7" w:rsidP="000A27B7">
      <w:pPr>
        <w:pStyle w:val="FootnoteText"/>
      </w:pPr>
      <w:r>
        <w:rPr>
          <w:rStyle w:val="FootnoteReference"/>
        </w:rPr>
        <w:footnoteRef/>
      </w:r>
      <w:r>
        <w:t xml:space="preserve"> Parliament of Australia 2017, </w:t>
      </w:r>
      <w:r w:rsidRPr="00882910">
        <w:rPr>
          <w:i/>
          <w:iCs/>
        </w:rPr>
        <w:t>Still waiting to be heard...</w:t>
      </w:r>
      <w:r>
        <w:rPr>
          <w:i/>
          <w:iCs/>
        </w:rPr>
        <w:t>,</w:t>
      </w:r>
      <w:r>
        <w:t xml:space="preserve"> accessed from</w:t>
      </w:r>
      <w:r w:rsidRPr="00A66451">
        <w:t xml:space="preserve"> </w:t>
      </w:r>
      <w:r>
        <w:t>&lt;</w:t>
      </w:r>
      <w:r w:rsidRPr="000E6705">
        <w:t>https://www.aph.gov.au/Parliamentary_Business/Committees/House/Health_Aged_Care_and_Sport/HearingHealth/Report_1</w:t>
      </w:r>
      <w:r>
        <w:t>&gt;.</w:t>
      </w:r>
    </w:p>
  </w:footnote>
  <w:footnote w:id="24">
    <w:p w14:paraId="23D9BEBF" w14:textId="5A5F4001" w:rsidR="000A27B7" w:rsidRPr="00C71B2B" w:rsidRDefault="000A27B7" w:rsidP="000A27B7">
      <w:pPr>
        <w:pStyle w:val="FootnoteText"/>
      </w:pPr>
      <w:r>
        <w:rPr>
          <w:rStyle w:val="FootnoteReference"/>
        </w:rPr>
        <w:footnoteRef/>
      </w:r>
      <w:r>
        <w:t xml:space="preserve"> Department of Health and Aged Care 2024,</w:t>
      </w:r>
      <w:r w:rsidRPr="00885BFC">
        <w:t xml:space="preserve"> </w:t>
      </w:r>
      <w:r w:rsidRPr="00885BFC">
        <w:rPr>
          <w:i/>
          <w:iCs/>
        </w:rPr>
        <w:t>About ear health</w:t>
      </w:r>
      <w:r>
        <w:t>, accessed from &lt;</w:t>
      </w:r>
      <w:r w:rsidRPr="00C82E45">
        <w:t xml:space="preserve"> https://www.health.gov.au/topics/ear-health/about</w:t>
      </w:r>
      <w:r>
        <w:t>&gt;</w:t>
      </w:r>
      <w:r w:rsidR="00C5481B">
        <w:t>.</w:t>
      </w:r>
    </w:p>
  </w:footnote>
  <w:footnote w:id="25">
    <w:p w14:paraId="73777BED" w14:textId="7C7168FC" w:rsidR="000A27B7" w:rsidRDefault="000A27B7" w:rsidP="000A27B7">
      <w:pPr>
        <w:pStyle w:val="FootnoteText"/>
      </w:pPr>
      <w:r>
        <w:rPr>
          <w:rStyle w:val="FootnoteReference"/>
        </w:rPr>
        <w:footnoteRef/>
      </w:r>
      <w:r>
        <w:t xml:space="preserve"> </w:t>
      </w:r>
      <w:r w:rsidR="00F61415">
        <w:t xml:space="preserve">Australian Government </w:t>
      </w:r>
      <w:r>
        <w:t xml:space="preserve">Department of Health and Aged Care 2013, </w:t>
      </w:r>
      <w:r w:rsidRPr="00134B4E">
        <w:rPr>
          <w:i/>
          <w:iCs/>
        </w:rPr>
        <w:t>National framework for neonatal hearing screening</w:t>
      </w:r>
      <w:r>
        <w:rPr>
          <w:i/>
          <w:iCs/>
        </w:rPr>
        <w:t xml:space="preserve"> </w:t>
      </w:r>
      <w:r>
        <w:t>&lt;</w:t>
      </w:r>
      <w:r w:rsidRPr="003657F4">
        <w:t>https://www.health.gov.au/</w:t>
      </w:r>
      <w:r w:rsidRPr="00D8616A">
        <w:t>sites/default/files/documents/2021/12</w:t>
      </w:r>
      <w:r w:rsidRPr="003657F4">
        <w:t>/national-framework-for-neonatal-hearing-screening</w:t>
      </w:r>
      <w:r w:rsidRPr="00D8616A">
        <w:t>.pdf</w:t>
      </w:r>
      <w:r>
        <w:t>&gt;</w:t>
      </w:r>
    </w:p>
  </w:footnote>
  <w:footnote w:id="26">
    <w:p w14:paraId="49DA2B6F" w14:textId="77777777" w:rsidR="000A27B7" w:rsidRDefault="000A27B7" w:rsidP="000A27B7">
      <w:pPr>
        <w:pStyle w:val="FootnoteText"/>
      </w:pPr>
      <w:r>
        <w:rPr>
          <w:rStyle w:val="FootnoteReference"/>
        </w:rPr>
        <w:footnoteRef/>
      </w:r>
      <w:r>
        <w:t xml:space="preserve"> </w:t>
      </w:r>
      <w:r w:rsidRPr="00EA03A2">
        <w:t>Dettman, Shani Joy; Dowell, Richard Charles; Choo, Dawn; Arnott, Wendy; Abrahams, Yetta; Davis, Aleisha; Dornan, Dimity; Leigh, Jaime; Constantinescu, Gabriella; Cowan, Robert; Briggs, Robert J. Long-term Communication Outcomes for Children Receiving Cochlear Implants Younger Than 12 Months: A Multicenter Study. Otology &amp; Neurotology 37(2):p e82-e95, February 2016. | DOI: 10.1097/MAO.0000000000000915</w:t>
      </w:r>
      <w:r>
        <w:t>.</w:t>
      </w:r>
    </w:p>
  </w:footnote>
  <w:footnote w:id="27">
    <w:p w14:paraId="51C1105F" w14:textId="77777777" w:rsidR="000A27B7" w:rsidRDefault="000A27B7" w:rsidP="000A27B7">
      <w:pPr>
        <w:pStyle w:val="FootnoteText"/>
      </w:pPr>
      <w:r>
        <w:rPr>
          <w:rStyle w:val="FootnoteReference"/>
        </w:rPr>
        <w:footnoteRef/>
      </w:r>
      <w:r>
        <w:t xml:space="preserve"> Hearing Australia 2022, </w:t>
      </w:r>
      <w:r w:rsidRPr="0096619C">
        <w:rPr>
          <w:i/>
        </w:rPr>
        <w:t>Demographic Details of young Australians aged less than 26 with a hearing loss, who have been fitted with a hearing aid or cochlear implant at 31 December 2022</w:t>
      </w:r>
      <w:r>
        <w:t>, accessed from &lt;https://www.hearing.com.au/HearingAustralia/media/Resources/(4)%20Children%20and%20Young%20Adults/Aided-Child-Demographics-2022-Hearing-Australia.pdf&gt;.</w:t>
      </w:r>
    </w:p>
  </w:footnote>
  <w:footnote w:id="28">
    <w:p w14:paraId="769DFE8D" w14:textId="77777777" w:rsidR="000A27B7" w:rsidRDefault="000A27B7" w:rsidP="000A27B7">
      <w:pPr>
        <w:pStyle w:val="FootnoteText"/>
      </w:pPr>
      <w:r>
        <w:rPr>
          <w:rStyle w:val="FootnoteReference"/>
        </w:rPr>
        <w:footnoteRef/>
      </w:r>
      <w:r w:rsidRPr="00BF0B28">
        <w:rPr>
          <w:lang w:val="nl-NL"/>
        </w:rPr>
        <w:t xml:space="preserve"> Donati G, Nassif N, Redaelli de Zinis LO. </w:t>
      </w:r>
      <w:r>
        <w:t xml:space="preserve">(2024). </w:t>
      </w:r>
      <w:r w:rsidRPr="00E32BC0">
        <w:t>Osteoneogenesis at the Round Window: A Possible Cause of Cochlear Implant Failure? Audiology Research</w:t>
      </w:r>
      <w:r>
        <w:t xml:space="preserve">, </w:t>
      </w:r>
      <w:r w:rsidRPr="00E32BC0">
        <w:t>14(1):1-8.</w:t>
      </w:r>
    </w:p>
  </w:footnote>
  <w:footnote w:id="29">
    <w:p w14:paraId="0B518828" w14:textId="77777777" w:rsidR="001D642A" w:rsidRDefault="001D642A" w:rsidP="001D642A">
      <w:pPr>
        <w:pStyle w:val="FootnoteText"/>
      </w:pPr>
      <w:r>
        <w:rPr>
          <w:rStyle w:val="FootnoteReference"/>
        </w:rPr>
        <w:footnoteRef/>
      </w:r>
      <w:r>
        <w:t xml:space="preserve"> </w:t>
      </w:r>
      <w:r w:rsidRPr="002555F2">
        <w:t>Australian</w:t>
      </w:r>
      <w:r>
        <w:t xml:space="preserve"> </w:t>
      </w:r>
      <w:r w:rsidRPr="002555F2">
        <w:t>Society</w:t>
      </w:r>
      <w:r>
        <w:t xml:space="preserve"> </w:t>
      </w:r>
      <w:r w:rsidRPr="002555F2">
        <w:t>of</w:t>
      </w:r>
      <w:r>
        <w:t xml:space="preserve"> </w:t>
      </w:r>
      <w:r w:rsidRPr="002555F2">
        <w:t>Otolaryngology</w:t>
      </w:r>
      <w:r>
        <w:t xml:space="preserve"> </w:t>
      </w:r>
      <w:r w:rsidRPr="002555F2">
        <w:t>Head</w:t>
      </w:r>
      <w:r>
        <w:t xml:space="preserve"> </w:t>
      </w:r>
      <w:r w:rsidRPr="002555F2">
        <w:t>and</w:t>
      </w:r>
      <w:r>
        <w:t xml:space="preserve"> </w:t>
      </w:r>
      <w:r w:rsidRPr="002555F2">
        <w:t>Neck</w:t>
      </w:r>
      <w:r>
        <w:t xml:space="preserve"> </w:t>
      </w:r>
      <w:r w:rsidRPr="002555F2">
        <w:t>Surger</w:t>
      </w:r>
      <w:r>
        <w:t xml:space="preserve">y, Submission to </w:t>
      </w:r>
      <w:r w:rsidRPr="00AE5BD6">
        <w:rPr>
          <w:i/>
          <w:iCs/>
        </w:rPr>
        <w:t>Inquiry into the Hearing Health and Wellbeing of Australia</w:t>
      </w:r>
      <w:r>
        <w:rPr>
          <w:i/>
          <w:iCs/>
        </w:rPr>
        <w:t>.</w:t>
      </w:r>
    </w:p>
  </w:footnote>
  <w:footnote w:id="30">
    <w:p w14:paraId="51E10E18" w14:textId="77777777" w:rsidR="001D642A" w:rsidRDefault="001D642A" w:rsidP="001D642A">
      <w:pPr>
        <w:pStyle w:val="FootnoteText"/>
      </w:pPr>
      <w:r>
        <w:rPr>
          <w:rStyle w:val="FootnoteReference"/>
        </w:rPr>
        <w:footnoteRef/>
      </w:r>
      <w:r>
        <w:t xml:space="preserve"> </w:t>
      </w:r>
      <w:r w:rsidRPr="00407D61">
        <w:t>Dougherty JM, Carney M, Hohman MH, et al. Vestibular Dysfunction. [Updated 2023 Jul 4]. Treasure Island (FL): StatPearls Publishing; 2024 Jan-. Available from: https://ncbi.nlm.nih.gov/books/NBK558926/</w:t>
      </w:r>
    </w:p>
  </w:footnote>
  <w:footnote w:id="31">
    <w:p w14:paraId="41E69BF4" w14:textId="77777777" w:rsidR="001D642A" w:rsidRPr="00056CC0" w:rsidRDefault="001D642A" w:rsidP="001D642A">
      <w:pPr>
        <w:pStyle w:val="FootnoteText"/>
        <w:rPr>
          <w:lang w:val="en-AU"/>
        </w:rPr>
      </w:pPr>
      <w:r>
        <w:rPr>
          <w:rStyle w:val="FootnoteReference"/>
        </w:rPr>
        <w:footnoteRef/>
      </w:r>
      <w:r>
        <w:t xml:space="preserve"> </w:t>
      </w:r>
      <w:r w:rsidRPr="009A6322">
        <w:t>Smith LJ, Pyke W, Fowler R, Matthes B, de Goederen E, Surenthiran S. Impact and experiences of vestibular disorders and psychological distress: Qualitative findings from patients, family members and healthcare professionals. Health Expect. 2023 Nov 1;27(1)</w:t>
      </w:r>
      <w:r>
        <w:t>.</w:t>
      </w:r>
    </w:p>
  </w:footnote>
  <w:footnote w:id="32">
    <w:p w14:paraId="46F9CA1D" w14:textId="77777777" w:rsidR="001D642A" w:rsidRDefault="001D642A" w:rsidP="001D642A">
      <w:pPr>
        <w:pStyle w:val="FootnoteText"/>
      </w:pPr>
      <w:r>
        <w:rPr>
          <w:rStyle w:val="FootnoteReference"/>
        </w:rPr>
        <w:footnoteRef/>
      </w:r>
      <w:r w:rsidRPr="00056CC0">
        <w:rPr>
          <w:lang w:val="en-AU"/>
        </w:rPr>
        <w:t xml:space="preserve"> Best, C., Eckhardt-Henn, A., Tschan, R., &amp; Dieterich, M. (2009). </w:t>
      </w:r>
      <w:r w:rsidRPr="00560CAD">
        <w:t>Psychiatric morbidity and comorbidity in different vestibular vertigo syndromes: results of a prospective longitudinal study over one year. Journal of neurology, 256, 58-65.</w:t>
      </w:r>
    </w:p>
  </w:footnote>
  <w:footnote w:id="33">
    <w:p w14:paraId="77CB98A4" w14:textId="77777777" w:rsidR="001D642A" w:rsidRDefault="001D642A" w:rsidP="001D642A">
      <w:pPr>
        <w:pStyle w:val="FootnoteText"/>
      </w:pPr>
      <w:r>
        <w:rPr>
          <w:rStyle w:val="FootnoteReference"/>
        </w:rPr>
        <w:footnoteRef/>
      </w:r>
      <w:r>
        <w:t xml:space="preserve"> </w:t>
      </w:r>
      <w:r w:rsidRPr="007918F7">
        <w:t>Smith, L., Wilkinson, D., Bodani, M., Bicknell, R., &amp; Surenthiran, S. S. (2019). Short‐term memory impairment in vestibular patients can arise independently of psychiatric impairment, fatigue, and sleeplessness. Journal of neuropsychology, 13(3), 417-431.</w:t>
      </w:r>
    </w:p>
  </w:footnote>
  <w:footnote w:id="34">
    <w:p w14:paraId="632749DB" w14:textId="6A6AEC89" w:rsidR="000A27B7" w:rsidRDefault="000A27B7" w:rsidP="000A27B7">
      <w:pPr>
        <w:pStyle w:val="FootnoteText"/>
      </w:pPr>
      <w:r>
        <w:rPr>
          <w:rStyle w:val="FootnoteReference"/>
        </w:rPr>
        <w:footnoteRef/>
      </w:r>
      <w:r>
        <w:t xml:space="preserve"> National Institute on Deafness and other Communication Disorders</w:t>
      </w:r>
      <w:r w:rsidR="003D03A0">
        <w:t xml:space="preserve"> 2023</w:t>
      </w:r>
      <w:r>
        <w:t xml:space="preserve">, </w:t>
      </w:r>
      <w:r w:rsidRPr="000C260B">
        <w:rPr>
          <w:i/>
          <w:iCs/>
        </w:rPr>
        <w:t>Tinnitus</w:t>
      </w:r>
      <w:r>
        <w:rPr>
          <w:i/>
          <w:iCs/>
        </w:rPr>
        <w:t>,</w:t>
      </w:r>
      <w:r>
        <w:t xml:space="preserve"> accessed from &lt;</w:t>
      </w:r>
      <w:r w:rsidRPr="00240822">
        <w:t>https://www.nidcd.nih.gov/health/tinnitus?ref=lavieensante.com</w:t>
      </w:r>
      <w:r>
        <w:t>&gt;</w:t>
      </w:r>
      <w:r w:rsidR="00872D9F">
        <w:t>.</w:t>
      </w:r>
    </w:p>
  </w:footnote>
  <w:footnote w:id="35">
    <w:p w14:paraId="754943E0" w14:textId="497C8E8C" w:rsidR="000A27B7" w:rsidRDefault="000A27B7" w:rsidP="000A27B7">
      <w:pPr>
        <w:pStyle w:val="FootnoteText"/>
      </w:pPr>
      <w:r>
        <w:rPr>
          <w:rStyle w:val="FootnoteReference"/>
        </w:rPr>
        <w:footnoteRef/>
      </w:r>
      <w:r>
        <w:t xml:space="preserve"> Tinnitus Association Victoria 2024, </w:t>
      </w:r>
      <w:r w:rsidRPr="00EE4B96">
        <w:rPr>
          <w:i/>
          <w:iCs/>
        </w:rPr>
        <w:t>Tinnitus</w:t>
      </w:r>
      <w:r>
        <w:rPr>
          <w:i/>
          <w:iCs/>
        </w:rPr>
        <w:t xml:space="preserve">, </w:t>
      </w:r>
      <w:r>
        <w:t>accessed from &lt;</w:t>
      </w:r>
      <w:r w:rsidRPr="00A13E25">
        <w:t>https://tinnitus.org.au/tinnitus/</w:t>
      </w:r>
      <w:r>
        <w:t>&gt;</w:t>
      </w:r>
      <w:r w:rsidR="00872D9F">
        <w:t>.</w:t>
      </w:r>
    </w:p>
  </w:footnote>
  <w:footnote w:id="36">
    <w:p w14:paraId="16BDE91B" w14:textId="03F5E3B2" w:rsidR="000A27B7" w:rsidRPr="00604351" w:rsidRDefault="000A27B7" w:rsidP="000A27B7">
      <w:pPr>
        <w:pStyle w:val="FootnoteText"/>
      </w:pPr>
      <w:r>
        <w:rPr>
          <w:rStyle w:val="FootnoteReference"/>
        </w:rPr>
        <w:footnoteRef/>
      </w:r>
      <w:r>
        <w:t xml:space="preserve"> Bionics Institute 2024, </w:t>
      </w:r>
      <w:r w:rsidRPr="00556FC2">
        <w:rPr>
          <w:i/>
          <w:iCs/>
        </w:rPr>
        <w:t>Tinnitus</w:t>
      </w:r>
      <w:r>
        <w:rPr>
          <w:i/>
          <w:iCs/>
        </w:rPr>
        <w:t xml:space="preserve">, </w:t>
      </w:r>
      <w:r>
        <w:t>accessed from &lt;</w:t>
      </w:r>
      <w:r w:rsidRPr="00103C04">
        <w:t xml:space="preserve"> https://www.bionicsinstitute.org/our-disease-focus/tinnitus/</w:t>
      </w:r>
      <w:r>
        <w:t>&gt;</w:t>
      </w:r>
      <w:r w:rsidR="0075232C">
        <w:t>.</w:t>
      </w:r>
    </w:p>
  </w:footnote>
  <w:footnote w:id="37">
    <w:p w14:paraId="0EA466AF" w14:textId="1C956BF5" w:rsidR="000A27B7" w:rsidRDefault="000A27B7" w:rsidP="000A27B7">
      <w:pPr>
        <w:pStyle w:val="FootnoteText"/>
      </w:pPr>
      <w:r>
        <w:rPr>
          <w:rStyle w:val="FootnoteReference"/>
        </w:rPr>
        <w:footnoteRef/>
      </w:r>
      <w:r>
        <w:t xml:space="preserve"> National Institute on Deafness and other Communication Disorders 2023, </w:t>
      </w:r>
      <w:r w:rsidRPr="000C260B">
        <w:rPr>
          <w:i/>
          <w:iCs/>
        </w:rPr>
        <w:t>Tinnitus</w:t>
      </w:r>
      <w:r>
        <w:rPr>
          <w:i/>
          <w:iCs/>
        </w:rPr>
        <w:t xml:space="preserve">, </w:t>
      </w:r>
      <w:r>
        <w:t>accessed from &lt;</w:t>
      </w:r>
      <w:r w:rsidRPr="00240822">
        <w:t>https://www.nidcd.nih.gov/health/tinnitus?ref=lavieensante.com</w:t>
      </w:r>
      <w:r>
        <w:t>&gt;</w:t>
      </w:r>
      <w:r w:rsidR="00E421F3">
        <w:t>.</w:t>
      </w:r>
    </w:p>
  </w:footnote>
  <w:footnote w:id="38">
    <w:p w14:paraId="5404120D" w14:textId="2B1E9F8E" w:rsidR="000A27B7" w:rsidRDefault="000A27B7" w:rsidP="000A27B7">
      <w:pPr>
        <w:pStyle w:val="FootnoteText"/>
      </w:pPr>
      <w:r>
        <w:rPr>
          <w:rStyle w:val="FootnoteReference"/>
        </w:rPr>
        <w:footnoteRef/>
      </w:r>
      <w:r>
        <w:t xml:space="preserve"> </w:t>
      </w:r>
      <w:r w:rsidR="00E421F3">
        <w:t xml:space="preserve">National Institute on Deafness and other Communication Disorders 2023, </w:t>
      </w:r>
      <w:r w:rsidR="00E421F3" w:rsidRPr="000C260B">
        <w:rPr>
          <w:i/>
          <w:iCs/>
        </w:rPr>
        <w:t>Tinnitus</w:t>
      </w:r>
      <w:r w:rsidR="00E421F3">
        <w:rPr>
          <w:i/>
          <w:iCs/>
        </w:rPr>
        <w:t xml:space="preserve">, </w:t>
      </w:r>
      <w:r w:rsidR="00E421F3">
        <w:t>accessed from &lt;</w:t>
      </w:r>
      <w:r w:rsidR="00E421F3" w:rsidRPr="00240822">
        <w:t>https://www.nidcd.nih.gov/health/tinnitus?ref=lavieensante.com</w:t>
      </w:r>
      <w:r w:rsidR="00E421F3">
        <w:t>&gt;.</w:t>
      </w:r>
    </w:p>
  </w:footnote>
  <w:footnote w:id="39">
    <w:p w14:paraId="3B356BB1" w14:textId="1C826EB4" w:rsidR="000A27B7" w:rsidRDefault="000A27B7" w:rsidP="000A27B7">
      <w:pPr>
        <w:pStyle w:val="FootnoteText"/>
      </w:pPr>
      <w:r>
        <w:rPr>
          <w:rStyle w:val="FootnoteReference"/>
        </w:rPr>
        <w:footnoteRef/>
      </w:r>
      <w:r>
        <w:t xml:space="preserve"> The Hearing Aid Audiometrist Society of Australia </w:t>
      </w:r>
      <w:r w:rsidR="00DC4B4A">
        <w:t>subsequently referred</w:t>
      </w:r>
      <w:r>
        <w:t xml:space="preserve"> to Hearing Aid Audiology Society of Australia. </w:t>
      </w:r>
    </w:p>
  </w:footnote>
  <w:footnote w:id="40">
    <w:p w14:paraId="0B713F85" w14:textId="50DBCE05" w:rsidR="000A27B7" w:rsidRDefault="000A27B7" w:rsidP="000A27B7">
      <w:pPr>
        <w:pStyle w:val="FootnoteText"/>
      </w:pPr>
      <w:r>
        <w:rPr>
          <w:rStyle w:val="FootnoteReference"/>
        </w:rPr>
        <w:footnoteRef/>
      </w:r>
      <w:r>
        <w:t xml:space="preserve"> It is noted in the Scope </w:t>
      </w:r>
      <w:r w:rsidR="00DA4A2B">
        <w:t>o</w:t>
      </w:r>
      <w:r>
        <w:t>f Practice document that this summary cannot be used to define, regulate or restrict the scope of an individual’s practice.</w:t>
      </w:r>
    </w:p>
  </w:footnote>
  <w:footnote w:id="41">
    <w:p w14:paraId="129E791B" w14:textId="625E41FF" w:rsidR="000A27B7" w:rsidRDefault="000A27B7" w:rsidP="000A27B7">
      <w:pPr>
        <w:pStyle w:val="FootnoteText"/>
      </w:pPr>
      <w:r>
        <w:rPr>
          <w:rStyle w:val="FootnoteReference"/>
        </w:rPr>
        <w:footnoteRef/>
      </w:r>
      <w:r>
        <w:t xml:space="preserve"> Audiology Australia, Australian College of Audiology, and Hearing Aid Audiometrist Society of Australia</w:t>
      </w:r>
      <w:r w:rsidR="00F357F6">
        <w:t xml:space="preserve"> 2016</w:t>
      </w:r>
      <w:r>
        <w:t>, ‘Scope of Practice for Audiologists and Audiometrists’</w:t>
      </w:r>
      <w:r w:rsidR="00195279">
        <w:t xml:space="preserve"> p4</w:t>
      </w:r>
      <w:r>
        <w:t xml:space="preserve">, </w:t>
      </w:r>
      <w:r w:rsidR="00F357F6">
        <w:t>accessed from &lt;</w:t>
      </w:r>
      <w:r w:rsidR="00F357F6" w:rsidRPr="00F357F6">
        <w:t xml:space="preserve"> https://audiology.asn.au/wp-content/uploads/2023/05/Scope-of-Practice-All-in-one-20170119.pdf</w:t>
      </w:r>
      <w:r w:rsidR="00F357F6">
        <w:t>&gt;</w:t>
      </w:r>
      <w:r>
        <w:t>.</w:t>
      </w:r>
    </w:p>
  </w:footnote>
  <w:footnote w:id="42">
    <w:p w14:paraId="48E12CF7" w14:textId="1B7B81F1" w:rsidR="00F44038" w:rsidRPr="00F44038" w:rsidRDefault="00F44038">
      <w:pPr>
        <w:pStyle w:val="FootnoteText"/>
        <w:rPr>
          <w:lang w:val="en-AU"/>
        </w:rPr>
      </w:pPr>
      <w:r>
        <w:rPr>
          <w:rStyle w:val="FootnoteReference"/>
        </w:rPr>
        <w:footnoteRef/>
      </w:r>
      <w:r>
        <w:t xml:space="preserve"> </w:t>
      </w:r>
      <w:r w:rsidRPr="00F44038">
        <w:t xml:space="preserve">Audiology Australia 2021, </w:t>
      </w:r>
      <w:r w:rsidRPr="0055407E">
        <w:rPr>
          <w:i/>
          <w:iCs/>
        </w:rPr>
        <w:t>Hearing Health Workforce Audit</w:t>
      </w:r>
      <w:r w:rsidRPr="00F44038">
        <w:t xml:space="preserve">, accessed from </w:t>
      </w:r>
      <w:r w:rsidR="003D104A">
        <w:t>&lt;</w:t>
      </w:r>
      <w:r w:rsidR="003D104A" w:rsidRPr="007176F0">
        <w:t>https://audiology.asn.au/Tenant/C0000013/auda-hearing-health-workforce-audit.pdf</w:t>
      </w:r>
      <w:r w:rsidR="006B1974">
        <w:t xml:space="preserve"> </w:t>
      </w:r>
      <w:r w:rsidR="003D104A">
        <w:t>&gt;.</w:t>
      </w:r>
    </w:p>
  </w:footnote>
  <w:footnote w:id="43">
    <w:p w14:paraId="5FC175AC" w14:textId="4CC06CDE" w:rsidR="00AF51A5" w:rsidRPr="00AF51A5" w:rsidRDefault="00AF51A5">
      <w:pPr>
        <w:pStyle w:val="FootnoteText"/>
        <w:rPr>
          <w:lang w:val="en-AU"/>
        </w:rPr>
      </w:pPr>
      <w:r>
        <w:rPr>
          <w:rStyle w:val="FootnoteReference"/>
        </w:rPr>
        <w:footnoteRef/>
      </w:r>
      <w:r>
        <w:t xml:space="preserve"> </w:t>
      </w:r>
      <w:r w:rsidR="004A3350" w:rsidRPr="004A3350">
        <w:t>Australian Bureau of Statistics</w:t>
      </w:r>
      <w:r w:rsidR="004A3350">
        <w:t xml:space="preserve"> </w:t>
      </w:r>
      <w:r w:rsidR="004A3350" w:rsidRPr="004A3350">
        <w:t>2021</w:t>
      </w:r>
      <w:r w:rsidR="004A3350">
        <w:t>,</w:t>
      </w:r>
      <w:r w:rsidR="004A3350" w:rsidRPr="004A3350">
        <w:t xml:space="preserve"> Census Data</w:t>
      </w:r>
      <w:r w:rsidR="00845997">
        <w:t xml:space="preserve"> - </w:t>
      </w:r>
      <w:r w:rsidR="004A3350" w:rsidRPr="004A3350">
        <w:t>Table Builder.</w:t>
      </w:r>
    </w:p>
  </w:footnote>
  <w:footnote w:id="44">
    <w:p w14:paraId="6498C597" w14:textId="6C34B225" w:rsidR="000A27B7" w:rsidRDefault="000A27B7" w:rsidP="000A27B7">
      <w:pPr>
        <w:pStyle w:val="FootnoteText"/>
      </w:pPr>
      <w:r>
        <w:rPr>
          <w:rStyle w:val="FootnoteReference"/>
        </w:rPr>
        <w:footnoteRef/>
      </w:r>
      <w:r>
        <w:t xml:space="preserve"> Audiology Australia 202</w:t>
      </w:r>
      <w:r w:rsidR="00AB003C">
        <w:t>5</w:t>
      </w:r>
      <w:r>
        <w:t>, information submitted.</w:t>
      </w:r>
    </w:p>
  </w:footnote>
  <w:footnote w:id="45">
    <w:p w14:paraId="53E12851" w14:textId="77777777" w:rsidR="000A27B7" w:rsidRDefault="000A27B7" w:rsidP="000A27B7">
      <w:pPr>
        <w:pStyle w:val="FootnoteText"/>
      </w:pPr>
      <w:r>
        <w:rPr>
          <w:rStyle w:val="FootnoteReference"/>
        </w:rPr>
        <w:footnoteRef/>
      </w:r>
      <w:r>
        <w:t xml:space="preserve"> Audiology Australia 2024, </w:t>
      </w:r>
      <w:r w:rsidRPr="00120ED0">
        <w:rPr>
          <w:i/>
        </w:rPr>
        <w:t>About Audiology Australia</w:t>
      </w:r>
      <w:r>
        <w:t>, accessed from &lt;</w:t>
      </w:r>
      <w:r w:rsidRPr="00281592">
        <w:t>https://audiology.asn.au/about-us/</w:t>
      </w:r>
      <w:r>
        <w:t>&gt;.</w:t>
      </w:r>
    </w:p>
  </w:footnote>
  <w:footnote w:id="46">
    <w:p w14:paraId="180927DE" w14:textId="7DE35E10" w:rsidR="000A27B7" w:rsidRDefault="000A27B7" w:rsidP="000A27B7">
      <w:pPr>
        <w:pStyle w:val="FootnoteText"/>
      </w:pPr>
      <w:r>
        <w:rPr>
          <w:rStyle w:val="FootnoteReference"/>
        </w:rPr>
        <w:footnoteRef/>
      </w:r>
      <w:r>
        <w:t xml:space="preserve"> Australian College of Audiology 2024, </w:t>
      </w:r>
      <w:r w:rsidRPr="00F36B1F">
        <w:rPr>
          <w:i/>
        </w:rPr>
        <w:t>Welcome to the Australian College of Audiology</w:t>
      </w:r>
      <w:r>
        <w:t>, accessed from &lt;</w:t>
      </w:r>
      <w:r w:rsidRPr="00F114A0">
        <w:t>https://www.acaud.com.au/</w:t>
      </w:r>
      <w:r>
        <w:t>&gt;</w:t>
      </w:r>
      <w:r w:rsidR="006B1974">
        <w:t>.</w:t>
      </w:r>
    </w:p>
  </w:footnote>
  <w:footnote w:id="47">
    <w:p w14:paraId="7345F418" w14:textId="77777777" w:rsidR="00650EAE" w:rsidRDefault="00650EAE" w:rsidP="00650EAE">
      <w:pPr>
        <w:pStyle w:val="FootnoteText"/>
      </w:pPr>
      <w:r>
        <w:rPr>
          <w:rStyle w:val="FootnoteReference"/>
        </w:rPr>
        <w:footnoteRef/>
      </w:r>
      <w:r>
        <w:t xml:space="preserve"> Audiology Australia and Australian College of Audiology websites.</w:t>
      </w:r>
    </w:p>
  </w:footnote>
  <w:footnote w:id="48">
    <w:p w14:paraId="324B339C" w14:textId="77777777" w:rsidR="000A27B7" w:rsidRDefault="000A27B7" w:rsidP="000A27B7">
      <w:pPr>
        <w:pStyle w:val="FootnoteText"/>
      </w:pPr>
      <w:r>
        <w:rPr>
          <w:rStyle w:val="FootnoteReference"/>
        </w:rPr>
        <w:footnoteRef/>
      </w:r>
      <w:r>
        <w:t xml:space="preserve"> Audiology Australia, information submitted.</w:t>
      </w:r>
    </w:p>
  </w:footnote>
  <w:footnote w:id="49">
    <w:p w14:paraId="3AC6DCFA" w14:textId="3A89C36E" w:rsidR="00B4493C" w:rsidRPr="00B4493C" w:rsidRDefault="00B4493C">
      <w:pPr>
        <w:pStyle w:val="FootnoteText"/>
        <w:rPr>
          <w:lang w:val="en-AU"/>
        </w:rPr>
      </w:pPr>
      <w:r>
        <w:rPr>
          <w:rStyle w:val="FootnoteReference"/>
        </w:rPr>
        <w:footnoteRef/>
      </w:r>
      <w:r>
        <w:t xml:space="preserve"> </w:t>
      </w:r>
      <w:r>
        <w:rPr>
          <w:lang w:val="en-AU"/>
        </w:rPr>
        <w:t xml:space="preserve">Audiologists may </w:t>
      </w:r>
      <w:r w:rsidR="008943DD">
        <w:rPr>
          <w:lang w:val="en-AU"/>
        </w:rPr>
        <w:t>elect</w:t>
      </w:r>
      <w:r>
        <w:rPr>
          <w:lang w:val="en-AU"/>
        </w:rPr>
        <w:t xml:space="preserve"> to be a member of both PPBs</w:t>
      </w:r>
      <w:r w:rsidR="008943DD">
        <w:rPr>
          <w:lang w:val="en-AU"/>
        </w:rPr>
        <w:t>.</w:t>
      </w:r>
    </w:p>
  </w:footnote>
  <w:footnote w:id="50">
    <w:p w14:paraId="73C43EA8" w14:textId="1D849A2B" w:rsidR="00072F0E" w:rsidRPr="00072F0E" w:rsidRDefault="00072F0E">
      <w:pPr>
        <w:pStyle w:val="FootnoteText"/>
        <w:rPr>
          <w:lang w:val="en-AU"/>
        </w:rPr>
      </w:pPr>
      <w:r>
        <w:rPr>
          <w:rStyle w:val="FootnoteReference"/>
        </w:rPr>
        <w:footnoteRef/>
      </w:r>
      <w:r>
        <w:t xml:space="preserve"> Department of </w:t>
      </w:r>
      <w:r w:rsidR="00497D8D">
        <w:t xml:space="preserve">Health and Aged Care 2024, </w:t>
      </w:r>
      <w:r w:rsidR="00497D8D" w:rsidRPr="007176F0">
        <w:rPr>
          <w:i/>
          <w:iCs/>
        </w:rPr>
        <w:t>Hearing Services Program practitioner requirements</w:t>
      </w:r>
      <w:r w:rsidR="00497D8D">
        <w:t>, accessed from &lt;</w:t>
      </w:r>
      <w:r w:rsidR="00497D8D" w:rsidRPr="00497D8D">
        <w:t xml:space="preserve"> https://www.health.gov.au/our-work/hearing-services-program/providing-services/practitioner-requirements#approved-membership-categories</w:t>
      </w:r>
      <w:r w:rsidR="00497D8D">
        <w:t>&gt;.</w:t>
      </w:r>
    </w:p>
  </w:footnote>
  <w:footnote w:id="51">
    <w:p w14:paraId="0A07B7D9" w14:textId="77777777" w:rsidR="000A27B7" w:rsidRDefault="000A27B7" w:rsidP="000A27B7">
      <w:pPr>
        <w:pStyle w:val="FootnoteText"/>
      </w:pPr>
      <w:r>
        <w:rPr>
          <w:rStyle w:val="FootnoteReference"/>
        </w:rPr>
        <w:footnoteRef/>
      </w:r>
      <w:r>
        <w:t xml:space="preserve">  Australian Bureau of Statistics (2021) Census Data, Table Builder.</w:t>
      </w:r>
    </w:p>
  </w:footnote>
  <w:footnote w:id="52">
    <w:p w14:paraId="6524C0F1" w14:textId="77777777" w:rsidR="000A27B7" w:rsidRDefault="000A27B7" w:rsidP="000A27B7">
      <w:pPr>
        <w:pStyle w:val="FootnoteText"/>
      </w:pPr>
      <w:r>
        <w:rPr>
          <w:rStyle w:val="FootnoteReference"/>
        </w:rPr>
        <w:footnoteRef/>
      </w:r>
      <w:r>
        <w:t xml:space="preserve"> There is a small discrepancy between sum of the audiologists split by state and sector of employment, and the total number of audiologists reported by the ABS Census due to perturbation. Perturbation makes small changes to cell values including totals to protect the confidentiality of the data, leading to changes to summed totals relative to the perturbed total.</w:t>
      </w:r>
    </w:p>
  </w:footnote>
  <w:footnote w:id="53">
    <w:p w14:paraId="34CD05AC" w14:textId="0B84F6EE" w:rsidR="00700EF6" w:rsidRPr="007176F0" w:rsidRDefault="00700EF6">
      <w:pPr>
        <w:pStyle w:val="FootnoteText"/>
        <w:rPr>
          <w:lang w:val="en-AU"/>
        </w:rPr>
      </w:pPr>
      <w:r>
        <w:rPr>
          <w:rStyle w:val="FootnoteReference"/>
        </w:rPr>
        <w:footnoteRef/>
      </w:r>
      <w:r>
        <w:t xml:space="preserve"> </w:t>
      </w:r>
      <w:r w:rsidR="00EF3B36">
        <w:rPr>
          <w:lang w:val="en-AU"/>
        </w:rPr>
        <w:t xml:space="preserve">In </w:t>
      </w:r>
      <w:r w:rsidR="00AF0355">
        <w:rPr>
          <w:lang w:val="en-AU"/>
        </w:rPr>
        <w:t xml:space="preserve">December </w:t>
      </w:r>
      <w:r w:rsidR="00EF3B36">
        <w:rPr>
          <w:lang w:val="en-AU"/>
        </w:rPr>
        <w:t>2024, ABS replaced ANZSCO classification system with the Occupation</w:t>
      </w:r>
      <w:r w:rsidR="00AF0355">
        <w:rPr>
          <w:lang w:val="en-AU"/>
        </w:rPr>
        <w:t xml:space="preserve"> Standard Classification for Australia</w:t>
      </w:r>
      <w:r w:rsidR="00C112F6">
        <w:rPr>
          <w:lang w:val="en-AU"/>
        </w:rPr>
        <w:t xml:space="preserve"> (OSCA)</w:t>
      </w:r>
      <w:r w:rsidR="00AF0355">
        <w:rPr>
          <w:lang w:val="en-AU"/>
        </w:rPr>
        <w:t xml:space="preserve">. Audiometry is included as </w:t>
      </w:r>
      <w:r w:rsidR="00C112F6">
        <w:rPr>
          <w:lang w:val="en-AU"/>
        </w:rPr>
        <w:t>a separate occupation in OSCA.</w:t>
      </w:r>
      <w:r w:rsidR="00EF3B36">
        <w:rPr>
          <w:lang w:val="en-AU"/>
        </w:rPr>
        <w:t xml:space="preserve"> </w:t>
      </w:r>
    </w:p>
  </w:footnote>
  <w:footnote w:id="54">
    <w:p w14:paraId="112CE24E" w14:textId="2E16FC89" w:rsidR="009E40A7" w:rsidRDefault="009E40A7" w:rsidP="009E40A7">
      <w:pPr>
        <w:pStyle w:val="FootnoteText"/>
      </w:pPr>
      <w:r>
        <w:rPr>
          <w:rStyle w:val="FootnoteReference"/>
        </w:rPr>
        <w:footnoteRef/>
      </w:r>
      <w:r>
        <w:t xml:space="preserve"> Australian College of Audiology, information submitted.</w:t>
      </w:r>
    </w:p>
  </w:footnote>
  <w:footnote w:id="55">
    <w:p w14:paraId="2F916741" w14:textId="708FE298" w:rsidR="00260A84" w:rsidRPr="00260A84" w:rsidRDefault="00260A84">
      <w:pPr>
        <w:pStyle w:val="FootnoteText"/>
        <w:rPr>
          <w:lang w:val="en-AU"/>
        </w:rPr>
      </w:pPr>
      <w:r>
        <w:rPr>
          <w:rStyle w:val="FootnoteReference"/>
        </w:rPr>
        <w:footnoteRef/>
      </w:r>
      <w:r>
        <w:t xml:space="preserve"> </w:t>
      </w:r>
      <w:r>
        <w:rPr>
          <w:lang w:val="en-AU"/>
        </w:rPr>
        <w:t xml:space="preserve">The Hearing Health Workforce Audit </w:t>
      </w:r>
      <w:r w:rsidR="00A919A7">
        <w:rPr>
          <w:lang w:val="en-AU"/>
        </w:rPr>
        <w:t xml:space="preserve">(undertaken in 2021) refers to a total workforce population of 684 </w:t>
      </w:r>
      <w:r w:rsidR="00D6303C">
        <w:rPr>
          <w:lang w:val="en-AU"/>
        </w:rPr>
        <w:t xml:space="preserve">across audiometrists and nurse audiometrists. </w:t>
      </w:r>
      <w:r w:rsidR="00F00104">
        <w:rPr>
          <w:lang w:val="en-AU"/>
        </w:rPr>
        <w:t xml:space="preserve">As well, </w:t>
      </w:r>
      <w:r w:rsidR="001111E2">
        <w:rPr>
          <w:lang w:val="en-AU"/>
        </w:rPr>
        <w:t>AcAud inc. HAASA</w:t>
      </w:r>
      <w:r w:rsidR="00F00104">
        <w:rPr>
          <w:lang w:val="en-AU"/>
        </w:rPr>
        <w:t xml:space="preserve"> is the only </w:t>
      </w:r>
      <w:r w:rsidR="003E0882">
        <w:rPr>
          <w:lang w:val="en-AU"/>
        </w:rPr>
        <w:t xml:space="preserve">PPB recognised by </w:t>
      </w:r>
      <w:r w:rsidR="00AB46EC">
        <w:rPr>
          <w:lang w:val="en-AU"/>
        </w:rPr>
        <w:t xml:space="preserve">the Department of Health and Aged Care </w:t>
      </w:r>
      <w:r w:rsidR="003E0882">
        <w:rPr>
          <w:lang w:val="en-AU"/>
        </w:rPr>
        <w:t>for</w:t>
      </w:r>
      <w:r w:rsidR="00AA3B10">
        <w:rPr>
          <w:lang w:val="en-AU"/>
        </w:rPr>
        <w:t xml:space="preserve"> audiometrists, referring to </w:t>
      </w:r>
      <w:r w:rsidR="009E1AC6">
        <w:rPr>
          <w:lang w:val="en-AU"/>
        </w:rPr>
        <w:t xml:space="preserve">the requirement </w:t>
      </w:r>
      <w:r w:rsidR="00CE355A">
        <w:rPr>
          <w:lang w:val="en-AU"/>
        </w:rPr>
        <w:t>for</w:t>
      </w:r>
      <w:r w:rsidR="009E1AC6">
        <w:rPr>
          <w:lang w:val="en-AU"/>
        </w:rPr>
        <w:t xml:space="preserve"> PPB membership for audiometrists to</w:t>
      </w:r>
      <w:r w:rsidR="001A23D3">
        <w:rPr>
          <w:lang w:val="en-AU"/>
        </w:rPr>
        <w:t xml:space="preserve"> receive funding </w:t>
      </w:r>
      <w:r w:rsidR="00C33EF7">
        <w:rPr>
          <w:lang w:val="en-AU"/>
        </w:rPr>
        <w:t xml:space="preserve">for service provision </w:t>
      </w:r>
      <w:r w:rsidR="001A23D3">
        <w:rPr>
          <w:lang w:val="en-AU"/>
        </w:rPr>
        <w:t>under the Hearing Services Program</w:t>
      </w:r>
      <w:r w:rsidR="00AA3B10">
        <w:rPr>
          <w:lang w:val="en-AU"/>
        </w:rPr>
        <w:t xml:space="preserve">. It </w:t>
      </w:r>
      <w:r w:rsidR="001A23D3">
        <w:rPr>
          <w:lang w:val="en-AU"/>
        </w:rPr>
        <w:t>is</w:t>
      </w:r>
      <w:r w:rsidR="001D422A">
        <w:rPr>
          <w:lang w:val="en-AU"/>
        </w:rPr>
        <w:t xml:space="preserve"> therefore</w:t>
      </w:r>
      <w:r w:rsidR="001A23D3">
        <w:rPr>
          <w:lang w:val="en-AU"/>
        </w:rPr>
        <w:t xml:space="preserve"> considered </w:t>
      </w:r>
      <w:r w:rsidR="00CE355A">
        <w:rPr>
          <w:lang w:val="en-AU"/>
        </w:rPr>
        <w:t xml:space="preserve">reasonable that </w:t>
      </w:r>
      <w:r w:rsidR="00D81227">
        <w:rPr>
          <w:lang w:val="en-AU"/>
        </w:rPr>
        <w:t xml:space="preserve">this PPB’s audiometrist </w:t>
      </w:r>
      <w:r w:rsidR="00995A38">
        <w:rPr>
          <w:lang w:val="en-AU"/>
        </w:rPr>
        <w:t xml:space="preserve">membership </w:t>
      </w:r>
      <w:r w:rsidR="006752DD">
        <w:rPr>
          <w:lang w:val="en-AU"/>
        </w:rPr>
        <w:t xml:space="preserve">base </w:t>
      </w:r>
      <w:r w:rsidR="00017EF1">
        <w:rPr>
          <w:lang w:val="en-AU"/>
        </w:rPr>
        <w:t xml:space="preserve">as of 2024 </w:t>
      </w:r>
      <w:r w:rsidR="006752DD">
        <w:rPr>
          <w:lang w:val="en-AU"/>
        </w:rPr>
        <w:t xml:space="preserve">reflects </w:t>
      </w:r>
      <w:r w:rsidR="001D422A">
        <w:rPr>
          <w:lang w:val="en-AU"/>
        </w:rPr>
        <w:t xml:space="preserve">the closest </w:t>
      </w:r>
      <w:r w:rsidR="00017EF1">
        <w:rPr>
          <w:lang w:val="en-AU"/>
        </w:rPr>
        <w:t xml:space="preserve">current </w:t>
      </w:r>
      <w:r w:rsidR="004666A6">
        <w:rPr>
          <w:lang w:val="en-AU"/>
        </w:rPr>
        <w:t>estimate of the total practising audiometrist workforce.</w:t>
      </w:r>
    </w:p>
  </w:footnote>
  <w:footnote w:id="56">
    <w:p w14:paraId="6C0BC267" w14:textId="30DC29D6" w:rsidR="005E2A0D" w:rsidRPr="005E2A0D" w:rsidRDefault="005E2A0D">
      <w:pPr>
        <w:pStyle w:val="FootnoteText"/>
        <w:rPr>
          <w:lang w:val="en-AU"/>
        </w:rPr>
      </w:pPr>
      <w:r>
        <w:rPr>
          <w:rStyle w:val="FootnoteReference"/>
        </w:rPr>
        <w:footnoteRef/>
      </w:r>
      <w:r>
        <w:t xml:space="preserve"> </w:t>
      </w:r>
      <w:r w:rsidR="006720A1" w:rsidRPr="006720A1">
        <w:t xml:space="preserve">Audiology Australia 2021, </w:t>
      </w:r>
      <w:r w:rsidR="006720A1" w:rsidRPr="00AE037B">
        <w:rPr>
          <w:i/>
          <w:iCs/>
        </w:rPr>
        <w:t>Hearing Health Workforce Audit</w:t>
      </w:r>
      <w:r w:rsidR="006720A1" w:rsidRPr="006720A1">
        <w:t>, accessed from &lt;https://audiology.asn.au/Tenant/C0000013/auda-hearing-health-workforce-audit.pdf&gt;</w:t>
      </w:r>
    </w:p>
  </w:footnote>
  <w:footnote w:id="57">
    <w:p w14:paraId="554C0F87" w14:textId="4EA021C5" w:rsidR="00106C2B" w:rsidRPr="00106C2B" w:rsidRDefault="00106C2B">
      <w:pPr>
        <w:pStyle w:val="FootnoteText"/>
        <w:rPr>
          <w:lang w:val="en-AU"/>
        </w:rPr>
      </w:pPr>
      <w:r>
        <w:rPr>
          <w:rStyle w:val="FootnoteReference"/>
        </w:rPr>
        <w:footnoteRef/>
      </w:r>
      <w:r>
        <w:t xml:space="preserve"> </w:t>
      </w:r>
      <w:r>
        <w:rPr>
          <w:lang w:val="en-AU"/>
        </w:rPr>
        <w:t xml:space="preserve">Modified Monash Model </w:t>
      </w:r>
      <w:r w:rsidR="002A5BC5">
        <w:rPr>
          <w:lang w:val="en-AU"/>
        </w:rPr>
        <w:t>(MMM)</w:t>
      </w:r>
      <w:r>
        <w:rPr>
          <w:lang w:val="en-AU"/>
        </w:rPr>
        <w:t xml:space="preserve">classifications </w:t>
      </w:r>
      <w:r w:rsidR="00E172D4">
        <w:rPr>
          <w:lang w:val="en-AU"/>
        </w:rPr>
        <w:t xml:space="preserve">refer to geographical remoteness and town size. </w:t>
      </w:r>
      <w:r w:rsidR="002A5BC5">
        <w:rPr>
          <w:lang w:val="en-AU"/>
        </w:rPr>
        <w:t>MM1</w:t>
      </w:r>
      <w:r w:rsidR="006C6F47">
        <w:rPr>
          <w:lang w:val="en-AU"/>
        </w:rPr>
        <w:t xml:space="preserve"> refers to Metropolitan areas</w:t>
      </w:r>
      <w:r w:rsidR="001E7C07">
        <w:rPr>
          <w:lang w:val="en-AU"/>
        </w:rPr>
        <w:t>;</w:t>
      </w:r>
      <w:r w:rsidR="006C6F47">
        <w:rPr>
          <w:lang w:val="en-AU"/>
        </w:rPr>
        <w:t xml:space="preserve"> MM2 – Regional centres</w:t>
      </w:r>
      <w:r w:rsidR="001E7C07">
        <w:rPr>
          <w:lang w:val="en-AU"/>
        </w:rPr>
        <w:t>;</w:t>
      </w:r>
      <w:r w:rsidR="006C6F47">
        <w:rPr>
          <w:lang w:val="en-AU"/>
        </w:rPr>
        <w:t xml:space="preserve"> MM3 – Large rural towns</w:t>
      </w:r>
      <w:r w:rsidR="001E7C07">
        <w:rPr>
          <w:lang w:val="en-AU"/>
        </w:rPr>
        <w:t>;</w:t>
      </w:r>
      <w:r w:rsidR="006C6F47">
        <w:rPr>
          <w:lang w:val="en-AU"/>
        </w:rPr>
        <w:t xml:space="preserve"> MM4 </w:t>
      </w:r>
      <w:r w:rsidR="001E7C07">
        <w:rPr>
          <w:lang w:val="en-AU"/>
        </w:rPr>
        <w:t>–</w:t>
      </w:r>
      <w:r w:rsidR="006C6F47">
        <w:rPr>
          <w:lang w:val="en-AU"/>
        </w:rPr>
        <w:t xml:space="preserve"> </w:t>
      </w:r>
      <w:r w:rsidR="001E7C07">
        <w:rPr>
          <w:lang w:val="en-AU"/>
        </w:rPr>
        <w:t xml:space="preserve">Medium rural towns; MM5 – Small rural towns; </w:t>
      </w:r>
      <w:r w:rsidR="00010E7B">
        <w:rPr>
          <w:lang w:val="en-AU"/>
        </w:rPr>
        <w:t xml:space="preserve">MM6 – Remote communities; MM7 – </w:t>
      </w:r>
      <w:r w:rsidR="003E7E69">
        <w:rPr>
          <w:lang w:val="en-AU"/>
        </w:rPr>
        <w:t>V</w:t>
      </w:r>
      <w:r w:rsidR="00010E7B">
        <w:rPr>
          <w:lang w:val="en-AU"/>
        </w:rPr>
        <w:t>ery remote communities.</w:t>
      </w:r>
      <w:r w:rsidR="008B3EF9">
        <w:rPr>
          <w:lang w:val="en-AU"/>
        </w:rPr>
        <w:t xml:space="preserve"> See &lt;</w:t>
      </w:r>
      <w:r w:rsidR="008B3EF9" w:rsidRPr="008B3EF9">
        <w:t xml:space="preserve"> </w:t>
      </w:r>
      <w:r w:rsidR="008B3EF9" w:rsidRPr="008B3EF9">
        <w:rPr>
          <w:lang w:val="en-AU"/>
        </w:rPr>
        <w:t>https://www.health.gov.au/topics/rural-health-workforce/classifications/mmm</w:t>
      </w:r>
      <w:r w:rsidR="008B3EF9">
        <w:rPr>
          <w:lang w:val="en-AU"/>
        </w:rPr>
        <w:t>&gt;.</w:t>
      </w:r>
    </w:p>
  </w:footnote>
  <w:footnote w:id="58">
    <w:p w14:paraId="01F2975E" w14:textId="77777777" w:rsidR="009E40A7" w:rsidRDefault="009E40A7" w:rsidP="009E40A7">
      <w:pPr>
        <w:pStyle w:val="FootnoteText"/>
      </w:pPr>
      <w:r>
        <w:rPr>
          <w:rStyle w:val="FootnoteReference"/>
        </w:rPr>
        <w:footnoteRef/>
      </w:r>
      <w:r>
        <w:t xml:space="preserve"> Goulios H 2010, </w:t>
      </w:r>
      <w:r w:rsidRPr="00CD0A49">
        <w:rPr>
          <w:i/>
        </w:rPr>
        <w:t xml:space="preserve">Comparative audiology and the development of a seeding model for affordable and sustainable audiology </w:t>
      </w:r>
      <w:r w:rsidRPr="00CD0A49">
        <w:rPr>
          <w:i/>
          <w:iCs/>
        </w:rPr>
        <w:t>education</w:t>
      </w:r>
      <w:r>
        <w:t>, accessed from &lt;</w:t>
      </w:r>
      <w:r w:rsidRPr="00C00DCF">
        <w:t xml:space="preserve"> https://research-repository.uwa.edu.au/files/3235066/Goulios_Helen_2010.pdf</w:t>
      </w:r>
      <w:r>
        <w:t>&gt;.</w:t>
      </w:r>
    </w:p>
  </w:footnote>
  <w:footnote w:id="59">
    <w:p w14:paraId="52A59A22" w14:textId="77777777" w:rsidR="009E40A7" w:rsidRDefault="009E40A7" w:rsidP="009E40A7">
      <w:pPr>
        <w:pStyle w:val="FootnoteText"/>
      </w:pPr>
      <w:r>
        <w:rPr>
          <w:rStyle w:val="FootnoteReference"/>
        </w:rPr>
        <w:footnoteRef/>
      </w:r>
      <w:r>
        <w:t xml:space="preserve"> Ibid.</w:t>
      </w:r>
    </w:p>
  </w:footnote>
  <w:footnote w:id="60">
    <w:p w14:paraId="3616F1E8" w14:textId="2FD5A5F0" w:rsidR="009E40A7" w:rsidRDefault="009E40A7" w:rsidP="009E40A7">
      <w:pPr>
        <w:pStyle w:val="FootnoteText"/>
      </w:pPr>
      <w:r>
        <w:rPr>
          <w:rStyle w:val="FootnoteReference"/>
        </w:rPr>
        <w:footnoteRef/>
      </w:r>
      <w:r>
        <w:t xml:space="preserve"> Audiology Australia</w:t>
      </w:r>
      <w:r w:rsidR="00346B37">
        <w:t xml:space="preserve"> 2025</w:t>
      </w:r>
      <w:r>
        <w:t>,</w:t>
      </w:r>
      <w:r w:rsidR="00346B37">
        <w:t xml:space="preserve"> </w:t>
      </w:r>
      <w:r w:rsidR="00346B37" w:rsidRPr="00346B37">
        <w:rPr>
          <w:i/>
          <w:iCs/>
        </w:rPr>
        <w:t>Audiology qualifications and training</w:t>
      </w:r>
      <w:r w:rsidR="00346B37">
        <w:t>, accessed from &lt;</w:t>
      </w:r>
      <w:r w:rsidRPr="00ED3288">
        <w:t xml:space="preserve"> </w:t>
      </w:r>
      <w:r w:rsidR="00346B37" w:rsidRPr="00346B37">
        <w:t>https://audiology.asn.au/consumer-hub/what-is-an-audiologist/audiology-qualifications-and-training/</w:t>
      </w:r>
      <w:r w:rsidR="00346B37">
        <w:t xml:space="preserve"> &gt;.</w:t>
      </w:r>
    </w:p>
  </w:footnote>
  <w:footnote w:id="61">
    <w:p w14:paraId="294B1CD0" w14:textId="70D1E402" w:rsidR="009E40A7" w:rsidRDefault="009E40A7" w:rsidP="009E40A7">
      <w:pPr>
        <w:pStyle w:val="FootnoteText"/>
      </w:pPr>
      <w:r>
        <w:rPr>
          <w:rStyle w:val="FootnoteReference"/>
        </w:rPr>
        <w:footnoteRef/>
      </w:r>
      <w:r>
        <w:t xml:space="preserve"> Charles Darwin University</w:t>
      </w:r>
      <w:r w:rsidR="00525A4D">
        <w:t xml:space="preserve"> </w:t>
      </w:r>
      <w:r>
        <w:t xml:space="preserve">2024, </w:t>
      </w:r>
      <w:r w:rsidRPr="005A6C9B">
        <w:rPr>
          <w:i/>
        </w:rPr>
        <w:t>Master of Clinical Audiology</w:t>
      </w:r>
      <w:r>
        <w:t>, accessed from  &lt;</w:t>
      </w:r>
      <w:r w:rsidRPr="0044025A">
        <w:t>https://www.cdu.edu.au/study/course/master-clinical-audiology-saud01</w:t>
      </w:r>
      <w:r>
        <w:t>&gt;.</w:t>
      </w:r>
    </w:p>
  </w:footnote>
  <w:footnote w:id="62">
    <w:p w14:paraId="0CB19521" w14:textId="5AF4E58A" w:rsidR="00C24FD1" w:rsidRDefault="00C24FD1" w:rsidP="00C24FD1">
      <w:pPr>
        <w:pStyle w:val="FootnoteText"/>
      </w:pPr>
      <w:r>
        <w:rPr>
          <w:rStyle w:val="FootnoteReference"/>
        </w:rPr>
        <w:footnoteRef/>
      </w:r>
      <w:r>
        <w:t xml:space="preserve"> Audiology Australia 2024, </w:t>
      </w:r>
      <w:r w:rsidRPr="00476654">
        <w:rPr>
          <w:i/>
          <w:iCs/>
        </w:rPr>
        <w:t>University Accreditation</w:t>
      </w:r>
      <w:r>
        <w:t>, accessed from &lt;</w:t>
      </w:r>
      <w:r w:rsidRPr="00476654">
        <w:t>https://audiology.asn.au/consumer-hub/university-accreditation/</w:t>
      </w:r>
      <w:r>
        <w:t>&gt;.</w:t>
      </w:r>
    </w:p>
  </w:footnote>
  <w:footnote w:id="63">
    <w:p w14:paraId="13B2DDD8" w14:textId="77777777" w:rsidR="00C24FD1" w:rsidRDefault="00C24FD1" w:rsidP="00C24FD1">
      <w:pPr>
        <w:pStyle w:val="FootnoteText"/>
      </w:pPr>
      <w:r>
        <w:rPr>
          <w:rStyle w:val="FootnoteReference"/>
        </w:rPr>
        <w:footnoteRef/>
      </w:r>
      <w:r>
        <w:t xml:space="preserve"> Audiology Australia 2023, </w:t>
      </w:r>
      <w:r w:rsidRPr="00F71F55">
        <w:rPr>
          <w:i/>
          <w:iCs/>
        </w:rPr>
        <w:t>Accreditation Policies and Procedures for Audiology Programs</w:t>
      </w:r>
      <w:r>
        <w:t>, accessed from the Audiology Australia Resource Library on the Audiology Australia website.</w:t>
      </w:r>
    </w:p>
  </w:footnote>
  <w:footnote w:id="64">
    <w:p w14:paraId="73D599C2" w14:textId="77777777" w:rsidR="008E7B91" w:rsidRDefault="008E7B91" w:rsidP="008E7B91">
      <w:pPr>
        <w:pStyle w:val="FootnoteText"/>
      </w:pPr>
      <w:r>
        <w:rPr>
          <w:rStyle w:val="FootnoteReference"/>
        </w:rPr>
        <w:footnoteRef/>
      </w:r>
      <w:r>
        <w:t xml:space="preserve"> For example, Flinders University offers two Commonwealth Supported Places for commencing Aboriginal or Torres Strait Islander students. See &lt;</w:t>
      </w:r>
      <w:r w:rsidRPr="00D83A45">
        <w:t>https://www.flinders.edu.au/study/courses/postgraduate-audiology</w:t>
      </w:r>
      <w:r>
        <w:t>&gt;.</w:t>
      </w:r>
    </w:p>
  </w:footnote>
  <w:footnote w:id="65">
    <w:p w14:paraId="64789099" w14:textId="77777777" w:rsidR="008E7B91" w:rsidRDefault="008E7B91" w:rsidP="008E7B91">
      <w:pPr>
        <w:pStyle w:val="FootnoteText"/>
      </w:pPr>
      <w:r>
        <w:rPr>
          <w:rStyle w:val="FootnoteReference"/>
        </w:rPr>
        <w:footnoteRef/>
      </w:r>
      <w:r>
        <w:t xml:space="preserve"> Accredited program websites.</w:t>
      </w:r>
    </w:p>
  </w:footnote>
  <w:footnote w:id="66">
    <w:p w14:paraId="6487008D" w14:textId="7D434AA2" w:rsidR="00141954" w:rsidRPr="00141954" w:rsidRDefault="00141954">
      <w:pPr>
        <w:pStyle w:val="FootnoteText"/>
        <w:rPr>
          <w:lang w:val="en-AU"/>
        </w:rPr>
      </w:pPr>
      <w:r>
        <w:rPr>
          <w:rStyle w:val="FootnoteReference"/>
        </w:rPr>
        <w:footnoteRef/>
      </w:r>
      <w:r>
        <w:t xml:space="preserve"> Audiology Australia 2024, </w:t>
      </w:r>
      <w:r w:rsidRPr="00653774">
        <w:rPr>
          <w:i/>
          <w:iCs/>
        </w:rPr>
        <w:t>Clinical Internship Handbook</w:t>
      </w:r>
      <w:r>
        <w:t>, accessed from the Audiology Australia website.</w:t>
      </w:r>
    </w:p>
  </w:footnote>
  <w:footnote w:id="67">
    <w:p w14:paraId="7C2E5BAF" w14:textId="2E87F82E" w:rsidR="00674C01" w:rsidRPr="00674C01" w:rsidRDefault="00674C01">
      <w:pPr>
        <w:pStyle w:val="FootnoteText"/>
        <w:rPr>
          <w:lang w:val="en-AU"/>
        </w:rPr>
      </w:pPr>
      <w:r>
        <w:rPr>
          <w:rStyle w:val="FootnoteReference"/>
        </w:rPr>
        <w:footnoteRef/>
      </w:r>
      <w:r>
        <w:t xml:space="preserve"> </w:t>
      </w:r>
      <w:r>
        <w:rPr>
          <w:lang w:val="en-AU"/>
        </w:rPr>
        <w:t>Australian College of Audiology 2024, In</w:t>
      </w:r>
      <w:r w:rsidR="007B507A">
        <w:rPr>
          <w:lang w:val="en-AU"/>
        </w:rPr>
        <w:t>ternship/Audiologist, accessed from &lt;</w:t>
      </w:r>
      <w:r w:rsidR="005542AA" w:rsidRPr="005542AA">
        <w:t xml:space="preserve"> </w:t>
      </w:r>
      <w:r w:rsidR="005542AA" w:rsidRPr="005542AA">
        <w:rPr>
          <w:lang w:val="en-AU"/>
        </w:rPr>
        <w:t xml:space="preserve">https://www.acaud.com.au/memberships/internship-audiologist/ </w:t>
      </w:r>
      <w:r w:rsidR="007B507A">
        <w:rPr>
          <w:lang w:val="en-AU"/>
        </w:rPr>
        <w:t>&gt;.</w:t>
      </w:r>
    </w:p>
  </w:footnote>
  <w:footnote w:id="68">
    <w:p w14:paraId="488FDAE1" w14:textId="51010331" w:rsidR="00F57733" w:rsidRPr="00F57733" w:rsidRDefault="00F57733">
      <w:pPr>
        <w:pStyle w:val="FootnoteText"/>
        <w:rPr>
          <w:lang w:val="en-AU"/>
        </w:rPr>
      </w:pPr>
      <w:r>
        <w:rPr>
          <w:rStyle w:val="FootnoteReference"/>
        </w:rPr>
        <w:footnoteRef/>
      </w:r>
      <w:r>
        <w:t xml:space="preserve"> </w:t>
      </w:r>
      <w:r>
        <w:rPr>
          <w:lang w:val="en-AU"/>
        </w:rPr>
        <w:t>Australian College of Audiology, information submitted.</w:t>
      </w:r>
    </w:p>
  </w:footnote>
  <w:footnote w:id="69">
    <w:p w14:paraId="5D6F4833" w14:textId="4F6B21B7" w:rsidR="00FE6B76" w:rsidRDefault="00FE6B76" w:rsidP="00FE6B76">
      <w:pPr>
        <w:pStyle w:val="FootnoteText"/>
      </w:pPr>
      <w:r>
        <w:rPr>
          <w:rStyle w:val="FootnoteReference"/>
        </w:rPr>
        <w:footnoteRef/>
      </w:r>
      <w:r>
        <w:t xml:space="preserve"> Audiologists that have achieved (and wish to regain) </w:t>
      </w:r>
      <w:r w:rsidR="00F86464">
        <w:t xml:space="preserve">current clinical certification </w:t>
      </w:r>
      <w:r>
        <w:t>may also complete the clinical internship.</w:t>
      </w:r>
    </w:p>
  </w:footnote>
  <w:footnote w:id="70">
    <w:p w14:paraId="1131B295" w14:textId="1F46A4B5" w:rsidR="00FE6B76" w:rsidRDefault="00FE6B76" w:rsidP="00FE6B76">
      <w:pPr>
        <w:pStyle w:val="FootnoteText"/>
      </w:pPr>
      <w:r>
        <w:rPr>
          <w:rStyle w:val="FootnoteReference"/>
        </w:rPr>
        <w:footnoteRef/>
      </w:r>
      <w:r>
        <w:t xml:space="preserve"> For overseas-trained audiologists, recognition of qualifications includes the submission of documentary evidence (e.g., academic transcript</w:t>
      </w:r>
      <w:r w:rsidR="00C75D97">
        <w:t xml:space="preserve"> and International English Language Testing System </w:t>
      </w:r>
      <w:r w:rsidR="00873C27">
        <w:t>results</w:t>
      </w:r>
      <w:r>
        <w:t>). See &lt;</w:t>
      </w:r>
      <w:r w:rsidRPr="002F4014">
        <w:t xml:space="preserve"> https://audiology.asn.au/membership/overseas-qualified-audiologist/</w:t>
      </w:r>
      <w:r>
        <w:t>&gt;.</w:t>
      </w:r>
    </w:p>
  </w:footnote>
  <w:footnote w:id="71">
    <w:p w14:paraId="4AE9FBA7" w14:textId="04743800" w:rsidR="001348C0" w:rsidRPr="008951F5" w:rsidRDefault="001348C0" w:rsidP="001348C0">
      <w:pPr>
        <w:pStyle w:val="FootnoteText"/>
        <w:rPr>
          <w:lang w:val="en-AU"/>
        </w:rPr>
      </w:pPr>
      <w:r>
        <w:rPr>
          <w:rStyle w:val="FootnoteReference"/>
        </w:rPr>
        <w:footnoteRef/>
      </w:r>
      <w:r>
        <w:t xml:space="preserve"> </w:t>
      </w:r>
      <w:r>
        <w:rPr>
          <w:lang w:val="en-AU"/>
        </w:rPr>
        <w:t xml:space="preserve">For overseas trained audiologists, recognition of qualifications includes submission of documentary evidence (e.g., </w:t>
      </w:r>
      <w:r w:rsidR="008D2657">
        <w:t>academic transcript and International English Language Testing System results</w:t>
      </w:r>
      <w:r>
        <w:rPr>
          <w:lang w:val="en-AU"/>
        </w:rPr>
        <w:t>). See &lt;</w:t>
      </w:r>
      <w:r w:rsidRPr="00A56991">
        <w:rPr>
          <w:lang w:val="en-AU"/>
        </w:rPr>
        <w:t>https://www.acaud.com.au/memberships/internship-overseas/</w:t>
      </w:r>
      <w:r>
        <w:rPr>
          <w:lang w:val="en-AU"/>
        </w:rPr>
        <w:t>&gt;.</w:t>
      </w:r>
    </w:p>
  </w:footnote>
  <w:footnote w:id="72">
    <w:p w14:paraId="7E007124" w14:textId="08CB8603" w:rsidR="00DC6376" w:rsidRPr="00DC6376" w:rsidRDefault="00DC6376">
      <w:pPr>
        <w:pStyle w:val="FootnoteText"/>
        <w:rPr>
          <w:lang w:val="en-AU"/>
        </w:rPr>
      </w:pPr>
      <w:r>
        <w:rPr>
          <w:rStyle w:val="FootnoteReference"/>
        </w:rPr>
        <w:footnoteRef/>
      </w:r>
      <w:r>
        <w:t xml:space="preserve"> </w:t>
      </w:r>
      <w:r w:rsidR="003B5A45">
        <w:rPr>
          <w:lang w:val="en-AU"/>
        </w:rPr>
        <w:t xml:space="preserve">Australian College of Audiology 2016, </w:t>
      </w:r>
      <w:r w:rsidR="003B5A45" w:rsidRPr="007176F0">
        <w:rPr>
          <w:i/>
          <w:iCs/>
          <w:lang w:val="en-AU"/>
        </w:rPr>
        <w:t>By-Law 97-5 Professional Competency Standards for Hearing Care Professionals in Australia and Requirements for Recognition of Specific Competencies</w:t>
      </w:r>
      <w:r w:rsidR="003B5A45">
        <w:rPr>
          <w:lang w:val="en-AU"/>
        </w:rPr>
        <w:t>, accessed from &lt;</w:t>
      </w:r>
      <w:r w:rsidR="006933AA" w:rsidRPr="006933AA">
        <w:t xml:space="preserve"> </w:t>
      </w:r>
      <w:r w:rsidR="006933AA" w:rsidRPr="006933AA">
        <w:rPr>
          <w:lang w:val="en-AU"/>
        </w:rPr>
        <w:t xml:space="preserve">https://www.acaud.com.au/wp-content/uploads/2022/05/Professional-Competency-Standards-97.5.pdf </w:t>
      </w:r>
      <w:r w:rsidR="003B5A45">
        <w:rPr>
          <w:lang w:val="en-AU"/>
        </w:rPr>
        <w:t>&gt;.</w:t>
      </w:r>
    </w:p>
  </w:footnote>
  <w:footnote w:id="73">
    <w:p w14:paraId="741AE984" w14:textId="77777777" w:rsidR="00250852" w:rsidRDefault="00250852" w:rsidP="00250852">
      <w:pPr>
        <w:pStyle w:val="FootnoteText"/>
      </w:pPr>
      <w:r>
        <w:rPr>
          <w:rStyle w:val="FootnoteReference"/>
        </w:rPr>
        <w:footnoteRef/>
      </w:r>
      <w:r>
        <w:t xml:space="preserve"> Australian Government Department of Health and Aged Care 2024, </w:t>
      </w:r>
      <w:r w:rsidRPr="00527EA6">
        <w:rPr>
          <w:i/>
          <w:iCs/>
        </w:rPr>
        <w:t>Hearing Services Program practitioner requirements</w:t>
      </w:r>
      <w:r>
        <w:t>, accessed from &lt;</w:t>
      </w:r>
      <w:r w:rsidRPr="00527EA6">
        <w:t xml:space="preserve"> https://www.health.gov.au/our-work/hearing-services-program/providing-services/practitioner-requirements#approved-membership-categories</w:t>
      </w:r>
      <w:r>
        <w:t>&gt;.</w:t>
      </w:r>
    </w:p>
  </w:footnote>
  <w:footnote w:id="74">
    <w:p w14:paraId="12404E07" w14:textId="269E16F2" w:rsidR="008E7B91" w:rsidRDefault="008E7B91" w:rsidP="008E7B91">
      <w:pPr>
        <w:pStyle w:val="FootnoteText"/>
      </w:pPr>
      <w:r>
        <w:rPr>
          <w:rStyle w:val="FootnoteReference"/>
        </w:rPr>
        <w:footnoteRef/>
      </w:r>
      <w:r>
        <w:t xml:space="preserve"> </w:t>
      </w:r>
      <w:r w:rsidR="00817528">
        <w:t xml:space="preserve">Audiology Australia 2024, </w:t>
      </w:r>
      <w:r w:rsidR="00817528" w:rsidRPr="00972F5E">
        <w:rPr>
          <w:i/>
          <w:iCs/>
        </w:rPr>
        <w:t>Mandatory Declarations Policy</w:t>
      </w:r>
      <w:r w:rsidR="00817528">
        <w:t>, accessed from the Resource Library of the Audiology Australia website</w:t>
      </w:r>
      <w:r>
        <w:t>.</w:t>
      </w:r>
    </w:p>
  </w:footnote>
  <w:footnote w:id="75">
    <w:p w14:paraId="47FE0C34" w14:textId="77777777" w:rsidR="008E7B91" w:rsidRDefault="008E7B91" w:rsidP="008E7B91">
      <w:pPr>
        <w:pStyle w:val="FootnoteText"/>
      </w:pPr>
      <w:r>
        <w:rPr>
          <w:rStyle w:val="FootnoteReference"/>
        </w:rPr>
        <w:footnoteRef/>
      </w:r>
      <w:r>
        <w:t xml:space="preserve"> Audiology Australia 2023, </w:t>
      </w:r>
      <w:r w:rsidRPr="007F3ADE">
        <w:rPr>
          <w:i/>
          <w:iCs/>
        </w:rPr>
        <w:t>Advanced Paediatric Certification Framework</w:t>
      </w:r>
      <w:r>
        <w:t>, accessed from the Resource Library of the Audiology Australia website.</w:t>
      </w:r>
    </w:p>
  </w:footnote>
  <w:footnote w:id="76">
    <w:p w14:paraId="1C591375" w14:textId="3F462E2F" w:rsidR="006F2401" w:rsidRPr="00972F5E" w:rsidRDefault="006F2401">
      <w:pPr>
        <w:pStyle w:val="FootnoteText"/>
        <w:rPr>
          <w:lang w:val="en-AU"/>
        </w:rPr>
      </w:pPr>
      <w:r>
        <w:rPr>
          <w:rStyle w:val="FootnoteReference"/>
        </w:rPr>
        <w:footnoteRef/>
      </w:r>
      <w:r>
        <w:t xml:space="preserve"> </w:t>
      </w:r>
      <w:r>
        <w:rPr>
          <w:lang w:val="en-AU"/>
        </w:rPr>
        <w:t xml:space="preserve">Audiology Australia 2023, </w:t>
      </w:r>
      <w:r w:rsidR="00200762" w:rsidRPr="00972F5E">
        <w:rPr>
          <w:i/>
          <w:iCs/>
          <w:lang w:val="en-AU"/>
        </w:rPr>
        <w:t>Non-member Audiology Australia Accredited Audiologist Certification</w:t>
      </w:r>
      <w:r w:rsidR="00200762">
        <w:rPr>
          <w:lang w:val="en-AU"/>
        </w:rPr>
        <w:t>, accessed from the Resource Library of the Audiology Australia website.</w:t>
      </w:r>
    </w:p>
  </w:footnote>
  <w:footnote w:id="77">
    <w:p w14:paraId="35B291BB" w14:textId="599E92DF" w:rsidR="004C4390" w:rsidRPr="00972F5E" w:rsidRDefault="004C4390">
      <w:pPr>
        <w:pStyle w:val="FootnoteText"/>
        <w:rPr>
          <w:lang w:val="en-AU"/>
        </w:rPr>
      </w:pPr>
      <w:r>
        <w:rPr>
          <w:rStyle w:val="FootnoteReference"/>
        </w:rPr>
        <w:footnoteRef/>
      </w:r>
      <w:r>
        <w:t xml:space="preserve"> </w:t>
      </w:r>
      <w:r w:rsidR="008E4820">
        <w:rPr>
          <w:lang w:val="en-AU"/>
        </w:rPr>
        <w:t>Consultation Paper 2 stated ‘</w:t>
      </w:r>
      <w:r w:rsidR="008E4820" w:rsidRPr="00972F5E">
        <w:rPr>
          <w:i/>
          <w:iCs/>
          <w:lang w:val="en-AU"/>
        </w:rPr>
        <w:t>As per Audiology Australia’s Mandatory Declarations Policy, there are nil recency of practice or CPD requirements for initial membership or renewal of membership as a full member</w:t>
      </w:r>
      <w:r w:rsidR="008E4820">
        <w:rPr>
          <w:lang w:val="en-AU"/>
        </w:rPr>
        <w:t xml:space="preserve">.’ </w:t>
      </w:r>
      <w:r w:rsidR="00D92184">
        <w:rPr>
          <w:lang w:val="en-AU"/>
        </w:rPr>
        <w:t>The authors of this Decision RIS recognise that due to the funding requirements for major service delivery programs</w:t>
      </w:r>
      <w:r w:rsidR="008032B8">
        <w:rPr>
          <w:lang w:val="en-AU"/>
        </w:rPr>
        <w:t xml:space="preserve"> requiring membership and current clinical certification (e.g., Hearing Services Program)</w:t>
      </w:r>
      <w:r w:rsidR="002D40ED">
        <w:rPr>
          <w:lang w:val="en-AU"/>
        </w:rPr>
        <w:t xml:space="preserve">, </w:t>
      </w:r>
      <w:r w:rsidR="008C4020">
        <w:rPr>
          <w:lang w:val="en-AU"/>
        </w:rPr>
        <w:t>most audiologists will choose to hold both</w:t>
      </w:r>
      <w:r w:rsidR="00166637">
        <w:rPr>
          <w:lang w:val="en-AU"/>
        </w:rPr>
        <w:t xml:space="preserve"> membership and current clinical certification</w:t>
      </w:r>
      <w:r w:rsidR="008C4020">
        <w:rPr>
          <w:lang w:val="en-AU"/>
        </w:rPr>
        <w:t xml:space="preserve">. </w:t>
      </w:r>
      <w:r w:rsidR="000303DB">
        <w:rPr>
          <w:lang w:val="en-AU"/>
        </w:rPr>
        <w:t>In</w:t>
      </w:r>
      <w:r w:rsidR="00166637">
        <w:rPr>
          <w:lang w:val="en-AU"/>
        </w:rPr>
        <w:t xml:space="preserve"> order to apply for membership as a</w:t>
      </w:r>
      <w:r w:rsidR="001151E2">
        <w:rPr>
          <w:lang w:val="en-AU"/>
        </w:rPr>
        <w:t>n Australia Qualified Audiologist</w:t>
      </w:r>
      <w:r w:rsidR="00B37F82">
        <w:rPr>
          <w:lang w:val="en-AU"/>
        </w:rPr>
        <w:t xml:space="preserve"> (including current clinical certification)</w:t>
      </w:r>
      <w:r w:rsidR="00511338">
        <w:rPr>
          <w:lang w:val="en-AU"/>
        </w:rPr>
        <w:t xml:space="preserve"> or</w:t>
      </w:r>
      <w:r w:rsidR="00B37F82">
        <w:rPr>
          <w:lang w:val="en-AU"/>
        </w:rPr>
        <w:t xml:space="preserve"> Overseas Qualified Audiologist (including </w:t>
      </w:r>
      <w:r w:rsidR="0091392E">
        <w:rPr>
          <w:lang w:val="en-AU"/>
        </w:rPr>
        <w:t>current clinical certification),</w:t>
      </w:r>
      <w:r w:rsidR="007C01C4">
        <w:rPr>
          <w:lang w:val="en-AU"/>
        </w:rPr>
        <w:t xml:space="preserve"> the membership form </w:t>
      </w:r>
      <w:r w:rsidR="009F4242">
        <w:rPr>
          <w:lang w:val="en-AU"/>
        </w:rPr>
        <w:t>enquires</w:t>
      </w:r>
      <w:r w:rsidR="007C01C4">
        <w:rPr>
          <w:lang w:val="en-AU"/>
        </w:rPr>
        <w:t xml:space="preserve"> about work experience and academic qualifications. To apply for membership as an</w:t>
      </w:r>
      <w:r w:rsidR="0091392E">
        <w:rPr>
          <w:lang w:val="en-AU"/>
        </w:rPr>
        <w:t xml:space="preserve"> Audiology Student, </w:t>
      </w:r>
      <w:r w:rsidR="007C01C4">
        <w:rPr>
          <w:lang w:val="en-AU"/>
        </w:rPr>
        <w:t xml:space="preserve">the membership form </w:t>
      </w:r>
      <w:r w:rsidR="009F4242">
        <w:rPr>
          <w:lang w:val="en-AU"/>
        </w:rPr>
        <w:t>enquires</w:t>
      </w:r>
      <w:r w:rsidR="007C01C4">
        <w:rPr>
          <w:lang w:val="en-AU"/>
        </w:rPr>
        <w:t xml:space="preserve"> </w:t>
      </w:r>
      <w:r w:rsidR="000303DB">
        <w:rPr>
          <w:lang w:val="en-AU"/>
        </w:rPr>
        <w:t>about current course details.</w:t>
      </w:r>
      <w:r w:rsidR="0091392E">
        <w:rPr>
          <w:lang w:val="en-AU"/>
        </w:rPr>
        <w:t xml:space="preserve"> </w:t>
      </w:r>
      <w:r w:rsidR="008C4020">
        <w:rPr>
          <w:lang w:val="en-AU"/>
        </w:rPr>
        <w:t xml:space="preserve">The intent of this section is to describe the </w:t>
      </w:r>
      <w:r w:rsidR="008C4020" w:rsidRPr="00AC086A">
        <w:rPr>
          <w:lang w:val="en-AU"/>
        </w:rPr>
        <w:t>ongoing</w:t>
      </w:r>
      <w:r w:rsidR="008C4020">
        <w:rPr>
          <w:lang w:val="en-AU"/>
        </w:rPr>
        <w:t xml:space="preserve"> education and practi</w:t>
      </w:r>
      <w:r w:rsidR="008D51BB">
        <w:rPr>
          <w:lang w:val="en-AU"/>
        </w:rPr>
        <w:t xml:space="preserve">ce requirements for audiologists to </w:t>
      </w:r>
      <w:r w:rsidR="00315539">
        <w:rPr>
          <w:lang w:val="en-AU"/>
        </w:rPr>
        <w:t xml:space="preserve">demonstrate </w:t>
      </w:r>
      <w:r w:rsidR="008D51BB">
        <w:rPr>
          <w:lang w:val="en-AU"/>
        </w:rPr>
        <w:t>curren</w:t>
      </w:r>
      <w:r w:rsidR="00DB183F">
        <w:rPr>
          <w:lang w:val="en-AU"/>
        </w:rPr>
        <w:t xml:space="preserve">cy of skills, which are </w:t>
      </w:r>
      <w:r w:rsidR="00B821A3">
        <w:rPr>
          <w:lang w:val="en-AU"/>
        </w:rPr>
        <w:t xml:space="preserve">covered under the requirements </w:t>
      </w:r>
      <w:r w:rsidR="00AD300F">
        <w:rPr>
          <w:lang w:val="en-AU"/>
        </w:rPr>
        <w:t>of current clinical certification</w:t>
      </w:r>
      <w:r w:rsidR="00085D08">
        <w:rPr>
          <w:lang w:val="en-AU"/>
        </w:rPr>
        <w:t xml:space="preserve"> rather than membership</w:t>
      </w:r>
      <w:r w:rsidR="00DA5992">
        <w:rPr>
          <w:lang w:val="en-AU"/>
        </w:rPr>
        <w:t xml:space="preserve"> itself</w:t>
      </w:r>
      <w:r w:rsidR="00AD300F">
        <w:rPr>
          <w:lang w:val="en-AU"/>
        </w:rPr>
        <w:t xml:space="preserve">. </w:t>
      </w:r>
      <w:r w:rsidR="00085D08">
        <w:rPr>
          <w:lang w:val="en-AU"/>
        </w:rPr>
        <w:t>The abovementioned sentence has been re</w:t>
      </w:r>
      <w:r w:rsidR="00DA5992">
        <w:rPr>
          <w:lang w:val="en-AU"/>
        </w:rPr>
        <w:t>moved to avoid misinterpretat</w:t>
      </w:r>
      <w:r w:rsidR="00DB6681">
        <w:rPr>
          <w:lang w:val="en-AU"/>
        </w:rPr>
        <w:t xml:space="preserve">ion that membership </w:t>
      </w:r>
      <w:r w:rsidR="009939E9">
        <w:rPr>
          <w:lang w:val="en-AU"/>
        </w:rPr>
        <w:t xml:space="preserve">of AudA </w:t>
      </w:r>
      <w:r w:rsidR="00DB6681">
        <w:rPr>
          <w:lang w:val="en-AU"/>
        </w:rPr>
        <w:t>has nil mi</w:t>
      </w:r>
      <w:r w:rsidR="00AC086A">
        <w:rPr>
          <w:lang w:val="en-AU"/>
        </w:rPr>
        <w:t>nimum entry requirements</w:t>
      </w:r>
      <w:r w:rsidR="00364A96">
        <w:rPr>
          <w:lang w:val="en-AU"/>
        </w:rPr>
        <w:t>.</w:t>
      </w:r>
    </w:p>
  </w:footnote>
  <w:footnote w:id="78">
    <w:p w14:paraId="7827006D" w14:textId="77777777" w:rsidR="008E7B91" w:rsidRDefault="008E7B91" w:rsidP="008E7B91">
      <w:pPr>
        <w:pStyle w:val="FootnoteText"/>
      </w:pPr>
      <w:r>
        <w:rPr>
          <w:rStyle w:val="FootnoteReference"/>
        </w:rPr>
        <w:footnoteRef/>
      </w:r>
      <w:r>
        <w:t xml:space="preserve"> Australian College of Audiology 2024, information submitted.</w:t>
      </w:r>
    </w:p>
  </w:footnote>
  <w:footnote w:id="79">
    <w:p w14:paraId="3B082D63" w14:textId="00ADFD7B" w:rsidR="00816A7F" w:rsidRPr="00816A7F" w:rsidRDefault="00816A7F">
      <w:pPr>
        <w:pStyle w:val="FootnoteText"/>
        <w:rPr>
          <w:lang w:val="en-AU"/>
        </w:rPr>
      </w:pPr>
      <w:r>
        <w:rPr>
          <w:rStyle w:val="FootnoteReference"/>
        </w:rPr>
        <w:footnoteRef/>
      </w:r>
      <w:r>
        <w:t xml:space="preserve"> </w:t>
      </w:r>
      <w:r w:rsidR="009300FF">
        <w:rPr>
          <w:lang w:val="en-AU"/>
        </w:rPr>
        <w:t xml:space="preserve">Government of Western Australia Department of Health, </w:t>
      </w:r>
      <w:r w:rsidR="009300FF" w:rsidRPr="007176F0">
        <w:rPr>
          <w:i/>
          <w:iCs/>
          <w:lang w:val="en-AU"/>
        </w:rPr>
        <w:t>Allied Health and Health Science Regulated and Self-regulating Professions</w:t>
      </w:r>
      <w:r w:rsidR="005F7001">
        <w:rPr>
          <w:lang w:val="en-AU"/>
        </w:rPr>
        <w:t>, accessed from &lt;</w:t>
      </w:r>
      <w:r w:rsidR="005F7001" w:rsidRPr="005F7001">
        <w:t xml:space="preserve"> </w:t>
      </w:r>
      <w:r w:rsidR="005F7001" w:rsidRPr="005F7001">
        <w:rPr>
          <w:lang w:val="en-AU"/>
        </w:rPr>
        <w:t>https://www.health.wa.gov.au/Articles/A_E/Allied-Health-and-Health-Science-Regulated-and-Self-regulating-Professions</w:t>
      </w:r>
      <w:r w:rsidR="005F7001">
        <w:rPr>
          <w:lang w:val="en-AU"/>
        </w:rPr>
        <w:t>&gt;.</w:t>
      </w:r>
    </w:p>
  </w:footnote>
  <w:footnote w:id="80">
    <w:p w14:paraId="7877D62E" w14:textId="77777777" w:rsidR="008E7B91" w:rsidRDefault="008E7B91" w:rsidP="008E7B91">
      <w:pPr>
        <w:pStyle w:val="FootnoteText"/>
      </w:pPr>
      <w:r>
        <w:rPr>
          <w:rStyle w:val="FootnoteReference"/>
        </w:rPr>
        <w:footnoteRef/>
      </w:r>
      <w:r>
        <w:t xml:space="preserve"> National Alliance for Self-Regulating Health Professionals 2024, </w:t>
      </w:r>
      <w:r w:rsidRPr="00517C05">
        <w:rPr>
          <w:i/>
        </w:rPr>
        <w:t>About NASRHP</w:t>
      </w:r>
      <w:r>
        <w:t>, accessed from &lt;</w:t>
      </w:r>
      <w:r w:rsidRPr="00B80ADC">
        <w:t>https://nasrhp.org.au/about/</w:t>
      </w:r>
      <w:r>
        <w:t>&gt;.</w:t>
      </w:r>
    </w:p>
  </w:footnote>
  <w:footnote w:id="81">
    <w:p w14:paraId="28609AD3" w14:textId="77777777" w:rsidR="008E7B91" w:rsidRDefault="008E7B91" w:rsidP="008E7B91">
      <w:pPr>
        <w:pStyle w:val="FootnoteText"/>
      </w:pPr>
      <w:r>
        <w:rPr>
          <w:rStyle w:val="FootnoteReference"/>
        </w:rPr>
        <w:footnoteRef/>
      </w:r>
      <w:r>
        <w:t xml:space="preserve"> Ibid.</w:t>
      </w:r>
    </w:p>
  </w:footnote>
  <w:footnote w:id="82">
    <w:p w14:paraId="58E51542" w14:textId="6D5FD09B" w:rsidR="001E3484" w:rsidRPr="00972F5E" w:rsidRDefault="001E3484">
      <w:pPr>
        <w:pStyle w:val="FootnoteText"/>
        <w:rPr>
          <w:lang w:val="en-AU"/>
        </w:rPr>
      </w:pPr>
      <w:r>
        <w:rPr>
          <w:rStyle w:val="FootnoteReference"/>
        </w:rPr>
        <w:footnoteRef/>
      </w:r>
      <w:r>
        <w:t xml:space="preserve"> </w:t>
      </w:r>
      <w:r w:rsidR="0050156F">
        <w:rPr>
          <w:lang w:val="en-AU"/>
        </w:rPr>
        <w:t xml:space="preserve">National Alliance of Self-Regulating Health Professions 2016, </w:t>
      </w:r>
      <w:r w:rsidR="0050156F" w:rsidRPr="00972F5E">
        <w:rPr>
          <w:i/>
          <w:iCs/>
          <w:lang w:val="en-AU"/>
        </w:rPr>
        <w:t>Self Regulating Health Profession Peak Bodies Membership Standards</w:t>
      </w:r>
      <w:r w:rsidR="0050156F">
        <w:rPr>
          <w:lang w:val="en-AU"/>
        </w:rPr>
        <w:t>, accessed from &lt;</w:t>
      </w:r>
      <w:r w:rsidR="0025190E" w:rsidRPr="0025190E">
        <w:t xml:space="preserve"> </w:t>
      </w:r>
      <w:r w:rsidR="0025190E" w:rsidRPr="0025190E">
        <w:rPr>
          <w:lang w:val="en-AU"/>
        </w:rPr>
        <w:t>https://nasrhp.org.au/wp-content/uploads/2024/01/SR_Standards_Full_Dec_2.pdf</w:t>
      </w:r>
      <w:r w:rsidR="0050156F">
        <w:rPr>
          <w:lang w:val="en-AU"/>
        </w:rPr>
        <w:t>&gt;.</w:t>
      </w:r>
    </w:p>
  </w:footnote>
  <w:footnote w:id="83">
    <w:p w14:paraId="18026CBE" w14:textId="77777777" w:rsidR="00BB011D" w:rsidRDefault="00BB011D" w:rsidP="00BB011D">
      <w:pPr>
        <w:pStyle w:val="FootnoteText"/>
      </w:pPr>
      <w:r>
        <w:rPr>
          <w:rStyle w:val="FootnoteReference"/>
        </w:rPr>
        <w:footnoteRef/>
      </w:r>
      <w:r>
        <w:t xml:space="preserve"> Australian College of Audiology 2024, information submitted.</w:t>
      </w:r>
    </w:p>
  </w:footnote>
  <w:footnote w:id="84">
    <w:p w14:paraId="7224FB6A" w14:textId="62BACA7B" w:rsidR="00530DCC" w:rsidRPr="007176F0" w:rsidRDefault="00530DCC">
      <w:pPr>
        <w:pStyle w:val="FootnoteText"/>
        <w:rPr>
          <w:lang w:val="en-AU"/>
        </w:rPr>
      </w:pPr>
      <w:r>
        <w:rPr>
          <w:rStyle w:val="FootnoteReference"/>
        </w:rPr>
        <w:footnoteRef/>
      </w:r>
      <w:r>
        <w:t xml:space="preserve"> </w:t>
      </w:r>
      <w:r w:rsidR="00FF1A15">
        <w:rPr>
          <w:lang w:val="en-AU"/>
        </w:rPr>
        <w:t xml:space="preserve">Hearing Professional Conduct and Complaints Body 2024, </w:t>
      </w:r>
      <w:r w:rsidR="00A56408">
        <w:rPr>
          <w:i/>
          <w:iCs/>
          <w:lang w:val="en-AU"/>
        </w:rPr>
        <w:t>Constitution of Hearing Professional Conduct and Complaints Body Ltd</w:t>
      </w:r>
      <w:r w:rsidR="00FF1A15">
        <w:rPr>
          <w:lang w:val="en-AU"/>
        </w:rPr>
        <w:t>, accessed from &lt;</w:t>
      </w:r>
      <w:r w:rsidR="00FF1A15" w:rsidRPr="00383F02">
        <w:t xml:space="preserve"> </w:t>
      </w:r>
      <w:r w:rsidR="00D44F79" w:rsidRPr="00D44F79">
        <w:t>https://hpccb.org.au/wp-content/uploads/2024/09/Constitution-Hearing-Professional-Conduct-and-Complaints-Body-20240801.pdf</w:t>
      </w:r>
      <w:r w:rsidR="00FF1A15">
        <w:rPr>
          <w:lang w:val="en-AU"/>
        </w:rPr>
        <w:t>&gt;.</w:t>
      </w:r>
    </w:p>
  </w:footnote>
  <w:footnote w:id="85">
    <w:p w14:paraId="6B1F1474" w14:textId="77777777" w:rsidR="000D3269" w:rsidRPr="00D009C2" w:rsidRDefault="000D3269" w:rsidP="000D3269">
      <w:pPr>
        <w:pStyle w:val="FootnoteText"/>
        <w:rPr>
          <w:lang w:val="en-AU"/>
        </w:rPr>
      </w:pPr>
      <w:r>
        <w:rPr>
          <w:rStyle w:val="FootnoteReference"/>
        </w:rPr>
        <w:footnoteRef/>
      </w:r>
      <w:r>
        <w:t xml:space="preserve"> </w:t>
      </w:r>
      <w:r>
        <w:rPr>
          <w:lang w:val="en-AU"/>
        </w:rPr>
        <w:t xml:space="preserve">Hearing Professional Conduct and Complaints Body 2024, </w:t>
      </w:r>
      <w:r w:rsidRPr="004745B0">
        <w:rPr>
          <w:i/>
          <w:iCs/>
          <w:lang w:val="en-AU"/>
        </w:rPr>
        <w:t>Code of Conduct for Audiologists and Audiometrists</w:t>
      </w:r>
      <w:r>
        <w:rPr>
          <w:lang w:val="en-AU"/>
        </w:rPr>
        <w:t>, accessed from &lt;</w:t>
      </w:r>
      <w:r w:rsidRPr="00383F02">
        <w:t xml:space="preserve"> </w:t>
      </w:r>
      <w:r w:rsidRPr="00550F76">
        <w:t>https://hpccb.org.au/wp-content/uploads/2024/09/Code-of-Conduct-for-audiologists-and-audiometrists-20241001.pdf</w:t>
      </w:r>
      <w:r w:rsidRPr="00550F76" w:rsidDel="005D7CBC">
        <w:t xml:space="preserve"> </w:t>
      </w:r>
      <w:r>
        <w:rPr>
          <w:lang w:val="en-AU"/>
        </w:rPr>
        <w:t>&gt;.</w:t>
      </w:r>
    </w:p>
  </w:footnote>
  <w:footnote w:id="86">
    <w:p w14:paraId="134773CC" w14:textId="206342F8" w:rsidR="00550F76" w:rsidRPr="007176F0" w:rsidRDefault="00550F76">
      <w:pPr>
        <w:pStyle w:val="FootnoteText"/>
        <w:rPr>
          <w:lang w:val="en-AU"/>
        </w:rPr>
      </w:pPr>
      <w:r>
        <w:rPr>
          <w:rStyle w:val="FootnoteReference"/>
        </w:rPr>
        <w:footnoteRef/>
      </w:r>
      <w:r>
        <w:t xml:space="preserve"> </w:t>
      </w:r>
      <w:r>
        <w:rPr>
          <w:lang w:val="en-AU"/>
        </w:rPr>
        <w:t xml:space="preserve">Hearing Professional Conduct and Complaints Body 2024, </w:t>
      </w:r>
      <w:r w:rsidR="002519CF">
        <w:rPr>
          <w:i/>
          <w:iCs/>
          <w:lang w:val="en-AU"/>
        </w:rPr>
        <w:t>Complaints Management and Resolution Procedure by-law</w:t>
      </w:r>
      <w:r>
        <w:rPr>
          <w:lang w:val="en-AU"/>
        </w:rPr>
        <w:t>, accessed from &lt;</w:t>
      </w:r>
      <w:r w:rsidR="002519CF" w:rsidRPr="002519CF">
        <w:t xml:space="preserve"> https://hpccb.org.au/wp-content/uploads/2024/09/HPCCB-Complaints-Procedure_20241001.pdf</w:t>
      </w:r>
      <w:r>
        <w:rPr>
          <w:lang w:val="en-AU"/>
        </w:rPr>
        <w:t>&gt;.</w:t>
      </w:r>
    </w:p>
  </w:footnote>
  <w:footnote w:id="87">
    <w:p w14:paraId="7ADF6C47" w14:textId="2849E4FF" w:rsidR="008E7B91" w:rsidRDefault="008E7B91" w:rsidP="008E7B91">
      <w:pPr>
        <w:pStyle w:val="FootnoteText"/>
      </w:pPr>
      <w:r>
        <w:rPr>
          <w:rStyle w:val="FootnoteReference"/>
        </w:rPr>
        <w:footnoteRef/>
      </w:r>
      <w:r>
        <w:t xml:space="preserve"> </w:t>
      </w:r>
      <w:r w:rsidR="007A52B9">
        <w:t>Ibid.</w:t>
      </w:r>
    </w:p>
  </w:footnote>
  <w:footnote w:id="88">
    <w:p w14:paraId="7F92C8C1" w14:textId="586FAD81" w:rsidR="00FA76F4" w:rsidRPr="007176F0" w:rsidRDefault="00FA76F4">
      <w:pPr>
        <w:pStyle w:val="FootnoteText"/>
        <w:rPr>
          <w:lang w:val="en-AU"/>
        </w:rPr>
      </w:pPr>
      <w:r>
        <w:rPr>
          <w:rStyle w:val="FootnoteReference"/>
        </w:rPr>
        <w:footnoteRef/>
      </w:r>
      <w:r>
        <w:t xml:space="preserve"> </w:t>
      </w:r>
      <w:r w:rsidR="00E67E59">
        <w:rPr>
          <w:lang w:val="en-AU"/>
        </w:rPr>
        <w:t xml:space="preserve">The Chairperson of the HPCCB </w:t>
      </w:r>
      <w:r w:rsidR="00A05817">
        <w:rPr>
          <w:lang w:val="en-AU"/>
        </w:rPr>
        <w:t xml:space="preserve">Board may also direct a Hearing and Investigation Panel to undertake an urgent, preliminary investigation of a complaint. Please refer to the </w:t>
      </w:r>
      <w:r w:rsidR="00A05817" w:rsidRPr="007176F0">
        <w:rPr>
          <w:i/>
          <w:iCs/>
          <w:lang w:val="en-AU"/>
        </w:rPr>
        <w:t xml:space="preserve">Complaints </w:t>
      </w:r>
      <w:r w:rsidR="00DC2E9A" w:rsidRPr="007176F0">
        <w:rPr>
          <w:i/>
          <w:iCs/>
          <w:lang w:val="en-AU"/>
        </w:rPr>
        <w:t>Management and Resolution Procedure by-law</w:t>
      </w:r>
      <w:r w:rsidR="00DC2E9A">
        <w:rPr>
          <w:lang w:val="en-AU"/>
        </w:rPr>
        <w:t xml:space="preserve"> for further information.</w:t>
      </w:r>
    </w:p>
  </w:footnote>
  <w:footnote w:id="89">
    <w:p w14:paraId="7D878B9B" w14:textId="02FD9C67" w:rsidR="00011B62" w:rsidRPr="007176F0" w:rsidRDefault="00011B62">
      <w:pPr>
        <w:pStyle w:val="FootnoteText"/>
        <w:rPr>
          <w:lang w:val="en-AU"/>
        </w:rPr>
      </w:pPr>
      <w:r>
        <w:rPr>
          <w:rStyle w:val="FootnoteReference"/>
        </w:rPr>
        <w:footnoteRef/>
      </w:r>
      <w:r>
        <w:t xml:space="preserve"> </w:t>
      </w:r>
      <w:r w:rsidR="005641A0">
        <w:rPr>
          <w:lang w:val="en-AU"/>
        </w:rPr>
        <w:t xml:space="preserve">Hearing Professional Conduct and Complaints Body 2024, </w:t>
      </w:r>
      <w:r w:rsidR="005641A0">
        <w:rPr>
          <w:i/>
          <w:iCs/>
          <w:lang w:val="en-AU"/>
        </w:rPr>
        <w:t>Complaints Management and Resolution Procedure by-law</w:t>
      </w:r>
      <w:r w:rsidR="005641A0">
        <w:rPr>
          <w:lang w:val="en-AU"/>
        </w:rPr>
        <w:t>, accessed from &lt;</w:t>
      </w:r>
      <w:r w:rsidR="005641A0" w:rsidRPr="002519CF">
        <w:t xml:space="preserve"> https://hpccb.org.au/wp-content/uploads/2024/09/HPCCB-Complaints-Procedure_20241001.pdf</w:t>
      </w:r>
      <w:r w:rsidR="005641A0">
        <w:rPr>
          <w:lang w:val="en-AU"/>
        </w:rPr>
        <w:t>&gt;.</w:t>
      </w:r>
    </w:p>
  </w:footnote>
  <w:footnote w:id="90">
    <w:p w14:paraId="57021CFB" w14:textId="38442C03" w:rsidR="008E7B91" w:rsidRDefault="008E7B91" w:rsidP="008E7B91">
      <w:pPr>
        <w:pStyle w:val="FootnoteText"/>
      </w:pPr>
      <w:r>
        <w:rPr>
          <w:rStyle w:val="FootnoteReference"/>
        </w:rPr>
        <w:footnoteRef/>
      </w:r>
      <w:r>
        <w:t xml:space="preserve"> </w:t>
      </w:r>
      <w:r w:rsidR="00545568">
        <w:rPr>
          <w:lang w:val="en-AU"/>
        </w:rPr>
        <w:t xml:space="preserve">Hearing Professional Conduct and Complaints Body 2024, </w:t>
      </w:r>
      <w:r w:rsidR="00545568">
        <w:rPr>
          <w:i/>
          <w:iCs/>
          <w:lang w:val="en-AU"/>
        </w:rPr>
        <w:t>About us</w:t>
      </w:r>
      <w:r w:rsidR="00545568">
        <w:rPr>
          <w:lang w:val="en-AU"/>
        </w:rPr>
        <w:t>, accessed from &lt;</w:t>
      </w:r>
      <w:r w:rsidR="00545568" w:rsidRPr="002519CF">
        <w:t xml:space="preserve"> </w:t>
      </w:r>
      <w:r w:rsidR="000F5E9F" w:rsidRPr="000F5E9F">
        <w:t>https://hpccb.org.au/about/</w:t>
      </w:r>
      <w:r w:rsidR="00545568">
        <w:rPr>
          <w:lang w:val="en-AU"/>
        </w:rPr>
        <w:t>&gt;.</w:t>
      </w:r>
    </w:p>
  </w:footnote>
  <w:footnote w:id="91">
    <w:p w14:paraId="59EA61C7" w14:textId="5DA76867" w:rsidR="00453547" w:rsidRPr="007176F0" w:rsidRDefault="00453547">
      <w:pPr>
        <w:pStyle w:val="FootnoteText"/>
        <w:rPr>
          <w:lang w:val="en-AU"/>
        </w:rPr>
      </w:pPr>
      <w:r>
        <w:rPr>
          <w:rStyle w:val="FootnoteReference"/>
        </w:rPr>
        <w:footnoteRef/>
      </w:r>
      <w:r>
        <w:t xml:space="preserve"> </w:t>
      </w:r>
      <w:r>
        <w:rPr>
          <w:lang w:val="en-AU"/>
        </w:rPr>
        <w:t xml:space="preserve">Hearing Professional Conduct and Complaints Body 2024, </w:t>
      </w:r>
      <w:r>
        <w:rPr>
          <w:i/>
          <w:iCs/>
          <w:lang w:val="en-AU"/>
        </w:rPr>
        <w:t>Complaints Management and Resolution Procedure by-law</w:t>
      </w:r>
      <w:r>
        <w:rPr>
          <w:lang w:val="en-AU"/>
        </w:rPr>
        <w:t>, accessed from &lt;</w:t>
      </w:r>
      <w:r w:rsidRPr="002519CF">
        <w:t xml:space="preserve"> https://hpccb.org.au/wp-content/uploads/2024/09/HPCCB-Complaints-Procedure_20241001.pdf</w:t>
      </w:r>
      <w:r>
        <w:rPr>
          <w:lang w:val="en-AU"/>
        </w:rPr>
        <w:t>&gt;.</w:t>
      </w:r>
    </w:p>
  </w:footnote>
  <w:footnote w:id="92">
    <w:p w14:paraId="071EAD37" w14:textId="59A236AB" w:rsidR="008E7B91" w:rsidRDefault="008E7B91" w:rsidP="008E7B91">
      <w:pPr>
        <w:pStyle w:val="FootnoteText"/>
      </w:pPr>
      <w:r>
        <w:rPr>
          <w:rStyle w:val="FootnoteReference"/>
        </w:rPr>
        <w:footnoteRef/>
      </w:r>
      <w:r>
        <w:t xml:space="preserve"> </w:t>
      </w:r>
      <w:r w:rsidR="00FE2C2C">
        <w:rPr>
          <w:lang w:val="en-AU"/>
        </w:rPr>
        <w:t xml:space="preserve">Hearing Professional Conduct and Complaints Body 2024, </w:t>
      </w:r>
      <w:r w:rsidR="00FE2C2C">
        <w:rPr>
          <w:i/>
          <w:iCs/>
          <w:lang w:val="en-AU"/>
        </w:rPr>
        <w:t>Complaints Management and Resolution Procedure by-law</w:t>
      </w:r>
      <w:r w:rsidR="00FE2C2C">
        <w:rPr>
          <w:lang w:val="en-AU"/>
        </w:rPr>
        <w:t>, accessed from &lt;</w:t>
      </w:r>
      <w:r w:rsidR="00FE2C2C" w:rsidRPr="002519CF">
        <w:t xml:space="preserve"> https://hpccb.org.au/wp-content/uploads/2024/09/HPCCB-Complaints-Procedure_20241001.pdf</w:t>
      </w:r>
      <w:r w:rsidR="00FE2C2C">
        <w:rPr>
          <w:lang w:val="en-AU"/>
        </w:rPr>
        <w:t>&gt;.</w:t>
      </w:r>
    </w:p>
  </w:footnote>
  <w:footnote w:id="93">
    <w:p w14:paraId="3ED8D4D6" w14:textId="77777777" w:rsidR="008E7B91" w:rsidRDefault="008E7B91" w:rsidP="008E7B91">
      <w:pPr>
        <w:pStyle w:val="FootnoteText"/>
      </w:pPr>
      <w:r>
        <w:rPr>
          <w:rStyle w:val="FootnoteReference"/>
        </w:rPr>
        <w:footnoteRef/>
      </w:r>
      <w:r>
        <w:t xml:space="preserve"> </w:t>
      </w:r>
      <w:r w:rsidRPr="00B41C23">
        <w:t xml:space="preserve">Health services </w:t>
      </w:r>
      <w:r>
        <w:t>are recognised to occur</w:t>
      </w:r>
      <w:r w:rsidRPr="00B41C23">
        <w:t xml:space="preserve"> in a variety of settings including hospital</w:t>
      </w:r>
      <w:r>
        <w:t>s</w:t>
      </w:r>
      <w:r w:rsidRPr="00B41C23">
        <w:t>, residential aged care facilit</w:t>
      </w:r>
      <w:r>
        <w:t>ies</w:t>
      </w:r>
      <w:r w:rsidRPr="00B41C23">
        <w:t>, community health setting</w:t>
      </w:r>
      <w:r>
        <w:t>s</w:t>
      </w:r>
      <w:r w:rsidRPr="00B41C23">
        <w:t xml:space="preserve"> or a home.</w:t>
      </w:r>
    </w:p>
  </w:footnote>
  <w:footnote w:id="94">
    <w:p w14:paraId="1F69E8D7" w14:textId="21F027B4" w:rsidR="008E7B91" w:rsidRDefault="008E7B91" w:rsidP="008E7B91">
      <w:pPr>
        <w:pStyle w:val="FootnoteText"/>
      </w:pPr>
      <w:r>
        <w:rPr>
          <w:rStyle w:val="FootnoteReference"/>
        </w:rPr>
        <w:footnoteRef/>
      </w:r>
      <w:r>
        <w:t xml:space="preserve"> </w:t>
      </w:r>
      <w:r w:rsidR="009B4B4D">
        <w:t>Ahpra</w:t>
      </w:r>
      <w:r w:rsidR="009B4B4D" w:rsidDel="009B4B4D">
        <w:t xml:space="preserve"> </w:t>
      </w:r>
      <w:r>
        <w:t xml:space="preserve">2023, </w:t>
      </w:r>
      <w:r w:rsidRPr="00396246">
        <w:rPr>
          <w:i/>
        </w:rPr>
        <w:t>Regulatory Guide</w:t>
      </w:r>
      <w:r>
        <w:t>, accessed from &lt;</w:t>
      </w:r>
      <w:r w:rsidRPr="005740D9">
        <w:t>https://www.ahpra.gov.au/Publications/Corporate-publications.aspx</w:t>
      </w:r>
      <w:r>
        <w:t>&gt;.</w:t>
      </w:r>
    </w:p>
  </w:footnote>
  <w:footnote w:id="95">
    <w:p w14:paraId="3D164471" w14:textId="1D10CAE0" w:rsidR="008E7B91" w:rsidRDefault="008E7B91" w:rsidP="008E7B91">
      <w:pPr>
        <w:pStyle w:val="FootnoteText"/>
      </w:pPr>
      <w:r>
        <w:rPr>
          <w:rStyle w:val="FootnoteReference"/>
        </w:rPr>
        <w:footnoteRef/>
      </w:r>
      <w:r>
        <w:t xml:space="preserve"> </w:t>
      </w:r>
      <w:r w:rsidR="009B4B4D">
        <w:t>Ahpra</w:t>
      </w:r>
      <w:r w:rsidR="009B4B4D" w:rsidDel="009B4B4D">
        <w:t xml:space="preserve"> </w:t>
      </w:r>
      <w:r>
        <w:t xml:space="preserve"> 2023, </w:t>
      </w:r>
      <w:r w:rsidRPr="00514A9A">
        <w:rPr>
          <w:i/>
          <w:iCs/>
        </w:rPr>
        <w:t>What we do</w:t>
      </w:r>
      <w:r>
        <w:t>, accessed from &lt;</w:t>
      </w:r>
      <w:r w:rsidRPr="004734A5">
        <w:t>https://www.ahpra.gov.au/About-Ahpra/What-We-Do.aspx</w:t>
      </w:r>
      <w:r>
        <w:t>&gt;.</w:t>
      </w:r>
    </w:p>
  </w:footnote>
  <w:footnote w:id="96">
    <w:p w14:paraId="1A4C6FB4" w14:textId="19E3171C" w:rsidR="008E7B91" w:rsidRDefault="008E7B91" w:rsidP="008E7B91">
      <w:pPr>
        <w:pStyle w:val="FootnoteText"/>
      </w:pPr>
      <w:r>
        <w:rPr>
          <w:rStyle w:val="FootnoteReference"/>
        </w:rPr>
        <w:footnoteRef/>
      </w:r>
      <w:r>
        <w:t xml:space="preserve"> </w:t>
      </w:r>
      <w:r w:rsidR="009B4B4D">
        <w:t>Ahpra</w:t>
      </w:r>
      <w:r w:rsidR="009B4B4D" w:rsidDel="009B4B4D">
        <w:t xml:space="preserve"> </w:t>
      </w:r>
      <w:r>
        <w:t xml:space="preserve">2023, </w:t>
      </w:r>
      <w:r w:rsidRPr="00396246">
        <w:rPr>
          <w:i/>
        </w:rPr>
        <w:t>Accreditation</w:t>
      </w:r>
      <w:r>
        <w:t>, accessed from &lt;</w:t>
      </w:r>
      <w:r w:rsidRPr="00DE5C00">
        <w:t>https://www.ahpra.gov.au/Accreditation.aspx</w:t>
      </w:r>
      <w:r>
        <w:t>&gt;.</w:t>
      </w:r>
    </w:p>
  </w:footnote>
  <w:footnote w:id="97">
    <w:p w14:paraId="01661F44" w14:textId="6143A3E2" w:rsidR="008E7B91" w:rsidRDefault="008E7B91" w:rsidP="008E7B91">
      <w:pPr>
        <w:pStyle w:val="FootnoteText"/>
      </w:pPr>
      <w:r>
        <w:rPr>
          <w:rStyle w:val="FootnoteReference"/>
        </w:rPr>
        <w:footnoteRef/>
      </w:r>
      <w:r>
        <w:t xml:space="preserve"> Parliament of Australia 202</w:t>
      </w:r>
      <w:r w:rsidR="008F71C7">
        <w:t>3</w:t>
      </w:r>
      <w:r>
        <w:t xml:space="preserve">, </w:t>
      </w:r>
      <w:r w:rsidRPr="00F82C50">
        <w:rPr>
          <w:i/>
          <w:iCs/>
        </w:rPr>
        <w:t>Health practitioner regulation: a quick guide</w:t>
      </w:r>
      <w:r>
        <w:t>, accessed from &lt;</w:t>
      </w:r>
      <w:r w:rsidRPr="00F76547">
        <w:t>https://www.aph.gov.au/About_Parliament/Parliamentary_departments/Parliamentary_Library/pubs/rp/rp2324/Quick_Guides/HealthPractitionerRegulation</w:t>
      </w:r>
      <w:r>
        <w:t>&gt;.</w:t>
      </w:r>
    </w:p>
  </w:footnote>
  <w:footnote w:id="98">
    <w:p w14:paraId="45CA2322" w14:textId="46F76445" w:rsidR="008E7B91" w:rsidRDefault="008E7B91" w:rsidP="008E7B91">
      <w:pPr>
        <w:pStyle w:val="FootnoteText"/>
      </w:pPr>
      <w:r>
        <w:rPr>
          <w:rStyle w:val="FootnoteReference"/>
        </w:rPr>
        <w:footnoteRef/>
      </w:r>
      <w:r>
        <w:t xml:space="preserve"> </w:t>
      </w:r>
      <w:r w:rsidR="009B4B4D">
        <w:t xml:space="preserve">Ahpra </w:t>
      </w:r>
      <w:r>
        <w:t xml:space="preserve">2023, </w:t>
      </w:r>
      <w:r w:rsidRPr="00514A9A">
        <w:rPr>
          <w:i/>
          <w:iCs/>
        </w:rPr>
        <w:t>Delegations</w:t>
      </w:r>
      <w:r>
        <w:t>, accessed from &lt;</w:t>
      </w:r>
      <w:r w:rsidRPr="00514A9A">
        <w:t>https://www.ahpra.gov.au/National-Boards/Delegations.aspx</w:t>
      </w:r>
      <w:r>
        <w:t>&gt;.</w:t>
      </w:r>
    </w:p>
  </w:footnote>
  <w:footnote w:id="99">
    <w:p w14:paraId="78DE2B55" w14:textId="2AF474AA" w:rsidR="001770BB" w:rsidRPr="00972F5E" w:rsidRDefault="001770BB">
      <w:pPr>
        <w:pStyle w:val="FootnoteText"/>
        <w:rPr>
          <w:lang w:val="en-AU"/>
        </w:rPr>
      </w:pPr>
      <w:r>
        <w:rPr>
          <w:rStyle w:val="FootnoteReference"/>
        </w:rPr>
        <w:footnoteRef/>
      </w:r>
      <w:r>
        <w:t xml:space="preserve"> </w:t>
      </w:r>
      <w:r>
        <w:rPr>
          <w:lang w:val="en-AU"/>
        </w:rPr>
        <w:t>Ahpra 2025, information submitted.</w:t>
      </w:r>
    </w:p>
  </w:footnote>
  <w:footnote w:id="100">
    <w:p w14:paraId="50AFBD4D" w14:textId="748A89A2" w:rsidR="00BF12BA" w:rsidRPr="00972F5E" w:rsidRDefault="00BF12BA">
      <w:pPr>
        <w:pStyle w:val="FootnoteText"/>
        <w:rPr>
          <w:lang w:val="en-AU"/>
        </w:rPr>
      </w:pPr>
      <w:r>
        <w:rPr>
          <w:rStyle w:val="FootnoteReference"/>
        </w:rPr>
        <w:footnoteRef/>
      </w:r>
      <w:r>
        <w:t xml:space="preserve"> </w:t>
      </w:r>
      <w:r>
        <w:rPr>
          <w:lang w:val="en-AU"/>
        </w:rPr>
        <w:t>Ahpra 2025, information submitted.</w:t>
      </w:r>
    </w:p>
  </w:footnote>
  <w:footnote w:id="101">
    <w:p w14:paraId="76B2A85D" w14:textId="1BCE9877" w:rsidR="008E7B91" w:rsidRDefault="008E7B91" w:rsidP="008E7B91">
      <w:pPr>
        <w:pStyle w:val="FootnoteText"/>
      </w:pPr>
      <w:r>
        <w:rPr>
          <w:rStyle w:val="FootnoteReference"/>
        </w:rPr>
        <w:footnoteRef/>
      </w:r>
      <w:r>
        <w:t xml:space="preserve"> </w:t>
      </w:r>
      <w:r w:rsidR="009B4B4D">
        <w:t>Ahpra</w:t>
      </w:r>
      <w:r w:rsidR="009B4B4D" w:rsidDel="009B4B4D">
        <w:t xml:space="preserve"> </w:t>
      </w:r>
      <w:r>
        <w:t xml:space="preserve"> 2023, </w:t>
      </w:r>
      <w:r w:rsidRPr="00396246">
        <w:rPr>
          <w:i/>
        </w:rPr>
        <w:t>Regulatory Guide</w:t>
      </w:r>
      <w:r>
        <w:t>, accessed from &lt;</w:t>
      </w:r>
      <w:r w:rsidRPr="001A60FC">
        <w:t>https://www.ahpra.gov.au/Publications/Corporate-publications.aspx</w:t>
      </w:r>
      <w:r>
        <w:t>&gt;.</w:t>
      </w:r>
    </w:p>
  </w:footnote>
  <w:footnote w:id="102">
    <w:p w14:paraId="3EF1FB5C" w14:textId="77777777" w:rsidR="008E7B91" w:rsidRDefault="008E7B91" w:rsidP="008E7B91">
      <w:pPr>
        <w:pStyle w:val="FootnoteText"/>
      </w:pPr>
      <w:r>
        <w:rPr>
          <w:rStyle w:val="FootnoteReference"/>
        </w:rPr>
        <w:footnoteRef/>
      </w:r>
      <w:r>
        <w:t xml:space="preserve"> Ibid, p55.</w:t>
      </w:r>
    </w:p>
  </w:footnote>
  <w:footnote w:id="103">
    <w:p w14:paraId="6444D0C3" w14:textId="5FBBC833" w:rsidR="008E7B91" w:rsidRDefault="008E7B91" w:rsidP="008E7B91">
      <w:pPr>
        <w:pStyle w:val="FootnoteText"/>
      </w:pPr>
      <w:r>
        <w:rPr>
          <w:rStyle w:val="FootnoteReference"/>
        </w:rPr>
        <w:footnoteRef/>
      </w:r>
      <w:r>
        <w:t xml:space="preserve"> </w:t>
      </w:r>
      <w:r w:rsidR="009B4B4D">
        <w:t>Ahpra</w:t>
      </w:r>
      <w:r>
        <w:t xml:space="preserve"> 2023, </w:t>
      </w:r>
      <w:r>
        <w:rPr>
          <w:i/>
          <w:iCs/>
        </w:rPr>
        <w:t>Tribunal hearings</w:t>
      </w:r>
      <w:r>
        <w:t>, accessed from &lt;</w:t>
      </w:r>
      <w:r w:rsidRPr="00F26625">
        <w:t>https://www.ahpra.gov.au/Notifications/How-we-manage-concerns/Tribunal-hearing.aspx</w:t>
      </w:r>
      <w:r>
        <w:t>&gt;.</w:t>
      </w:r>
    </w:p>
  </w:footnote>
  <w:footnote w:id="104">
    <w:p w14:paraId="7777B7B8" w14:textId="41FC247E" w:rsidR="00667C7E" w:rsidRPr="00667C7E" w:rsidRDefault="00667C7E">
      <w:pPr>
        <w:pStyle w:val="FootnoteText"/>
        <w:rPr>
          <w:lang w:val="en-AU"/>
        </w:rPr>
      </w:pPr>
      <w:r>
        <w:rPr>
          <w:rStyle w:val="FootnoteReference"/>
        </w:rPr>
        <w:footnoteRef/>
      </w:r>
      <w:r>
        <w:t xml:space="preserve"> </w:t>
      </w:r>
      <w:r w:rsidR="005A2E6C">
        <w:rPr>
          <w:lang w:val="en-AU"/>
        </w:rPr>
        <w:t xml:space="preserve">Ahpra </w:t>
      </w:r>
      <w:r w:rsidR="00E10821">
        <w:rPr>
          <w:lang w:val="en-AU"/>
        </w:rPr>
        <w:t xml:space="preserve">2023, </w:t>
      </w:r>
      <w:r w:rsidR="00E10821" w:rsidRPr="007176F0">
        <w:rPr>
          <w:i/>
          <w:iCs/>
          <w:lang w:val="en-AU"/>
        </w:rPr>
        <w:t>Possible outcomes</w:t>
      </w:r>
      <w:r w:rsidR="00E10821">
        <w:rPr>
          <w:lang w:val="en-AU"/>
        </w:rPr>
        <w:t>, accessed from &lt;</w:t>
      </w:r>
      <w:r w:rsidR="00E10821" w:rsidRPr="00E10821">
        <w:t xml:space="preserve"> </w:t>
      </w:r>
      <w:r w:rsidR="00E10821" w:rsidRPr="00E10821">
        <w:rPr>
          <w:lang w:val="en-AU"/>
        </w:rPr>
        <w:t xml:space="preserve">https://www.ahpra.gov.au/Notifications/How-we-manage-concerns/Possible-outcomes.aspx# </w:t>
      </w:r>
      <w:r w:rsidR="00E10821">
        <w:rPr>
          <w:lang w:val="en-AU"/>
        </w:rPr>
        <w:t>&gt;.</w:t>
      </w:r>
    </w:p>
  </w:footnote>
  <w:footnote w:id="105">
    <w:p w14:paraId="7239D640" w14:textId="10A6BC66" w:rsidR="005A2E6C" w:rsidRPr="007176F0" w:rsidRDefault="005A2E6C">
      <w:pPr>
        <w:pStyle w:val="FootnoteText"/>
        <w:rPr>
          <w:lang w:val="en-AU"/>
        </w:rPr>
      </w:pPr>
      <w:r>
        <w:rPr>
          <w:rStyle w:val="FootnoteReference"/>
        </w:rPr>
        <w:footnoteRef/>
      </w:r>
      <w:r>
        <w:t xml:space="preserve"> </w:t>
      </w:r>
      <w:r>
        <w:rPr>
          <w:lang w:val="en-AU"/>
        </w:rPr>
        <w:t>Ahpra</w:t>
      </w:r>
      <w:r w:rsidR="00623EA5">
        <w:rPr>
          <w:lang w:val="en-AU"/>
        </w:rPr>
        <w:t xml:space="preserve"> 2024, </w:t>
      </w:r>
      <w:r w:rsidR="00BA3A94" w:rsidRPr="0007458C">
        <w:rPr>
          <w:i/>
          <w:iCs/>
          <w:lang w:val="en-AU"/>
        </w:rPr>
        <w:t>New South Wales fees</w:t>
      </w:r>
      <w:r w:rsidR="00BA3A94">
        <w:rPr>
          <w:lang w:val="en-AU"/>
        </w:rPr>
        <w:t>, accessed from &lt;</w:t>
      </w:r>
      <w:r w:rsidR="009B4B4D" w:rsidRPr="009B4B4D">
        <w:t xml:space="preserve"> </w:t>
      </w:r>
      <w:r w:rsidR="009B4B4D" w:rsidRPr="009B4B4D">
        <w:rPr>
          <w:lang w:val="en-AU"/>
        </w:rPr>
        <w:t>https://www.ahpra.gov.au/About-Ahpra/What-We-Do/Who-we-work-with/New-South-Wales-fees.aspx</w:t>
      </w:r>
      <w:r w:rsidR="00BA3A94">
        <w:rPr>
          <w:lang w:val="en-AU"/>
        </w:rPr>
        <w:t>&gt;.</w:t>
      </w:r>
      <w:r w:rsidR="00623EA5">
        <w:rPr>
          <w:lang w:val="en-AU"/>
        </w:rPr>
        <w:t xml:space="preserve"> </w:t>
      </w:r>
    </w:p>
  </w:footnote>
  <w:footnote w:id="106">
    <w:p w14:paraId="3F09A899" w14:textId="0110D90F" w:rsidR="008E7B91" w:rsidRDefault="008E7B91" w:rsidP="008E7B91">
      <w:pPr>
        <w:pStyle w:val="FootnoteText"/>
      </w:pPr>
      <w:r>
        <w:rPr>
          <w:rStyle w:val="FootnoteReference"/>
        </w:rPr>
        <w:footnoteRef/>
      </w:r>
      <w:r>
        <w:t xml:space="preserve"> </w:t>
      </w:r>
      <w:r w:rsidR="005A2E6C">
        <w:t xml:space="preserve">Ahpra </w:t>
      </w:r>
      <w:r>
        <w:t xml:space="preserve">2023, </w:t>
      </w:r>
      <w:r w:rsidRPr="00514A9A">
        <w:rPr>
          <w:i/>
          <w:iCs/>
        </w:rPr>
        <w:t>What we do</w:t>
      </w:r>
      <w:r>
        <w:t>, accessed from &lt;</w:t>
      </w:r>
      <w:r w:rsidRPr="004734A5">
        <w:t>https://www.ahpra.gov.au/About-Ahpra/What-We-Do.aspx</w:t>
      </w:r>
      <w:r>
        <w:t>&gt;.</w:t>
      </w:r>
    </w:p>
  </w:footnote>
  <w:footnote w:id="107">
    <w:p w14:paraId="7095D4AA" w14:textId="7E63BB69" w:rsidR="008E7B91" w:rsidRDefault="008E7B91" w:rsidP="008E7B91">
      <w:pPr>
        <w:pStyle w:val="FootnoteText"/>
      </w:pPr>
      <w:r w:rsidRPr="00C22582">
        <w:rPr>
          <w:vertAlign w:val="superscript"/>
        </w:rPr>
        <w:footnoteRef/>
      </w:r>
      <w:r>
        <w:t xml:space="preserve"> </w:t>
      </w:r>
      <w:r w:rsidR="00EE124E">
        <w:t xml:space="preserve">Ahpra </w:t>
      </w:r>
      <w:r>
        <w:t xml:space="preserve">2023, </w:t>
      </w:r>
      <w:r w:rsidRPr="00396246">
        <w:rPr>
          <w:i/>
        </w:rPr>
        <w:t>Protections for notifiers</w:t>
      </w:r>
      <w:r>
        <w:t>, accessed from &lt;</w:t>
      </w:r>
      <w:r w:rsidRPr="00CC1807">
        <w:t>https://www.ahpra.gov.au/Resources/Cosmetic-surgery-hub/Information-for-practitioners/Protections-for-notifiers.aspx</w:t>
      </w:r>
      <w:r>
        <w:t>&gt;.</w:t>
      </w:r>
    </w:p>
  </w:footnote>
  <w:footnote w:id="108">
    <w:p w14:paraId="3F0C6ADB" w14:textId="5319965E" w:rsidR="008E7B91" w:rsidRDefault="008E7B91" w:rsidP="008E7B91">
      <w:pPr>
        <w:pStyle w:val="FootnoteText"/>
      </w:pPr>
      <w:r w:rsidRPr="00C22582">
        <w:rPr>
          <w:vertAlign w:val="superscript"/>
        </w:rPr>
        <w:footnoteRef/>
      </w:r>
      <w:r>
        <w:t xml:space="preserve"> </w:t>
      </w:r>
      <w:r w:rsidR="00EE124E">
        <w:t>Ahpra</w:t>
      </w:r>
      <w:r w:rsidR="00EE124E" w:rsidRPr="006D45F5">
        <w:t xml:space="preserve"> </w:t>
      </w:r>
      <w:r w:rsidRPr="006D45F5">
        <w:t xml:space="preserve">2023, </w:t>
      </w:r>
      <w:r w:rsidRPr="00472933">
        <w:rPr>
          <w:i/>
        </w:rPr>
        <w:t>Making a mandatory notification</w:t>
      </w:r>
      <w:r w:rsidRPr="006D45F5">
        <w:t>, accessed from &lt;</w:t>
      </w:r>
      <w:r w:rsidRPr="00B2496A">
        <w:t xml:space="preserve"> https://www.ahpra.gov.au/Notifications/mandatorynotifications/Mandatory-notifications.aspx#</w:t>
      </w:r>
      <w:r w:rsidRPr="006D45F5">
        <w:t>&gt;.</w:t>
      </w:r>
    </w:p>
  </w:footnote>
  <w:footnote w:id="109">
    <w:p w14:paraId="34E3F7F7" w14:textId="111A26A9" w:rsidR="006E1166" w:rsidRPr="007176F0" w:rsidRDefault="006E1166">
      <w:pPr>
        <w:pStyle w:val="FootnoteText"/>
        <w:rPr>
          <w:lang w:val="en-AU"/>
        </w:rPr>
      </w:pPr>
      <w:r>
        <w:rPr>
          <w:rStyle w:val="FootnoteReference"/>
        </w:rPr>
        <w:footnoteRef/>
      </w:r>
      <w:r>
        <w:t xml:space="preserve"> </w:t>
      </w:r>
      <w:r>
        <w:rPr>
          <w:lang w:val="en-AU"/>
        </w:rPr>
        <w:t>Additional examples include jurisdictional workplace compensation schem</w:t>
      </w:r>
      <w:r w:rsidR="00783897">
        <w:rPr>
          <w:lang w:val="en-AU"/>
        </w:rPr>
        <w:t>es for occupational</w:t>
      </w:r>
      <w:r w:rsidR="00244D63">
        <w:rPr>
          <w:lang w:val="en-AU"/>
        </w:rPr>
        <w:t xml:space="preserve"> noise-induced</w:t>
      </w:r>
      <w:r w:rsidR="00783897">
        <w:rPr>
          <w:lang w:val="en-AU"/>
        </w:rPr>
        <w:t xml:space="preserve"> hearing loss</w:t>
      </w:r>
      <w:r w:rsidR="00244D63">
        <w:rPr>
          <w:lang w:val="en-AU"/>
        </w:rPr>
        <w:t xml:space="preserve"> services</w:t>
      </w:r>
      <w:r w:rsidR="00783897">
        <w:rPr>
          <w:lang w:val="en-AU"/>
        </w:rPr>
        <w:t>.</w:t>
      </w:r>
    </w:p>
  </w:footnote>
  <w:footnote w:id="110">
    <w:p w14:paraId="79215A0B" w14:textId="295DCFE0" w:rsidR="00EE124E" w:rsidRPr="007176F0" w:rsidRDefault="00EE124E">
      <w:pPr>
        <w:pStyle w:val="FootnoteText"/>
        <w:rPr>
          <w:lang w:val="en-AU"/>
        </w:rPr>
      </w:pPr>
      <w:r>
        <w:rPr>
          <w:rStyle w:val="FootnoteReference"/>
        </w:rPr>
        <w:footnoteRef/>
      </w:r>
      <w:r w:rsidR="007F0AF3">
        <w:t xml:space="preserve"> Australian Government Department of Health and Aged Care</w:t>
      </w:r>
      <w:r w:rsidR="0062327C">
        <w:t xml:space="preserve"> 2024, </w:t>
      </w:r>
      <w:r w:rsidR="0062327C" w:rsidRPr="00D32116">
        <w:rPr>
          <w:i/>
          <w:iCs/>
        </w:rPr>
        <w:t>Annual Report FY2023-24</w:t>
      </w:r>
      <w:r w:rsidR="0062327C">
        <w:t>, accessed from &lt;</w:t>
      </w:r>
      <w:r w:rsidR="0062327C" w:rsidRPr="0062327C">
        <w:t>https://www.health.gov.au/sites/default/files/2024-10/department-of-health-and-aged-care-annual-report-2023-24.pdf</w:t>
      </w:r>
      <w:r w:rsidR="0062327C">
        <w:t>&gt;.</w:t>
      </w:r>
    </w:p>
  </w:footnote>
  <w:footnote w:id="111">
    <w:p w14:paraId="15BE98AF" w14:textId="4535E18E" w:rsidR="00603418" w:rsidRPr="00656BCC" w:rsidRDefault="00603418" w:rsidP="00603418">
      <w:pPr>
        <w:pStyle w:val="FootnoteText"/>
        <w:rPr>
          <w:lang w:val="en-AU"/>
        </w:rPr>
      </w:pPr>
      <w:r>
        <w:rPr>
          <w:rStyle w:val="FootnoteReference"/>
        </w:rPr>
        <w:footnoteRef/>
      </w:r>
      <w:r>
        <w:t xml:space="preserve"> </w:t>
      </w:r>
      <w:r>
        <w:rPr>
          <w:lang w:val="en-AU"/>
        </w:rPr>
        <w:t>Australian Government Department of Health and Aged Care</w:t>
      </w:r>
      <w:r w:rsidR="004F02B1">
        <w:rPr>
          <w:lang w:val="en-AU"/>
        </w:rPr>
        <w:t xml:space="preserve"> 2024</w:t>
      </w:r>
      <w:r>
        <w:rPr>
          <w:lang w:val="en-AU"/>
        </w:rPr>
        <w:t xml:space="preserve">, </w:t>
      </w:r>
      <w:r w:rsidRPr="007B2452">
        <w:rPr>
          <w:i/>
          <w:iCs/>
          <w:lang w:val="en-AU"/>
        </w:rPr>
        <w:t>Hearing Services Program</w:t>
      </w:r>
      <w:r w:rsidR="002E6541">
        <w:rPr>
          <w:i/>
          <w:iCs/>
          <w:lang w:val="en-AU"/>
        </w:rPr>
        <w:t xml:space="preserve"> Statistics – June 2024</w:t>
      </w:r>
      <w:r>
        <w:rPr>
          <w:lang w:val="en-AU"/>
        </w:rPr>
        <w:t>, accessed from &lt;</w:t>
      </w:r>
      <w:r w:rsidRPr="007B2452">
        <w:t xml:space="preserve"> </w:t>
      </w:r>
      <w:r w:rsidR="002E6541" w:rsidRPr="002E6541">
        <w:rPr>
          <w:lang w:val="en-AU"/>
        </w:rPr>
        <w:t>https://www.health.gov.au/sites/default/files/2024-07/hearing-services-program-statistics-year-to-date-2023-24-to-30-june-2024_0.pdf</w:t>
      </w:r>
      <w:r>
        <w:rPr>
          <w:lang w:val="en-AU"/>
        </w:rPr>
        <w:t>&gt;.</w:t>
      </w:r>
    </w:p>
  </w:footnote>
  <w:footnote w:id="112">
    <w:p w14:paraId="25EBCA2D" w14:textId="635B886A" w:rsidR="00772184" w:rsidRPr="007176F0" w:rsidRDefault="00772184">
      <w:pPr>
        <w:pStyle w:val="FootnoteText"/>
        <w:rPr>
          <w:lang w:val="en-AU"/>
        </w:rPr>
      </w:pPr>
      <w:r>
        <w:rPr>
          <w:rStyle w:val="FootnoteReference"/>
        </w:rPr>
        <w:footnoteRef/>
      </w:r>
      <w:r>
        <w:t xml:space="preserve"> </w:t>
      </w:r>
      <w:r>
        <w:rPr>
          <w:lang w:val="en-AU"/>
        </w:rPr>
        <w:t xml:space="preserve">Please refer to </w:t>
      </w:r>
      <w:r w:rsidR="00BA3ACE" w:rsidRPr="0024706B">
        <w:rPr>
          <w:i/>
          <w:iCs/>
        </w:rPr>
        <w:t>Hearing Services Program (Voucher) Instrument 2019</w:t>
      </w:r>
      <w:r w:rsidR="00BA3ACE">
        <w:rPr>
          <w:i/>
          <w:iCs/>
        </w:rPr>
        <w:t xml:space="preserve"> </w:t>
      </w:r>
      <w:r w:rsidR="00BA3ACE">
        <w:t xml:space="preserve">and associated program materials </w:t>
      </w:r>
      <w:r w:rsidR="001D2761">
        <w:t xml:space="preserve">for a full description of patient eligibility and </w:t>
      </w:r>
      <w:r w:rsidR="002D1C14">
        <w:t>Program processes and fees.</w:t>
      </w:r>
    </w:p>
  </w:footnote>
  <w:footnote w:id="113">
    <w:p w14:paraId="721A1E3D" w14:textId="517EE148" w:rsidR="007E5E77" w:rsidRPr="007176F0" w:rsidRDefault="007E5E77">
      <w:pPr>
        <w:pStyle w:val="FootnoteText"/>
        <w:rPr>
          <w:lang w:val="en-AU"/>
        </w:rPr>
      </w:pPr>
      <w:r>
        <w:rPr>
          <w:rStyle w:val="FootnoteReference"/>
        </w:rPr>
        <w:footnoteRef/>
      </w:r>
      <w:r w:rsidR="007C205B">
        <w:t>Australian Government Department of Health and Aged Care</w:t>
      </w:r>
      <w:r w:rsidR="00040A41">
        <w:t xml:space="preserve"> 2024</w:t>
      </w:r>
      <w:r w:rsidR="007C205B">
        <w:t xml:space="preserve">, </w:t>
      </w:r>
      <w:r w:rsidR="007C205B" w:rsidRPr="007176F0">
        <w:rPr>
          <w:i/>
          <w:iCs/>
        </w:rPr>
        <w:t>Eligibility for the Hearing Services Program</w:t>
      </w:r>
      <w:r w:rsidR="007C205B">
        <w:t>, &lt;</w:t>
      </w:r>
      <w:r>
        <w:t xml:space="preserve"> </w:t>
      </w:r>
      <w:r w:rsidR="007C205B" w:rsidRPr="007C205B">
        <w:t>https://www.health.gov.au/our-work/hearing-services-program/accessing/eligibility</w:t>
      </w:r>
      <w:r w:rsidR="007C205B">
        <w:t>&gt;.</w:t>
      </w:r>
    </w:p>
  </w:footnote>
  <w:footnote w:id="114">
    <w:p w14:paraId="0BC485CF" w14:textId="52C5BF90" w:rsidR="00C759C5" w:rsidRPr="007176F0" w:rsidRDefault="00C759C5">
      <w:pPr>
        <w:pStyle w:val="FootnoteText"/>
        <w:rPr>
          <w:lang w:val="en-AU"/>
        </w:rPr>
      </w:pPr>
      <w:r>
        <w:rPr>
          <w:rStyle w:val="FootnoteReference"/>
        </w:rPr>
        <w:footnoteRef/>
      </w:r>
      <w:r>
        <w:t xml:space="preserve"> Australian Government 2021, </w:t>
      </w:r>
      <w:r w:rsidRPr="00017ECB">
        <w:rPr>
          <w:i/>
        </w:rPr>
        <w:t>Federal Register of Legislation – Hearing Services Program (Voucher) Instrument 2019</w:t>
      </w:r>
      <w:r>
        <w:t>, accessed from &lt;</w:t>
      </w:r>
      <w:r w:rsidRPr="002468EE">
        <w:t xml:space="preserve"> https://www.legislation.gov.au/F2019L00969/latest/text</w:t>
      </w:r>
      <w:r>
        <w:t>&gt;.</w:t>
      </w:r>
    </w:p>
  </w:footnote>
  <w:footnote w:id="115">
    <w:p w14:paraId="1EC14AA5" w14:textId="16888422" w:rsidR="00544503" w:rsidRPr="007176F0" w:rsidRDefault="00544503">
      <w:pPr>
        <w:pStyle w:val="FootnoteText"/>
        <w:rPr>
          <w:lang w:val="en-AU"/>
        </w:rPr>
      </w:pPr>
      <w:r>
        <w:rPr>
          <w:rStyle w:val="FootnoteReference"/>
        </w:rPr>
        <w:footnoteRef/>
      </w:r>
      <w:r>
        <w:t xml:space="preserve"> </w:t>
      </w:r>
      <w:bookmarkStart w:id="78" w:name="_Hlk196759526"/>
      <w:r w:rsidR="005D3F38" w:rsidRPr="007A0D01">
        <w:t xml:space="preserve">Woods and Burgess 2021, </w:t>
      </w:r>
      <w:r w:rsidR="005D3F38" w:rsidRPr="00852E36">
        <w:rPr>
          <w:i/>
          <w:iCs/>
        </w:rPr>
        <w:t>Report of the Independent Review of the Hearing Services Program</w:t>
      </w:r>
      <w:r w:rsidR="005D3F38">
        <w:t xml:space="preserve">, </w:t>
      </w:r>
      <w:r w:rsidR="005D3F38" w:rsidRPr="007A0D01">
        <w:t>accessed from &lt; https://www.health.gov.au/sites/default/files/documents/2021/09/report-of-the-independent-review-of-the-hearing-services-program-report.pdf&gt;</w:t>
      </w:r>
      <w:bookmarkEnd w:id="78"/>
    </w:p>
  </w:footnote>
  <w:footnote w:id="116">
    <w:p w14:paraId="1FE1D4BD" w14:textId="7A635EA0" w:rsidR="00747FBD" w:rsidRPr="007176F0" w:rsidRDefault="00747FBD">
      <w:pPr>
        <w:pStyle w:val="FootnoteText"/>
        <w:rPr>
          <w:lang w:val="en-AU"/>
        </w:rPr>
      </w:pPr>
      <w:r>
        <w:rPr>
          <w:rStyle w:val="FootnoteReference"/>
        </w:rPr>
        <w:footnoteRef/>
      </w:r>
      <w:r>
        <w:t xml:space="preserve"> </w:t>
      </w:r>
      <w:r w:rsidR="00D57EFA">
        <w:rPr>
          <w:lang w:val="en-AU"/>
        </w:rPr>
        <w:t xml:space="preserve">Hearing Australia </w:t>
      </w:r>
      <w:r w:rsidR="00CF6FB3">
        <w:rPr>
          <w:lang w:val="en-AU"/>
        </w:rPr>
        <w:t xml:space="preserve">2025, </w:t>
      </w:r>
      <w:r w:rsidR="00CF6FB3" w:rsidRPr="007176F0">
        <w:rPr>
          <w:i/>
          <w:iCs/>
          <w:lang w:val="en-AU"/>
        </w:rPr>
        <w:t>Our Services to You</w:t>
      </w:r>
      <w:r w:rsidR="00CF6FB3">
        <w:rPr>
          <w:lang w:val="en-AU"/>
        </w:rPr>
        <w:t>, accessed from &lt;</w:t>
      </w:r>
      <w:r w:rsidR="00262814" w:rsidRPr="00262814">
        <w:t xml:space="preserve"> </w:t>
      </w:r>
      <w:r w:rsidR="00262814" w:rsidRPr="00262814">
        <w:rPr>
          <w:lang w:val="en-AU"/>
        </w:rPr>
        <w:t>https://www.hearing.com.au/adult-hearing-services/our-services-to-you/</w:t>
      </w:r>
      <w:r w:rsidR="00CF6FB3">
        <w:rPr>
          <w:lang w:val="en-AU"/>
        </w:rPr>
        <w:t>&gt;.</w:t>
      </w:r>
    </w:p>
  </w:footnote>
  <w:footnote w:id="117">
    <w:p w14:paraId="5A12E1E0" w14:textId="77777777" w:rsidR="008A4DA6" w:rsidRDefault="008A4DA6" w:rsidP="008A4DA6">
      <w:pPr>
        <w:pStyle w:val="FootnoteText"/>
      </w:pPr>
      <w:r>
        <w:rPr>
          <w:rStyle w:val="FootnoteReference"/>
        </w:rPr>
        <w:footnoteRef/>
      </w:r>
      <w:r>
        <w:t xml:space="preserve"> Australian Government Department of Health and Aged Care 2024, </w:t>
      </w:r>
      <w:r w:rsidRPr="00017ECB">
        <w:rPr>
          <w:i/>
        </w:rPr>
        <w:t>Hearing Services Program practitioner requirements</w:t>
      </w:r>
      <w:r>
        <w:t>, accessed from &lt;</w:t>
      </w:r>
      <w:r w:rsidRPr="00613A4B">
        <w:t xml:space="preserve"> https://www.health.gov.au/our-work/hearing-services-program/providing-services/practitioner-requirements#approved-membership-categories</w:t>
      </w:r>
      <w:r>
        <w:t>&gt;.</w:t>
      </w:r>
    </w:p>
  </w:footnote>
  <w:footnote w:id="118">
    <w:p w14:paraId="30D29313" w14:textId="2B050FCD" w:rsidR="00496859" w:rsidRPr="007176F0" w:rsidRDefault="00496859">
      <w:pPr>
        <w:pStyle w:val="FootnoteText"/>
        <w:rPr>
          <w:lang w:val="en-AU"/>
        </w:rPr>
      </w:pPr>
      <w:r>
        <w:rPr>
          <w:rStyle w:val="FootnoteReference"/>
        </w:rPr>
        <w:footnoteRef/>
      </w:r>
      <w:r>
        <w:t xml:space="preserve"> </w:t>
      </w:r>
      <w:r w:rsidR="00AF5227">
        <w:t xml:space="preserve">Australian Government Department of Health and Aged Care 2024, </w:t>
      </w:r>
      <w:r w:rsidR="00AF5227">
        <w:rPr>
          <w:i/>
        </w:rPr>
        <w:t>MBS Online Medicare Benefits Schedule.</w:t>
      </w:r>
    </w:p>
  </w:footnote>
  <w:footnote w:id="119">
    <w:p w14:paraId="3AFB9CBA" w14:textId="77777777" w:rsidR="008A4DA6" w:rsidRDefault="008A4DA6" w:rsidP="008A4DA6">
      <w:pPr>
        <w:pStyle w:val="FootnoteText"/>
      </w:pPr>
      <w:r>
        <w:rPr>
          <w:rStyle w:val="FootnoteReference"/>
        </w:rPr>
        <w:footnoteRef/>
      </w:r>
      <w:r>
        <w:t xml:space="preserve"> Services Australia 2024, </w:t>
      </w:r>
      <w:r w:rsidRPr="00017ECB">
        <w:rPr>
          <w:i/>
        </w:rPr>
        <w:t>Diagnostic audiology items</w:t>
      </w:r>
      <w:r>
        <w:t>, accessed from &lt;</w:t>
      </w:r>
      <w:r w:rsidRPr="003F3EE5">
        <w:t>https://www.servicesaustralia.gov.au/diagnostic-audiology-items</w:t>
      </w:r>
      <w:r>
        <w:t>&gt;.</w:t>
      </w:r>
    </w:p>
  </w:footnote>
  <w:footnote w:id="120">
    <w:p w14:paraId="414280A1" w14:textId="686B0479" w:rsidR="00763039" w:rsidRPr="007176F0" w:rsidRDefault="00763039">
      <w:pPr>
        <w:pStyle w:val="FootnoteText"/>
        <w:rPr>
          <w:lang w:val="en-AU"/>
        </w:rPr>
      </w:pPr>
      <w:r>
        <w:rPr>
          <w:rStyle w:val="FootnoteReference"/>
        </w:rPr>
        <w:footnoteRef/>
      </w:r>
      <w:r>
        <w:t xml:space="preserve"> </w:t>
      </w:r>
      <w:r>
        <w:rPr>
          <w:lang w:val="en-AU"/>
        </w:rPr>
        <w:t xml:space="preserve">AIHW 2024, </w:t>
      </w:r>
      <w:r w:rsidR="00C6107A" w:rsidRPr="008F158E">
        <w:rPr>
          <w:i/>
          <w:iCs/>
          <w:lang w:val="en-AU"/>
        </w:rPr>
        <w:t>Ear and hearing health of Aboriginal and Torres Strait Islander people 2024</w:t>
      </w:r>
      <w:r w:rsidR="00C6107A">
        <w:rPr>
          <w:lang w:val="en-AU"/>
        </w:rPr>
        <w:t>, accessed from &lt;</w:t>
      </w:r>
      <w:r w:rsidR="00C6107A" w:rsidRPr="00C6107A">
        <w:t xml:space="preserve"> </w:t>
      </w:r>
      <w:r w:rsidR="00C6107A" w:rsidRPr="00C6107A">
        <w:rPr>
          <w:lang w:val="en-AU"/>
        </w:rPr>
        <w:t>https://www.aihw.gov.au/reports/indigenous-australians/ear-hearing-health-indigenous/contents/screening-and-diagnosis/health-checks-for-first-nations-people</w:t>
      </w:r>
      <w:r w:rsidR="00C6107A">
        <w:rPr>
          <w:lang w:val="en-AU"/>
        </w:rPr>
        <w:t>&gt;.</w:t>
      </w:r>
    </w:p>
  </w:footnote>
  <w:footnote w:id="121">
    <w:p w14:paraId="2E4735EC" w14:textId="618FE645" w:rsidR="006A5D01" w:rsidRPr="007176F0" w:rsidRDefault="006A5D01">
      <w:pPr>
        <w:pStyle w:val="FootnoteText"/>
        <w:rPr>
          <w:lang w:val="en-AU"/>
        </w:rPr>
      </w:pPr>
      <w:r>
        <w:rPr>
          <w:rStyle w:val="FootnoteReference"/>
        </w:rPr>
        <w:footnoteRef/>
      </w:r>
      <w:r>
        <w:t xml:space="preserve"> </w:t>
      </w:r>
      <w:r w:rsidR="00A97DBF">
        <w:t xml:space="preserve">Australian Government Department of Health and Aged Care 2022, </w:t>
      </w:r>
      <w:r w:rsidR="00560391">
        <w:rPr>
          <w:i/>
        </w:rPr>
        <w:t>Annual health checks for Aboriginal and Torres Strait Islander people</w:t>
      </w:r>
      <w:r w:rsidR="00A97DBF">
        <w:t>, accessed from &lt;</w:t>
      </w:r>
      <w:r w:rsidR="00A97DBF" w:rsidRPr="00613A4B">
        <w:t xml:space="preserve"> </w:t>
      </w:r>
      <w:r w:rsidR="00560391" w:rsidRPr="00560391">
        <w:t>https://www.health.gov.au/topics/aboriginal-and-torres-strait-islander-health/primary-care/annual-health-checks</w:t>
      </w:r>
      <w:r w:rsidR="00A97DBF">
        <w:t>&gt;.</w:t>
      </w:r>
    </w:p>
  </w:footnote>
  <w:footnote w:id="122">
    <w:p w14:paraId="586B1734" w14:textId="505899FD" w:rsidR="006A5FC2" w:rsidRPr="007176F0" w:rsidRDefault="006A5FC2">
      <w:pPr>
        <w:pStyle w:val="FootnoteText"/>
        <w:rPr>
          <w:lang w:val="en-AU"/>
        </w:rPr>
      </w:pPr>
      <w:r>
        <w:rPr>
          <w:rStyle w:val="FootnoteReference"/>
        </w:rPr>
        <w:footnoteRef/>
      </w:r>
      <w:r>
        <w:t xml:space="preserve"> </w:t>
      </w:r>
      <w:r w:rsidR="00B25BAC">
        <w:rPr>
          <w:lang w:val="en-AU"/>
        </w:rPr>
        <w:t xml:space="preserve">NDIS 2025, </w:t>
      </w:r>
      <w:r w:rsidR="00B25BAC" w:rsidRPr="007176F0">
        <w:rPr>
          <w:i/>
          <w:iCs/>
          <w:lang w:val="en-AU"/>
        </w:rPr>
        <w:t>Hearing supports</w:t>
      </w:r>
      <w:r w:rsidR="00B25BAC">
        <w:rPr>
          <w:lang w:val="en-AU"/>
        </w:rPr>
        <w:t>, accessed from &lt;</w:t>
      </w:r>
      <w:r w:rsidR="00B25BAC" w:rsidRPr="00B25BAC">
        <w:t xml:space="preserve"> </w:t>
      </w:r>
      <w:r w:rsidR="00B25BAC" w:rsidRPr="00B25BAC">
        <w:rPr>
          <w:lang w:val="en-AU"/>
        </w:rPr>
        <w:t xml:space="preserve">https://www.ndis.gov.au/print/pdf/node/336 </w:t>
      </w:r>
      <w:r w:rsidR="00B25BAC">
        <w:rPr>
          <w:lang w:val="en-AU"/>
        </w:rPr>
        <w:t>&gt;.</w:t>
      </w:r>
    </w:p>
  </w:footnote>
  <w:footnote w:id="123">
    <w:p w14:paraId="273F4D7D" w14:textId="15A0391F" w:rsidR="00623C05" w:rsidRPr="007176F0" w:rsidRDefault="00623C05">
      <w:pPr>
        <w:pStyle w:val="FootnoteText"/>
        <w:rPr>
          <w:lang w:val="en-AU"/>
        </w:rPr>
      </w:pPr>
      <w:r>
        <w:rPr>
          <w:rStyle w:val="FootnoteReference"/>
        </w:rPr>
        <w:footnoteRef/>
      </w:r>
      <w:r>
        <w:t xml:space="preserve"> </w:t>
      </w:r>
      <w:r>
        <w:rPr>
          <w:lang w:val="en-AU"/>
        </w:rPr>
        <w:t xml:space="preserve">NDIS 2025, </w:t>
      </w:r>
      <w:r w:rsidR="00463FF9" w:rsidRPr="007176F0">
        <w:rPr>
          <w:i/>
          <w:iCs/>
          <w:lang w:val="en-AU"/>
        </w:rPr>
        <w:t>Provider FAQs: Hearing Supports</w:t>
      </w:r>
      <w:r w:rsidR="00463FF9">
        <w:rPr>
          <w:lang w:val="en-AU"/>
        </w:rPr>
        <w:t>, accessed from &lt;</w:t>
      </w:r>
      <w:r w:rsidR="00463FF9" w:rsidRPr="00463FF9">
        <w:t xml:space="preserve"> </w:t>
      </w:r>
      <w:r w:rsidR="00463FF9" w:rsidRPr="00463FF9">
        <w:rPr>
          <w:lang w:val="en-AU"/>
        </w:rPr>
        <w:t xml:space="preserve">https://www.ndis.gov.au/understanding/ndis-and-other-government-services/hearing-supports </w:t>
      </w:r>
      <w:r w:rsidR="00463FF9">
        <w:rPr>
          <w:lang w:val="en-AU"/>
        </w:rPr>
        <w:t>&gt;.</w:t>
      </w:r>
    </w:p>
  </w:footnote>
  <w:footnote w:id="124">
    <w:p w14:paraId="2757CB9A" w14:textId="77777777" w:rsidR="00CA5E3B" w:rsidRPr="00DA7FE9" w:rsidRDefault="00CA5E3B" w:rsidP="00CA5E3B">
      <w:pPr>
        <w:pStyle w:val="FootnoteText"/>
        <w:rPr>
          <w:lang w:val="en-AU"/>
        </w:rPr>
      </w:pPr>
      <w:r>
        <w:rPr>
          <w:rStyle w:val="FootnoteReference"/>
        </w:rPr>
        <w:footnoteRef/>
      </w:r>
      <w:r>
        <w:t xml:space="preserve"> </w:t>
      </w:r>
      <w:r>
        <w:rPr>
          <w:lang w:val="en-AU"/>
        </w:rPr>
        <w:t xml:space="preserve">Hearing Australia 2024, </w:t>
      </w:r>
      <w:r w:rsidRPr="008F158E">
        <w:rPr>
          <w:i/>
          <w:iCs/>
          <w:lang w:val="en-AU"/>
        </w:rPr>
        <w:t>Hearing Australia Annual Report 2023-24</w:t>
      </w:r>
      <w:r>
        <w:rPr>
          <w:lang w:val="en-AU"/>
        </w:rPr>
        <w:t>, accessed from Hearing Australia website.</w:t>
      </w:r>
    </w:p>
  </w:footnote>
  <w:footnote w:id="125">
    <w:p w14:paraId="679EEA08" w14:textId="23E55271" w:rsidR="002B5C31" w:rsidRPr="007176F0" w:rsidRDefault="002B5C31">
      <w:pPr>
        <w:pStyle w:val="FootnoteText"/>
        <w:rPr>
          <w:lang w:val="en-AU"/>
        </w:rPr>
      </w:pPr>
      <w:r>
        <w:rPr>
          <w:rStyle w:val="FootnoteReference"/>
        </w:rPr>
        <w:footnoteRef/>
      </w:r>
      <w:r>
        <w:t xml:space="preserve"> </w:t>
      </w:r>
      <w:r w:rsidR="00E40962">
        <w:rPr>
          <w:lang w:val="en-AU"/>
        </w:rPr>
        <w:t>AIHW 2024, Ear and hearing health of Aboriginal and Torres Strait Islander people 2024, accessed from &lt;</w:t>
      </w:r>
      <w:r w:rsidR="00E40962" w:rsidRPr="00C6107A">
        <w:t xml:space="preserve"> </w:t>
      </w:r>
      <w:r w:rsidR="00E40962" w:rsidRPr="00C6107A">
        <w:rPr>
          <w:lang w:val="en-AU"/>
        </w:rPr>
        <w:t>https://www.aihw.gov.au/reports/indigenous-australians/ear-hearing-health-indigenous/contents/screening-and-diagnosis/health-checks-for-first-nations-people</w:t>
      </w:r>
      <w:r w:rsidR="00E40962">
        <w:rPr>
          <w:lang w:val="en-AU"/>
        </w:rPr>
        <w:t>&gt;.</w:t>
      </w:r>
    </w:p>
  </w:footnote>
  <w:footnote w:id="126">
    <w:p w14:paraId="1985F9A7" w14:textId="52EAB92E" w:rsidR="007B1159" w:rsidRPr="007176F0" w:rsidRDefault="007B1159">
      <w:pPr>
        <w:pStyle w:val="FootnoteText"/>
        <w:rPr>
          <w:lang w:val="en-AU"/>
        </w:rPr>
      </w:pPr>
      <w:r>
        <w:rPr>
          <w:rStyle w:val="FootnoteReference"/>
        </w:rPr>
        <w:footnoteRef/>
      </w:r>
      <w:r>
        <w:t xml:space="preserve"> </w:t>
      </w:r>
      <w:r w:rsidR="006D4F5F">
        <w:rPr>
          <w:lang w:val="en-AU"/>
        </w:rPr>
        <w:t xml:space="preserve">Australian Government Department of Health and Aged Care 2013, </w:t>
      </w:r>
      <w:r w:rsidR="006D4F5F" w:rsidRPr="007176F0">
        <w:rPr>
          <w:i/>
          <w:iCs/>
          <w:lang w:val="en-AU"/>
        </w:rPr>
        <w:t>Healthy Ears – Better Hearing, Better Listening Service Delivery Standards</w:t>
      </w:r>
      <w:r w:rsidR="006D4F5F">
        <w:rPr>
          <w:lang w:val="en-AU"/>
        </w:rPr>
        <w:t>, accessed from &lt;</w:t>
      </w:r>
      <w:r w:rsidR="00C32A06" w:rsidRPr="00C32A06">
        <w:t xml:space="preserve"> </w:t>
      </w:r>
      <w:r w:rsidR="00C32A06" w:rsidRPr="00C32A06">
        <w:rPr>
          <w:lang w:val="en-AU"/>
        </w:rPr>
        <w:t>https://www.rwav.com.au/wp-content/uploads/Healthy-Ears-Delivery-Standards.pdf</w:t>
      </w:r>
      <w:r w:rsidR="006D4F5F">
        <w:rPr>
          <w:lang w:val="en-AU"/>
        </w:rPr>
        <w:t>&gt;.</w:t>
      </w:r>
    </w:p>
  </w:footnote>
  <w:footnote w:id="127">
    <w:p w14:paraId="5A6C1904" w14:textId="77777777" w:rsidR="008E7B91" w:rsidRDefault="008E7B91" w:rsidP="008E7B91">
      <w:pPr>
        <w:pStyle w:val="FootnoteText"/>
      </w:pPr>
      <w:r>
        <w:rPr>
          <w:rStyle w:val="FootnoteReference"/>
        </w:rPr>
        <w:footnoteRef/>
      </w:r>
      <w:r>
        <w:t xml:space="preserve"> Australian Health Ministers’ Advisory Council, </w:t>
      </w:r>
      <w:r w:rsidRPr="007609DD">
        <w:rPr>
          <w:i/>
          <w:iCs/>
        </w:rPr>
        <w:t>Final report: Options for regulati</w:t>
      </w:r>
      <w:r>
        <w:rPr>
          <w:i/>
          <w:iCs/>
        </w:rPr>
        <w:t>o</w:t>
      </w:r>
      <w:r w:rsidRPr="007609DD">
        <w:rPr>
          <w:i/>
          <w:iCs/>
        </w:rPr>
        <w:t>n of paramedics</w:t>
      </w:r>
      <w:r>
        <w:t>, p110.</w:t>
      </w:r>
    </w:p>
  </w:footnote>
  <w:footnote w:id="128">
    <w:p w14:paraId="3DBEF3FD" w14:textId="645788EF" w:rsidR="00507F66" w:rsidRPr="00507F66" w:rsidRDefault="00507F66">
      <w:pPr>
        <w:pStyle w:val="FootnoteText"/>
        <w:rPr>
          <w:lang w:val="en-AU"/>
        </w:rPr>
      </w:pPr>
      <w:r>
        <w:rPr>
          <w:rStyle w:val="FootnoteReference"/>
        </w:rPr>
        <w:footnoteRef/>
      </w:r>
      <w:r>
        <w:t xml:space="preserve"> </w:t>
      </w:r>
      <w:r w:rsidR="00032E50">
        <w:rPr>
          <w:lang w:val="en-AU"/>
        </w:rPr>
        <w:t>Speech Pathology Australia 2024</w:t>
      </w:r>
      <w:r w:rsidR="00CD5170">
        <w:rPr>
          <w:lang w:val="en-AU"/>
        </w:rPr>
        <w:t xml:space="preserve">, </w:t>
      </w:r>
      <w:r w:rsidR="003E38E8" w:rsidRPr="0007458C">
        <w:rPr>
          <w:i/>
          <w:iCs/>
          <w:lang w:val="en-AU"/>
        </w:rPr>
        <w:t>Certification Program</w:t>
      </w:r>
      <w:r w:rsidR="00CD5170">
        <w:rPr>
          <w:lang w:val="en-AU"/>
        </w:rPr>
        <w:t>, accessed from &lt;</w:t>
      </w:r>
      <w:r w:rsidR="003E38E8" w:rsidRPr="003E38E8">
        <w:t xml:space="preserve"> </w:t>
      </w:r>
      <w:r w:rsidR="003E38E8" w:rsidRPr="003E38E8">
        <w:rPr>
          <w:lang w:val="en-AU"/>
        </w:rPr>
        <w:t>https://www.speechpathologyaustralia.org.au/Public/Public/Become/Certification-Program/Certification-program.aspx</w:t>
      </w:r>
      <w:r w:rsidR="00CD5170">
        <w:rPr>
          <w:lang w:val="en-AU"/>
        </w:rPr>
        <w:t>&gt;.</w:t>
      </w:r>
    </w:p>
  </w:footnote>
  <w:footnote w:id="129">
    <w:p w14:paraId="5B5AAF07" w14:textId="77777777" w:rsidR="00E73060" w:rsidRDefault="00E73060" w:rsidP="00E73060">
      <w:pPr>
        <w:pStyle w:val="FootnoteText"/>
      </w:pPr>
      <w:r>
        <w:rPr>
          <w:rStyle w:val="FootnoteReference"/>
        </w:rPr>
        <w:footnoteRef/>
      </w:r>
      <w:r>
        <w:t xml:space="preserve"> </w:t>
      </w:r>
      <w:r w:rsidRPr="00746C9C">
        <w:t xml:space="preserve">Manatu Hauora Ministry of Health, </w:t>
      </w:r>
      <w:r w:rsidRPr="00E56A29">
        <w:rPr>
          <w:i/>
          <w:iCs/>
        </w:rPr>
        <w:t>Allied Health</w:t>
      </w:r>
      <w:r w:rsidRPr="00746C9C">
        <w:t xml:space="preserve">, </w:t>
      </w:r>
      <w:r>
        <w:t>&lt;</w:t>
      </w:r>
      <w:r w:rsidRPr="00E56A29">
        <w:t>https://www.health.govt.nz/about-ministry/leadership-ministry/allied-health</w:t>
      </w:r>
      <w:r>
        <w:t>&gt;.</w:t>
      </w:r>
    </w:p>
  </w:footnote>
  <w:footnote w:id="130">
    <w:p w14:paraId="40F9794F" w14:textId="23C6429C" w:rsidR="00E73060" w:rsidRPr="002F28A0" w:rsidRDefault="00E73060" w:rsidP="00E73060">
      <w:pPr>
        <w:pStyle w:val="FootnoteText"/>
        <w:rPr>
          <w:sz w:val="18"/>
          <w:szCs w:val="18"/>
        </w:rPr>
      </w:pPr>
      <w:r w:rsidRPr="00D84542">
        <w:rPr>
          <w:vertAlign w:val="superscript"/>
        </w:rPr>
        <w:footnoteRef/>
      </w:r>
      <w:r w:rsidRPr="00746C9C">
        <w:t xml:space="preserve"> New Zealand Audiological Society</w:t>
      </w:r>
      <w:r>
        <w:t xml:space="preserve"> 2024</w:t>
      </w:r>
      <w:r w:rsidRPr="00746C9C">
        <w:t>,</w:t>
      </w:r>
      <w:r w:rsidR="007C7D7B">
        <w:t xml:space="preserve"> </w:t>
      </w:r>
      <w:r>
        <w:t>accessed from</w:t>
      </w:r>
      <w:r w:rsidRPr="00746C9C">
        <w:t xml:space="preserve"> </w:t>
      </w:r>
      <w:r>
        <w:t>&lt;</w:t>
      </w:r>
      <w:r w:rsidRPr="00D01B82">
        <w:t>https://audiology.org.nz/</w:t>
      </w:r>
      <w:r>
        <w:t>&gt;.</w:t>
      </w:r>
    </w:p>
  </w:footnote>
  <w:footnote w:id="131">
    <w:p w14:paraId="3DAFA4CA" w14:textId="17AA76D5" w:rsidR="00E73060" w:rsidRDefault="00E73060" w:rsidP="00E73060">
      <w:pPr>
        <w:pStyle w:val="FootnoteText"/>
      </w:pPr>
      <w:r>
        <w:rPr>
          <w:rStyle w:val="FootnoteReference"/>
        </w:rPr>
        <w:footnoteRef/>
      </w:r>
      <w:r>
        <w:t xml:space="preserve"> New Zealand Ministry of Health, ‘Guide to Getting Hearing Aids: Hearing Aid Funding Scheme, accessed from &lt;</w:t>
      </w:r>
      <w:r w:rsidRPr="00EE1D2F">
        <w:t>https://www.health.govt.nz/publication/guide-getting-hearing-aids-hearing-aid-funding-scheme</w:t>
      </w:r>
      <w:r w:rsidR="00BD77BD">
        <w:t>&gt;.</w:t>
      </w:r>
    </w:p>
  </w:footnote>
  <w:footnote w:id="132">
    <w:p w14:paraId="1651B21A" w14:textId="77777777" w:rsidR="00E73060" w:rsidRDefault="00E73060" w:rsidP="00E73060">
      <w:pPr>
        <w:pStyle w:val="FootnoteText"/>
      </w:pPr>
      <w:r>
        <w:rPr>
          <w:rStyle w:val="FootnoteReference"/>
        </w:rPr>
        <w:footnoteRef/>
      </w:r>
      <w:r>
        <w:t xml:space="preserve"> New Zealand Speech-language Therapists’ Association 2024, </w:t>
      </w:r>
      <w:r w:rsidRPr="00D01B82">
        <w:rPr>
          <w:i/>
        </w:rPr>
        <w:t>Self-regulation</w:t>
      </w:r>
      <w:r>
        <w:t>, accessed from &lt;</w:t>
      </w:r>
      <w:r w:rsidRPr="00B226C4">
        <w:t>https://speechtherapy.org.nz/what-do-we-do/self-regulation</w:t>
      </w:r>
      <w:r>
        <w:t>&gt;.</w:t>
      </w:r>
    </w:p>
  </w:footnote>
  <w:footnote w:id="133">
    <w:p w14:paraId="572A4551" w14:textId="77777777" w:rsidR="00E73060" w:rsidRDefault="00E73060" w:rsidP="00E73060">
      <w:pPr>
        <w:pStyle w:val="FootnoteText"/>
      </w:pPr>
      <w:r>
        <w:rPr>
          <w:rStyle w:val="FootnoteReference"/>
        </w:rPr>
        <w:footnoteRef/>
      </w:r>
      <w:r>
        <w:t xml:space="preserve"> Manatu Hauora Ministry of Health, </w:t>
      </w:r>
      <w:r w:rsidRPr="0071775F">
        <w:rPr>
          <w:i/>
        </w:rPr>
        <w:t>Responsible authorities under the Act</w:t>
      </w:r>
      <w:r>
        <w:t>, accessed from &lt;</w:t>
      </w:r>
      <w:r w:rsidRPr="00BE64F2">
        <w:t xml:space="preserve"> https://www.health.govt.nz/our-work/regulation-health-and-disability-system/health-practitioners-competence-assurance-act/responsible-authorities-under-act</w:t>
      </w:r>
      <w:r>
        <w:t>&gt;.</w:t>
      </w:r>
    </w:p>
  </w:footnote>
  <w:footnote w:id="134">
    <w:p w14:paraId="0BB22545" w14:textId="77777777" w:rsidR="00E73060" w:rsidRDefault="00E73060" w:rsidP="00E73060">
      <w:pPr>
        <w:pStyle w:val="FootnoteText"/>
      </w:pPr>
      <w:r>
        <w:rPr>
          <w:rStyle w:val="FootnoteReference"/>
        </w:rPr>
        <w:footnoteRef/>
      </w:r>
      <w:r>
        <w:t xml:space="preserve"> New Zealand Ministry of Health</w:t>
      </w:r>
      <w:r w:rsidRPr="008E5EE9">
        <w:rPr>
          <w:i/>
        </w:rPr>
        <w:t>, Allied Health</w:t>
      </w:r>
      <w:r>
        <w:t>, accessed from &lt;</w:t>
      </w:r>
      <w:r w:rsidRPr="00230BD6">
        <w:t>https://www.health.govt.nz/about-ministry/leadership-ministry/allied-health</w:t>
      </w:r>
      <w:r>
        <w:t>&gt;.</w:t>
      </w:r>
    </w:p>
  </w:footnote>
  <w:footnote w:id="135">
    <w:p w14:paraId="4C4C90AC" w14:textId="77777777" w:rsidR="00E73060" w:rsidRDefault="00E73060" w:rsidP="00E73060">
      <w:pPr>
        <w:pStyle w:val="FootnoteText"/>
      </w:pPr>
      <w:r>
        <w:rPr>
          <w:rStyle w:val="FootnoteReference"/>
        </w:rPr>
        <w:footnoteRef/>
      </w:r>
      <w:r>
        <w:t xml:space="preserve"> Professional Standards Authority for Health and Social Care, </w:t>
      </w:r>
      <w:r w:rsidRPr="005133C0">
        <w:rPr>
          <w:i/>
          <w:iCs/>
        </w:rPr>
        <w:t>Health and Care Professions Council</w:t>
      </w:r>
      <w:r>
        <w:t>, accessed from &lt;</w:t>
      </w:r>
      <w:r w:rsidRPr="005133C0">
        <w:t xml:space="preserve"> https://www.professionalstandards.org.uk/what-we-do/our-work-with-regulators/find-a-regulator/health-care-professions-council</w:t>
      </w:r>
      <w:r>
        <w:t>&gt;.</w:t>
      </w:r>
    </w:p>
  </w:footnote>
  <w:footnote w:id="136">
    <w:p w14:paraId="3056F0B3" w14:textId="77777777" w:rsidR="00E73060" w:rsidRDefault="00E73060" w:rsidP="00E73060">
      <w:pPr>
        <w:pStyle w:val="FootnoteText"/>
      </w:pPr>
      <w:r>
        <w:rPr>
          <w:rStyle w:val="FootnoteReference"/>
        </w:rPr>
        <w:footnoteRef/>
      </w:r>
      <w:r>
        <w:t xml:space="preserve"> Hearing aid dispenser is a separate profession registered under the HCPC, with this as a protected title that also has protected functions (i.e. only people registered with the HCPC can carry out certain tasks). Hearing aid dispensers are the only profession with a protected function under the HCPC.</w:t>
      </w:r>
    </w:p>
  </w:footnote>
  <w:footnote w:id="137">
    <w:p w14:paraId="125CD12E" w14:textId="77777777" w:rsidR="00E73060" w:rsidRDefault="00E73060" w:rsidP="00E73060">
      <w:pPr>
        <w:pStyle w:val="FootnoteText"/>
      </w:pPr>
      <w:r>
        <w:rPr>
          <w:rStyle w:val="FootnoteReference"/>
        </w:rPr>
        <w:footnoteRef/>
      </w:r>
      <w:r>
        <w:t xml:space="preserve"> Health &amp; Care Professions Council 2018, </w:t>
      </w:r>
      <w:r w:rsidRPr="005F7AC9">
        <w:rPr>
          <w:i/>
        </w:rPr>
        <w:t>Professions and protected titles</w:t>
      </w:r>
      <w:r>
        <w:t>, accessed from &lt;</w:t>
      </w:r>
      <w:r w:rsidRPr="000673BA">
        <w:t>https://www.hcpc-uk.org/about-us/who-we-regulate/the-professions/</w:t>
      </w:r>
      <w:r>
        <w:t>&gt;.</w:t>
      </w:r>
    </w:p>
  </w:footnote>
  <w:footnote w:id="138">
    <w:p w14:paraId="0DD19680" w14:textId="77777777" w:rsidR="00E73060" w:rsidRDefault="00E73060" w:rsidP="00E73060">
      <w:pPr>
        <w:pStyle w:val="FootnoteText"/>
      </w:pPr>
      <w:r>
        <w:rPr>
          <w:rStyle w:val="FootnoteReference"/>
        </w:rPr>
        <w:footnoteRef/>
      </w:r>
      <w:r>
        <w:t xml:space="preserve"> Health &amp; Care Professions Council 2018, </w:t>
      </w:r>
      <w:r w:rsidRPr="005F7AC9">
        <w:rPr>
          <w:i/>
        </w:rPr>
        <w:t>Professions and protected titles</w:t>
      </w:r>
      <w:r>
        <w:t>, accessed from &lt;</w:t>
      </w:r>
      <w:r w:rsidRPr="000673BA">
        <w:t>https://www.hcpc-uk.org/about-us/who-we-regulate/the-professions/</w:t>
      </w:r>
      <w:r>
        <w:t>&gt;.</w:t>
      </w:r>
    </w:p>
  </w:footnote>
  <w:footnote w:id="139">
    <w:p w14:paraId="3C87563C" w14:textId="77777777" w:rsidR="00E73060" w:rsidRDefault="00E73060" w:rsidP="00E73060">
      <w:pPr>
        <w:pStyle w:val="FootnoteText"/>
      </w:pPr>
      <w:r>
        <w:rPr>
          <w:rStyle w:val="FootnoteReference"/>
        </w:rPr>
        <w:footnoteRef/>
      </w:r>
      <w:r>
        <w:t xml:space="preserve"> General Optical Council 2024, </w:t>
      </w:r>
      <w:r w:rsidRPr="005F7AC9">
        <w:rPr>
          <w:i/>
        </w:rPr>
        <w:t>We are the regulator for the optical professions in the UK</w:t>
      </w:r>
      <w:r>
        <w:t>, accessed from &lt;</w:t>
      </w:r>
      <w:r w:rsidRPr="00F6675A">
        <w:t>https://optical.org/</w:t>
      </w:r>
      <w:r>
        <w:t>&gt;.</w:t>
      </w:r>
    </w:p>
  </w:footnote>
  <w:footnote w:id="140">
    <w:p w14:paraId="2F041C4E" w14:textId="77777777" w:rsidR="00E73060" w:rsidRPr="00746C9C" w:rsidRDefault="00E73060" w:rsidP="00E73060">
      <w:pPr>
        <w:pStyle w:val="FootnoteText"/>
      </w:pPr>
      <w:r w:rsidRPr="00D84542">
        <w:rPr>
          <w:vertAlign w:val="superscript"/>
        </w:rPr>
        <w:footnoteRef/>
      </w:r>
      <w:r w:rsidRPr="00360DF4">
        <w:t xml:space="preserve"> Edeli Kinsala</w:t>
      </w:r>
      <w:r>
        <w:t xml:space="preserve"> 2024</w:t>
      </w:r>
      <w:r w:rsidRPr="00360DF4">
        <w:t xml:space="preserve">, </w:t>
      </w:r>
      <w:r w:rsidRPr="00360DF4">
        <w:rPr>
          <w:i/>
        </w:rPr>
        <w:t xml:space="preserve">Navigating Licensing Across States for Allied Health Professionals, </w:t>
      </w:r>
      <w:r>
        <w:t>accessed from</w:t>
      </w:r>
      <w:r w:rsidRPr="00360DF4">
        <w:t xml:space="preserve"> &lt;https://www.flexcarestaff.com/blog/navigating-licensing-across-states-allied-health-professionals</w:t>
      </w:r>
      <w:r>
        <w:t>&gt;.</w:t>
      </w:r>
    </w:p>
  </w:footnote>
  <w:footnote w:id="141">
    <w:p w14:paraId="4BBEB460" w14:textId="77777777" w:rsidR="00E73060" w:rsidRPr="007C066B" w:rsidRDefault="00E73060" w:rsidP="00E73060">
      <w:pPr>
        <w:pStyle w:val="FootnoteText"/>
      </w:pPr>
      <w:r w:rsidRPr="00D84542">
        <w:rPr>
          <w:vertAlign w:val="superscript"/>
        </w:rPr>
        <w:footnoteRef/>
      </w:r>
      <w:r w:rsidRPr="00746C9C">
        <w:t xml:space="preserve"> </w:t>
      </w:r>
      <w:r w:rsidRPr="00E65B2D">
        <w:t>American Speech-Language-Hearing Association</w:t>
      </w:r>
      <w:r>
        <w:t xml:space="preserve"> 2024, </w:t>
      </w:r>
      <w:r w:rsidRPr="00341059">
        <w:rPr>
          <w:i/>
          <w:iCs/>
        </w:rPr>
        <w:t>Who Are Qualified Providers?</w:t>
      </w:r>
      <w:r>
        <w:t xml:space="preserve"> accessed from</w:t>
      </w:r>
      <w:r w:rsidRPr="007C066B">
        <w:t xml:space="preserve"> &lt;https://www.asha.org/public/add-benefits/providers/&gt;</w:t>
      </w:r>
    </w:p>
  </w:footnote>
  <w:footnote w:id="142">
    <w:p w14:paraId="6E1AB11F" w14:textId="77777777" w:rsidR="00E73060" w:rsidRDefault="00E73060" w:rsidP="00E73060">
      <w:pPr>
        <w:pStyle w:val="FootnoteText"/>
      </w:pPr>
      <w:r>
        <w:rPr>
          <w:rStyle w:val="FootnoteReference"/>
        </w:rPr>
        <w:footnoteRef/>
      </w:r>
      <w:r>
        <w:t xml:space="preserve"> American Optometric Association, </w:t>
      </w:r>
      <w:r w:rsidRPr="00D075E2">
        <w:rPr>
          <w:i/>
        </w:rPr>
        <w:t>State Boards of Optometry</w:t>
      </w:r>
      <w:r>
        <w:t>, accessed from &lt;</w:t>
      </w:r>
      <w:r w:rsidRPr="00DB28BA">
        <w:t>https://www.aoa.org/advocacy/state/state-boards-of-optometry?sso=y</w:t>
      </w:r>
      <w:r>
        <w:t>&gt;.</w:t>
      </w:r>
    </w:p>
  </w:footnote>
  <w:footnote w:id="143">
    <w:p w14:paraId="1109E1D5" w14:textId="77777777" w:rsidR="00E73060" w:rsidRPr="00746C9C" w:rsidRDefault="00E73060" w:rsidP="00E73060">
      <w:pPr>
        <w:pStyle w:val="FootnoteText"/>
      </w:pPr>
      <w:r w:rsidRPr="00D84542">
        <w:rPr>
          <w:vertAlign w:val="superscript"/>
        </w:rPr>
        <w:footnoteRef/>
      </w:r>
      <w:r w:rsidRPr="00A57468">
        <w:rPr>
          <w:lang w:val="nl-NL"/>
        </w:rPr>
        <w:t xml:space="preserve"> Leslie, K., Moore, J., Robertson, C. </w:t>
      </w:r>
      <w:r w:rsidRPr="007A4BCC">
        <w:rPr>
          <w:i/>
          <w:iCs/>
          <w:lang w:val="nl-NL"/>
        </w:rPr>
        <w:t>et al</w:t>
      </w:r>
      <w:r w:rsidRPr="00A57468">
        <w:rPr>
          <w:lang w:val="nl-NL"/>
        </w:rPr>
        <w:t xml:space="preserve">. </w:t>
      </w:r>
      <w:r w:rsidRPr="00746C9C">
        <w:t>Regulating health professional scopes of practice: comparing institutional arrangements and approaches in the US, Canada, Australia and the UK. Hum Resour Health 19, 15 (2021). https://doi.org/10.1186/s12960-020-00550-3</w:t>
      </w:r>
    </w:p>
  </w:footnote>
  <w:footnote w:id="144">
    <w:p w14:paraId="43296DB0" w14:textId="77777777" w:rsidR="00E73060" w:rsidRDefault="00E73060" w:rsidP="00E73060">
      <w:pPr>
        <w:pStyle w:val="FootnoteText"/>
      </w:pPr>
      <w:r w:rsidRPr="00D84542">
        <w:rPr>
          <w:vertAlign w:val="superscript"/>
        </w:rPr>
        <w:footnoteRef/>
      </w:r>
      <w:r>
        <w:t xml:space="preserve"> Speech-Language Audiology Canada, </w:t>
      </w:r>
      <w:r w:rsidRPr="004369A9">
        <w:rPr>
          <w:i/>
        </w:rPr>
        <w:t>Regulatory and Licensing Bodies in Canada</w:t>
      </w:r>
      <w:r>
        <w:t>, accessed from &lt;</w:t>
      </w:r>
      <w:r w:rsidRPr="00AD270D">
        <w:t>https://www.sac-oac.ca/joining-the-profession/regulatory-bodies/</w:t>
      </w:r>
      <w:r>
        <w:t>&gt;.</w:t>
      </w:r>
    </w:p>
  </w:footnote>
  <w:footnote w:id="145">
    <w:p w14:paraId="2761D374" w14:textId="77777777" w:rsidR="00E73060" w:rsidRDefault="00E73060" w:rsidP="00E73060">
      <w:pPr>
        <w:pStyle w:val="FootnoteText"/>
      </w:pPr>
      <w:r>
        <w:rPr>
          <w:rStyle w:val="FootnoteReference"/>
        </w:rPr>
        <w:footnoteRef/>
      </w:r>
      <w:r>
        <w:t xml:space="preserve"> Government of Canada, </w:t>
      </w:r>
      <w:r w:rsidRPr="004369A9">
        <w:rPr>
          <w:i/>
        </w:rPr>
        <w:t>Self-Regulated Professions – Balancing Competition and Regulation</w:t>
      </w:r>
      <w:r>
        <w:t>, accessed from &lt;</w:t>
      </w:r>
      <w:r w:rsidRPr="008F4189">
        <w:t>https://competition-bureau.canada.ca/how-we-foster-competition/education-and-outreach/publications/self-regulated-professions-balancing-competition-and-regulation-chapter-5-7</w:t>
      </w:r>
      <w:r>
        <w:t>&gt;.</w:t>
      </w:r>
    </w:p>
  </w:footnote>
  <w:footnote w:id="146">
    <w:p w14:paraId="1B473CFE" w14:textId="3EEBDE09" w:rsidR="000E7D2B" w:rsidRPr="000E7D2B" w:rsidRDefault="000E7D2B">
      <w:pPr>
        <w:pStyle w:val="FootnoteText"/>
        <w:rPr>
          <w:lang w:val="en-AU"/>
        </w:rPr>
      </w:pPr>
      <w:r>
        <w:rPr>
          <w:rStyle w:val="FootnoteReference"/>
        </w:rPr>
        <w:footnoteRef/>
      </w:r>
      <w:r>
        <w:t xml:space="preserve"> </w:t>
      </w:r>
      <w:r w:rsidR="00F9069B" w:rsidRPr="00F9069B">
        <w:t xml:space="preserve">Office of the Health Ombudsman 2018, </w:t>
      </w:r>
      <w:r w:rsidR="00F9069B" w:rsidRPr="007176F0">
        <w:rPr>
          <w:i/>
          <w:iCs/>
        </w:rPr>
        <w:t>Investigation into the quality of health services provided by Logan Hospital audiology department</w:t>
      </w:r>
      <w:r w:rsidR="00F9069B" w:rsidRPr="00F9069B">
        <w:t>, accessed from &lt;https://www.oho.qld.gov.au/reports/investigation-into-the-quality-of-health-services-provided-by-logan-hospital-audiology-department&gt;.</w:t>
      </w:r>
    </w:p>
  </w:footnote>
  <w:footnote w:id="147">
    <w:p w14:paraId="2241C257" w14:textId="252624BE" w:rsidR="00F9069B" w:rsidRPr="00F9069B" w:rsidRDefault="00F9069B">
      <w:pPr>
        <w:pStyle w:val="FootnoteText"/>
        <w:rPr>
          <w:lang w:val="en-AU"/>
        </w:rPr>
      </w:pPr>
      <w:r>
        <w:rPr>
          <w:rStyle w:val="FootnoteReference"/>
        </w:rPr>
        <w:footnoteRef/>
      </w:r>
      <w:r>
        <w:t xml:space="preserve"> </w:t>
      </w:r>
      <w:r w:rsidR="00D0771B" w:rsidRPr="00D0771B">
        <w:t xml:space="preserve">Independent Governance Review 2023, Paediatric Cochlear Implant Program Women’s and Children’s Health Network South Australia, accessed from &lt; https://www.sahealth.sa.gov.au/wps/wcm/connect/3ea94b77-d993-40ae-a3d1-90b55d7cba20/External+Governance+Review-PaediatricCochlearImplant-Review-FinalReport-9thAugust2023.pdf?MOD=AJPERES&amp;amp;CACHEID=ROOTWORKSPACE-3ea94b77-d993-40ae-a3d1-90b55d7cba20-oEm3CkI&gt;.  </w:t>
      </w:r>
    </w:p>
  </w:footnote>
  <w:footnote w:id="148">
    <w:p w14:paraId="6D8008DD" w14:textId="44CA800E" w:rsidR="009D4EA7" w:rsidRPr="007176F0" w:rsidRDefault="009D4EA7">
      <w:pPr>
        <w:pStyle w:val="FootnoteText"/>
        <w:rPr>
          <w:lang w:val="en-AU"/>
        </w:rPr>
      </w:pPr>
      <w:r>
        <w:rPr>
          <w:rStyle w:val="FootnoteReference"/>
        </w:rPr>
        <w:footnoteRef/>
      </w:r>
      <w:r>
        <w:t xml:space="preserve"> </w:t>
      </w:r>
      <w:r>
        <w:rPr>
          <w:lang w:val="en-AU"/>
        </w:rPr>
        <w:t>Results of the independent clinical review are available at &lt;</w:t>
      </w:r>
      <w:r w:rsidR="000B3D09" w:rsidRPr="000B3D09">
        <w:t xml:space="preserve"> </w:t>
      </w:r>
      <w:r w:rsidR="000B3D09" w:rsidRPr="000B3D09">
        <w:rPr>
          <w:lang w:val="en-AU"/>
        </w:rPr>
        <w:t>https://www.sahealth.sa.gov.au/wps/wcm/connect/ae5b002f-610f-4f95-a1ed-b819311a1b8a/Independent+Clinical+Review+for+the+Paediatric+Cochlear+Implant+Program+-+Summary_01.pdf?MOD=AJPERES&amp;amp;CACHEID=ROOTWORKSPACE-ae5b002f-610f-4f95-a1ed-b819311a1b8a-p0Uv1ZW</w:t>
      </w:r>
      <w:r>
        <w:rPr>
          <w:lang w:val="en-AU"/>
        </w:rPr>
        <w:t>&gt;.</w:t>
      </w:r>
    </w:p>
  </w:footnote>
  <w:footnote w:id="149">
    <w:p w14:paraId="09DEA1F5" w14:textId="73E75624" w:rsidR="00D0771B" w:rsidRPr="00D0771B" w:rsidRDefault="00D0771B">
      <w:pPr>
        <w:pStyle w:val="FootnoteText"/>
        <w:rPr>
          <w:lang w:val="en-AU"/>
        </w:rPr>
      </w:pPr>
      <w:r>
        <w:rPr>
          <w:rStyle w:val="FootnoteReference"/>
        </w:rPr>
        <w:footnoteRef/>
      </w:r>
      <w:r>
        <w:t xml:space="preserve"> </w:t>
      </w:r>
      <w:r w:rsidR="00343380" w:rsidRPr="00343380">
        <w:t>Queensland Health 2023, Investigation into Audiology Services at Townsville University Hospital, accessed from &lt; https://www.health.qld.gov.au/__data/assets/pdf_file/0021/1281225/Townsville-University-Hospital-Part-9-Health-Service-Investigation-Audiology-Services.pdf&gt;.</w:t>
      </w:r>
    </w:p>
  </w:footnote>
  <w:footnote w:id="150">
    <w:p w14:paraId="0DF96566" w14:textId="5DA66FE8" w:rsidR="007402FB" w:rsidRDefault="007402FB" w:rsidP="007402FB">
      <w:pPr>
        <w:pStyle w:val="FootnoteText"/>
      </w:pPr>
      <w:r>
        <w:rPr>
          <w:rStyle w:val="FootnoteReference"/>
        </w:rPr>
        <w:footnoteRef/>
      </w:r>
      <w:r>
        <w:t xml:space="preserve"> Humphries T, Kushalnagar P, Mathur G, Napoli DJ, Rathmann C and Smith S (2019), ‘Support for parents of deaf children: Common questions and informed, evidence-based answers’, International Journal of Pediatric Otorhinolaryngology, 118: 134-142.</w:t>
      </w:r>
      <w:r w:rsidR="00DC625B">
        <w:t xml:space="preserve"> </w:t>
      </w:r>
      <w:r w:rsidR="00312882">
        <w:t>An additional summary of current evidence on early intervention is included in Ching T, Dillon H, Leigh G and Cupples L, ‘Learning from the Longitudinal Outcomes of Children with Hearing Impairment (LOCHI) study: summary of 5-year findings and implications.</w:t>
      </w:r>
      <w:r w:rsidR="00B8162A">
        <w:t>’</w:t>
      </w:r>
    </w:p>
  </w:footnote>
  <w:footnote w:id="151">
    <w:p w14:paraId="6BCAA53F" w14:textId="77777777" w:rsidR="00DE5D3D" w:rsidRPr="004344DA" w:rsidRDefault="00DE5D3D" w:rsidP="00DE5D3D">
      <w:pPr>
        <w:pStyle w:val="FootnoteText"/>
        <w:rPr>
          <w:lang w:val="en-AU"/>
        </w:rPr>
      </w:pPr>
      <w:r>
        <w:rPr>
          <w:rStyle w:val="FootnoteReference"/>
        </w:rPr>
        <w:footnoteRef/>
      </w:r>
      <w:r>
        <w:t xml:space="preserve"> Poterba J 1996, Government Intervention in the Markets for Education and Health Care: How and Why?, accessed from &lt;</w:t>
      </w:r>
      <w:r w:rsidRPr="00786C96">
        <w:t>https://www.nber.org/system/files/chapters/c6566/c6566.pdf</w:t>
      </w:r>
      <w:r>
        <w:t>&gt;.</w:t>
      </w:r>
    </w:p>
  </w:footnote>
  <w:footnote w:id="152">
    <w:p w14:paraId="5832471D" w14:textId="77777777" w:rsidR="00DE5D3D" w:rsidRPr="00507B45" w:rsidRDefault="00DE5D3D" w:rsidP="00DE5D3D">
      <w:pPr>
        <w:pStyle w:val="FootnoteText"/>
        <w:rPr>
          <w:lang w:val="en-AU"/>
        </w:rPr>
      </w:pPr>
      <w:r>
        <w:rPr>
          <w:rStyle w:val="FootnoteReference"/>
        </w:rPr>
        <w:footnoteRef/>
      </w:r>
      <w:r>
        <w:t xml:space="preserve"> </w:t>
      </w:r>
      <w:r>
        <w:rPr>
          <w:lang w:val="en-AU"/>
        </w:rPr>
        <w:t>Pauly M 1980, Physicians as Agents, accessed from &lt;</w:t>
      </w:r>
      <w:r w:rsidRPr="006F41B6">
        <w:rPr>
          <w:lang w:val="en-AU"/>
        </w:rPr>
        <w:t>https://www.nber.org/system/files/chapters/c11521/c11521.pdf</w:t>
      </w:r>
      <w:r>
        <w:rPr>
          <w:lang w:val="en-AU"/>
        </w:rPr>
        <w:t>&gt;.</w:t>
      </w:r>
    </w:p>
  </w:footnote>
  <w:footnote w:id="153">
    <w:p w14:paraId="56F5832A" w14:textId="77777777" w:rsidR="00DE5D3D" w:rsidRPr="00450433" w:rsidRDefault="00DE5D3D" w:rsidP="00DE5D3D">
      <w:pPr>
        <w:pStyle w:val="FootnoteText"/>
        <w:rPr>
          <w:lang w:val="en-AU"/>
        </w:rPr>
      </w:pPr>
      <w:r>
        <w:rPr>
          <w:rStyle w:val="FootnoteReference"/>
        </w:rPr>
        <w:footnoteRef/>
      </w:r>
      <w:r>
        <w:t xml:space="preserve"> </w:t>
      </w:r>
      <w:r>
        <w:rPr>
          <w:lang w:val="en-AU"/>
        </w:rPr>
        <w:t>Ibid.</w:t>
      </w:r>
    </w:p>
  </w:footnote>
  <w:footnote w:id="154">
    <w:p w14:paraId="6586069A" w14:textId="7CCE2877" w:rsidR="00BC6D6C" w:rsidRPr="00BC6D6C" w:rsidRDefault="00BC6D6C">
      <w:pPr>
        <w:pStyle w:val="FootnoteText"/>
        <w:rPr>
          <w:lang w:val="en-AU"/>
        </w:rPr>
      </w:pPr>
      <w:r>
        <w:rPr>
          <w:rStyle w:val="FootnoteReference"/>
        </w:rPr>
        <w:footnoteRef/>
      </w:r>
      <w:r>
        <w:t xml:space="preserve"> </w:t>
      </w:r>
      <w:r w:rsidR="007B4704" w:rsidRPr="007B4704">
        <w:t>Poterba J 1996, Government Intervention in the Markets for Education and Health Care: How and Why?, accessed from &lt;https://www.nber.org/system/files/chapters/c6566/c6566.pdf&gt;.</w:t>
      </w:r>
    </w:p>
  </w:footnote>
  <w:footnote w:id="155">
    <w:p w14:paraId="263C892E" w14:textId="02EA0F9B" w:rsidR="0009639A" w:rsidRPr="007176F0" w:rsidRDefault="0009639A">
      <w:pPr>
        <w:pStyle w:val="FootnoteText"/>
        <w:rPr>
          <w:lang w:val="en-AU"/>
        </w:rPr>
      </w:pPr>
      <w:r>
        <w:rPr>
          <w:rStyle w:val="FootnoteReference"/>
        </w:rPr>
        <w:footnoteRef/>
      </w:r>
      <w:r>
        <w:t xml:space="preserve"> </w:t>
      </w:r>
      <w:r w:rsidR="009D29A9">
        <w:rPr>
          <w:lang w:val="en-AU"/>
        </w:rPr>
        <w:t>Australian Government</w:t>
      </w:r>
      <w:r w:rsidR="00C63A8B">
        <w:rPr>
          <w:lang w:val="en-AU"/>
        </w:rPr>
        <w:t xml:space="preserve"> 2023</w:t>
      </w:r>
      <w:r w:rsidR="009D29A9" w:rsidRPr="007176F0">
        <w:rPr>
          <w:i/>
          <w:iCs/>
          <w:lang w:val="en-AU"/>
        </w:rPr>
        <w:t>, Qualification HLT47415 Certificate IV in Audiometry</w:t>
      </w:r>
      <w:r w:rsidR="009D29A9">
        <w:rPr>
          <w:lang w:val="en-AU"/>
        </w:rPr>
        <w:t>, accessed from &lt;</w:t>
      </w:r>
      <w:r w:rsidR="00C63A8B" w:rsidRPr="00C63A8B">
        <w:t xml:space="preserve"> </w:t>
      </w:r>
      <w:r w:rsidR="00C63A8B" w:rsidRPr="00C63A8B">
        <w:rPr>
          <w:lang w:val="en-AU"/>
        </w:rPr>
        <w:t>https://training.gov.au/training/details/HLT47415/qualdetails</w:t>
      </w:r>
      <w:r w:rsidR="009D29A9">
        <w:rPr>
          <w:lang w:val="en-AU"/>
        </w:rPr>
        <w:t>&gt;.</w:t>
      </w:r>
    </w:p>
  </w:footnote>
  <w:footnote w:id="156">
    <w:p w14:paraId="73966E50" w14:textId="60588F25" w:rsidR="0081401B" w:rsidRPr="007176F0" w:rsidRDefault="0081401B">
      <w:pPr>
        <w:pStyle w:val="FootnoteText"/>
        <w:rPr>
          <w:lang w:val="en-AU"/>
        </w:rPr>
      </w:pPr>
      <w:r>
        <w:rPr>
          <w:rStyle w:val="FootnoteReference"/>
        </w:rPr>
        <w:footnoteRef/>
      </w:r>
      <w:r>
        <w:t xml:space="preserve"> </w:t>
      </w:r>
      <w:r w:rsidR="00ED78DD">
        <w:rPr>
          <w:lang w:val="en-AU"/>
        </w:rPr>
        <w:t>Australian Government 2023</w:t>
      </w:r>
      <w:r w:rsidR="00ED78DD" w:rsidRPr="00DA7FE9">
        <w:rPr>
          <w:i/>
          <w:iCs/>
          <w:lang w:val="en-AU"/>
        </w:rPr>
        <w:t>, Qualification HLT</w:t>
      </w:r>
      <w:r w:rsidR="00ED78DD">
        <w:rPr>
          <w:i/>
          <w:iCs/>
          <w:lang w:val="en-AU"/>
        </w:rPr>
        <w:t>57415</w:t>
      </w:r>
      <w:r w:rsidR="00ED78DD" w:rsidRPr="00DA7FE9">
        <w:rPr>
          <w:i/>
          <w:iCs/>
          <w:lang w:val="en-AU"/>
        </w:rPr>
        <w:t xml:space="preserve"> </w:t>
      </w:r>
      <w:r w:rsidR="00ED78DD">
        <w:rPr>
          <w:i/>
          <w:iCs/>
          <w:lang w:val="en-AU"/>
        </w:rPr>
        <w:t>Diploma of</w:t>
      </w:r>
      <w:r w:rsidR="00ED78DD" w:rsidRPr="00DA7FE9">
        <w:rPr>
          <w:i/>
          <w:iCs/>
          <w:lang w:val="en-AU"/>
        </w:rPr>
        <w:t xml:space="preserve"> Audiometry</w:t>
      </w:r>
      <w:r w:rsidR="00ED78DD">
        <w:rPr>
          <w:lang w:val="en-AU"/>
        </w:rPr>
        <w:t>, accessed from &lt;</w:t>
      </w:r>
      <w:r w:rsidR="00ED78DD" w:rsidRPr="00C63A8B">
        <w:t xml:space="preserve"> </w:t>
      </w:r>
      <w:r w:rsidR="00CE2F9F" w:rsidRPr="00CE2F9F">
        <w:rPr>
          <w:lang w:val="en-AU"/>
        </w:rPr>
        <w:t>https://training.gov.au/training/details/HLT57415/qualdetails</w:t>
      </w:r>
      <w:r w:rsidR="00ED78DD">
        <w:rPr>
          <w:lang w:val="en-AU"/>
        </w:rPr>
        <w:t>&gt;.</w:t>
      </w:r>
    </w:p>
  </w:footnote>
  <w:footnote w:id="157">
    <w:p w14:paraId="29712029" w14:textId="7A304E5D" w:rsidR="00E42A15" w:rsidRPr="00E42A15" w:rsidRDefault="00E42A15">
      <w:pPr>
        <w:pStyle w:val="FootnoteText"/>
        <w:rPr>
          <w:lang w:val="en-AU"/>
        </w:rPr>
      </w:pPr>
      <w:r>
        <w:rPr>
          <w:rStyle w:val="FootnoteReference"/>
        </w:rPr>
        <w:footnoteRef/>
      </w:r>
      <w:r>
        <w:t xml:space="preserve"> </w:t>
      </w:r>
      <w:r w:rsidR="00003E44">
        <w:rPr>
          <w:lang w:val="en-AU"/>
        </w:rPr>
        <w:t xml:space="preserve">Please refer to the Scope of Practice Knowledge and Tasks lists </w:t>
      </w:r>
      <w:r w:rsidR="00FC60F7">
        <w:rPr>
          <w:lang w:val="en-AU"/>
        </w:rPr>
        <w:t>from p9 onward</w:t>
      </w:r>
      <w:r w:rsidR="00943191">
        <w:rPr>
          <w:lang w:val="en-AU"/>
        </w:rPr>
        <w:t xml:space="preserve"> of the </w:t>
      </w:r>
      <w:r w:rsidR="00943191" w:rsidRPr="00AD34E9">
        <w:rPr>
          <w:i/>
          <w:iCs/>
          <w:lang w:val="en-AU"/>
        </w:rPr>
        <w:t>Scope of Practice for Audiologists and Audiometrists</w:t>
      </w:r>
      <w:r w:rsidR="00943191">
        <w:rPr>
          <w:lang w:val="en-AU"/>
        </w:rPr>
        <w:t xml:space="preserve">, available from </w:t>
      </w:r>
      <w:r w:rsidR="00E701EA">
        <w:rPr>
          <w:lang w:val="en-AU"/>
        </w:rPr>
        <w:t>&lt;</w:t>
      </w:r>
      <w:r w:rsidR="00E701EA" w:rsidRPr="00E701EA">
        <w:t xml:space="preserve"> </w:t>
      </w:r>
      <w:r w:rsidR="00E701EA" w:rsidRPr="00E701EA">
        <w:rPr>
          <w:lang w:val="en-AU"/>
        </w:rPr>
        <w:t>https://audiology.asn.au/wp-content/uploads/2023/05/Scope-of-Practice-All-in-one-20170119.pdf</w:t>
      </w:r>
      <w:r w:rsidR="00E701EA">
        <w:rPr>
          <w:lang w:val="en-AU"/>
        </w:rPr>
        <w:t>&gt;</w:t>
      </w:r>
      <w:r w:rsidR="00943191">
        <w:rPr>
          <w:lang w:val="en-AU"/>
        </w:rPr>
        <w:t>.</w:t>
      </w:r>
    </w:p>
  </w:footnote>
  <w:footnote w:id="158">
    <w:p w14:paraId="141CD553" w14:textId="18D7BDB5" w:rsidR="00404282" w:rsidRPr="00404282" w:rsidRDefault="00404282">
      <w:pPr>
        <w:pStyle w:val="FootnoteText"/>
        <w:rPr>
          <w:lang w:val="en-AU"/>
        </w:rPr>
      </w:pPr>
      <w:r>
        <w:rPr>
          <w:rStyle w:val="FootnoteReference"/>
        </w:rPr>
        <w:footnoteRef/>
      </w:r>
      <w:r>
        <w:t xml:space="preserve"> </w:t>
      </w:r>
      <w:r w:rsidR="00603B59">
        <w:rPr>
          <w:lang w:val="en-AU"/>
        </w:rPr>
        <w:t>Foden N, Mehta N, Joseph T</w:t>
      </w:r>
      <w:r w:rsidR="0080349C">
        <w:rPr>
          <w:lang w:val="en-AU"/>
        </w:rPr>
        <w:t xml:space="preserve"> 2013, </w:t>
      </w:r>
      <w:r w:rsidR="0080349C" w:rsidRPr="002C03A8">
        <w:rPr>
          <w:i/>
          <w:iCs/>
          <w:lang w:val="en-AU"/>
        </w:rPr>
        <w:t>Sudden onset hearing loss – Causes, investigations and management</w:t>
      </w:r>
      <w:r w:rsidR="00603B59">
        <w:rPr>
          <w:lang w:val="en-AU"/>
        </w:rPr>
        <w:t>, accessed from &lt;</w:t>
      </w:r>
      <w:r w:rsidR="00603B59" w:rsidRPr="00603B59">
        <w:t xml:space="preserve"> </w:t>
      </w:r>
      <w:r w:rsidR="00603B59" w:rsidRPr="00603B59">
        <w:rPr>
          <w:lang w:val="en-AU"/>
        </w:rPr>
        <w:t>https://www.racgp.org.au/afp/2013/september/sudden-onset-hearing-loss</w:t>
      </w:r>
      <w:r w:rsidR="00603B59">
        <w:rPr>
          <w:lang w:val="en-AU"/>
        </w:rPr>
        <w:t>&gt;.</w:t>
      </w:r>
    </w:p>
  </w:footnote>
  <w:footnote w:id="159">
    <w:p w14:paraId="3A19C45E" w14:textId="2F59FE8F" w:rsidR="00DD7B00" w:rsidRPr="00DD7B00" w:rsidRDefault="00DD7B00">
      <w:pPr>
        <w:pStyle w:val="FootnoteText"/>
        <w:rPr>
          <w:lang w:val="en-AU"/>
        </w:rPr>
      </w:pPr>
      <w:r>
        <w:rPr>
          <w:rStyle w:val="FootnoteReference"/>
        </w:rPr>
        <w:footnoteRef/>
      </w:r>
      <w:r>
        <w:t xml:space="preserve"> </w:t>
      </w:r>
      <w:r w:rsidR="00443578">
        <w:rPr>
          <w:lang w:val="en-AU"/>
        </w:rPr>
        <w:t>While not asked about directly, stakeholder feedback included disagreement with t</w:t>
      </w:r>
      <w:r w:rsidR="000913E8">
        <w:rPr>
          <w:lang w:val="en-AU"/>
        </w:rPr>
        <w:t>h</w:t>
      </w:r>
      <w:r w:rsidR="00C75211">
        <w:rPr>
          <w:lang w:val="en-AU"/>
        </w:rPr>
        <w:t>ese arrangements</w:t>
      </w:r>
      <w:r w:rsidR="000913E8">
        <w:rPr>
          <w:lang w:val="en-AU"/>
        </w:rPr>
        <w:t>.</w:t>
      </w:r>
    </w:p>
  </w:footnote>
  <w:footnote w:id="160">
    <w:p w14:paraId="40D50609" w14:textId="522955EA" w:rsidR="004A6B3E" w:rsidRPr="004A6B3E" w:rsidRDefault="004A6B3E">
      <w:pPr>
        <w:pStyle w:val="FootnoteText"/>
        <w:rPr>
          <w:lang w:val="en-AU"/>
        </w:rPr>
      </w:pPr>
      <w:r>
        <w:rPr>
          <w:rStyle w:val="FootnoteReference"/>
        </w:rPr>
        <w:footnoteRef/>
      </w:r>
      <w:r>
        <w:t xml:space="preserve"> </w:t>
      </w:r>
      <w:r w:rsidR="00D73678">
        <w:rPr>
          <w:lang w:val="en-AU"/>
        </w:rPr>
        <w:t xml:space="preserve">Please refer to the Hearing </w:t>
      </w:r>
      <w:r w:rsidR="003649F9">
        <w:rPr>
          <w:lang w:val="en-AU"/>
        </w:rPr>
        <w:t>Services</w:t>
      </w:r>
      <w:r w:rsidR="00D73678">
        <w:rPr>
          <w:lang w:val="en-AU"/>
        </w:rPr>
        <w:t xml:space="preserve"> Program (Schedule of Service Items and Fees 2024-25) Instrument (No. 1) 2024, available from &lt;</w:t>
      </w:r>
      <w:r w:rsidR="00DA5B19" w:rsidRPr="00DA5B19">
        <w:rPr>
          <w:lang w:val="en-AU"/>
        </w:rPr>
        <w:t>https://www.legislation.gov.au/F2024N00484/latest/text</w:t>
      </w:r>
      <w:r w:rsidR="00D73678">
        <w:rPr>
          <w:lang w:val="en-AU"/>
        </w:rPr>
        <w:t>&gt;.</w:t>
      </w:r>
    </w:p>
  </w:footnote>
  <w:footnote w:id="161">
    <w:p w14:paraId="7BF12085" w14:textId="0EEF59B0" w:rsidR="009224A0" w:rsidRPr="009224A0" w:rsidRDefault="009224A0">
      <w:pPr>
        <w:pStyle w:val="FootnoteText"/>
        <w:rPr>
          <w:lang w:val="en-AU"/>
        </w:rPr>
      </w:pPr>
      <w:r>
        <w:rPr>
          <w:rStyle w:val="FootnoteReference"/>
        </w:rPr>
        <w:footnoteRef/>
      </w:r>
      <w:r>
        <w:t xml:space="preserve"> </w:t>
      </w:r>
      <w:r w:rsidR="00AC5CCF">
        <w:rPr>
          <w:lang w:val="en-AU"/>
        </w:rPr>
        <w:t xml:space="preserve">According to the AIHW National Hospital Morbidity Database, </w:t>
      </w:r>
      <w:r w:rsidR="00FA65C9">
        <w:rPr>
          <w:lang w:val="en-AU"/>
        </w:rPr>
        <w:t xml:space="preserve">in FY2021-22 </w:t>
      </w:r>
      <w:r w:rsidR="002062D0">
        <w:rPr>
          <w:lang w:val="en-AU"/>
        </w:rPr>
        <w:t xml:space="preserve">1324 </w:t>
      </w:r>
      <w:r w:rsidR="00DF53F1">
        <w:rPr>
          <w:lang w:val="en-AU"/>
        </w:rPr>
        <w:t>procedures were recorded for implantation of unilateral or bilateral cochlear prosthetic devices.</w:t>
      </w:r>
      <w:r w:rsidR="00A35995">
        <w:rPr>
          <w:lang w:val="en-AU"/>
        </w:rPr>
        <w:t xml:space="preserve"> </w:t>
      </w:r>
      <w:r w:rsidR="008E7312">
        <w:rPr>
          <w:lang w:val="en-AU"/>
        </w:rPr>
        <w:t>201 procedures occurred in patients aged 0-9.</w:t>
      </w:r>
      <w:r w:rsidR="00FA65C9">
        <w:rPr>
          <w:lang w:val="en-AU"/>
        </w:rPr>
        <w:t xml:space="preserve"> </w:t>
      </w:r>
      <w:r w:rsidR="00F6210C">
        <w:rPr>
          <w:lang w:val="en-AU"/>
        </w:rPr>
        <w:t xml:space="preserve">Additionally, </w:t>
      </w:r>
      <w:r w:rsidR="000F02FF">
        <w:rPr>
          <w:lang w:val="en-AU"/>
        </w:rPr>
        <w:t>in FY20</w:t>
      </w:r>
      <w:r w:rsidR="001C7870">
        <w:rPr>
          <w:lang w:val="en-AU"/>
        </w:rPr>
        <w:t>2</w:t>
      </w:r>
      <w:r w:rsidR="003850F1">
        <w:rPr>
          <w:lang w:val="en-AU"/>
        </w:rPr>
        <w:t>1-22</w:t>
      </w:r>
      <w:r w:rsidR="001C7870">
        <w:rPr>
          <w:lang w:val="en-AU"/>
        </w:rPr>
        <w:t xml:space="preserve"> there were </w:t>
      </w:r>
      <w:r w:rsidR="003850F1">
        <w:rPr>
          <w:lang w:val="en-AU"/>
        </w:rPr>
        <w:t>101,</w:t>
      </w:r>
      <w:r w:rsidR="00526DD4">
        <w:rPr>
          <w:lang w:val="en-AU"/>
        </w:rPr>
        <w:t>180</w:t>
      </w:r>
      <w:r w:rsidR="001C7870">
        <w:rPr>
          <w:lang w:val="en-AU"/>
        </w:rPr>
        <w:t xml:space="preserve"> </w:t>
      </w:r>
      <w:r w:rsidR="00973343">
        <w:rPr>
          <w:lang w:val="en-AU"/>
        </w:rPr>
        <w:t xml:space="preserve">non-admitted patient events coded as 40.17 – </w:t>
      </w:r>
      <w:r w:rsidR="003649F9">
        <w:rPr>
          <w:lang w:val="en-AU"/>
        </w:rPr>
        <w:t>Audiology</w:t>
      </w:r>
      <w:r w:rsidR="00EE0EEC">
        <w:rPr>
          <w:lang w:val="en-AU"/>
        </w:rPr>
        <w:t xml:space="preserve">. </w:t>
      </w:r>
    </w:p>
  </w:footnote>
  <w:footnote w:id="162">
    <w:p w14:paraId="40A4034B" w14:textId="77777777" w:rsidR="0018126B" w:rsidRDefault="0018126B" w:rsidP="0018126B">
      <w:pPr>
        <w:pStyle w:val="FootnoteText"/>
      </w:pPr>
      <w:r>
        <w:rPr>
          <w:rStyle w:val="FootnoteReference"/>
        </w:rPr>
        <w:footnoteRef/>
      </w:r>
      <w:r>
        <w:t xml:space="preserve"> AIHW 2023, </w:t>
      </w:r>
      <w:r w:rsidRPr="003E04D6">
        <w:rPr>
          <w:i/>
          <w:iCs/>
        </w:rPr>
        <w:t>Procedures data cubes</w:t>
      </w:r>
      <w:r>
        <w:t>, accessed from &lt;</w:t>
      </w:r>
      <w:r w:rsidRPr="003E04D6">
        <w:t>https://www.aihw.gov.au/reports/hospitals/procedures-data-cubes/contents/summary</w:t>
      </w:r>
      <w:r>
        <w:t>&gt;.</w:t>
      </w:r>
    </w:p>
  </w:footnote>
  <w:footnote w:id="163">
    <w:p w14:paraId="1F5BBCE1" w14:textId="5B968FDF" w:rsidR="00213832" w:rsidRPr="00213832" w:rsidRDefault="00213832">
      <w:pPr>
        <w:pStyle w:val="FootnoteText"/>
        <w:rPr>
          <w:lang w:val="en-AU"/>
        </w:rPr>
      </w:pPr>
      <w:r>
        <w:rPr>
          <w:rStyle w:val="FootnoteReference"/>
        </w:rPr>
        <w:footnoteRef/>
      </w:r>
      <w:r>
        <w:t xml:space="preserve"> </w:t>
      </w:r>
      <w:r w:rsidR="00DD0806">
        <w:rPr>
          <w:lang w:val="en-AU"/>
        </w:rPr>
        <w:t>Audiology Australia</w:t>
      </w:r>
      <w:r w:rsidR="00C212F3">
        <w:rPr>
          <w:lang w:val="en-AU"/>
        </w:rPr>
        <w:t xml:space="preserve"> 2024,</w:t>
      </w:r>
      <w:r w:rsidR="00DD0806">
        <w:rPr>
          <w:lang w:val="en-AU"/>
        </w:rPr>
        <w:t xml:space="preserve"> </w:t>
      </w:r>
      <w:r w:rsidR="00DD0806" w:rsidRPr="001B743A">
        <w:rPr>
          <w:i/>
          <w:iCs/>
          <w:lang w:val="en-AU"/>
        </w:rPr>
        <w:t xml:space="preserve">Clinical Internship Handbook </w:t>
      </w:r>
      <w:r w:rsidR="003706F1" w:rsidRPr="001B743A">
        <w:rPr>
          <w:i/>
          <w:iCs/>
          <w:lang w:val="en-AU"/>
        </w:rPr>
        <w:t>2024</w:t>
      </w:r>
      <w:r w:rsidR="00C212F3">
        <w:rPr>
          <w:lang w:val="en-AU"/>
        </w:rPr>
        <w:t xml:space="preserve">, available from Audiology Australia website. </w:t>
      </w:r>
      <w:r w:rsidR="00232E95">
        <w:rPr>
          <w:lang w:val="en-AU"/>
        </w:rPr>
        <w:t xml:space="preserve">Australian College of Audiology incorporating Hearing Aid Audiology Society of Australia 2024, </w:t>
      </w:r>
      <w:r w:rsidR="00232E95" w:rsidRPr="001B743A">
        <w:rPr>
          <w:i/>
          <w:iCs/>
          <w:lang w:val="en-AU"/>
        </w:rPr>
        <w:t>Internship/Audiologist</w:t>
      </w:r>
      <w:r w:rsidR="00232E95">
        <w:rPr>
          <w:lang w:val="en-AU"/>
        </w:rPr>
        <w:t>, accessed from &lt;</w:t>
      </w:r>
      <w:r w:rsidR="001B743A" w:rsidRPr="001B743A">
        <w:t xml:space="preserve"> </w:t>
      </w:r>
      <w:r w:rsidR="001B743A" w:rsidRPr="001B743A">
        <w:rPr>
          <w:lang w:val="en-AU"/>
        </w:rPr>
        <w:t>https://www.acaud.com.au/memberships/internship-audiologist/</w:t>
      </w:r>
      <w:r w:rsidR="00232E95">
        <w:rPr>
          <w:lang w:val="en-AU"/>
        </w:rPr>
        <w:t>&gt;.</w:t>
      </w:r>
      <w:r w:rsidR="003706F1">
        <w:rPr>
          <w:lang w:val="en-AU"/>
        </w:rPr>
        <w:t xml:space="preserve"> </w:t>
      </w:r>
    </w:p>
  </w:footnote>
  <w:footnote w:id="164">
    <w:p w14:paraId="471742D2" w14:textId="417EAB58" w:rsidR="00EA5A92" w:rsidRPr="00EA5A92" w:rsidRDefault="00EA5A92">
      <w:pPr>
        <w:pStyle w:val="FootnoteText"/>
        <w:rPr>
          <w:lang w:val="en-AU"/>
        </w:rPr>
      </w:pPr>
      <w:r>
        <w:rPr>
          <w:rStyle w:val="FootnoteReference"/>
        </w:rPr>
        <w:footnoteRef/>
      </w:r>
      <w:r>
        <w:t xml:space="preserve"> </w:t>
      </w:r>
      <w:r w:rsidR="0069287F">
        <w:rPr>
          <w:lang w:val="en-AU"/>
        </w:rPr>
        <w:t xml:space="preserve">Minimum supervisor requirements are described in Section </w:t>
      </w:r>
      <w:r w:rsidR="0069287F">
        <w:rPr>
          <w:lang w:val="en-AU"/>
        </w:rPr>
        <w:fldChar w:fldCharType="begin"/>
      </w:r>
      <w:r w:rsidR="0069287F">
        <w:rPr>
          <w:lang w:val="en-AU"/>
        </w:rPr>
        <w:instrText xml:space="preserve"> REF _Ref170130804 \r \h </w:instrText>
      </w:r>
      <w:r w:rsidR="0069287F">
        <w:rPr>
          <w:lang w:val="en-AU"/>
        </w:rPr>
      </w:r>
      <w:r w:rsidR="0069287F">
        <w:rPr>
          <w:lang w:val="en-AU"/>
        </w:rPr>
        <w:fldChar w:fldCharType="separate"/>
      </w:r>
      <w:r w:rsidR="00F32107">
        <w:rPr>
          <w:lang w:val="en-AU"/>
        </w:rPr>
        <w:t>2.3.2</w:t>
      </w:r>
      <w:r w:rsidR="0069287F">
        <w:rPr>
          <w:lang w:val="en-AU"/>
        </w:rPr>
        <w:fldChar w:fldCharType="end"/>
      </w:r>
      <w:r w:rsidR="0069287F">
        <w:rPr>
          <w:lang w:val="en-AU"/>
        </w:rPr>
        <w:t>.</w:t>
      </w:r>
    </w:p>
  </w:footnote>
  <w:footnote w:id="165">
    <w:p w14:paraId="2B45E2E7" w14:textId="77777777" w:rsidR="002723B9" w:rsidRDefault="002723B9" w:rsidP="002723B9">
      <w:pPr>
        <w:pStyle w:val="FootnoteText"/>
      </w:pPr>
      <w:r>
        <w:rPr>
          <w:rStyle w:val="FootnoteReference"/>
        </w:rPr>
        <w:footnoteRef/>
      </w:r>
      <w:r>
        <w:t xml:space="preserve"> Available from the Audiology Australia website.</w:t>
      </w:r>
    </w:p>
  </w:footnote>
  <w:footnote w:id="166">
    <w:p w14:paraId="7875D0BB" w14:textId="0620BC67" w:rsidR="00150549" w:rsidRPr="00150549" w:rsidRDefault="00150549">
      <w:pPr>
        <w:pStyle w:val="FootnoteText"/>
        <w:rPr>
          <w:lang w:val="en-AU"/>
        </w:rPr>
      </w:pPr>
      <w:r>
        <w:rPr>
          <w:rStyle w:val="FootnoteReference"/>
        </w:rPr>
        <w:footnoteRef/>
      </w:r>
      <w:r>
        <w:t xml:space="preserve"> </w:t>
      </w:r>
      <w:r w:rsidR="000D7BCF">
        <w:t xml:space="preserve">Audiology Australia 2024, </w:t>
      </w:r>
      <w:r w:rsidR="00970A3A">
        <w:t>Advanced Paediatric Certification Framework, accessed from &lt;</w:t>
      </w:r>
      <w:r w:rsidR="00970A3A" w:rsidRPr="00970A3A">
        <w:t>https://audiology.asn.au/standards-guidelines/advanced-paediatric-certification-framework/</w:t>
      </w:r>
      <w:r w:rsidR="00970A3A">
        <w:t>&gt;.</w:t>
      </w:r>
    </w:p>
  </w:footnote>
  <w:footnote w:id="167">
    <w:p w14:paraId="4280F65A" w14:textId="019D8553" w:rsidR="0074543A" w:rsidRPr="0074543A" w:rsidRDefault="0074543A">
      <w:pPr>
        <w:pStyle w:val="FootnoteText"/>
        <w:rPr>
          <w:lang w:val="en-AU"/>
        </w:rPr>
      </w:pPr>
      <w:r>
        <w:rPr>
          <w:rStyle w:val="FootnoteReference"/>
        </w:rPr>
        <w:footnoteRef/>
      </w:r>
      <w:r>
        <w:t xml:space="preserve"> </w:t>
      </w:r>
      <w:r w:rsidR="003E106A">
        <w:t>Queensland Health 2014, Credential</w:t>
      </w:r>
      <w:r w:rsidR="00A838EC">
        <w:t>ling and defining the scope of practice, accessed from &lt;</w:t>
      </w:r>
      <w:r w:rsidR="00A838EC" w:rsidRPr="00A838EC">
        <w:t>https://www.health.qld.gov.au/system-governance/policies-standards/health-service-directives/credentialing-and-defining-the-scope-of-clinical-practice#:~:text=This%20Health%20Service%20Directive%20(HSD,credentialed%20and%20have%20a%20defined</w:t>
      </w:r>
      <w:r w:rsidR="00A838EC">
        <w:t>&gt;.</w:t>
      </w:r>
    </w:p>
  </w:footnote>
  <w:footnote w:id="168">
    <w:p w14:paraId="74524F8F" w14:textId="3482BE73" w:rsidR="00E469B6" w:rsidRPr="00E469B6" w:rsidRDefault="00E469B6">
      <w:pPr>
        <w:pStyle w:val="FootnoteText"/>
        <w:rPr>
          <w:lang w:val="en-AU"/>
        </w:rPr>
      </w:pPr>
      <w:r>
        <w:rPr>
          <w:rStyle w:val="FootnoteReference"/>
        </w:rPr>
        <w:footnoteRef/>
      </w:r>
      <w:r>
        <w:t xml:space="preserve"> </w:t>
      </w:r>
      <w:r w:rsidR="00C42FBA">
        <w:rPr>
          <w:lang w:val="en-AU"/>
        </w:rPr>
        <w:t>Queensland has 1</w:t>
      </w:r>
      <w:r w:rsidR="001122A5">
        <w:rPr>
          <w:lang w:val="en-AU"/>
        </w:rPr>
        <w:t>6</w:t>
      </w:r>
      <w:r>
        <w:rPr>
          <w:lang w:val="en-AU"/>
        </w:rPr>
        <w:t xml:space="preserve"> </w:t>
      </w:r>
      <w:r w:rsidR="00D84C72">
        <w:rPr>
          <w:lang w:val="en-AU"/>
        </w:rPr>
        <w:t>HHSs</w:t>
      </w:r>
      <w:r w:rsidR="00DE764F">
        <w:rPr>
          <w:lang w:val="en-AU"/>
        </w:rPr>
        <w:t xml:space="preserve">, which </w:t>
      </w:r>
      <w:r w:rsidR="00C42FBA">
        <w:rPr>
          <w:lang w:val="en-AU"/>
        </w:rPr>
        <w:t>are</w:t>
      </w:r>
      <w:r w:rsidR="001122A5">
        <w:rPr>
          <w:lang w:val="en-AU"/>
        </w:rPr>
        <w:t xml:space="preserve"> primarily</w:t>
      </w:r>
      <w:r>
        <w:rPr>
          <w:lang w:val="en-AU"/>
        </w:rPr>
        <w:t xml:space="preserve"> </w:t>
      </w:r>
      <w:r w:rsidR="00BF753D">
        <w:rPr>
          <w:lang w:val="en-AU"/>
        </w:rPr>
        <w:t>geograph</w:t>
      </w:r>
      <w:r w:rsidR="004D643C">
        <w:rPr>
          <w:lang w:val="en-AU"/>
        </w:rPr>
        <w:t>y</w:t>
      </w:r>
      <w:r w:rsidR="00BF753D">
        <w:rPr>
          <w:lang w:val="en-AU"/>
        </w:rPr>
        <w:t>-based statutory bod</w:t>
      </w:r>
      <w:r w:rsidR="004D643C">
        <w:rPr>
          <w:lang w:val="en-AU"/>
        </w:rPr>
        <w:t>ies</w:t>
      </w:r>
      <w:r w:rsidR="00BF753D">
        <w:rPr>
          <w:lang w:val="en-AU"/>
        </w:rPr>
        <w:t xml:space="preserve"> that </w:t>
      </w:r>
      <w:r w:rsidR="00F02D98">
        <w:rPr>
          <w:lang w:val="en-AU"/>
        </w:rPr>
        <w:t>provide public health services in Queensland</w:t>
      </w:r>
      <w:r w:rsidR="004D643C">
        <w:rPr>
          <w:lang w:val="en-AU"/>
        </w:rPr>
        <w:t>. Each</w:t>
      </w:r>
      <w:r w:rsidR="00376033">
        <w:rPr>
          <w:lang w:val="en-AU"/>
        </w:rPr>
        <w:t xml:space="preserve"> HHS may include public hospitals, primary health sites and community health centres</w:t>
      </w:r>
      <w:r w:rsidR="00B56695">
        <w:rPr>
          <w:lang w:val="en-AU"/>
        </w:rPr>
        <w:t xml:space="preserve">. </w:t>
      </w:r>
      <w:r w:rsidR="00D736C3">
        <w:rPr>
          <w:lang w:val="en-AU"/>
        </w:rPr>
        <w:t>A number of other</w:t>
      </w:r>
      <w:r w:rsidR="00743DC9">
        <w:rPr>
          <w:lang w:val="en-AU"/>
        </w:rPr>
        <w:t xml:space="preserve"> states and territories have similar </w:t>
      </w:r>
      <w:r w:rsidR="00A36C3A">
        <w:rPr>
          <w:lang w:val="en-AU"/>
        </w:rPr>
        <w:t xml:space="preserve">structures </w:t>
      </w:r>
      <w:r w:rsidR="00D736C3">
        <w:rPr>
          <w:lang w:val="en-AU"/>
        </w:rPr>
        <w:t>under different names including</w:t>
      </w:r>
      <w:r w:rsidR="00A36C3A">
        <w:rPr>
          <w:lang w:val="en-AU"/>
        </w:rPr>
        <w:t xml:space="preserve"> Local Health Districts in NSW</w:t>
      </w:r>
      <w:r w:rsidR="004D643C">
        <w:rPr>
          <w:lang w:val="en-AU"/>
        </w:rPr>
        <w:t>.</w:t>
      </w:r>
    </w:p>
  </w:footnote>
  <w:footnote w:id="169">
    <w:p w14:paraId="080E52C3" w14:textId="7C4778A4" w:rsidR="00D42DF5" w:rsidRPr="00D42DF5" w:rsidRDefault="00D42DF5">
      <w:pPr>
        <w:pStyle w:val="FootnoteText"/>
        <w:rPr>
          <w:lang w:val="en-AU"/>
        </w:rPr>
      </w:pPr>
      <w:r>
        <w:rPr>
          <w:rStyle w:val="FootnoteReference"/>
        </w:rPr>
        <w:footnoteRef/>
      </w:r>
      <w:r>
        <w:t xml:space="preserve"> </w:t>
      </w:r>
      <w:r w:rsidR="00071FB5">
        <w:rPr>
          <w:lang w:val="en-AU"/>
        </w:rPr>
        <w:t>Australian Commission on Safety and Quality in Health Care 2024, National Model Clinical Governance Framework, accessed from &lt;</w:t>
      </w:r>
      <w:r w:rsidR="00916028" w:rsidRPr="00916028">
        <w:rPr>
          <w:lang w:val="en-AU"/>
        </w:rPr>
        <w:t>https://www.safetyandquality.gov.au/our-work/clinical-governance/national-model-clinical-governance-framework</w:t>
      </w:r>
      <w:r w:rsidR="00071FB5">
        <w:rPr>
          <w:lang w:val="en-AU"/>
        </w:rPr>
        <w:t>&gt;.</w:t>
      </w:r>
    </w:p>
  </w:footnote>
  <w:footnote w:id="170">
    <w:p w14:paraId="331E889E" w14:textId="7CD760E7" w:rsidR="002723B9" w:rsidRDefault="002723B9" w:rsidP="002723B9">
      <w:pPr>
        <w:pStyle w:val="FootnoteText"/>
      </w:pPr>
      <w:r>
        <w:rPr>
          <w:rStyle w:val="FootnoteReference"/>
        </w:rPr>
        <w:footnoteRef/>
      </w:r>
      <w:r>
        <w:t xml:space="preserve"> </w:t>
      </w:r>
      <w:r w:rsidR="009B776B">
        <w:t>Mwachofi and Al-Assaf 2011, ‘Health Care Market Deviations from the Ideal Market’, accessed from &lt;</w:t>
      </w:r>
      <w:r w:rsidR="00ED25E1" w:rsidRPr="00ED25E1">
        <w:t xml:space="preserve"> https://www.ncbi.nlm.nih.gov/pmc/articles/PMC3210041/ </w:t>
      </w:r>
      <w:r w:rsidR="009B776B">
        <w:t>&gt;.</w:t>
      </w:r>
    </w:p>
  </w:footnote>
  <w:footnote w:id="171">
    <w:p w14:paraId="2AEBF681" w14:textId="76152854" w:rsidR="00E72600" w:rsidRPr="00E72600" w:rsidRDefault="00E72600">
      <w:pPr>
        <w:pStyle w:val="FootnoteText"/>
        <w:rPr>
          <w:lang w:val="en-AU"/>
        </w:rPr>
      </w:pPr>
      <w:r>
        <w:rPr>
          <w:rStyle w:val="FootnoteReference"/>
        </w:rPr>
        <w:footnoteRef/>
      </w:r>
      <w:r>
        <w:t xml:space="preserve"> </w:t>
      </w:r>
      <w:r w:rsidR="00ED25E1">
        <w:t>Ibid.</w:t>
      </w:r>
    </w:p>
  </w:footnote>
  <w:footnote w:id="172">
    <w:p w14:paraId="2212CFD7" w14:textId="7F762469" w:rsidR="003917EA" w:rsidRPr="003917EA" w:rsidRDefault="003917EA">
      <w:pPr>
        <w:pStyle w:val="FootnoteText"/>
        <w:rPr>
          <w:lang w:val="en-AU"/>
        </w:rPr>
      </w:pPr>
      <w:r>
        <w:rPr>
          <w:rStyle w:val="FootnoteReference"/>
        </w:rPr>
        <w:footnoteRef/>
      </w:r>
      <w:r>
        <w:t xml:space="preserve"> </w:t>
      </w:r>
      <w:r w:rsidR="009B0437">
        <w:rPr>
          <w:lang w:val="en-AU"/>
        </w:rPr>
        <w:t xml:space="preserve">Audiology Australia 2024, </w:t>
      </w:r>
      <w:r w:rsidR="009B0437" w:rsidRPr="009B0437">
        <w:rPr>
          <w:i/>
          <w:iCs/>
          <w:lang w:val="en-AU"/>
        </w:rPr>
        <w:t>Audiology Regulation and National Consultation to inform Decision Regulatory Impact Statement</w:t>
      </w:r>
      <w:r w:rsidR="009B0437">
        <w:rPr>
          <w:lang w:val="en-AU"/>
        </w:rPr>
        <w:t>, accessed from &lt;</w:t>
      </w:r>
      <w:r w:rsidR="009B0437" w:rsidRPr="009B0437">
        <w:rPr>
          <w:lang w:val="en-AU"/>
        </w:rPr>
        <w:t>https://audiology.asn.au/audiology-regulation-and-national-consultation-to-inform-decision-regulatory-impact-statement/</w:t>
      </w:r>
      <w:r w:rsidR="009B0437">
        <w:rPr>
          <w:lang w:val="en-AU"/>
        </w:rPr>
        <w:t>&gt;.</w:t>
      </w:r>
    </w:p>
  </w:footnote>
  <w:footnote w:id="173">
    <w:p w14:paraId="78B09CA6" w14:textId="36A10C36" w:rsidR="00881B74" w:rsidRPr="00881B74" w:rsidRDefault="00881B74">
      <w:pPr>
        <w:pStyle w:val="FootnoteText"/>
        <w:rPr>
          <w:lang w:val="en-AU"/>
        </w:rPr>
      </w:pPr>
      <w:r>
        <w:rPr>
          <w:rStyle w:val="FootnoteReference"/>
        </w:rPr>
        <w:footnoteRef/>
      </w:r>
      <w:r>
        <w:t xml:space="preserve"> </w:t>
      </w:r>
      <w:r>
        <w:rPr>
          <w:lang w:val="en-AU"/>
        </w:rPr>
        <w:t xml:space="preserve">Described in: </w:t>
      </w:r>
      <w:r>
        <w:t xml:space="preserve">Australian Competition and &amp; Consumer Commission 2017, </w:t>
      </w:r>
      <w:r w:rsidRPr="00FA56D6">
        <w:rPr>
          <w:i/>
          <w:iCs/>
        </w:rPr>
        <w:t>Issues around the sale of hearing aids</w:t>
      </w:r>
      <w:r>
        <w:t xml:space="preserve">, accessed from </w:t>
      </w:r>
      <w:r w:rsidR="00BE622D">
        <w:t>&lt;</w:t>
      </w:r>
      <w:r w:rsidR="00BE622D" w:rsidRPr="00BE622D">
        <w:t>https://www.accc.gov.au/about-us/publications/issues-around-the-sale-of-hearing-aids</w:t>
      </w:r>
      <w:r w:rsidR="00BE622D">
        <w:t xml:space="preserve">&gt;  and </w:t>
      </w:r>
      <w:r w:rsidR="007A0D01" w:rsidRPr="007A0D01">
        <w:t xml:space="preserve">Woods and Burgess 2021, </w:t>
      </w:r>
      <w:r w:rsidR="007A0D01" w:rsidRPr="00852E36">
        <w:rPr>
          <w:i/>
          <w:iCs/>
        </w:rPr>
        <w:t>Report of the Independent Review of the Hearing Services Program</w:t>
      </w:r>
      <w:r w:rsidR="007A0D01" w:rsidRPr="007A0D01">
        <w:t xml:space="preserve">, </w:t>
      </w:r>
      <w:r w:rsidR="00852E36">
        <w:t xml:space="preserve">p102, </w:t>
      </w:r>
      <w:r w:rsidR="007A0D01" w:rsidRPr="007A0D01">
        <w:t>accessed from &lt; https://www.health.gov.au/sites/default/files/documents/2021/09/report-of-the-independent-review-of-the-hearing-services-program-report.pdf&gt;.</w:t>
      </w:r>
    </w:p>
  </w:footnote>
  <w:footnote w:id="174">
    <w:p w14:paraId="1234E6F6" w14:textId="2D2AE7D3" w:rsidR="000C4C99" w:rsidRPr="000C4C99" w:rsidRDefault="000C4C99">
      <w:pPr>
        <w:pStyle w:val="FootnoteText"/>
        <w:rPr>
          <w:lang w:val="en-AU"/>
        </w:rPr>
      </w:pPr>
      <w:r>
        <w:rPr>
          <w:rStyle w:val="FootnoteReference"/>
        </w:rPr>
        <w:footnoteRef/>
      </w:r>
      <w:r>
        <w:t xml:space="preserve"> </w:t>
      </w:r>
      <w:r>
        <w:rPr>
          <w:lang w:val="en-AU"/>
        </w:rPr>
        <w:t>Described in the abovementioned ACCC report and returned to in:</w:t>
      </w:r>
      <w:r w:rsidRPr="000C4C99">
        <w:t xml:space="preserve"> </w:t>
      </w:r>
      <w:r w:rsidRPr="000C4C99">
        <w:rPr>
          <w:lang w:val="en-AU"/>
        </w:rPr>
        <w:t>Simpson A, Fawcett M, McLeod L, Lin J, Tuncer S and Sarkic B (2023), ‘Financial incentives and moral distress in Australian audiologists and audiometrists’, Clinical Ethics, 18(1): 20-25.</w:t>
      </w:r>
    </w:p>
  </w:footnote>
  <w:footnote w:id="175">
    <w:p w14:paraId="11299C77" w14:textId="70624DBC" w:rsidR="006015A2" w:rsidRPr="006015A2" w:rsidRDefault="006015A2">
      <w:pPr>
        <w:pStyle w:val="FootnoteText"/>
        <w:rPr>
          <w:lang w:val="en-AU"/>
        </w:rPr>
      </w:pPr>
      <w:r>
        <w:rPr>
          <w:rStyle w:val="FootnoteReference"/>
        </w:rPr>
        <w:footnoteRef/>
      </w:r>
      <w:r>
        <w:t xml:space="preserve"> </w:t>
      </w:r>
      <w:r w:rsidR="001D38A6">
        <w:rPr>
          <w:lang w:val="en-AU"/>
        </w:rPr>
        <w:t xml:space="preserve">A range of </w:t>
      </w:r>
      <w:r w:rsidR="00560ED9">
        <w:rPr>
          <w:lang w:val="en-AU"/>
        </w:rPr>
        <w:t>organisations offer these services, a</w:t>
      </w:r>
      <w:r w:rsidR="002160F3">
        <w:rPr>
          <w:lang w:val="en-AU"/>
        </w:rPr>
        <w:t xml:space="preserve">s seen by an online </w:t>
      </w:r>
      <w:r w:rsidR="004E6F49">
        <w:rPr>
          <w:lang w:val="en-AU"/>
        </w:rPr>
        <w:t>query</w:t>
      </w:r>
      <w:r w:rsidR="002160F3">
        <w:rPr>
          <w:lang w:val="en-AU"/>
        </w:rPr>
        <w:t xml:space="preserve"> of </w:t>
      </w:r>
      <w:r w:rsidR="00530591">
        <w:rPr>
          <w:lang w:val="en-AU"/>
        </w:rPr>
        <w:t xml:space="preserve">the search term </w:t>
      </w:r>
      <w:r w:rsidR="002160F3">
        <w:rPr>
          <w:lang w:val="en-AU"/>
        </w:rPr>
        <w:t>‘Australia free hearing checks’.</w:t>
      </w:r>
    </w:p>
  </w:footnote>
  <w:footnote w:id="176">
    <w:p w14:paraId="3D4A5FFE" w14:textId="77777777" w:rsidR="00BC5C25" w:rsidRDefault="00BC5C25" w:rsidP="00BC5C25">
      <w:pPr>
        <w:pStyle w:val="FootnoteText"/>
      </w:pPr>
      <w:r>
        <w:rPr>
          <w:rStyle w:val="FootnoteReference"/>
        </w:rPr>
        <w:footnoteRef/>
      </w:r>
      <w:r>
        <w:t xml:space="preserve"> Australian Competition and &amp; Consumer Commission 2017, </w:t>
      </w:r>
      <w:r w:rsidRPr="00FA56D6">
        <w:rPr>
          <w:i/>
          <w:iCs/>
        </w:rPr>
        <w:t>Issues around the sale of hearing aids</w:t>
      </w:r>
      <w:r>
        <w:t>, accessed from &lt;</w:t>
      </w:r>
      <w:r w:rsidRPr="00FA56D6">
        <w:t>https://www.accc.gov.au/about-us/publications/issues-around-the-sale-of-hearing-aids</w:t>
      </w:r>
      <w:r>
        <w:t>&gt;.</w:t>
      </w:r>
    </w:p>
  </w:footnote>
  <w:footnote w:id="177">
    <w:p w14:paraId="3354E687" w14:textId="77777777" w:rsidR="00686200" w:rsidRDefault="00686200" w:rsidP="00686200">
      <w:pPr>
        <w:pStyle w:val="FootnoteText"/>
      </w:pPr>
      <w:r>
        <w:rPr>
          <w:rStyle w:val="FootnoteReference"/>
        </w:rPr>
        <w:footnoteRef/>
      </w:r>
      <w:r>
        <w:t xml:space="preserve"> Subsequent to this report, the ACCC instituted proceedings in Federal Court against specific hearing aid retailers and issued infringement notices to a specific hearing clinic.</w:t>
      </w:r>
    </w:p>
  </w:footnote>
  <w:footnote w:id="178">
    <w:p w14:paraId="5B1CA6ED" w14:textId="77777777" w:rsidR="00686200" w:rsidRDefault="00686200" w:rsidP="00686200">
      <w:pPr>
        <w:pStyle w:val="FootnoteText"/>
      </w:pPr>
      <w:r>
        <w:rPr>
          <w:rStyle w:val="FootnoteReference"/>
        </w:rPr>
        <w:footnoteRef/>
      </w:r>
      <w:r>
        <w:t xml:space="preserve"> Australian Competition &amp; Consumer Commission 2017, </w:t>
      </w:r>
      <w:r w:rsidRPr="0031112A">
        <w:rPr>
          <w:i/>
          <w:iCs/>
        </w:rPr>
        <w:t>Issues around the sale of hearing aids – Consumer and clinician perspecti</w:t>
      </w:r>
      <w:r>
        <w:rPr>
          <w:i/>
          <w:iCs/>
        </w:rPr>
        <w:t>v</w:t>
      </w:r>
      <w:r w:rsidRPr="0031112A">
        <w:rPr>
          <w:i/>
          <w:iCs/>
        </w:rPr>
        <w:t>es</w:t>
      </w:r>
      <w:r>
        <w:t>, accessed from: &lt;</w:t>
      </w:r>
      <w:r w:rsidRPr="00395B36">
        <w:t>https://www.accc.gov.au/system/files/Issues%20around%20the%20sale%20of%20hearing%20aids%20-%20Consumer%20and%20clinical%20perspectives.pdf</w:t>
      </w:r>
      <w:r>
        <w:t>&gt;.</w:t>
      </w:r>
    </w:p>
  </w:footnote>
  <w:footnote w:id="179">
    <w:p w14:paraId="359CD871" w14:textId="77777777" w:rsidR="001D5EE2" w:rsidRDefault="001D5EE2" w:rsidP="001D5EE2">
      <w:pPr>
        <w:pStyle w:val="FootnoteText"/>
      </w:pPr>
      <w:r>
        <w:rPr>
          <w:rStyle w:val="FootnoteReference"/>
        </w:rPr>
        <w:footnoteRef/>
      </w:r>
      <w:r>
        <w:t xml:space="preserve"> Audiology Australia 2017, </w:t>
      </w:r>
      <w:r w:rsidRPr="00DF31C6">
        <w:rPr>
          <w:i/>
          <w:iCs/>
        </w:rPr>
        <w:t>The remuneration of audiologists should not be based on sales targets</w:t>
      </w:r>
      <w:r>
        <w:t>, accessed from &lt;</w:t>
      </w:r>
      <w:r w:rsidRPr="00802BE0">
        <w:t xml:space="preserve"> https://audiology.asn.au/Tenant/C0000013/Position%20Papers/170714_AudA%20Position%20Statement%20Remuneration.pdf</w:t>
      </w:r>
      <w:r>
        <w:t>&gt;.</w:t>
      </w:r>
    </w:p>
  </w:footnote>
  <w:footnote w:id="180">
    <w:p w14:paraId="5D283FB1" w14:textId="77777777" w:rsidR="001D5EE2" w:rsidRDefault="001D5EE2" w:rsidP="001D5EE2">
      <w:pPr>
        <w:pStyle w:val="FootnoteText"/>
      </w:pPr>
      <w:r>
        <w:rPr>
          <w:rStyle w:val="FootnoteReference"/>
        </w:rPr>
        <w:footnoteRef/>
      </w:r>
      <w:r>
        <w:t xml:space="preserve"> Australian College of Audiology 2018, </w:t>
      </w:r>
      <w:r w:rsidRPr="00DF31C6">
        <w:rPr>
          <w:i/>
          <w:iCs/>
        </w:rPr>
        <w:t>Position Paper on sales commissions and other sales-based incentives</w:t>
      </w:r>
      <w:r>
        <w:t>, accessed from &lt;</w:t>
      </w:r>
      <w:r w:rsidRPr="000C0547">
        <w:t xml:space="preserve"> https://www.acaud.com.au/wp-content/uploads/2022/05/Position-Paper-Sales-Commission-and-Sales-Based-Incentives.pdf</w:t>
      </w:r>
      <w:r>
        <w:t>&gt;.</w:t>
      </w:r>
    </w:p>
  </w:footnote>
  <w:footnote w:id="181">
    <w:p w14:paraId="6C203E91" w14:textId="5F41B10C" w:rsidR="001D5EE2" w:rsidRDefault="001D5EE2" w:rsidP="001D5EE2">
      <w:pPr>
        <w:pStyle w:val="FootnoteText"/>
      </w:pPr>
      <w:r>
        <w:rPr>
          <w:rStyle w:val="FootnoteReference"/>
        </w:rPr>
        <w:footnoteRef/>
      </w:r>
      <w:r>
        <w:t xml:space="preserve"> </w:t>
      </w:r>
      <w:r w:rsidR="00C73902" w:rsidRPr="00C73902">
        <w:rPr>
          <w:lang w:val="en-AU"/>
        </w:rPr>
        <w:t xml:space="preserve"> </w:t>
      </w:r>
      <w:r w:rsidR="00C73902">
        <w:rPr>
          <w:lang w:val="en-AU"/>
        </w:rPr>
        <w:t xml:space="preserve">Hearing Professional Conduct and Complaints Body 2024, </w:t>
      </w:r>
      <w:r w:rsidR="00C73902" w:rsidRPr="004745B0">
        <w:rPr>
          <w:i/>
          <w:iCs/>
          <w:lang w:val="en-AU"/>
        </w:rPr>
        <w:t>Code of Conduct for Audiologists and Audiometrists</w:t>
      </w:r>
      <w:r w:rsidR="00C73902">
        <w:rPr>
          <w:lang w:val="en-AU"/>
        </w:rPr>
        <w:t>, accessed from &lt;</w:t>
      </w:r>
      <w:r w:rsidR="00C73902" w:rsidRPr="00383F02">
        <w:t xml:space="preserve"> </w:t>
      </w:r>
      <w:r w:rsidR="00C73902" w:rsidRPr="00550F76">
        <w:t>https://hpccb.org.au/wp-content/uploads/2024/09/Code-of-Conduct-for-audiologists-and-audiometrists-20241001.pdf</w:t>
      </w:r>
      <w:r w:rsidR="00C73902" w:rsidRPr="00550F76" w:rsidDel="005D7CBC">
        <w:t xml:space="preserve"> </w:t>
      </w:r>
      <w:r w:rsidR="00C73902">
        <w:rPr>
          <w:lang w:val="en-AU"/>
        </w:rPr>
        <w:t>&gt;.</w:t>
      </w:r>
    </w:p>
  </w:footnote>
  <w:footnote w:id="182">
    <w:p w14:paraId="2C0D35A4" w14:textId="5E5C2BF7" w:rsidR="001D5EE2" w:rsidRDefault="001D5EE2" w:rsidP="001D5EE2">
      <w:pPr>
        <w:pStyle w:val="FootnoteText"/>
      </w:pPr>
      <w:r>
        <w:rPr>
          <w:rStyle w:val="FootnoteReference"/>
        </w:rPr>
        <w:footnoteRef/>
      </w:r>
      <w:r>
        <w:t xml:space="preserve"> </w:t>
      </w:r>
      <w:r w:rsidR="0060202E">
        <w:t>Ibid.</w:t>
      </w:r>
    </w:p>
  </w:footnote>
  <w:footnote w:id="183">
    <w:p w14:paraId="40F89189" w14:textId="77777777" w:rsidR="00EF09E2" w:rsidRDefault="00EF09E2" w:rsidP="00EF09E2">
      <w:pPr>
        <w:pStyle w:val="FootnoteText"/>
      </w:pPr>
      <w:r>
        <w:rPr>
          <w:rStyle w:val="FootnoteReference"/>
        </w:rPr>
        <w:footnoteRef/>
      </w:r>
      <w:r>
        <w:t xml:space="preserve"> Simpson A, Phillips K, Wong D, Clarke S and Thornton (2018), ‘Factors influencing audiologists’ perception of moral climate in the workplace’, International Journal of Audiology, 57:5, 385-394.</w:t>
      </w:r>
    </w:p>
  </w:footnote>
  <w:footnote w:id="184">
    <w:p w14:paraId="1AF3FA88" w14:textId="77777777" w:rsidR="00EF09E2" w:rsidRDefault="00EF09E2" w:rsidP="00EF09E2">
      <w:pPr>
        <w:pStyle w:val="FootnoteText"/>
      </w:pPr>
      <w:r>
        <w:rPr>
          <w:rStyle w:val="FootnoteReference"/>
        </w:rPr>
        <w:footnoteRef/>
      </w:r>
      <w:r>
        <w:t xml:space="preserve"> The authors note that the survey was voluntary, and therefore respondents may have been more likely to participate as a result of having strong interest in the issue or having had experienced moral distress.</w:t>
      </w:r>
    </w:p>
  </w:footnote>
  <w:footnote w:id="185">
    <w:p w14:paraId="1CDEEB01" w14:textId="77777777" w:rsidR="00EF09E2" w:rsidRDefault="00EF09E2" w:rsidP="00EF09E2">
      <w:pPr>
        <w:pStyle w:val="FootnoteText"/>
      </w:pPr>
      <w:r>
        <w:rPr>
          <w:rStyle w:val="FootnoteReference"/>
        </w:rPr>
        <w:footnoteRef/>
      </w:r>
      <w:r>
        <w:t xml:space="preserve"> Simpson A, Fawcett M, McLeod L, Lin J, Tuncer S and Sarkic B (2023), ‘Financial incentives and moral distress in Australian audiologists and audiometrists’, Clinical Ethics, 18(1): 20-25.</w:t>
      </w:r>
    </w:p>
  </w:footnote>
  <w:footnote w:id="186">
    <w:p w14:paraId="2EEA56A9" w14:textId="77777777" w:rsidR="00EF09E2" w:rsidRDefault="00EF09E2" w:rsidP="00EF09E2">
      <w:pPr>
        <w:pStyle w:val="FootnoteText"/>
      </w:pPr>
      <w:r>
        <w:rPr>
          <w:rStyle w:val="FootnoteReference"/>
        </w:rPr>
        <w:footnoteRef/>
      </w:r>
      <w:r>
        <w:t xml:space="preserve"> Respondents could select more than one type of financial incentive.</w:t>
      </w:r>
    </w:p>
  </w:footnote>
  <w:footnote w:id="187">
    <w:p w14:paraId="11CF9CE3" w14:textId="77777777" w:rsidR="001D5EE2" w:rsidRDefault="001D5EE2" w:rsidP="001D5EE2">
      <w:pPr>
        <w:pStyle w:val="FootnoteText"/>
      </w:pPr>
      <w:r>
        <w:rPr>
          <w:rStyle w:val="FootnoteReference"/>
        </w:rPr>
        <w:footnoteRef/>
      </w:r>
      <w:r>
        <w:t xml:space="preserve"> Australian Government Department of Health and Aged Care 2023, </w:t>
      </w:r>
      <w:r w:rsidRPr="00964442">
        <w:rPr>
          <w:i/>
          <w:iCs/>
        </w:rPr>
        <w:t>Fully or partially subsidised hearing devices</w:t>
      </w:r>
      <w:r>
        <w:t>, accessed from &lt;</w:t>
      </w:r>
      <w:r w:rsidRPr="000949DD">
        <w:t xml:space="preserve"> https://acc.hearingservices.gov.au/wps/wcm/connect/hso/42187a27-d01f-4689-92b6-1f2cee163c28/Fully+or+partially+subsidised+hearing+devices_Feb2023.pdf?MOD=AJPERES</w:t>
      </w:r>
      <w:r>
        <w:t>&gt;.</w:t>
      </w:r>
    </w:p>
  </w:footnote>
  <w:footnote w:id="188">
    <w:p w14:paraId="64C26ECE" w14:textId="77777777" w:rsidR="001D5EE2" w:rsidRDefault="001D5EE2" w:rsidP="001D5EE2">
      <w:pPr>
        <w:pStyle w:val="FootnoteText"/>
      </w:pPr>
      <w:r>
        <w:rPr>
          <w:rStyle w:val="FootnoteReference"/>
        </w:rPr>
        <w:footnoteRef/>
      </w:r>
      <w:r>
        <w:t xml:space="preserve"> Australian Government 2021, </w:t>
      </w:r>
      <w:r w:rsidRPr="00C01B13">
        <w:rPr>
          <w:i/>
          <w:iCs/>
        </w:rPr>
        <w:t>Hearing Services Program (Voucher) Instrument 2019</w:t>
      </w:r>
      <w:r>
        <w:t>, accessed from &lt;</w:t>
      </w:r>
      <w:r w:rsidRPr="00C01B13">
        <w:t xml:space="preserve"> https://www.legislation.gov.au/F2019L00969/latest/text</w:t>
      </w:r>
      <w:r>
        <w:t>&gt;.</w:t>
      </w:r>
    </w:p>
  </w:footnote>
  <w:footnote w:id="189">
    <w:p w14:paraId="5D37AE43" w14:textId="77777777" w:rsidR="008A795A" w:rsidRPr="00162AA2" w:rsidRDefault="008A795A" w:rsidP="008A795A">
      <w:pPr>
        <w:pStyle w:val="FootnoteText"/>
        <w:rPr>
          <w:lang w:val="en-AU"/>
        </w:rPr>
      </w:pPr>
      <w:r>
        <w:rPr>
          <w:rStyle w:val="FootnoteReference"/>
        </w:rPr>
        <w:footnoteRef/>
      </w:r>
      <w:r>
        <w:t xml:space="preserve"> Woods and Burgess 2021, </w:t>
      </w:r>
      <w:r w:rsidRPr="00AD461A">
        <w:rPr>
          <w:i/>
          <w:iCs/>
        </w:rPr>
        <w:t>Report of the Independent Review of the Hearing Services Program</w:t>
      </w:r>
      <w:r>
        <w:t>, accessed from &lt;</w:t>
      </w:r>
      <w:r w:rsidRPr="00852661">
        <w:t xml:space="preserve"> https://www.health.gov.au/sites/default/files/documents/2021/09/report-of-the-independent-review-of-the-hearing-services-program-report.pdf</w:t>
      </w:r>
      <w:r>
        <w:t>&gt;.</w:t>
      </w:r>
    </w:p>
  </w:footnote>
  <w:footnote w:id="190">
    <w:p w14:paraId="696FAB9D" w14:textId="6DA8A9D2" w:rsidR="00944499" w:rsidRPr="00944499" w:rsidRDefault="00944499">
      <w:pPr>
        <w:pStyle w:val="FootnoteText"/>
        <w:rPr>
          <w:lang w:val="en-AU"/>
        </w:rPr>
      </w:pPr>
      <w:r>
        <w:rPr>
          <w:rStyle w:val="FootnoteReference"/>
        </w:rPr>
        <w:footnoteRef/>
      </w:r>
      <w:r>
        <w:t xml:space="preserve"> </w:t>
      </w:r>
      <w:r w:rsidR="00543C80">
        <w:t xml:space="preserve">Parliament of Australia, </w:t>
      </w:r>
      <w:r w:rsidR="00543C80" w:rsidRPr="00882910">
        <w:rPr>
          <w:i/>
          <w:iCs/>
        </w:rPr>
        <w:t>Still waiting to be heard...</w:t>
      </w:r>
      <w:r w:rsidR="00543C80">
        <w:rPr>
          <w:i/>
          <w:iCs/>
        </w:rPr>
        <w:t>,</w:t>
      </w:r>
      <w:r w:rsidR="00543C80">
        <w:t>(2017) &lt;</w:t>
      </w:r>
      <w:r w:rsidR="00543C80" w:rsidRPr="000E6705">
        <w:t>https://www.aph.gov.au/Parliamentary_Business/Committees/House/Health_Aged_Care_and_Sport/HearingHealth/Report_1</w:t>
      </w:r>
      <w:r w:rsidR="00543C80">
        <w:t>&gt;</w:t>
      </w:r>
    </w:p>
  </w:footnote>
  <w:footnote w:id="191">
    <w:p w14:paraId="6700328D" w14:textId="77777777" w:rsidR="00860B4A" w:rsidRPr="00162AA2" w:rsidRDefault="00860B4A" w:rsidP="00860B4A">
      <w:pPr>
        <w:pStyle w:val="FootnoteText"/>
        <w:rPr>
          <w:lang w:val="en-AU"/>
        </w:rPr>
      </w:pPr>
      <w:r>
        <w:rPr>
          <w:rStyle w:val="FootnoteReference"/>
        </w:rPr>
        <w:footnoteRef/>
      </w:r>
      <w:r>
        <w:t xml:space="preserve"> Woods and Burgess 2021, </w:t>
      </w:r>
      <w:r w:rsidRPr="007E04D6">
        <w:rPr>
          <w:i/>
          <w:iCs/>
        </w:rPr>
        <w:t>Report of the Independent Review of the Hearing Services Program</w:t>
      </w:r>
      <w:r>
        <w:t>, accessed from &lt;</w:t>
      </w:r>
      <w:r w:rsidRPr="00852661">
        <w:t xml:space="preserve"> https://www.health.gov.au/sites/default/files/documents/2021/09/report-of-the-independent-review-of-the-hearing-services-program-report.pdf</w:t>
      </w:r>
      <w:r>
        <w:t>&gt;.</w:t>
      </w:r>
    </w:p>
  </w:footnote>
  <w:footnote w:id="192">
    <w:p w14:paraId="1D9A4CDE" w14:textId="77777777" w:rsidR="00F11933" w:rsidRDefault="00F11933" w:rsidP="00F11933">
      <w:pPr>
        <w:pStyle w:val="FootnoteText"/>
      </w:pPr>
      <w:r>
        <w:rPr>
          <w:rStyle w:val="FootnoteReference"/>
        </w:rPr>
        <w:footnoteRef/>
      </w:r>
      <w:r>
        <w:t xml:space="preserve"> It is recognised that healthcare professionals may not be aware of mandatory reporting requirements that apply to them, or make a decision not to comply with mandatory reporting requirements.</w:t>
      </w:r>
    </w:p>
  </w:footnote>
  <w:footnote w:id="193">
    <w:p w14:paraId="35D6945C" w14:textId="110F9227" w:rsidR="004346A1" w:rsidRDefault="004346A1" w:rsidP="004346A1">
      <w:pPr>
        <w:pStyle w:val="FootnoteText"/>
      </w:pPr>
      <w:r>
        <w:rPr>
          <w:rStyle w:val="FootnoteReference"/>
        </w:rPr>
        <w:footnoteRef/>
      </w:r>
      <w:r>
        <w:t xml:space="preserve"> </w:t>
      </w:r>
      <w:r w:rsidR="007E251E">
        <w:rPr>
          <w:lang w:val="en-AU"/>
        </w:rPr>
        <w:t xml:space="preserve">Hearing Professional Conduct and Complaints Body 2024, </w:t>
      </w:r>
      <w:r w:rsidR="007E251E" w:rsidRPr="004745B0">
        <w:rPr>
          <w:i/>
          <w:iCs/>
          <w:lang w:val="en-AU"/>
        </w:rPr>
        <w:t>Code of Conduct for Audiologists and Audiometrists</w:t>
      </w:r>
      <w:r w:rsidR="007E251E">
        <w:rPr>
          <w:lang w:val="en-AU"/>
        </w:rPr>
        <w:t>, accessed from &lt;</w:t>
      </w:r>
      <w:r w:rsidR="007E251E" w:rsidRPr="00383F02">
        <w:t xml:space="preserve"> </w:t>
      </w:r>
      <w:r w:rsidR="007E251E" w:rsidRPr="00550F76">
        <w:t>https://hpccb.org.au/wp-content/uploads/2024/09/Code-of-Conduct-for-audiologists-and-audiometrists-20241001.pdf</w:t>
      </w:r>
      <w:r w:rsidR="007E251E" w:rsidRPr="00550F76" w:rsidDel="005D7CBC">
        <w:t xml:space="preserve"> </w:t>
      </w:r>
      <w:r w:rsidR="007E251E">
        <w:rPr>
          <w:lang w:val="en-AU"/>
        </w:rPr>
        <w:t>&gt;.</w:t>
      </w:r>
    </w:p>
  </w:footnote>
  <w:footnote w:id="194">
    <w:p w14:paraId="04064FBD" w14:textId="77777777" w:rsidR="004346A1" w:rsidRDefault="004346A1" w:rsidP="004346A1">
      <w:pPr>
        <w:pStyle w:val="FootnoteText"/>
      </w:pPr>
      <w:r>
        <w:rPr>
          <w:rStyle w:val="FootnoteReference"/>
        </w:rPr>
        <w:footnoteRef/>
      </w:r>
      <w:r>
        <w:t xml:space="preserve"> NSW Government (2023), </w:t>
      </w:r>
      <w:r w:rsidRPr="007E31D2">
        <w:rPr>
          <w:i/>
          <w:iCs/>
        </w:rPr>
        <w:t>Public Health Regulation 2022</w:t>
      </w:r>
      <w:r>
        <w:t>, accessed from &lt;</w:t>
      </w:r>
      <w:r w:rsidRPr="007E31D2">
        <w:t>https://legislation.nsw.gov.au/view/html/inforce/current/sl-2022-0502#sec.116</w:t>
      </w:r>
      <w:r>
        <w:t>&gt;.</w:t>
      </w:r>
    </w:p>
  </w:footnote>
  <w:footnote w:id="195">
    <w:p w14:paraId="012DAFA0" w14:textId="1D669978" w:rsidR="004346A1" w:rsidRDefault="004346A1" w:rsidP="004346A1">
      <w:pPr>
        <w:pStyle w:val="FootnoteText"/>
      </w:pPr>
      <w:r>
        <w:rPr>
          <w:rStyle w:val="FootnoteReference"/>
        </w:rPr>
        <w:footnoteRef/>
      </w:r>
      <w:r>
        <w:t xml:space="preserve"> </w:t>
      </w:r>
      <w:r w:rsidR="00543528">
        <w:rPr>
          <w:lang w:val="en-AU"/>
        </w:rPr>
        <w:t xml:space="preserve">Hearing Professional Conduct and Complaints Body 2024, </w:t>
      </w:r>
      <w:r w:rsidR="00543528" w:rsidRPr="004745B0">
        <w:rPr>
          <w:i/>
          <w:iCs/>
          <w:lang w:val="en-AU"/>
        </w:rPr>
        <w:t>Code of Conduct for Audiologists and Audiometrists</w:t>
      </w:r>
      <w:r w:rsidR="00543528">
        <w:rPr>
          <w:lang w:val="en-AU"/>
        </w:rPr>
        <w:t>, accessed from &lt;</w:t>
      </w:r>
      <w:r w:rsidR="00543528" w:rsidRPr="00383F02">
        <w:t xml:space="preserve"> </w:t>
      </w:r>
      <w:r w:rsidR="00543528" w:rsidRPr="00550F76">
        <w:t>https://hpccb.org.au/wp-content/uploads/2024/09/Code-of-Conduct-for-audiologists-and-audiometrists-20241001.pdf</w:t>
      </w:r>
      <w:r w:rsidR="00543528" w:rsidRPr="00550F76" w:rsidDel="005D7CBC">
        <w:t xml:space="preserve"> </w:t>
      </w:r>
      <w:r w:rsidR="00543528">
        <w:rPr>
          <w:lang w:val="en-AU"/>
        </w:rPr>
        <w:t>&gt;.</w:t>
      </w:r>
    </w:p>
  </w:footnote>
  <w:footnote w:id="196">
    <w:p w14:paraId="50B735CF" w14:textId="77777777" w:rsidR="004346A1" w:rsidRDefault="004346A1" w:rsidP="004346A1">
      <w:pPr>
        <w:pStyle w:val="FootnoteText"/>
      </w:pPr>
      <w:r>
        <w:rPr>
          <w:rStyle w:val="FootnoteReference"/>
        </w:rPr>
        <w:footnoteRef/>
      </w:r>
      <w:r>
        <w:t xml:space="preserve"> Audiology Australia 2017, </w:t>
      </w:r>
      <w:r w:rsidRPr="00DF31C6">
        <w:rPr>
          <w:i/>
          <w:iCs/>
        </w:rPr>
        <w:t>The remuneration of audiologists should not be based on sales targets</w:t>
      </w:r>
      <w:r>
        <w:t>, accessed from &lt;</w:t>
      </w:r>
      <w:r w:rsidRPr="00802BE0">
        <w:t xml:space="preserve"> https://audiology.asn.au/Tenant/C0000013/Position%20Papers/170714_AudA%20Position%20Statement%20Remuneration.pdf</w:t>
      </w:r>
      <w:r>
        <w:t>&gt;.</w:t>
      </w:r>
    </w:p>
  </w:footnote>
  <w:footnote w:id="197">
    <w:p w14:paraId="1F98383E" w14:textId="77777777" w:rsidR="004346A1" w:rsidRDefault="004346A1" w:rsidP="004346A1">
      <w:pPr>
        <w:pStyle w:val="FootnoteText"/>
      </w:pPr>
      <w:r>
        <w:rPr>
          <w:rStyle w:val="FootnoteReference"/>
        </w:rPr>
        <w:footnoteRef/>
      </w:r>
      <w:r>
        <w:t xml:space="preserve"> Australian College of Audiology 2018, </w:t>
      </w:r>
      <w:r w:rsidRPr="00DF31C6">
        <w:rPr>
          <w:i/>
          <w:iCs/>
        </w:rPr>
        <w:t>Position Paper on sales commissions and other sales-based incentives</w:t>
      </w:r>
      <w:r>
        <w:t>, accessed from &lt;</w:t>
      </w:r>
      <w:r w:rsidRPr="000C0547">
        <w:t xml:space="preserve"> https://www.acaud.com.au/wp-content/uploads/2022/05/Position-Paper-Sales-Commission-and-Sales-Based-Incentives.pdf</w:t>
      </w:r>
      <w:r>
        <w:t>&gt;.</w:t>
      </w:r>
    </w:p>
  </w:footnote>
  <w:footnote w:id="198">
    <w:p w14:paraId="1C26826C" w14:textId="77777777" w:rsidR="00E074B8" w:rsidRDefault="00E074B8" w:rsidP="00E074B8">
      <w:pPr>
        <w:pStyle w:val="FootnoteText"/>
      </w:pPr>
      <w:r>
        <w:rPr>
          <w:rStyle w:val="FootnoteReference"/>
        </w:rPr>
        <w:footnoteRef/>
      </w:r>
      <w:r>
        <w:t xml:space="preserve"> Independent Governance Review 2023, Paediatric Cochlear Implant Program Women’s and Children’s Health Network South Australia, accessed from &lt;</w:t>
      </w:r>
      <w:r w:rsidRPr="006856E5">
        <w:t xml:space="preserve"> https://www.sahealth.sa.gov.au/wps/wcm/connect/3ea94b77-d993-40ae-a3d1-90b55d7cba20/External+Governance+Review-PaediatricCochlearImplant-Review-FinalReport-9thAugust2023.pdf?MOD=AJPERES&amp;amp;CACHEID=ROOTWORKSPACE-3ea94b77-d993-40ae-a3d1-90b55d7cba20-oEm3CkI</w:t>
      </w:r>
      <w:r>
        <w:t>&gt;, p62.</w:t>
      </w:r>
    </w:p>
  </w:footnote>
  <w:footnote w:id="199">
    <w:p w14:paraId="0C6631B2" w14:textId="77777777" w:rsidR="00E074B8" w:rsidRDefault="00E074B8" w:rsidP="00E074B8">
      <w:pPr>
        <w:pStyle w:val="FootnoteText"/>
      </w:pPr>
      <w:r>
        <w:rPr>
          <w:rStyle w:val="FootnoteReference"/>
        </w:rPr>
        <w:footnoteRef/>
      </w:r>
      <w:r>
        <w:t xml:space="preserve"> South Australia’s Health Complaints Entity.</w:t>
      </w:r>
    </w:p>
  </w:footnote>
  <w:footnote w:id="200">
    <w:p w14:paraId="59C75DA3" w14:textId="587EE709" w:rsidR="0052336C" w:rsidRPr="0052336C" w:rsidRDefault="0052336C">
      <w:pPr>
        <w:pStyle w:val="FootnoteText"/>
        <w:rPr>
          <w:lang w:val="en-AU"/>
        </w:rPr>
      </w:pPr>
      <w:r>
        <w:rPr>
          <w:rStyle w:val="FootnoteReference"/>
        </w:rPr>
        <w:footnoteRef/>
      </w:r>
      <w:r>
        <w:t xml:space="preserve"> </w:t>
      </w:r>
      <w:r>
        <w:rPr>
          <w:lang w:val="en-AU"/>
        </w:rPr>
        <w:t xml:space="preserve">Commonwealth of Australia 2000, </w:t>
      </w:r>
      <w:r w:rsidR="00B833D9" w:rsidRPr="00F72725">
        <w:rPr>
          <w:i/>
          <w:iCs/>
          <w:lang w:val="en-AU"/>
        </w:rPr>
        <w:t>Industry Self-Regulation in Consumer Markets</w:t>
      </w:r>
      <w:r w:rsidR="00B833D9">
        <w:rPr>
          <w:lang w:val="en-AU"/>
        </w:rPr>
        <w:t>, accessed from &lt;</w:t>
      </w:r>
      <w:r w:rsidR="006D5C8B" w:rsidRPr="006D5C8B">
        <w:t xml:space="preserve"> </w:t>
      </w:r>
      <w:r w:rsidR="006D5C8B" w:rsidRPr="006D5C8B">
        <w:rPr>
          <w:lang w:val="en-AU"/>
        </w:rPr>
        <w:t>https://treasury.gov.au/sites/default/files/2019-03/final_report.pdf</w:t>
      </w:r>
      <w:r w:rsidR="00B833D9">
        <w:rPr>
          <w:lang w:val="en-AU"/>
        </w:rPr>
        <w:t>&gt;.</w:t>
      </w:r>
    </w:p>
  </w:footnote>
  <w:footnote w:id="201">
    <w:p w14:paraId="6CDAD8BD" w14:textId="6558F424" w:rsidR="008B2739" w:rsidRPr="008B2739" w:rsidRDefault="008B2739">
      <w:pPr>
        <w:pStyle w:val="FootnoteText"/>
        <w:rPr>
          <w:lang w:val="en-AU"/>
        </w:rPr>
      </w:pPr>
      <w:r>
        <w:rPr>
          <w:rStyle w:val="FootnoteReference"/>
        </w:rPr>
        <w:footnoteRef/>
      </w:r>
      <w:r>
        <w:t xml:space="preserve"> </w:t>
      </w:r>
      <w:r w:rsidR="00521C2B">
        <w:rPr>
          <w:lang w:val="en-AU"/>
        </w:rPr>
        <w:t xml:space="preserve">AIHW 2024, </w:t>
      </w:r>
      <w:r w:rsidR="00521C2B" w:rsidRPr="00521C2B">
        <w:rPr>
          <w:i/>
          <w:iCs/>
          <w:lang w:val="en-AU"/>
        </w:rPr>
        <w:t>Health system overview</w:t>
      </w:r>
      <w:r w:rsidR="00521C2B">
        <w:rPr>
          <w:lang w:val="en-AU"/>
        </w:rPr>
        <w:t>, accessed from &lt;</w:t>
      </w:r>
      <w:r w:rsidR="00521C2B" w:rsidRPr="00521C2B">
        <w:rPr>
          <w:lang w:val="en-AU"/>
        </w:rPr>
        <w:t>https://www.aihw.gov.au/reports/australias-health/health-system-overview</w:t>
      </w:r>
      <w:r w:rsidR="00521C2B">
        <w:rPr>
          <w:lang w:val="en-AU"/>
        </w:rPr>
        <w:t>&gt;.</w:t>
      </w:r>
    </w:p>
  </w:footnote>
  <w:footnote w:id="202">
    <w:p w14:paraId="40AC32FA" w14:textId="470B6FB8" w:rsidR="00505768" w:rsidRPr="00505768" w:rsidRDefault="00505768">
      <w:pPr>
        <w:pStyle w:val="FootnoteText"/>
        <w:rPr>
          <w:lang w:val="en-AU"/>
        </w:rPr>
      </w:pPr>
      <w:r>
        <w:rPr>
          <w:rStyle w:val="FootnoteReference"/>
        </w:rPr>
        <w:footnoteRef/>
      </w:r>
      <w:r>
        <w:t xml:space="preserve"> </w:t>
      </w:r>
      <w:r w:rsidR="00585B28">
        <w:rPr>
          <w:lang w:val="en-AU"/>
        </w:rPr>
        <w:t>Addendum to National Health Reform Agreement</w:t>
      </w:r>
      <w:r w:rsidR="00BC63BD">
        <w:rPr>
          <w:lang w:val="en-AU"/>
        </w:rPr>
        <w:t xml:space="preserve"> 2020-2025</w:t>
      </w:r>
      <w:r w:rsidR="00A41737">
        <w:rPr>
          <w:lang w:val="en-AU"/>
        </w:rPr>
        <w:t xml:space="preserve"> (</w:t>
      </w:r>
      <w:r w:rsidR="00C74569">
        <w:rPr>
          <w:lang w:val="en-AU"/>
        </w:rPr>
        <w:t>p6)</w:t>
      </w:r>
      <w:r w:rsidR="00BC63BD">
        <w:rPr>
          <w:lang w:val="en-AU"/>
        </w:rPr>
        <w:t>,</w:t>
      </w:r>
      <w:r w:rsidR="00585B28">
        <w:rPr>
          <w:lang w:val="en-AU"/>
        </w:rPr>
        <w:t xml:space="preserve"> accessed from </w:t>
      </w:r>
      <w:r w:rsidR="00585B28">
        <w:t>&lt;</w:t>
      </w:r>
      <w:r w:rsidR="00585B28" w:rsidRPr="00585B28">
        <w:rPr>
          <w:lang w:val="en-AU"/>
        </w:rPr>
        <w:t>https://federalfinancialrelations.gov.au/sites/federalfinancialrelations.gov.au/files/2021-07/NHRA_2020-25_Addendum_consolidated.pdf</w:t>
      </w:r>
      <w:r w:rsidR="00585B28">
        <w:rPr>
          <w:lang w:val="en-AU"/>
        </w:rPr>
        <w:t>&gt;.</w:t>
      </w:r>
    </w:p>
  </w:footnote>
  <w:footnote w:id="203">
    <w:p w14:paraId="321185EF" w14:textId="77777777" w:rsidR="00332D18" w:rsidRPr="009C6702" w:rsidRDefault="00332D18" w:rsidP="00332D18">
      <w:pPr>
        <w:pStyle w:val="FootnoteText"/>
        <w:rPr>
          <w:lang w:val="en-AU"/>
        </w:rPr>
      </w:pPr>
      <w:r>
        <w:rPr>
          <w:rStyle w:val="FootnoteReference"/>
        </w:rPr>
        <w:footnoteRef/>
      </w:r>
      <w:r>
        <w:t xml:space="preserve"> </w:t>
      </w:r>
      <w:r>
        <w:rPr>
          <w:lang w:val="en-AU"/>
        </w:rPr>
        <w:t xml:space="preserve">National Indigenous Australians Agency 2024, </w:t>
      </w:r>
      <w:r w:rsidRPr="0007458C">
        <w:rPr>
          <w:i/>
          <w:iCs/>
          <w:lang w:val="en-AU"/>
        </w:rPr>
        <w:t>3.14 Access to services compared with need</w:t>
      </w:r>
      <w:r>
        <w:rPr>
          <w:lang w:val="en-AU"/>
        </w:rPr>
        <w:t>, accessed from &lt;</w:t>
      </w:r>
      <w:r w:rsidRPr="000B238D">
        <w:t xml:space="preserve"> </w:t>
      </w:r>
      <w:r w:rsidRPr="000B238D">
        <w:rPr>
          <w:lang w:val="en-AU"/>
        </w:rPr>
        <w:t>https://www.indigenoushpf.gov.au/measures/3-14-access-to-services-compared-with-need</w:t>
      </w:r>
      <w:r>
        <w:rPr>
          <w:lang w:val="en-AU"/>
        </w:rPr>
        <w:t>&gt;.</w:t>
      </w:r>
    </w:p>
  </w:footnote>
  <w:footnote w:id="204">
    <w:p w14:paraId="3CCAD6BB" w14:textId="35D36CF8" w:rsidR="0086616A" w:rsidRPr="0086616A" w:rsidRDefault="0086616A">
      <w:pPr>
        <w:pStyle w:val="FootnoteText"/>
        <w:rPr>
          <w:lang w:val="en-AU"/>
        </w:rPr>
      </w:pPr>
      <w:r>
        <w:rPr>
          <w:rStyle w:val="FootnoteReference"/>
        </w:rPr>
        <w:footnoteRef/>
      </w:r>
      <w:r>
        <w:t xml:space="preserve"> </w:t>
      </w:r>
      <w:r>
        <w:rPr>
          <w:lang w:val="en-AU"/>
        </w:rPr>
        <w:t xml:space="preserve">ABS </w:t>
      </w:r>
      <w:r w:rsidR="00547030">
        <w:rPr>
          <w:lang w:val="en-AU"/>
        </w:rPr>
        <w:t xml:space="preserve">2023, </w:t>
      </w:r>
      <w:r w:rsidR="00547030" w:rsidRPr="00547030">
        <w:rPr>
          <w:i/>
          <w:iCs/>
          <w:lang w:val="en-AU"/>
        </w:rPr>
        <w:t>Patient Experiences</w:t>
      </w:r>
      <w:r w:rsidR="00547030">
        <w:rPr>
          <w:lang w:val="en-AU"/>
        </w:rPr>
        <w:t>, accessed from &lt;</w:t>
      </w:r>
      <w:r w:rsidR="00547030" w:rsidRPr="00547030">
        <w:rPr>
          <w:lang w:val="en-AU"/>
        </w:rPr>
        <w:t>https://www.abs.gov.au/statistics/health/health-services/patient-experiences/latest-release</w:t>
      </w:r>
      <w:r w:rsidR="00547030">
        <w:rPr>
          <w:lang w:val="en-AU"/>
        </w:rPr>
        <w:t>&gt;.</w:t>
      </w:r>
    </w:p>
  </w:footnote>
  <w:footnote w:id="205">
    <w:p w14:paraId="15302811" w14:textId="77777777" w:rsidR="00812AA5" w:rsidRPr="00CE685E" w:rsidRDefault="00812AA5" w:rsidP="00812AA5">
      <w:pPr>
        <w:pStyle w:val="FootnoteText"/>
        <w:rPr>
          <w:lang w:val="en-AU"/>
        </w:rPr>
      </w:pPr>
      <w:r>
        <w:rPr>
          <w:rStyle w:val="FootnoteReference"/>
        </w:rPr>
        <w:footnoteRef/>
      </w:r>
      <w:r>
        <w:t xml:space="preserve"> </w:t>
      </w:r>
      <w:r>
        <w:rPr>
          <w:lang w:val="en-AU"/>
        </w:rPr>
        <w:t>Health Practitioner Regulation National Law Bill 2009 – Explanatory Notes, accessed from &lt;</w:t>
      </w:r>
      <w:r w:rsidRPr="00651FF7">
        <w:rPr>
          <w:lang w:val="en-AU"/>
        </w:rPr>
        <w:t>https://www.legislation.qld.gov.au/view/html/inforce/current/act-2009-hprnlq/lh</w:t>
      </w:r>
      <w:r>
        <w:rPr>
          <w:lang w:val="en-AU"/>
        </w:rPr>
        <w:t>&gt;.</w:t>
      </w:r>
    </w:p>
  </w:footnote>
  <w:footnote w:id="206">
    <w:p w14:paraId="0FA0C58A" w14:textId="5FC8C595" w:rsidR="00505488" w:rsidRPr="00505488" w:rsidRDefault="00505488">
      <w:pPr>
        <w:pStyle w:val="FootnoteText"/>
        <w:rPr>
          <w:lang w:val="en-AU"/>
        </w:rPr>
      </w:pPr>
      <w:r>
        <w:rPr>
          <w:rStyle w:val="FootnoteReference"/>
        </w:rPr>
        <w:footnoteRef/>
      </w:r>
      <w:r>
        <w:t xml:space="preserve"> </w:t>
      </w:r>
      <w:r>
        <w:rPr>
          <w:lang w:val="en-AU"/>
        </w:rPr>
        <w:t>Ibid.</w:t>
      </w:r>
    </w:p>
  </w:footnote>
  <w:footnote w:id="207">
    <w:p w14:paraId="3E38AB87" w14:textId="65C85D12" w:rsidR="00266E8A" w:rsidRPr="00266E8A" w:rsidRDefault="00266E8A">
      <w:pPr>
        <w:pStyle w:val="FootnoteText"/>
        <w:rPr>
          <w:lang w:val="en-AU"/>
        </w:rPr>
      </w:pPr>
      <w:r>
        <w:rPr>
          <w:rStyle w:val="FootnoteReference"/>
        </w:rPr>
        <w:footnoteRef/>
      </w:r>
      <w:r>
        <w:t xml:space="preserve"> </w:t>
      </w:r>
      <w:r w:rsidR="002342C9">
        <w:t>Australian Health Ministers’ Advisory Council 2015, Final report: Options for regulation of paramedics.</w:t>
      </w:r>
    </w:p>
  </w:footnote>
  <w:footnote w:id="208">
    <w:p w14:paraId="653CDF8F" w14:textId="2A161F45" w:rsidR="000901EE" w:rsidRPr="000901EE" w:rsidRDefault="000901EE">
      <w:pPr>
        <w:pStyle w:val="FootnoteText"/>
        <w:rPr>
          <w:lang w:val="en-AU"/>
        </w:rPr>
      </w:pPr>
      <w:r>
        <w:rPr>
          <w:rStyle w:val="FootnoteReference"/>
        </w:rPr>
        <w:footnoteRef/>
      </w:r>
      <w:r>
        <w:t xml:space="preserve"> </w:t>
      </w:r>
      <w:r w:rsidR="00EB34E9">
        <w:rPr>
          <w:lang w:val="en-AU"/>
        </w:rPr>
        <w:t xml:space="preserve">AHPRA 2018, </w:t>
      </w:r>
      <w:r w:rsidR="00EB34E9" w:rsidRPr="0007458C">
        <w:rPr>
          <w:i/>
          <w:iCs/>
          <w:lang w:val="en-AU"/>
        </w:rPr>
        <w:t>Paramedics: Welcome to the National Scheme!</w:t>
      </w:r>
      <w:r w:rsidR="00EB34E9">
        <w:rPr>
          <w:lang w:val="en-AU"/>
        </w:rPr>
        <w:t>, accessed from &lt;</w:t>
      </w:r>
      <w:r w:rsidR="00A16199" w:rsidRPr="00A16199">
        <w:t xml:space="preserve"> </w:t>
      </w:r>
      <w:r w:rsidR="00A16199" w:rsidRPr="00A16199">
        <w:rPr>
          <w:lang w:val="en-AU"/>
        </w:rPr>
        <w:t>https://www.paramedicineboard.gov.au/News/2018-11-30-Paramedics-Welcome-to-the-National-Scheme.aspx</w:t>
      </w:r>
      <w:r w:rsidR="00EB34E9">
        <w:rPr>
          <w:lang w:val="en-AU"/>
        </w:rPr>
        <w:t>&gt;.</w:t>
      </w:r>
    </w:p>
  </w:footnote>
  <w:footnote w:id="209">
    <w:p w14:paraId="100B316C" w14:textId="2C7374C1" w:rsidR="00AE1620" w:rsidRPr="00AE1620" w:rsidRDefault="00AE1620">
      <w:pPr>
        <w:pStyle w:val="FootnoteText"/>
        <w:rPr>
          <w:lang w:val="en-AU"/>
        </w:rPr>
      </w:pPr>
      <w:r>
        <w:rPr>
          <w:rStyle w:val="FootnoteReference"/>
        </w:rPr>
        <w:footnoteRef/>
      </w:r>
      <w:r>
        <w:t xml:space="preserve"> </w:t>
      </w:r>
      <w:r w:rsidR="003808D6">
        <w:t xml:space="preserve">Woods and Burgess 2021, </w:t>
      </w:r>
      <w:r w:rsidR="003808D6" w:rsidRPr="0007458C">
        <w:rPr>
          <w:i/>
          <w:iCs/>
        </w:rPr>
        <w:t>Report of the Independent Review of the Hearing Services Program</w:t>
      </w:r>
      <w:r w:rsidR="00852661">
        <w:t>, accessed from &lt;</w:t>
      </w:r>
      <w:r w:rsidR="00852661" w:rsidRPr="00852661">
        <w:t xml:space="preserve"> https://www.health.gov.au/sites/default/files/documents/2021/09/report-of-the-independent-review-of-the-hearing-services-program-report.pdf</w:t>
      </w:r>
      <w:r w:rsidR="00852661">
        <w:t>&gt;.</w:t>
      </w:r>
    </w:p>
  </w:footnote>
  <w:footnote w:id="210">
    <w:p w14:paraId="7DF63461" w14:textId="77777777" w:rsidR="00026ACD" w:rsidRDefault="00026ACD" w:rsidP="00026ACD">
      <w:pPr>
        <w:pStyle w:val="FootnoteText"/>
      </w:pPr>
      <w:r>
        <w:rPr>
          <w:rStyle w:val="FootnoteReference"/>
        </w:rPr>
        <w:footnoteRef/>
      </w:r>
      <w:r>
        <w:t xml:space="preserve"> Australian Government Federal Register of Legislation 2024, </w:t>
      </w:r>
      <w:r w:rsidRPr="007176F0">
        <w:rPr>
          <w:i/>
          <w:iCs/>
        </w:rPr>
        <w:t>Hearing Services Administration Act 1997</w:t>
      </w:r>
      <w:r>
        <w:t>, accessed from &lt;</w:t>
      </w:r>
      <w:r w:rsidRPr="00EA568A">
        <w:t xml:space="preserve"> https://www.legislation.gov.au/C2004A05178/latest/text</w:t>
      </w:r>
      <w:r>
        <w:t>&gt;.</w:t>
      </w:r>
    </w:p>
  </w:footnote>
  <w:footnote w:id="211">
    <w:p w14:paraId="694473A8" w14:textId="77777777" w:rsidR="00026ACD" w:rsidRDefault="00026ACD" w:rsidP="00026ACD">
      <w:pPr>
        <w:pStyle w:val="FootnoteText"/>
      </w:pPr>
      <w:r>
        <w:rPr>
          <w:rStyle w:val="FootnoteReference"/>
        </w:rPr>
        <w:footnoteRef/>
      </w:r>
      <w:r>
        <w:t xml:space="preserve"> Alternatives to government action have been defined to include government spending on measures, however not include direct government intervention.   </w:t>
      </w:r>
    </w:p>
  </w:footnote>
  <w:footnote w:id="212">
    <w:p w14:paraId="34C6737B" w14:textId="75D180C7" w:rsidR="00052B38" w:rsidRPr="00052B38" w:rsidRDefault="00052B38">
      <w:pPr>
        <w:pStyle w:val="FootnoteText"/>
        <w:rPr>
          <w:lang w:val="en-AU"/>
        </w:rPr>
      </w:pPr>
      <w:r>
        <w:rPr>
          <w:rStyle w:val="FootnoteReference"/>
        </w:rPr>
        <w:footnoteRef/>
      </w:r>
      <w:r>
        <w:t xml:space="preserve"> </w:t>
      </w:r>
      <w:r w:rsidR="00745963">
        <w:rPr>
          <w:lang w:val="en-AU"/>
        </w:rPr>
        <w:t xml:space="preserve">At the time of developing the preliminary options it was </w:t>
      </w:r>
      <w:r w:rsidR="00791CDB">
        <w:rPr>
          <w:lang w:val="en-AU"/>
        </w:rPr>
        <w:t xml:space="preserve">not known that HAASA would be incorporating into AcAud. Hence, </w:t>
      </w:r>
      <w:r w:rsidR="009032E5">
        <w:rPr>
          <w:lang w:val="en-AU"/>
        </w:rPr>
        <w:t xml:space="preserve">this option </w:t>
      </w:r>
      <w:r w:rsidR="00A36528">
        <w:rPr>
          <w:lang w:val="en-AU"/>
        </w:rPr>
        <w:t>would create a single sectoral PPB for audiologists and audiometrists.</w:t>
      </w:r>
    </w:p>
  </w:footnote>
  <w:footnote w:id="213">
    <w:p w14:paraId="4173A204" w14:textId="46FD2BDD" w:rsidR="00225E4C" w:rsidRPr="00ED0974" w:rsidRDefault="00225E4C" w:rsidP="00225E4C">
      <w:pPr>
        <w:pStyle w:val="FootnoteText"/>
      </w:pPr>
      <w:r w:rsidRPr="00ED0974">
        <w:rPr>
          <w:rStyle w:val="FootnoteReference"/>
        </w:rPr>
        <w:footnoteRef/>
      </w:r>
      <w:r w:rsidRPr="00ED0974">
        <w:t xml:space="preserve"> Audiology Australia specifically states, </w:t>
      </w:r>
      <w:r w:rsidR="00FF4463">
        <w:t>‘</w:t>
      </w:r>
      <w:r w:rsidRPr="00ED0974">
        <w:rPr>
          <w:i/>
          <w:iCs/>
        </w:rPr>
        <w:t>The certification framework is a voluntary system. The framework is not a barrier to delivering services to children and their families. In line with the Scope of Practice, AudA Accredited Audiologists are able, and will remain able, to work with all ages, from infants to older adults</w:t>
      </w:r>
      <w:r w:rsidR="00FF4463">
        <w:t>’</w:t>
      </w:r>
      <w:r w:rsidRPr="00ED0974">
        <w:t>. See &lt; https://audiology.asn.au/standards-guidelines/advanced-paediatric-certification-framework/&gt;. Thus, this option would change the intent of the certification and require consultation with industry.</w:t>
      </w:r>
    </w:p>
  </w:footnote>
  <w:footnote w:id="214">
    <w:p w14:paraId="7F7146D7" w14:textId="4E5E68C7" w:rsidR="003556ED" w:rsidRPr="003556ED" w:rsidRDefault="003556ED">
      <w:pPr>
        <w:pStyle w:val="FootnoteText"/>
        <w:rPr>
          <w:lang w:val="en-AU"/>
        </w:rPr>
      </w:pPr>
      <w:r>
        <w:rPr>
          <w:rStyle w:val="FootnoteReference"/>
        </w:rPr>
        <w:footnoteRef/>
      </w:r>
      <w:r>
        <w:t xml:space="preserve"> </w:t>
      </w:r>
      <w:r w:rsidR="00935CEF">
        <w:rPr>
          <w:lang w:val="en-AU"/>
        </w:rPr>
        <w:t>American Board of Aud</w:t>
      </w:r>
      <w:r w:rsidR="007F7C4D">
        <w:rPr>
          <w:lang w:val="en-AU"/>
        </w:rPr>
        <w:t xml:space="preserve">iology 2024, </w:t>
      </w:r>
      <w:r w:rsidR="0062121D">
        <w:rPr>
          <w:lang w:val="en-AU"/>
        </w:rPr>
        <w:t>Paediatric</w:t>
      </w:r>
      <w:r w:rsidR="007F7C4D">
        <w:rPr>
          <w:lang w:val="en-AU"/>
        </w:rPr>
        <w:t xml:space="preserve"> Audiology Specialty Certification, accessed from &lt;</w:t>
      </w:r>
      <w:r w:rsidR="00ED3463" w:rsidRPr="00ED3463">
        <w:rPr>
          <w:lang w:val="en-AU"/>
        </w:rPr>
        <w:t>https://www.audiology.org/american-board-of-audiology/pediatric-audiology-certification/</w:t>
      </w:r>
      <w:r w:rsidR="007F7C4D">
        <w:rPr>
          <w:lang w:val="en-AU"/>
        </w:rPr>
        <w:t>&gt;.</w:t>
      </w:r>
    </w:p>
  </w:footnote>
  <w:footnote w:id="215">
    <w:p w14:paraId="1519B1FC" w14:textId="06D02F89" w:rsidR="008518C7" w:rsidRPr="00AD328C" w:rsidRDefault="008518C7" w:rsidP="008518C7">
      <w:pPr>
        <w:pStyle w:val="FootnoteText"/>
      </w:pPr>
      <w:r w:rsidRPr="00AD328C">
        <w:rPr>
          <w:rStyle w:val="FootnoteReference"/>
        </w:rPr>
        <w:footnoteRef/>
      </w:r>
      <w:r w:rsidRPr="00AD328C">
        <w:t xml:space="preserve"> The development of these standards was led by Audiology Australia for the Hearing Health Sector Alliance.</w:t>
      </w:r>
    </w:p>
  </w:footnote>
  <w:footnote w:id="216">
    <w:p w14:paraId="15CDD748" w14:textId="77777777" w:rsidR="008518C7" w:rsidRPr="007C1C33" w:rsidRDefault="008518C7" w:rsidP="008518C7">
      <w:pPr>
        <w:pStyle w:val="FootnoteText"/>
      </w:pPr>
      <w:r w:rsidRPr="007C1C33">
        <w:rPr>
          <w:rStyle w:val="FootnoteReference"/>
        </w:rPr>
        <w:footnoteRef/>
      </w:r>
      <w:r w:rsidRPr="007C1C33">
        <w:t xml:space="preserve"> Audiology Australia 2024, </w:t>
      </w:r>
      <w:r w:rsidRPr="0007458C">
        <w:rPr>
          <w:i/>
          <w:iCs/>
        </w:rPr>
        <w:t>Paediatric Competency Standards</w:t>
      </w:r>
      <w:r w:rsidRPr="007C1C33">
        <w:t>, accessed from &lt;https://audiology.asn.au/standards-guidelines/paediatric-competency-standards/&gt;.</w:t>
      </w:r>
    </w:p>
  </w:footnote>
  <w:footnote w:id="217">
    <w:p w14:paraId="14C8AA9E" w14:textId="77777777" w:rsidR="008518C7" w:rsidRPr="00ED0974" w:rsidRDefault="008518C7" w:rsidP="008518C7">
      <w:pPr>
        <w:pStyle w:val="FootnoteText"/>
      </w:pPr>
      <w:r w:rsidRPr="00ED0974">
        <w:rPr>
          <w:rStyle w:val="FootnoteReference"/>
        </w:rPr>
        <w:footnoteRef/>
      </w:r>
      <w:r w:rsidRPr="00ED0974">
        <w:t xml:space="preserve"> Audiology Australia is the organisation responsible for accrediting Audiology Masters programs in Australia.</w:t>
      </w:r>
    </w:p>
  </w:footnote>
  <w:footnote w:id="218">
    <w:p w14:paraId="7146317C" w14:textId="77777777" w:rsidR="008518C7" w:rsidRPr="0043426C" w:rsidRDefault="008518C7" w:rsidP="008518C7">
      <w:pPr>
        <w:pStyle w:val="FootnoteText"/>
      </w:pPr>
      <w:r w:rsidRPr="0043426C">
        <w:rPr>
          <w:rStyle w:val="FootnoteReference"/>
        </w:rPr>
        <w:footnoteRef/>
      </w:r>
      <w:r w:rsidRPr="0043426C">
        <w:t xml:space="preserve"> Audiology Australia (2024), </w:t>
      </w:r>
      <w:r w:rsidRPr="0007458C">
        <w:rPr>
          <w:i/>
          <w:iCs/>
        </w:rPr>
        <w:t>University Accreditation</w:t>
      </w:r>
      <w:r w:rsidRPr="0043426C">
        <w:t>, accessed from &lt;https://audiology.asn.au/policy-advocacy/university-accreditation/&gt;.</w:t>
      </w:r>
    </w:p>
  </w:footnote>
  <w:footnote w:id="219">
    <w:p w14:paraId="2CE543D4" w14:textId="55BEA97A" w:rsidR="008518C7" w:rsidRPr="00ED0974" w:rsidRDefault="008518C7" w:rsidP="008518C7">
      <w:pPr>
        <w:pStyle w:val="FootnoteText"/>
      </w:pPr>
      <w:r w:rsidRPr="00ED0974">
        <w:rPr>
          <w:rStyle w:val="FootnoteReference"/>
        </w:rPr>
        <w:footnoteRef/>
      </w:r>
      <w:r w:rsidRPr="00ED0974">
        <w:t xml:space="preserve"> Please refer to Section </w:t>
      </w:r>
      <w:r w:rsidRPr="00ED0974">
        <w:fldChar w:fldCharType="begin"/>
      </w:r>
      <w:r w:rsidRPr="00ED0974">
        <w:instrText xml:space="preserve"> REF _Ref164271611 \r \h </w:instrText>
      </w:r>
      <w:r>
        <w:instrText xml:space="preserve"> \* MERGEFORMAT </w:instrText>
      </w:r>
      <w:r w:rsidRPr="00ED0974">
        <w:fldChar w:fldCharType="separate"/>
      </w:r>
      <w:r w:rsidR="00F32107">
        <w:t>2.4.2</w:t>
      </w:r>
      <w:r w:rsidRPr="00ED0974">
        <w:fldChar w:fldCharType="end"/>
      </w:r>
      <w:r w:rsidRPr="00ED0974">
        <w:t xml:space="preserve"> for an explanation of the National Code of Conduct.</w:t>
      </w:r>
    </w:p>
  </w:footnote>
  <w:footnote w:id="220">
    <w:p w14:paraId="7267F780" w14:textId="77777777" w:rsidR="008518C7" w:rsidRDefault="008518C7" w:rsidP="008518C7">
      <w:pPr>
        <w:pStyle w:val="FootnoteText"/>
      </w:pPr>
      <w:r>
        <w:rPr>
          <w:rStyle w:val="FootnoteReference"/>
        </w:rPr>
        <w:footnoteRef/>
      </w:r>
      <w:r>
        <w:t xml:space="preserve"> Health Complaints Commissioner Tasmania, National Code of Conduct, accessed from &lt;</w:t>
      </w:r>
      <w:r w:rsidRPr="00A5374B">
        <w:t xml:space="preserve"> https://www.healthcomplaints.tas.gov.au/national-code-of-conduct</w:t>
      </w:r>
      <w:r>
        <w:t>&gt;.</w:t>
      </w:r>
    </w:p>
  </w:footnote>
  <w:footnote w:id="221">
    <w:p w14:paraId="17A0708A" w14:textId="01A04999" w:rsidR="006A0899" w:rsidRPr="006A0899" w:rsidRDefault="006A0899">
      <w:pPr>
        <w:pStyle w:val="FootnoteText"/>
        <w:rPr>
          <w:lang w:val="en-AU"/>
        </w:rPr>
      </w:pPr>
      <w:r>
        <w:rPr>
          <w:rStyle w:val="FootnoteReference"/>
        </w:rPr>
        <w:footnoteRef/>
      </w:r>
      <w:r>
        <w:t xml:space="preserve"> </w:t>
      </w:r>
      <w:r w:rsidRPr="006A0899">
        <w:t xml:space="preserve">Australian Government, Productivity Commission, Australia’s Health Workforce – Productivity Commission Research Report, 2005.  </w:t>
      </w:r>
    </w:p>
  </w:footnote>
  <w:footnote w:id="222">
    <w:p w14:paraId="276F9FF0" w14:textId="02264E78" w:rsidR="00B348E1" w:rsidRPr="00B348E1" w:rsidRDefault="00B348E1">
      <w:pPr>
        <w:pStyle w:val="FootnoteText"/>
        <w:rPr>
          <w:lang w:val="en-AU"/>
        </w:rPr>
      </w:pPr>
      <w:r>
        <w:rPr>
          <w:rStyle w:val="FootnoteReference"/>
        </w:rPr>
        <w:footnoteRef/>
      </w:r>
      <w:r>
        <w:t xml:space="preserve"> </w:t>
      </w:r>
      <w:r>
        <w:rPr>
          <w:lang w:val="en-AU"/>
        </w:rPr>
        <w:t xml:space="preserve">It is noted that this </w:t>
      </w:r>
      <w:r w:rsidR="00AF0256">
        <w:rPr>
          <w:lang w:val="en-AU"/>
        </w:rPr>
        <w:t>rationale is in tension with stakeholder preferences for regulatory consistency.</w:t>
      </w:r>
    </w:p>
  </w:footnote>
  <w:footnote w:id="223">
    <w:p w14:paraId="19695E6C" w14:textId="77777777" w:rsidR="008518C7" w:rsidRPr="00742840" w:rsidRDefault="008518C7" w:rsidP="008518C7">
      <w:pPr>
        <w:pStyle w:val="FootnoteText"/>
      </w:pPr>
      <w:r w:rsidRPr="00742840">
        <w:rPr>
          <w:rStyle w:val="FootnoteReference"/>
        </w:rPr>
        <w:footnoteRef/>
      </w:r>
      <w:r w:rsidRPr="00742840">
        <w:t xml:space="preserve"> Government of South Australia (2024), </w:t>
      </w:r>
      <w:r w:rsidRPr="0007458C">
        <w:rPr>
          <w:i/>
          <w:iCs/>
        </w:rPr>
        <w:t>Social Workers Registration Scheme – South Australia</w:t>
      </w:r>
      <w:r w:rsidRPr="00742840">
        <w:t>, accessed from &lt; https://www.swrs.sa.gov.au/&gt;.</w:t>
      </w:r>
    </w:p>
  </w:footnote>
  <w:footnote w:id="224">
    <w:p w14:paraId="7A580556" w14:textId="1CC7E4E7" w:rsidR="008518C7" w:rsidRDefault="008518C7" w:rsidP="008518C7">
      <w:pPr>
        <w:pStyle w:val="FootnoteText"/>
      </w:pPr>
      <w:r>
        <w:rPr>
          <w:rStyle w:val="FootnoteReference"/>
        </w:rPr>
        <w:footnoteRef/>
      </w:r>
      <w:r>
        <w:t xml:space="preserve"> </w:t>
      </w:r>
      <w:r w:rsidR="00E846FC">
        <w:t xml:space="preserve">Ahpra </w:t>
      </w:r>
      <w:r>
        <w:t xml:space="preserve">2022, </w:t>
      </w:r>
      <w:r w:rsidR="00E846FC" w:rsidRPr="0007458C">
        <w:rPr>
          <w:i/>
          <w:iCs/>
        </w:rPr>
        <w:t xml:space="preserve">Ahpra </w:t>
      </w:r>
      <w:r w:rsidRPr="0007458C">
        <w:rPr>
          <w:i/>
          <w:iCs/>
        </w:rPr>
        <w:t>FAQ</w:t>
      </w:r>
      <w:r>
        <w:t>, accessed from &lt;</w:t>
      </w:r>
      <w:r w:rsidRPr="00AF0C6E">
        <w:t xml:space="preserve"> https://www.ahpra.gov.au/About-Ahpra/What-We-Do/FAQ.aspx</w:t>
      </w:r>
      <w:r>
        <w:t>&gt;.</w:t>
      </w:r>
    </w:p>
  </w:footnote>
  <w:footnote w:id="225">
    <w:p w14:paraId="1DD1A59C" w14:textId="3BA53E6C" w:rsidR="008518C7" w:rsidRDefault="008518C7" w:rsidP="008518C7">
      <w:pPr>
        <w:pStyle w:val="FootnoteText"/>
      </w:pPr>
      <w:r>
        <w:rPr>
          <w:rStyle w:val="FootnoteReference"/>
        </w:rPr>
        <w:footnoteRef/>
      </w:r>
      <w:r>
        <w:t xml:space="preserve"> A</w:t>
      </w:r>
      <w:r w:rsidR="00E846FC">
        <w:t>hpra</w:t>
      </w:r>
      <w:r>
        <w:t xml:space="preserve"> 2024, </w:t>
      </w:r>
      <w:r w:rsidRPr="00FE7AB3">
        <w:rPr>
          <w:i/>
          <w:iCs/>
        </w:rPr>
        <w:t>What’s an offence under the National Law</w:t>
      </w:r>
      <w:r>
        <w:t>, accessed from &lt;</w:t>
      </w:r>
      <w:r w:rsidRPr="0083278B">
        <w:t xml:space="preserve"> https://www.ahpra.gov.au/Notifications/Reporting-a-criminal-offence/What-is-an-offence.aspx.</w:t>
      </w:r>
      <w:r>
        <w:t>&gt;.</w:t>
      </w:r>
    </w:p>
  </w:footnote>
  <w:footnote w:id="226">
    <w:p w14:paraId="0ECB24C5" w14:textId="77777777" w:rsidR="008518C7" w:rsidRDefault="008518C7" w:rsidP="008518C7">
      <w:pPr>
        <w:pStyle w:val="FootnoteText"/>
      </w:pPr>
      <w:r>
        <w:rPr>
          <w:rStyle w:val="FootnoteReference"/>
        </w:rPr>
        <w:footnoteRef/>
      </w:r>
      <w:r>
        <w:t xml:space="preserve"> Queensland Government, </w:t>
      </w:r>
      <w:r w:rsidRPr="0007458C">
        <w:rPr>
          <w:i/>
          <w:iCs/>
        </w:rPr>
        <w:t>Health Practitioner Regulation National Law (Queensland)</w:t>
      </w:r>
      <w:r>
        <w:t>, accessed from &lt;</w:t>
      </w:r>
      <w:r w:rsidRPr="008B77EA">
        <w:t xml:space="preserve"> https://www.legislation.qld.gov.au/view/html/inforce/current/act-2009-hprnlq#sec.118 </w:t>
      </w:r>
      <w:r>
        <w:t>&gt;.</w:t>
      </w:r>
    </w:p>
  </w:footnote>
  <w:footnote w:id="227">
    <w:p w14:paraId="224E5DE7" w14:textId="4D587A2B" w:rsidR="008518C7" w:rsidRDefault="008518C7" w:rsidP="008518C7">
      <w:pPr>
        <w:pStyle w:val="FootnoteText"/>
      </w:pPr>
      <w:r>
        <w:rPr>
          <w:rStyle w:val="FootnoteReference"/>
        </w:rPr>
        <w:footnoteRef/>
      </w:r>
      <w:r>
        <w:t xml:space="preserve"> A</w:t>
      </w:r>
      <w:r w:rsidR="00E37D01">
        <w:t>hpra</w:t>
      </w:r>
      <w:r>
        <w:t xml:space="preserve"> 2024, </w:t>
      </w:r>
      <w:r w:rsidRPr="0007458C">
        <w:rPr>
          <w:i/>
          <w:iCs/>
        </w:rPr>
        <w:t>What’s an offence under the National Law</w:t>
      </w:r>
      <w:r>
        <w:t>, accessed from &lt;</w:t>
      </w:r>
      <w:r w:rsidRPr="00FE7AB3">
        <w:t>https://www.ahpra.gov.au/Notifications/Reporting-a-criminal-offence/What-is-an-offence.aspx</w:t>
      </w:r>
      <w:r>
        <w:t>&gt;.</w:t>
      </w:r>
    </w:p>
  </w:footnote>
  <w:footnote w:id="228">
    <w:p w14:paraId="33753392" w14:textId="77777777" w:rsidR="008518C7" w:rsidRDefault="008518C7" w:rsidP="008518C7">
      <w:pPr>
        <w:pStyle w:val="FootnoteText"/>
      </w:pPr>
      <w:r>
        <w:rPr>
          <w:rStyle w:val="FootnoteReference"/>
        </w:rPr>
        <w:footnoteRef/>
      </w:r>
      <w:r>
        <w:t xml:space="preserve"> Emphasis added.</w:t>
      </w:r>
    </w:p>
  </w:footnote>
  <w:footnote w:id="229">
    <w:p w14:paraId="4A7DBE00" w14:textId="77777777" w:rsidR="002876A1" w:rsidRDefault="002876A1" w:rsidP="002876A1">
      <w:pPr>
        <w:pStyle w:val="FootnoteText"/>
      </w:pPr>
      <w:r>
        <w:rPr>
          <w:rStyle w:val="FootnoteReference"/>
        </w:rPr>
        <w:footnoteRef/>
      </w:r>
      <w:r>
        <w:t xml:space="preserve"> AHPRA 2021, </w:t>
      </w:r>
      <w:r w:rsidRPr="00287DFF">
        <w:rPr>
          <w:i/>
        </w:rPr>
        <w:t>Information guide for appointment to a National Board</w:t>
      </w:r>
      <w:r>
        <w:t>.</w:t>
      </w:r>
    </w:p>
  </w:footnote>
  <w:footnote w:id="230">
    <w:p w14:paraId="1FB77831" w14:textId="77777777" w:rsidR="00BD104E" w:rsidRDefault="00BD104E" w:rsidP="00BD104E">
      <w:pPr>
        <w:pStyle w:val="FootnoteText"/>
      </w:pPr>
      <w:r>
        <w:rPr>
          <w:rStyle w:val="FootnoteReference"/>
        </w:rPr>
        <w:footnoteRef/>
      </w:r>
      <w:r>
        <w:t xml:space="preserve"> Office of Impact Analysis (2023), </w:t>
      </w:r>
      <w:r w:rsidRPr="00254BE5">
        <w:rPr>
          <w:i/>
          <w:iCs/>
        </w:rPr>
        <w:t>Best practice consultation</w:t>
      </w:r>
      <w:r>
        <w:t>, accessed from &lt;</w:t>
      </w:r>
      <w:r w:rsidRPr="0063198C">
        <w:t xml:space="preserve"> https://oia.pmc.gov.au/resources/guidance-oia-procedures/best-practice-consultation</w:t>
      </w:r>
      <w:r>
        <w:t>&gt;.</w:t>
      </w:r>
    </w:p>
  </w:footnote>
  <w:footnote w:id="231">
    <w:p w14:paraId="3E34237D" w14:textId="2FC2006B" w:rsidR="00D626CD" w:rsidRPr="00972F5E" w:rsidRDefault="00D626CD">
      <w:pPr>
        <w:pStyle w:val="FootnoteText"/>
        <w:rPr>
          <w:lang w:val="en-AU"/>
        </w:rPr>
      </w:pPr>
      <w:r>
        <w:rPr>
          <w:rStyle w:val="FootnoteReference"/>
        </w:rPr>
        <w:footnoteRef/>
      </w:r>
      <w:r>
        <w:t xml:space="preserve"> </w:t>
      </w:r>
      <w:r w:rsidR="002A31A7">
        <w:rPr>
          <w:lang w:val="en-AU"/>
        </w:rPr>
        <w:t xml:space="preserve">Ahpra 2024, </w:t>
      </w:r>
      <w:r w:rsidR="002A31A7" w:rsidRPr="0007458C">
        <w:rPr>
          <w:i/>
          <w:iCs/>
          <w:lang w:val="en-AU"/>
        </w:rPr>
        <w:t>Joint statement: Aboriginal and Torres Strait Islander health and cultural safety at heart of National Law changes</w:t>
      </w:r>
      <w:r w:rsidR="002A31A7">
        <w:rPr>
          <w:lang w:val="en-AU"/>
        </w:rPr>
        <w:t>, accessed from &lt;</w:t>
      </w:r>
      <w:r w:rsidR="00085C98" w:rsidRPr="00085C98">
        <w:t xml:space="preserve"> </w:t>
      </w:r>
      <w:r w:rsidR="00085C98" w:rsidRPr="00085C98">
        <w:rPr>
          <w:lang w:val="en-AU"/>
        </w:rPr>
        <w:t>https://www.ahpra.gov.au/About-Ahpra/Ministerial-Directives-and-Communiques/National-Law-amendments/Joint-statement.aspx</w:t>
      </w:r>
      <w:r w:rsidR="002A31A7">
        <w:rPr>
          <w:lang w:val="en-AU"/>
        </w:rPr>
        <w:t>&gt;.</w:t>
      </w:r>
    </w:p>
  </w:footnote>
  <w:footnote w:id="232">
    <w:p w14:paraId="70E6B350" w14:textId="3FBB0F04" w:rsidR="00A74813" w:rsidRPr="00972F5E" w:rsidRDefault="00A74813">
      <w:pPr>
        <w:pStyle w:val="FootnoteText"/>
        <w:rPr>
          <w:lang w:val="en-AU"/>
        </w:rPr>
      </w:pPr>
      <w:r>
        <w:rPr>
          <w:rStyle w:val="FootnoteReference"/>
        </w:rPr>
        <w:footnoteRef/>
      </w:r>
      <w:r>
        <w:t xml:space="preserve"> </w:t>
      </w:r>
      <w:r>
        <w:rPr>
          <w:lang w:val="en-AU"/>
        </w:rPr>
        <w:t xml:space="preserve">As explained in Section </w:t>
      </w:r>
      <w:r w:rsidR="007877BE">
        <w:rPr>
          <w:lang w:val="en-AU"/>
        </w:rPr>
        <w:fldChar w:fldCharType="begin"/>
      </w:r>
      <w:r w:rsidR="007877BE">
        <w:rPr>
          <w:lang w:val="en-AU"/>
        </w:rPr>
        <w:instrText xml:space="preserve"> REF _Ref193033028 \r \h </w:instrText>
      </w:r>
      <w:r w:rsidR="007877BE">
        <w:rPr>
          <w:lang w:val="en-AU"/>
        </w:rPr>
      </w:r>
      <w:r w:rsidR="007877BE">
        <w:rPr>
          <w:lang w:val="en-AU"/>
        </w:rPr>
        <w:fldChar w:fldCharType="separate"/>
      </w:r>
      <w:r w:rsidR="00F32107">
        <w:rPr>
          <w:lang w:val="en-AU"/>
        </w:rPr>
        <w:t>9.2.1.4</w:t>
      </w:r>
      <w:r w:rsidR="007877BE">
        <w:rPr>
          <w:lang w:val="en-AU"/>
        </w:rPr>
        <w:fldChar w:fldCharType="end"/>
      </w:r>
      <w:r>
        <w:rPr>
          <w:lang w:val="en-AU"/>
        </w:rPr>
        <w:t xml:space="preserve">, stakeholder feedback for a </w:t>
      </w:r>
      <w:r w:rsidR="00844AB7">
        <w:rPr>
          <w:lang w:val="en-AU"/>
        </w:rPr>
        <w:t xml:space="preserve">non-Single Board structure tended to apply to both a Multi-Profession Board or a </w:t>
      </w:r>
      <w:r w:rsidR="00A716B8">
        <w:rPr>
          <w:lang w:val="en-AU"/>
        </w:rPr>
        <w:t xml:space="preserve">National </w:t>
      </w:r>
      <w:r w:rsidR="00844AB7">
        <w:rPr>
          <w:lang w:val="en-AU"/>
        </w:rPr>
        <w:t xml:space="preserve">Board with </w:t>
      </w:r>
      <w:r w:rsidR="00D44206">
        <w:rPr>
          <w:lang w:val="en-AU"/>
        </w:rPr>
        <w:t>T</w:t>
      </w:r>
      <w:r w:rsidR="00844AB7">
        <w:rPr>
          <w:lang w:val="en-AU"/>
        </w:rPr>
        <w:t xml:space="preserve">wo or </w:t>
      </w:r>
      <w:r w:rsidR="00D44206">
        <w:rPr>
          <w:lang w:val="en-AU"/>
        </w:rPr>
        <w:t>M</w:t>
      </w:r>
      <w:r w:rsidR="00844AB7">
        <w:rPr>
          <w:lang w:val="en-AU"/>
        </w:rPr>
        <w:t xml:space="preserve">ore </w:t>
      </w:r>
      <w:r w:rsidR="00D44206">
        <w:rPr>
          <w:lang w:val="en-AU"/>
        </w:rPr>
        <w:t>P</w:t>
      </w:r>
      <w:r w:rsidR="00844AB7">
        <w:rPr>
          <w:lang w:val="en-AU"/>
        </w:rPr>
        <w:t xml:space="preserve">rofessions. This has been reflected in the presentation of the </w:t>
      </w:r>
      <w:r w:rsidR="007877BE">
        <w:rPr>
          <w:lang w:val="en-AU"/>
        </w:rPr>
        <w:t>feedback</w:t>
      </w:r>
      <w:r w:rsidR="00844AB7">
        <w:rPr>
          <w:lang w:val="en-AU"/>
        </w:rPr>
        <w:t>.</w:t>
      </w:r>
    </w:p>
  </w:footnote>
  <w:footnote w:id="233">
    <w:p w14:paraId="4B576323" w14:textId="619C7D7B" w:rsidR="00287F61" w:rsidRPr="00287F61" w:rsidRDefault="00287F61">
      <w:pPr>
        <w:pStyle w:val="FootnoteText"/>
      </w:pPr>
      <w:r>
        <w:rPr>
          <w:rStyle w:val="FootnoteReference"/>
        </w:rPr>
        <w:footnoteRef/>
      </w:r>
      <w:r>
        <w:t xml:space="preserve"> A theory of change is not prepared for the </w:t>
      </w:r>
      <w:r w:rsidR="00A80F45">
        <w:t>Status Quo</w:t>
      </w:r>
      <w:r>
        <w:t xml:space="preserve"> option, as the theory of change is </w:t>
      </w:r>
      <w:r w:rsidR="00E9129B">
        <w:t>considered</w:t>
      </w:r>
      <w:r>
        <w:t xml:space="preserve"> relative to the </w:t>
      </w:r>
      <w:r w:rsidR="00A80F45">
        <w:t>Status Quo</w:t>
      </w:r>
      <w:r>
        <w:t>.</w:t>
      </w:r>
    </w:p>
  </w:footnote>
  <w:footnote w:id="234">
    <w:p w14:paraId="059D1159" w14:textId="149A9E03" w:rsidR="00C85C15" w:rsidRDefault="00C85C15" w:rsidP="00C85C15">
      <w:pPr>
        <w:pStyle w:val="FootnoteText"/>
      </w:pPr>
      <w:r>
        <w:rPr>
          <w:rStyle w:val="FootnoteReference"/>
        </w:rPr>
        <w:footnoteRef/>
      </w:r>
      <w:r>
        <w:t xml:space="preserve"> </w:t>
      </w:r>
      <w:bookmarkStart w:id="205" w:name="_Hlk172124247"/>
      <w:r w:rsidR="006720A1">
        <w:t xml:space="preserve">Audiology Australia 2021, </w:t>
      </w:r>
      <w:r w:rsidRPr="00394E21">
        <w:rPr>
          <w:i/>
          <w:iCs/>
        </w:rPr>
        <w:t>Hearing Health Workforce Audit</w:t>
      </w:r>
      <w:r>
        <w:t xml:space="preserve">, </w:t>
      </w:r>
      <w:r w:rsidR="006720A1">
        <w:t>accessed from &lt;</w:t>
      </w:r>
      <w:r w:rsidRPr="00BA265F">
        <w:t>https://audiology.asn.au/Tenant/C0000013/auda-hearing-health-workforce-audit.pdf</w:t>
      </w:r>
      <w:r w:rsidR="006720A1">
        <w:t>&gt;</w:t>
      </w:r>
      <w:bookmarkEnd w:id="205"/>
    </w:p>
  </w:footnote>
  <w:footnote w:id="235">
    <w:p w14:paraId="75AF4989" w14:textId="034D814E" w:rsidR="00C85C15" w:rsidRDefault="00C85C15" w:rsidP="00C85C15">
      <w:pPr>
        <w:pStyle w:val="FootnoteText"/>
      </w:pPr>
      <w:r>
        <w:rPr>
          <w:rStyle w:val="FootnoteReference"/>
        </w:rPr>
        <w:footnoteRef/>
      </w:r>
      <w:r>
        <w:t xml:space="preserve"> The difference in workforce size estimates in the 2021 Census and </w:t>
      </w:r>
      <w:r w:rsidR="00B60ED8">
        <w:t xml:space="preserve">2021 </w:t>
      </w:r>
      <w:r>
        <w:t xml:space="preserve">PPB membership figures is attributed to the nature of the questions in the Census which asks “what was your main job worked in the past week?”. It is assumed that a number of practicing audiologists may not have selected ‘audiologist’ in response to this question due to a range of factors such as part-time or casual hours or workforce leave arrangements.  </w:t>
      </w:r>
    </w:p>
  </w:footnote>
  <w:footnote w:id="236">
    <w:p w14:paraId="60A5148A" w14:textId="77777777" w:rsidR="00C85C15" w:rsidRDefault="00C85C15" w:rsidP="00C85C15">
      <w:pPr>
        <w:pStyle w:val="NoSpacing"/>
        <w:spacing w:line="240" w:lineRule="auto"/>
      </w:pPr>
      <w:r>
        <w:rPr>
          <w:rStyle w:val="FootnoteReference"/>
        </w:rPr>
        <w:footnoteRef/>
      </w:r>
      <w:r>
        <w:t xml:space="preserve"> </w:t>
      </w:r>
      <w:r w:rsidRPr="009E4538">
        <w:rPr>
          <w:rFonts w:cs="Calibri"/>
          <w:color w:val="7F7F7F" w:themeColor="text1" w:themeTint="80"/>
          <w:sz w:val="16"/>
          <w:szCs w:val="20"/>
        </w:rPr>
        <w:t>Shojaei E, Jafari Z, Gholami M. Effect of Early Intervention on Language Development in Hearing-Impaired Children. Iran J Otorhinolaryngol. 2016 Jan;28(84):13-21.</w:t>
      </w:r>
      <w:r w:rsidRPr="009E4538">
        <w:rPr>
          <w:rFonts w:ascii="Roboto" w:hAnsi="Roboto"/>
          <w:color w:val="7F7F7F" w:themeColor="text1" w:themeTint="80"/>
          <w:sz w:val="26"/>
          <w:szCs w:val="26"/>
          <w:shd w:val="clear" w:color="auto" w:fill="FFFFFF"/>
        </w:rPr>
        <w:t> </w:t>
      </w:r>
    </w:p>
  </w:footnote>
  <w:footnote w:id="237">
    <w:p w14:paraId="674EA9D5" w14:textId="77777777" w:rsidR="001E7119" w:rsidRDefault="001E7119" w:rsidP="001E7119">
      <w:pPr>
        <w:spacing w:line="240" w:lineRule="auto"/>
      </w:pPr>
      <w:r w:rsidRPr="00DA7714">
        <w:rPr>
          <w:rStyle w:val="FootnoteReference"/>
          <w:color w:val="7F7F7F" w:themeColor="text1" w:themeTint="80"/>
        </w:rPr>
        <w:footnoteRef/>
      </w:r>
      <w:r w:rsidRPr="00DA7714">
        <w:rPr>
          <w:color w:val="7F7F7F" w:themeColor="text1" w:themeTint="80"/>
        </w:rPr>
        <w:t xml:space="preserve"> </w:t>
      </w:r>
      <w:r w:rsidRPr="00DA7714">
        <w:rPr>
          <w:color w:val="7F7F7F" w:themeColor="text1" w:themeTint="80"/>
          <w:sz w:val="16"/>
          <w:szCs w:val="20"/>
        </w:rPr>
        <w:t>It is acknowledged that the change in patient short-term quality of life associated with substandard care is specific to individual circumstances. Hence, it will differ between and within the variety of conditions and personas seen by audiologists. This analysis should thus not be considered to apply to all cases of substandard care.</w:t>
      </w:r>
    </w:p>
  </w:footnote>
  <w:footnote w:id="238">
    <w:p w14:paraId="4FD6360E" w14:textId="77777777" w:rsidR="001E7119" w:rsidRDefault="001E7119" w:rsidP="001E7119">
      <w:pPr>
        <w:pStyle w:val="FootnoteText"/>
      </w:pPr>
      <w:r>
        <w:rPr>
          <w:rStyle w:val="FootnoteReference"/>
        </w:rPr>
        <w:footnoteRef/>
      </w:r>
      <w:r>
        <w:t xml:space="preserve"> </w:t>
      </w:r>
      <w:r w:rsidRPr="004955D9">
        <w:t>National Acoustics Laboratories</w:t>
      </w:r>
      <w:r>
        <w:t xml:space="preserve"> 2019</w:t>
      </w:r>
      <w:r w:rsidRPr="004955D9">
        <w:t xml:space="preserve">, Longitudinal Outcomes of Children with Hearing Impairment, </w:t>
      </w:r>
      <w:r>
        <w:t>accessed from</w:t>
      </w:r>
      <w:r w:rsidRPr="004955D9">
        <w:t xml:space="preserve"> &lt;https://www.outcomes.nal.gov.au/&gt;</w:t>
      </w:r>
      <w:r>
        <w:t xml:space="preserve"> .</w:t>
      </w:r>
    </w:p>
  </w:footnote>
  <w:footnote w:id="239">
    <w:p w14:paraId="5EEC7023" w14:textId="77777777" w:rsidR="008F5DEE" w:rsidRPr="00126304" w:rsidRDefault="008F5DEE" w:rsidP="008F5DEE">
      <w:pPr>
        <w:pStyle w:val="FootnoteText"/>
      </w:pPr>
      <w:r>
        <w:rPr>
          <w:rStyle w:val="FootnoteReference"/>
        </w:rPr>
        <w:footnoteRef/>
      </w:r>
      <w:r>
        <w:t xml:space="preserve"> Department of Prime Minister and Cabinet Office of Best Practice Regulation, </w:t>
      </w:r>
      <w:r w:rsidRPr="002C4235">
        <w:rPr>
          <w:i/>
          <w:iCs/>
        </w:rPr>
        <w:t>Best Practice Regulation Guidance Note Value of statistical life</w:t>
      </w:r>
      <w:r>
        <w:rPr>
          <w:i/>
          <w:iCs/>
        </w:rPr>
        <w:t xml:space="preserve"> 2023, </w:t>
      </w:r>
      <w:r>
        <w:t>(October 2023) &lt;</w:t>
      </w:r>
      <w:r w:rsidRPr="00E07D26">
        <w:t>https://oia.pmc.gov.au/sites/default/files/</w:t>
      </w:r>
      <w:r w:rsidRPr="002A55DF">
        <w:t>2023-10</w:t>
      </w:r>
      <w:r w:rsidRPr="00E07D26">
        <w:t>/value-</w:t>
      </w:r>
      <w:r w:rsidRPr="002A55DF">
        <w:t>of-</w:t>
      </w:r>
      <w:r w:rsidRPr="00E07D26">
        <w:t>statistical-life.pdf</w:t>
      </w:r>
      <w:r>
        <w:t>&gt;</w:t>
      </w:r>
    </w:p>
  </w:footnote>
  <w:footnote w:id="240">
    <w:p w14:paraId="2F96DE22" w14:textId="77777777" w:rsidR="008F5DEE" w:rsidRDefault="008F5DEE" w:rsidP="008F5DEE">
      <w:pPr>
        <w:pStyle w:val="FootnoteText"/>
      </w:pPr>
      <w:r>
        <w:rPr>
          <w:rStyle w:val="FootnoteReference"/>
        </w:rPr>
        <w:footnoteRef/>
      </w:r>
      <w:r>
        <w:t xml:space="preserve"> Department of Prime Minister and Cabinet Office of Best Practice Regulation, </w:t>
      </w:r>
      <w:r w:rsidRPr="002C4235">
        <w:rPr>
          <w:i/>
          <w:iCs/>
        </w:rPr>
        <w:t>Best Practice Regulation Guidance Note Value of statistical life</w:t>
      </w:r>
      <w:r>
        <w:rPr>
          <w:i/>
          <w:iCs/>
        </w:rPr>
        <w:t xml:space="preserve"> 2023, </w:t>
      </w:r>
      <w:r>
        <w:t>(October 2023) &lt;</w:t>
      </w:r>
      <w:r w:rsidRPr="002A55DF">
        <w:t>https://oia.pmc.gov.au/sites/default/files/2023-10/value-of-statistical-life.pdf</w:t>
      </w:r>
      <w:r>
        <w:t>&gt;</w:t>
      </w:r>
    </w:p>
  </w:footnote>
  <w:footnote w:id="241">
    <w:p w14:paraId="49D49C03" w14:textId="77777777" w:rsidR="008F5DEE" w:rsidRDefault="008F5DEE" w:rsidP="008F5DEE">
      <w:pPr>
        <w:pStyle w:val="FootnoteText"/>
      </w:pPr>
      <w:r>
        <w:rPr>
          <w:rStyle w:val="FootnoteReference"/>
        </w:rPr>
        <w:footnoteRef/>
      </w:r>
      <w:r>
        <w:t xml:space="preserve"> Department of Health and Aged Care 2013, </w:t>
      </w:r>
      <w:r w:rsidRPr="00134B4E">
        <w:rPr>
          <w:i/>
          <w:iCs/>
        </w:rPr>
        <w:t>National framework for neonatal hearing screening</w:t>
      </w:r>
      <w:r>
        <w:rPr>
          <w:i/>
          <w:iCs/>
        </w:rPr>
        <w:t xml:space="preserve"> 2013 </w:t>
      </w:r>
      <w:r>
        <w:t>accessed from &lt;</w:t>
      </w:r>
      <w:r w:rsidRPr="003657F4">
        <w:t>https://www.health.gov.au/resources/publications/national-framework-for-neonatal-hearing-screening?language=en</w:t>
      </w:r>
      <w:r>
        <w:t>&gt;</w:t>
      </w:r>
    </w:p>
  </w:footnote>
  <w:footnote w:id="242">
    <w:p w14:paraId="7C71FAE0" w14:textId="77777777" w:rsidR="008F5DEE" w:rsidRDefault="008F5DEE" w:rsidP="008F5DEE">
      <w:pPr>
        <w:pStyle w:val="FootnoteText"/>
      </w:pPr>
      <w:r>
        <w:rPr>
          <w:rStyle w:val="FootnoteReference"/>
        </w:rPr>
        <w:footnoteRef/>
      </w:r>
      <w:r>
        <w:t xml:space="preserve"> </w:t>
      </w:r>
      <w:r w:rsidRPr="00E02D59">
        <w:t>Shojaei E, Jafari Z, Gholami M. Effect of Early Intervention on Language Development in Hearing-Impaired Children. Iran J Otorhinolaryngol. 2016 Jan;28(84):13-21.</w:t>
      </w:r>
      <w:r>
        <w:rPr>
          <w:rFonts w:ascii="Roboto" w:hAnsi="Roboto"/>
          <w:color w:val="212121"/>
          <w:sz w:val="26"/>
          <w:szCs w:val="26"/>
          <w:shd w:val="clear" w:color="auto" w:fill="FFFFFF"/>
        </w:rPr>
        <w:t> </w:t>
      </w:r>
    </w:p>
  </w:footnote>
  <w:footnote w:id="243">
    <w:p w14:paraId="3BB250C5" w14:textId="77777777" w:rsidR="008F5DEE" w:rsidRPr="00F16662" w:rsidRDefault="008F5DEE" w:rsidP="008F5DEE">
      <w:pPr>
        <w:pStyle w:val="FootnoteText"/>
      </w:pPr>
      <w:r>
        <w:rPr>
          <w:rStyle w:val="FootnoteReference"/>
        </w:rPr>
        <w:footnoteRef/>
      </w:r>
      <w:r>
        <w:t xml:space="preserve"> </w:t>
      </w:r>
      <w:r w:rsidRPr="00F16662">
        <w:t>Werker, J. F., Gilbert, J. H., Humphrey, K., &amp; Tees, R. C. (1981). Developmental aspects of cross-language speech perception. Child development, 349-355.</w:t>
      </w:r>
    </w:p>
  </w:footnote>
  <w:footnote w:id="244">
    <w:p w14:paraId="42D176E6" w14:textId="77777777" w:rsidR="008F5DEE" w:rsidRPr="001D281F" w:rsidRDefault="008F5DEE" w:rsidP="008F5DEE">
      <w:pPr>
        <w:pStyle w:val="FootnoteText"/>
      </w:pPr>
      <w:r>
        <w:rPr>
          <w:rStyle w:val="FootnoteReference"/>
        </w:rPr>
        <w:footnoteRef/>
      </w:r>
      <w:r>
        <w:t xml:space="preserve"> Deloitte Access Economics, </w:t>
      </w:r>
      <w:r>
        <w:rPr>
          <w:i/>
          <w:iCs/>
        </w:rPr>
        <w:t>The social and economic costs of hearing loss in Australia</w:t>
      </w:r>
      <w:r>
        <w:t xml:space="preserve">, 2017, (report commissioned by </w:t>
      </w:r>
      <w:r w:rsidRPr="000C57E7">
        <w:t>Hearing Care Industry Association (HCIA)</w:t>
      </w:r>
      <w:r>
        <w:t>) &lt;</w:t>
      </w:r>
      <w:r w:rsidRPr="00723DE8">
        <w:t>https://hcia.com.au/wp-content/uploads/2024/01/Social-and-Economic-Cost-of-Hearing-Health-in-Australia_June-2017.pdf</w:t>
      </w:r>
      <w:r>
        <w:t>.</w:t>
      </w:r>
    </w:p>
  </w:footnote>
  <w:footnote w:id="245">
    <w:p w14:paraId="78CB2D84" w14:textId="77777777" w:rsidR="008F5DEE" w:rsidRDefault="008F5DEE" w:rsidP="008F5DEE">
      <w:pPr>
        <w:pStyle w:val="FootnoteText"/>
      </w:pPr>
      <w:r>
        <w:rPr>
          <w:rStyle w:val="FootnoteReference"/>
        </w:rPr>
        <w:footnoteRef/>
      </w:r>
      <w:r>
        <w:t xml:space="preserve"> </w:t>
      </w:r>
      <w:r w:rsidRPr="003673AD">
        <w:t>Cowan RSC, Edwards B, Ching TYC. Longitudinal outcomes of children with hearing impairment (LOCHI): 5 year data. Int J Audiol. 2018 May;57(sup2):S1-S2. doi: 10.1080/14992027.2018.1458703. PMID: 29914318; PMCID: PMC7244330.</w:t>
      </w:r>
    </w:p>
  </w:footnote>
  <w:footnote w:id="246">
    <w:p w14:paraId="259E2A99" w14:textId="77777777" w:rsidR="008F5DEE" w:rsidRDefault="008F5DEE" w:rsidP="008F5DEE">
      <w:pPr>
        <w:pStyle w:val="FootnoteText"/>
      </w:pPr>
      <w:r>
        <w:rPr>
          <w:rStyle w:val="FootnoteReference"/>
        </w:rPr>
        <w:footnoteRef/>
      </w:r>
      <w:r>
        <w:t xml:space="preserve"> </w:t>
      </w:r>
      <w:r w:rsidRPr="0033661B">
        <w:t>JCIH (2007), Kennedy et al (2006), Yoshinaga-Itano (2004a)</w:t>
      </w:r>
    </w:p>
  </w:footnote>
  <w:footnote w:id="247">
    <w:p w14:paraId="68FA1B5F" w14:textId="77777777" w:rsidR="008F5DEE" w:rsidRPr="003B1545" w:rsidRDefault="008F5DEE" w:rsidP="008F5DEE">
      <w:pPr>
        <w:pStyle w:val="FootnoteText"/>
      </w:pPr>
      <w:r>
        <w:rPr>
          <w:rStyle w:val="FootnoteReference"/>
        </w:rPr>
        <w:footnoteRef/>
      </w:r>
      <w:r>
        <w:t xml:space="preserve"> </w:t>
      </w:r>
      <w:r w:rsidRPr="00CB22C5">
        <w:t>Lieu, J., Kenna, M., Anne, S., &amp; Davidson, L. (2020). Hearing loss in children. Jama, 324(21), 2195. https://doi.org/10.1001/jama.2020.17647</w:t>
      </w:r>
    </w:p>
  </w:footnote>
  <w:footnote w:id="248">
    <w:p w14:paraId="5DF904D2" w14:textId="77777777" w:rsidR="008F5DEE" w:rsidRDefault="008F5DEE" w:rsidP="008F5DEE">
      <w:pPr>
        <w:pStyle w:val="FootnoteText"/>
      </w:pPr>
      <w:r>
        <w:rPr>
          <w:rStyle w:val="FootnoteReference"/>
        </w:rPr>
        <w:footnoteRef/>
      </w:r>
      <w:r>
        <w:t xml:space="preserve"> </w:t>
      </w:r>
      <w:r w:rsidRPr="00226F0A">
        <w:t>Semenov, Yevgeniy R.1; Yeh, Susan T.2; Seshamani, Meena1; Wang, Nae-Yuh3,4; Tobey, Emily A.5; Eisenberg, Laurie S.6; Quittner, Alexandra L.7; Frick, Kevin D.2; Niparko, John K.1,8 the CDaCI Investigative Team. Age-Dependent Cost-Utility of Pediatric Cochlear Implantation. Ear and Hearing 34(4):p 402-412, July/August 2013. | DOI: 10.1097/AUD.0b013e3182772c66</w:t>
      </w:r>
    </w:p>
  </w:footnote>
  <w:footnote w:id="249">
    <w:p w14:paraId="353AC90D" w14:textId="77777777" w:rsidR="008F5DEE" w:rsidRDefault="008F5DEE" w:rsidP="008F5DEE">
      <w:pPr>
        <w:pStyle w:val="FootnoteText"/>
      </w:pPr>
      <w:r>
        <w:rPr>
          <w:rStyle w:val="FootnoteReference"/>
        </w:rPr>
        <w:footnoteRef/>
      </w:r>
      <w:r>
        <w:t xml:space="preserve"> When combining these values, the estimate from the Semenov study was adjusted for the initial 2.5-year period of unaddressed hearing loss to avoid double counting. </w:t>
      </w:r>
    </w:p>
  </w:footnote>
  <w:footnote w:id="250">
    <w:p w14:paraId="10FE2DDC" w14:textId="77777777" w:rsidR="00BD0C1E" w:rsidRDefault="00BD0C1E" w:rsidP="00BD0C1E">
      <w:pPr>
        <w:pStyle w:val="FootnoteText"/>
      </w:pPr>
      <w:r>
        <w:rPr>
          <w:rStyle w:val="FootnoteReference"/>
        </w:rPr>
        <w:footnoteRef/>
      </w:r>
      <w:r>
        <w:t xml:space="preserve"> </w:t>
      </w:r>
      <w:r w:rsidRPr="00BD0F60">
        <w:t xml:space="preserve">First Voice, </w:t>
      </w:r>
      <w:r w:rsidRPr="00260F6A">
        <w:rPr>
          <w:i/>
          <w:iCs/>
        </w:rPr>
        <w:t>Hearing Loss</w:t>
      </w:r>
      <w:r w:rsidRPr="00BD0F60">
        <w:t xml:space="preserve">, http://www.firstvoice.org.au/hearing-loss/, accessed </w:t>
      </w:r>
      <w:r>
        <w:t>May</w:t>
      </w:r>
      <w:r w:rsidRPr="00BD0F60">
        <w:t xml:space="preserve"> 20</w:t>
      </w:r>
      <w:r>
        <w:t>24</w:t>
      </w:r>
      <w:r w:rsidRPr="00BD0F60">
        <w:t>.</w:t>
      </w:r>
    </w:p>
  </w:footnote>
  <w:footnote w:id="251">
    <w:p w14:paraId="023200E1" w14:textId="77777777" w:rsidR="00BD0C1E" w:rsidRDefault="00BD0C1E" w:rsidP="00BD0C1E">
      <w:pPr>
        <w:spacing w:line="240" w:lineRule="auto"/>
      </w:pPr>
      <w:r>
        <w:rPr>
          <w:rStyle w:val="FootnoteReference"/>
        </w:rPr>
        <w:footnoteRef/>
      </w:r>
      <w:r>
        <w:t xml:space="preserve"> </w:t>
      </w:r>
      <w:r w:rsidRPr="00FB5008">
        <w:rPr>
          <w:color w:val="808080" w:themeColor="background1" w:themeShade="80"/>
          <w:sz w:val="16"/>
          <w:szCs w:val="16"/>
        </w:rPr>
        <w:t>Deloitte Access Economics, Cost-benefit analysis of First Voice’s early intervention program, 2017 (report commissioned by First Voice 2017) &lt;https://www.firstvoice.org.au/wp-content/uploads/2016/09/First-Voice-Deloitte-Access-Economics-Cost-Benefit-Analysis.pdf&gt;</w:t>
      </w:r>
    </w:p>
  </w:footnote>
  <w:footnote w:id="252">
    <w:p w14:paraId="34B0B3BC" w14:textId="77777777" w:rsidR="00FB5008" w:rsidRDefault="00FB5008" w:rsidP="00FB5008">
      <w:pPr>
        <w:pStyle w:val="FootnoteText"/>
      </w:pPr>
      <w:r>
        <w:rPr>
          <w:rStyle w:val="FootnoteReference"/>
        </w:rPr>
        <w:footnoteRef/>
      </w:r>
      <w:r>
        <w:t xml:space="preserve"> </w:t>
      </w:r>
      <w:r w:rsidRPr="008D4D9B">
        <w:t>Swain, S. K. (2021). Impact of tinnitus on quality of life: A review. Int J Adv Med, 8(7), 1006-10.</w:t>
      </w:r>
    </w:p>
  </w:footnote>
  <w:footnote w:id="253">
    <w:p w14:paraId="79EBFF45" w14:textId="77777777" w:rsidR="00FB5008" w:rsidRDefault="00FB5008" w:rsidP="00FB5008">
      <w:pPr>
        <w:pStyle w:val="FootnoteText"/>
      </w:pPr>
      <w:r>
        <w:rPr>
          <w:rStyle w:val="FootnoteReference"/>
        </w:rPr>
        <w:footnoteRef/>
      </w:r>
      <w:r>
        <w:t xml:space="preserve"> </w:t>
      </w:r>
      <w:r w:rsidRPr="00CA3E89">
        <w:t>Gopinath, B., McMahon, C. M., Rochtchina, E., Karpa, M. J., &amp; Mitchell, P. (2010). Risk factors and impacts of incident tinnitus in older adults. Annals of epidemiology, 20(2), 129-135.</w:t>
      </w:r>
    </w:p>
  </w:footnote>
  <w:footnote w:id="254">
    <w:p w14:paraId="6DAD014F" w14:textId="77777777" w:rsidR="00FB5008" w:rsidRDefault="00FB5008" w:rsidP="00FB5008">
      <w:pPr>
        <w:pStyle w:val="FootnoteText"/>
      </w:pPr>
      <w:r>
        <w:rPr>
          <w:rStyle w:val="FootnoteReference"/>
        </w:rPr>
        <w:footnoteRef/>
      </w:r>
      <w:r>
        <w:t xml:space="preserve"> </w:t>
      </w:r>
      <w:r w:rsidRPr="001564F8">
        <w:t>Smith, L., Wilkinson, D., Bodani, M., Bicknell, R., &amp; Surenthiran, S. S. (2019). Short‐term memory impairment in vestibular patients can arise independently of psychiatric impairment, fatigue, and sleeplessness. Journal of neuropsychology, 13(3), 417-431.</w:t>
      </w:r>
    </w:p>
  </w:footnote>
  <w:footnote w:id="255">
    <w:p w14:paraId="21182EA9" w14:textId="77777777" w:rsidR="00FB5008" w:rsidRDefault="00FB5008" w:rsidP="00FB5008">
      <w:pPr>
        <w:pStyle w:val="FootnoteText"/>
      </w:pPr>
      <w:r>
        <w:rPr>
          <w:rStyle w:val="FootnoteReference"/>
        </w:rPr>
        <w:footnoteRef/>
      </w:r>
      <w:r>
        <w:t xml:space="preserve"> Parliament of Australia, </w:t>
      </w:r>
      <w:r w:rsidRPr="00882910">
        <w:rPr>
          <w:i/>
          <w:iCs/>
        </w:rPr>
        <w:t>Still waiting to be heard...</w:t>
      </w:r>
      <w:r>
        <w:rPr>
          <w:i/>
          <w:iCs/>
        </w:rPr>
        <w:t>,</w:t>
      </w:r>
      <w:r>
        <w:t>(2017) &lt;</w:t>
      </w:r>
      <w:r w:rsidRPr="000E6705">
        <w:t>https://www.aph.gov.au/Parliamentary_Business/Committees/House/Health_Aged_Care_and_Sport/HearingHealth/Report_1</w:t>
      </w:r>
      <w:r>
        <w:t>&gt;</w:t>
      </w:r>
    </w:p>
  </w:footnote>
  <w:footnote w:id="256">
    <w:p w14:paraId="3B69B17C" w14:textId="77777777" w:rsidR="007F0090" w:rsidRDefault="007F0090" w:rsidP="007F0090">
      <w:pPr>
        <w:pStyle w:val="FootnoteText"/>
      </w:pPr>
      <w:r>
        <w:rPr>
          <w:rStyle w:val="FootnoteReference"/>
        </w:rPr>
        <w:footnoteRef/>
      </w:r>
      <w:r>
        <w:t xml:space="preserve"> </w:t>
      </w:r>
      <w:r w:rsidRPr="00E02D59">
        <w:t>Shojaei E, Jafari Z, Gholami M. Effect of Early Intervention on Language Development in Hearing-Impaired Children. Iran J Otorhinolaryngol. 2016 Jan;28(84):13-21.</w:t>
      </w:r>
      <w:r>
        <w:rPr>
          <w:rFonts w:ascii="Roboto" w:hAnsi="Roboto"/>
          <w:color w:val="212121"/>
          <w:sz w:val="26"/>
          <w:szCs w:val="26"/>
          <w:shd w:val="clear" w:color="auto" w:fill="FFFFFF"/>
        </w:rPr>
        <w:t> </w:t>
      </w:r>
    </w:p>
  </w:footnote>
  <w:footnote w:id="257">
    <w:p w14:paraId="4BDE797A" w14:textId="77777777" w:rsidR="008F7328" w:rsidRPr="00FB25D7" w:rsidRDefault="008F7328" w:rsidP="008F7328">
      <w:pPr>
        <w:pStyle w:val="FootnoteText"/>
        <w:rPr>
          <w:lang w:val="en-AU"/>
        </w:rPr>
      </w:pPr>
      <w:r>
        <w:rPr>
          <w:rStyle w:val="FootnoteReference"/>
        </w:rPr>
        <w:footnoteRef/>
      </w:r>
      <w:r>
        <w:t xml:space="preserve"> </w:t>
      </w:r>
      <w:r w:rsidRPr="0033661B">
        <w:t>JCIH (2007), Kennedy et al (2006), Yoshinaga-Itano (2004a)</w:t>
      </w:r>
    </w:p>
  </w:footnote>
  <w:footnote w:id="258">
    <w:p w14:paraId="21734E7E" w14:textId="43EA5250" w:rsidR="006873CC" w:rsidRPr="006873CC" w:rsidRDefault="006873CC">
      <w:pPr>
        <w:pStyle w:val="FootnoteText"/>
      </w:pPr>
      <w:r>
        <w:rPr>
          <w:rStyle w:val="FootnoteReference"/>
        </w:rPr>
        <w:footnoteRef/>
      </w:r>
      <w:r>
        <w:t xml:space="preserve"> See </w:t>
      </w:r>
      <w:r w:rsidRPr="00DE0470">
        <w:rPr>
          <w:rFonts w:cstheme="minorHAnsi"/>
        </w:rPr>
        <w:t xml:space="preserve">Section </w:t>
      </w:r>
      <w:r w:rsidRPr="00DE0470">
        <w:rPr>
          <w:rFonts w:cstheme="minorHAnsi"/>
        </w:rPr>
        <w:fldChar w:fldCharType="begin"/>
      </w:r>
      <w:r w:rsidRPr="00DE0470">
        <w:rPr>
          <w:rFonts w:cstheme="minorHAnsi"/>
        </w:rPr>
        <w:instrText xml:space="preserve"> REF _Ref172538358 \r \h </w:instrText>
      </w:r>
      <w:r w:rsidRPr="00DE0470">
        <w:rPr>
          <w:rFonts w:cstheme="minorHAnsi"/>
        </w:rPr>
      </w:r>
      <w:r w:rsidRPr="00DE0470">
        <w:rPr>
          <w:rFonts w:cstheme="minorHAnsi"/>
        </w:rPr>
        <w:fldChar w:fldCharType="separate"/>
      </w:r>
      <w:r w:rsidR="00F32107">
        <w:rPr>
          <w:rFonts w:cstheme="minorHAnsi"/>
        </w:rPr>
        <w:t>7.6.2.1.2</w:t>
      </w:r>
      <w:r w:rsidRPr="00DE0470">
        <w:rPr>
          <w:rFonts w:cstheme="minorHAnsi"/>
        </w:rPr>
        <w:fldChar w:fldCharType="end"/>
      </w:r>
      <w:r>
        <w:rPr>
          <w:rFonts w:cstheme="minorHAnsi"/>
        </w:rPr>
        <w:t xml:space="preserve"> for references and </w:t>
      </w:r>
      <w:r w:rsidR="00884798">
        <w:rPr>
          <w:rFonts w:cstheme="minorHAnsi"/>
        </w:rPr>
        <w:t>a description of how these values were derived.</w:t>
      </w:r>
    </w:p>
  </w:footnote>
  <w:footnote w:id="259">
    <w:p w14:paraId="054E6341" w14:textId="450A0695" w:rsidR="0010638C" w:rsidRPr="0010638C" w:rsidRDefault="0010638C">
      <w:pPr>
        <w:pStyle w:val="FootnoteText"/>
      </w:pPr>
      <w:r>
        <w:rPr>
          <w:rStyle w:val="FootnoteReference"/>
        </w:rPr>
        <w:footnoteRef/>
      </w:r>
      <w:r>
        <w:t xml:space="preserve"> </w:t>
      </w:r>
      <w:r w:rsidR="00660324">
        <w:t>St</w:t>
      </w:r>
      <w:r w:rsidR="000317AB">
        <w:t>akeholder submissions</w:t>
      </w:r>
      <w:r>
        <w:t>.</w:t>
      </w:r>
    </w:p>
  </w:footnote>
  <w:footnote w:id="260">
    <w:p w14:paraId="7CC445ED" w14:textId="294408D1" w:rsidR="0074054D" w:rsidRPr="0074054D" w:rsidRDefault="0074054D">
      <w:pPr>
        <w:pStyle w:val="FootnoteText"/>
        <w:rPr>
          <w:lang w:val="en-AU"/>
        </w:rPr>
      </w:pPr>
      <w:r>
        <w:rPr>
          <w:rStyle w:val="FootnoteReference"/>
        </w:rPr>
        <w:footnoteRef/>
      </w:r>
      <w:r>
        <w:t xml:space="preserve"> </w:t>
      </w:r>
      <w:r>
        <w:rPr>
          <w:lang w:val="en-AU"/>
        </w:rPr>
        <w:t>Based on Audiology Australia Non-Member Accreditation Sheet.</w:t>
      </w:r>
    </w:p>
  </w:footnote>
  <w:footnote w:id="261">
    <w:p w14:paraId="08481780" w14:textId="77777777" w:rsidR="00D77FA0" w:rsidRDefault="00D77FA0" w:rsidP="00D77FA0">
      <w:pPr>
        <w:pStyle w:val="FootnoteText"/>
      </w:pPr>
      <w:r>
        <w:rPr>
          <w:rStyle w:val="FootnoteReference"/>
        </w:rPr>
        <w:footnoteRef/>
      </w:r>
      <w:r>
        <w:t xml:space="preserve"> Government of South Australia 2024, </w:t>
      </w:r>
      <w:r w:rsidRPr="0007458C">
        <w:rPr>
          <w:i/>
          <w:iCs/>
        </w:rPr>
        <w:t>SA Paediatric Cochlear Implant Program Review</w:t>
      </w:r>
      <w:r>
        <w:t>, accessed from &lt;</w:t>
      </w:r>
      <w:r w:rsidRPr="00B95C02">
        <w:t>https://www.sahealth.sa.gov.au/wps/wcm/connect/public+content/sa+health+internet/about+us/reviews+and+consultation/sa+paediatric+cochlear+implant+program+review</w:t>
      </w:r>
      <w:r>
        <w:t>&gt;.</w:t>
      </w:r>
    </w:p>
  </w:footnote>
  <w:footnote w:id="262">
    <w:p w14:paraId="6C47DD2C" w14:textId="56DA7D03" w:rsidR="00CA3516" w:rsidRPr="00972F5E" w:rsidRDefault="00CA3516">
      <w:pPr>
        <w:pStyle w:val="FootnoteText"/>
        <w:rPr>
          <w:lang w:val="en-AU"/>
        </w:rPr>
      </w:pPr>
      <w:r>
        <w:rPr>
          <w:rStyle w:val="FootnoteReference"/>
        </w:rPr>
        <w:footnoteRef/>
      </w:r>
      <w:r>
        <w:t xml:space="preserve"> </w:t>
      </w:r>
      <w:r>
        <w:rPr>
          <w:lang w:val="en-AU"/>
        </w:rPr>
        <w:t>This incremental impact collectively describes the two green</w:t>
      </w:r>
      <w:r w:rsidR="00141AE5">
        <w:rPr>
          <w:lang w:val="en-AU"/>
        </w:rPr>
        <w:t>-coloured</w:t>
      </w:r>
      <w:r>
        <w:rPr>
          <w:lang w:val="en-AU"/>
        </w:rPr>
        <w:t xml:space="preserve"> tiles </w:t>
      </w:r>
      <w:r w:rsidR="00962B3B">
        <w:rPr>
          <w:lang w:val="en-AU"/>
        </w:rPr>
        <w:t xml:space="preserve">in the </w:t>
      </w:r>
      <w:r w:rsidR="00141AE5">
        <w:rPr>
          <w:lang w:val="en-AU"/>
        </w:rPr>
        <w:t xml:space="preserve">‘Patients and families/carers’ </w:t>
      </w:r>
      <w:r w:rsidR="00962B3B">
        <w:rPr>
          <w:lang w:val="en-AU"/>
        </w:rPr>
        <w:t xml:space="preserve">section of </w:t>
      </w:r>
      <w:r w:rsidR="002C6AB6">
        <w:rPr>
          <w:lang w:val="en-AU"/>
        </w:rPr>
        <w:fldChar w:fldCharType="begin"/>
      </w:r>
      <w:r w:rsidR="002C6AB6">
        <w:rPr>
          <w:lang w:val="en-AU"/>
        </w:rPr>
        <w:instrText xml:space="preserve"> REF _Ref193202610 \h </w:instrText>
      </w:r>
      <w:r w:rsidR="002C6AB6">
        <w:rPr>
          <w:lang w:val="en-AU"/>
        </w:rPr>
      </w:r>
      <w:r w:rsidR="002C6AB6">
        <w:rPr>
          <w:lang w:val="en-AU"/>
        </w:rPr>
        <w:fldChar w:fldCharType="separate"/>
      </w:r>
      <w:r w:rsidR="00F32107">
        <w:t xml:space="preserve">Figure </w:t>
      </w:r>
      <w:r w:rsidR="00F32107">
        <w:rPr>
          <w:noProof/>
        </w:rPr>
        <w:t>8</w:t>
      </w:r>
      <w:r w:rsidR="00F32107">
        <w:t>.</w:t>
      </w:r>
      <w:r w:rsidR="00F32107">
        <w:rPr>
          <w:noProof/>
        </w:rPr>
        <w:t>3</w:t>
      </w:r>
      <w:r w:rsidR="002C6AB6">
        <w:rPr>
          <w:lang w:val="en-AU"/>
        </w:rPr>
        <w:fldChar w:fldCharType="end"/>
      </w:r>
      <w:r w:rsidR="00962B3B">
        <w:rPr>
          <w:lang w:val="en-AU"/>
        </w:rPr>
        <w:t xml:space="preserve">, </w:t>
      </w:r>
      <w:r w:rsidR="00141AE5">
        <w:rPr>
          <w:lang w:val="en-AU"/>
        </w:rPr>
        <w:t xml:space="preserve">as well as the bottom green tile in the ‘Government agencies &amp; services’ section. </w:t>
      </w:r>
    </w:p>
  </w:footnote>
  <w:footnote w:id="263">
    <w:p w14:paraId="5F95EC38" w14:textId="77777777" w:rsidR="00B11106" w:rsidRDefault="00B11106" w:rsidP="00B11106">
      <w:pPr>
        <w:pStyle w:val="FootnoteText"/>
      </w:pPr>
      <w:r>
        <w:rPr>
          <w:rStyle w:val="FootnoteReference"/>
        </w:rPr>
        <w:footnoteRef/>
      </w:r>
      <w:r>
        <w:t xml:space="preserve"> Osteopathy Board, AHPRA, What is CPD? &lt;</w:t>
      </w:r>
      <w:r w:rsidRPr="002D7553">
        <w:t xml:space="preserve"> https://www.osteopathyboard.gov.au/Registration-Standards/CPD-resources.aspx</w:t>
      </w:r>
      <w:r>
        <w:t>&gt;</w:t>
      </w:r>
    </w:p>
  </w:footnote>
  <w:footnote w:id="264">
    <w:p w14:paraId="0EFDD2F7" w14:textId="2EC8731A" w:rsidR="00AE4B2E" w:rsidRPr="00972F5E" w:rsidRDefault="00AE4B2E">
      <w:pPr>
        <w:pStyle w:val="FootnoteText"/>
        <w:rPr>
          <w:lang w:val="en-AU"/>
        </w:rPr>
      </w:pPr>
      <w:r>
        <w:rPr>
          <w:rStyle w:val="FootnoteReference"/>
        </w:rPr>
        <w:footnoteRef/>
      </w:r>
      <w:r>
        <w:t xml:space="preserve"> </w:t>
      </w:r>
      <w:r w:rsidR="00B30214">
        <w:t xml:space="preserve">Please refer to Section </w:t>
      </w:r>
      <w:r w:rsidR="00A23CB6">
        <w:fldChar w:fldCharType="begin"/>
      </w:r>
      <w:r w:rsidR="00A23CB6">
        <w:instrText xml:space="preserve"> REF _Ref172480965 \r \h </w:instrText>
      </w:r>
      <w:r w:rsidR="00A23CB6">
        <w:fldChar w:fldCharType="separate"/>
      </w:r>
      <w:r w:rsidR="00F32107">
        <w:t>2.4.3.5</w:t>
      </w:r>
      <w:r w:rsidR="00A23CB6">
        <w:fldChar w:fldCharType="end"/>
      </w:r>
      <w:r w:rsidR="00B30214">
        <w:t xml:space="preserve"> for </w:t>
      </w:r>
      <w:r w:rsidR="004A5031">
        <w:t>further information regarding notifier protections.</w:t>
      </w:r>
    </w:p>
  </w:footnote>
  <w:footnote w:id="265">
    <w:p w14:paraId="7A4F3DF5" w14:textId="50F62BEF" w:rsidR="007116CE" w:rsidRPr="00972F5E" w:rsidRDefault="007116CE">
      <w:pPr>
        <w:pStyle w:val="FootnoteText"/>
        <w:rPr>
          <w:lang w:val="en-AU"/>
        </w:rPr>
      </w:pPr>
      <w:r>
        <w:rPr>
          <w:rStyle w:val="FootnoteReference"/>
        </w:rPr>
        <w:footnoteRef/>
      </w:r>
      <w:r>
        <w:t xml:space="preserve"> </w:t>
      </w:r>
      <w:r w:rsidR="007E0DCA">
        <w:rPr>
          <w:lang w:val="en-AU"/>
        </w:rPr>
        <w:t>Ahpra, information submitted.</w:t>
      </w:r>
    </w:p>
  </w:footnote>
  <w:footnote w:id="266">
    <w:p w14:paraId="6052A97D" w14:textId="4C6209C2" w:rsidR="00496048" w:rsidRPr="00972F5E" w:rsidRDefault="00496048">
      <w:pPr>
        <w:pStyle w:val="FootnoteText"/>
        <w:rPr>
          <w:lang w:val="en-AU"/>
        </w:rPr>
      </w:pPr>
      <w:r>
        <w:rPr>
          <w:rStyle w:val="FootnoteReference"/>
        </w:rPr>
        <w:footnoteRef/>
      </w:r>
      <w:r>
        <w:t xml:space="preserve"> </w:t>
      </w:r>
      <w:r w:rsidR="00AF19EE">
        <w:rPr>
          <w:lang w:val="en-AU"/>
        </w:rPr>
        <w:t xml:space="preserve">Based on </w:t>
      </w:r>
      <w:r w:rsidR="00E3668C">
        <w:rPr>
          <w:lang w:val="en-AU"/>
        </w:rPr>
        <w:t xml:space="preserve">similar registered professions, 4% of the registered workforce is assumed to hold non-practising registration. Non-practising registration fees were assumed to be 20% of the </w:t>
      </w:r>
      <w:r w:rsidR="00571F6A">
        <w:rPr>
          <w:lang w:val="en-AU"/>
        </w:rPr>
        <w:t>general registration fee, based on the Osteopathy Board as a benchmark.</w:t>
      </w:r>
    </w:p>
  </w:footnote>
  <w:footnote w:id="267">
    <w:p w14:paraId="64AF16F9" w14:textId="77777777" w:rsidR="00BF2B8A" w:rsidRDefault="00BF2B8A" w:rsidP="00BF2B8A">
      <w:pPr>
        <w:pStyle w:val="FootnoteText"/>
      </w:pPr>
      <w:r>
        <w:rPr>
          <w:rStyle w:val="FootnoteReference"/>
        </w:rPr>
        <w:footnoteRef/>
      </w:r>
      <w:r>
        <w:t xml:space="preserve"> Office of Impact Analysis, </w:t>
      </w:r>
      <w:r w:rsidRPr="00F47D95">
        <w:rPr>
          <w:i/>
          <w:iCs/>
        </w:rPr>
        <w:t>Options for Regulation of Paramedics – COAG Consultation Regulation Impact Statement – Australian Health Workforce Ministerial Council</w:t>
      </w:r>
      <w:r>
        <w:rPr>
          <w:i/>
          <w:iCs/>
        </w:rPr>
        <w:t xml:space="preserve">, </w:t>
      </w:r>
      <w:r w:rsidRPr="00F47D95">
        <w:t>(</w:t>
      </w:r>
      <w:r w:rsidRPr="00107838">
        <w:t>September 2015</w:t>
      </w:r>
      <w:r>
        <w:t>) &lt;</w:t>
      </w:r>
      <w:r w:rsidRPr="00107838">
        <w:t>https://oia.pmc.gov.au/published-impact-analyses-and-reports/options-regulation-paramedics-coag-consultation-regulation</w:t>
      </w:r>
      <w:r>
        <w:t>&gt;</w:t>
      </w:r>
    </w:p>
  </w:footnote>
  <w:footnote w:id="268">
    <w:p w14:paraId="5E4DFB27" w14:textId="7AC0A9AC" w:rsidR="00A55898" w:rsidRPr="00972F5E" w:rsidRDefault="00A55898">
      <w:pPr>
        <w:pStyle w:val="FootnoteText"/>
        <w:rPr>
          <w:lang w:val="en-AU"/>
        </w:rPr>
      </w:pPr>
      <w:r>
        <w:rPr>
          <w:rStyle w:val="FootnoteReference"/>
        </w:rPr>
        <w:footnoteRef/>
      </w:r>
      <w:r>
        <w:t xml:space="preserve"> </w:t>
      </w:r>
      <w:r w:rsidRPr="00A55898">
        <w:t>As an example, Hearing Services Program providers are required to have professional indemnity insurance that covers all relevant personnel, for a minimum of $10 million per claim with no limitation on the number of claims</w:t>
      </w:r>
      <w:r>
        <w:t>.</w:t>
      </w:r>
    </w:p>
  </w:footnote>
  <w:footnote w:id="269">
    <w:p w14:paraId="298B9A0D" w14:textId="77777777" w:rsidR="00BF2B8A" w:rsidRDefault="00BF2B8A" w:rsidP="00BF2B8A">
      <w:pPr>
        <w:pStyle w:val="FootnoteText"/>
      </w:pPr>
      <w:r>
        <w:rPr>
          <w:rStyle w:val="FootnoteReference"/>
        </w:rPr>
        <w:footnoteRef/>
      </w:r>
      <w:r>
        <w:t xml:space="preserve"> Professional indemnity insurance quote for an audiologist provided by a market insurer.</w:t>
      </w:r>
    </w:p>
  </w:footnote>
  <w:footnote w:id="270">
    <w:p w14:paraId="0356501F" w14:textId="2447153B" w:rsidR="00560404" w:rsidRPr="00972F5E" w:rsidRDefault="00560404">
      <w:pPr>
        <w:pStyle w:val="FootnoteText"/>
        <w:rPr>
          <w:lang w:val="en-AU"/>
        </w:rPr>
      </w:pPr>
      <w:r>
        <w:rPr>
          <w:rStyle w:val="FootnoteReference"/>
        </w:rPr>
        <w:footnoteRef/>
      </w:r>
      <w:r>
        <w:t xml:space="preserve"> </w:t>
      </w:r>
      <w:r>
        <w:rPr>
          <w:lang w:val="en-AU"/>
        </w:rPr>
        <w:t>Ahpra, information submitted.</w:t>
      </w:r>
    </w:p>
  </w:footnote>
  <w:footnote w:id="271">
    <w:p w14:paraId="49C146E7" w14:textId="77777777" w:rsidR="00623382" w:rsidRDefault="00623382" w:rsidP="00623382">
      <w:pPr>
        <w:pStyle w:val="FootnoteText"/>
      </w:pPr>
      <w:r>
        <w:rPr>
          <w:rStyle w:val="FootnoteReference"/>
        </w:rPr>
        <w:footnoteRef/>
      </w:r>
      <w:r>
        <w:t xml:space="preserve"> </w:t>
      </w:r>
      <w:r w:rsidRPr="00DC5049">
        <w:t>Social Workers Registration Act</w:t>
      </w:r>
      <w:r>
        <w:t xml:space="preserve"> – South Australia</w:t>
      </w:r>
      <w:r w:rsidRPr="00DC5049">
        <w:t xml:space="preserve"> </w:t>
      </w:r>
      <w:r>
        <w:t>(</w:t>
      </w:r>
      <w:r w:rsidRPr="00DC5049">
        <w:t>2021</w:t>
      </w:r>
      <w:r>
        <w:t>)</w:t>
      </w:r>
    </w:p>
  </w:footnote>
  <w:footnote w:id="272">
    <w:p w14:paraId="16C9D906" w14:textId="77777777" w:rsidR="00623382" w:rsidRDefault="00623382" w:rsidP="00623382">
      <w:pPr>
        <w:pStyle w:val="FootnoteText"/>
      </w:pPr>
      <w:r>
        <w:rPr>
          <w:rStyle w:val="FootnoteReference"/>
        </w:rPr>
        <w:footnoteRef/>
      </w:r>
      <w:r>
        <w:t xml:space="preserve"> Social Workers Registration Board South Australia 2024, </w:t>
      </w:r>
      <w:r w:rsidRPr="003D1775">
        <w:rPr>
          <w:i/>
          <w:iCs/>
        </w:rPr>
        <w:t>FAQs</w:t>
      </w:r>
      <w:r>
        <w:t>, accessed from &lt;</w:t>
      </w:r>
      <w:r w:rsidRPr="003D1775">
        <w:t>https://www.swrb.sa.gov.au/</w:t>
      </w:r>
      <w:r>
        <w:t>&gt;.</w:t>
      </w:r>
    </w:p>
  </w:footnote>
  <w:footnote w:id="273">
    <w:p w14:paraId="6A5BB980" w14:textId="77777777" w:rsidR="00B322FD" w:rsidRDefault="00B322FD" w:rsidP="00B322FD">
      <w:pPr>
        <w:pStyle w:val="FootnoteText"/>
      </w:pPr>
      <w:r>
        <w:rPr>
          <w:rStyle w:val="FootnoteReference"/>
        </w:rPr>
        <w:footnoteRef/>
      </w:r>
      <w:r>
        <w:t xml:space="preserve"> Audiology Australia, Hearing Health Workforce Audit, 2021, </w:t>
      </w:r>
      <w:r w:rsidRPr="0040588A">
        <w:t>https://audiology.asn.au/Tenant/C0000013/auda-hearing-health-workforce-audit.pdf</w:t>
      </w:r>
    </w:p>
  </w:footnote>
  <w:footnote w:id="274">
    <w:p w14:paraId="5BE84488" w14:textId="77777777" w:rsidR="00B322FD" w:rsidRDefault="00B322FD" w:rsidP="00B322FD">
      <w:pPr>
        <w:pStyle w:val="FootnoteText"/>
      </w:pPr>
      <w:r>
        <w:rPr>
          <w:rStyle w:val="FootnoteReference"/>
        </w:rPr>
        <w:footnoteRef/>
      </w:r>
      <w:r>
        <w:t xml:space="preserve"> Australian Government, Productivity Commission, Australia’s Health Workforce – Productivity Commission Research Report, 2005.  </w:t>
      </w:r>
    </w:p>
  </w:footnote>
  <w:footnote w:id="275">
    <w:p w14:paraId="7899F7DC" w14:textId="77777777" w:rsidR="00B322FD" w:rsidRDefault="00B322FD" w:rsidP="00B322FD">
      <w:pPr>
        <w:pStyle w:val="FootnoteText"/>
      </w:pPr>
      <w:r>
        <w:rPr>
          <w:rStyle w:val="FootnoteReference"/>
        </w:rPr>
        <w:footnoteRef/>
      </w:r>
      <w:r>
        <w:t xml:space="preserve"> Government of South Australia, Funding boost for SA’s child protection system, 2023, </w:t>
      </w:r>
      <w:r w:rsidRPr="003F538A">
        <w:t>https://www.premier.sa.gov.au/media-releases/news-items/funding-boost-for-sas-child-protection-system</w:t>
      </w:r>
    </w:p>
  </w:footnote>
  <w:footnote w:id="276">
    <w:p w14:paraId="7E150285" w14:textId="2CD1AEE6" w:rsidR="00A36745" w:rsidRDefault="00A36745" w:rsidP="00A36745">
      <w:pPr>
        <w:pStyle w:val="FootnoteText"/>
      </w:pPr>
      <w:r>
        <w:rPr>
          <w:rStyle w:val="FootnoteReference"/>
        </w:rPr>
        <w:footnoteRef/>
      </w:r>
      <w:r>
        <w:t xml:space="preserve"> </w:t>
      </w:r>
      <w:r w:rsidR="00A5295C">
        <w:t>This</w:t>
      </w:r>
      <w:r>
        <w:t xml:space="preserve"> is aligned to stakeholder feedback that public sector audiologists would be overrepresented among audiologists without current clinical certification.</w:t>
      </w:r>
    </w:p>
  </w:footnote>
  <w:footnote w:id="277">
    <w:p w14:paraId="070EAC0B" w14:textId="77777777" w:rsidR="00A36745" w:rsidRDefault="00A36745" w:rsidP="00A36745">
      <w:pPr>
        <w:pStyle w:val="FootnoteText"/>
      </w:pPr>
      <w:r>
        <w:rPr>
          <w:rStyle w:val="FootnoteReference"/>
        </w:rPr>
        <w:footnoteRef/>
      </w:r>
      <w:r>
        <w:t xml:space="preserve"> Speech Pathology Australia 2024, </w:t>
      </w:r>
      <w:r w:rsidRPr="002A7088">
        <w:rPr>
          <w:i/>
          <w:iCs/>
        </w:rPr>
        <w:t>Membership Fees</w:t>
      </w:r>
      <w:r>
        <w:t>, accessed from &lt;</w:t>
      </w:r>
      <w:r w:rsidRPr="00241CA1">
        <w:t>https://www.speechpathologyaustralia.org.au/Public/Public/join/fees/Membership-Fees.aspx</w:t>
      </w:r>
      <w:r>
        <w:t>&gt;.</w:t>
      </w:r>
    </w:p>
  </w:footnote>
  <w:footnote w:id="278">
    <w:p w14:paraId="58EAE20F" w14:textId="77777777" w:rsidR="00A36745" w:rsidRDefault="00A36745" w:rsidP="00A36745">
      <w:pPr>
        <w:pStyle w:val="FootnoteText"/>
      </w:pPr>
      <w:r>
        <w:rPr>
          <w:rStyle w:val="FootnoteReference"/>
        </w:rPr>
        <w:footnoteRef/>
      </w:r>
      <w:r>
        <w:t xml:space="preserve"> Dietitians Australia 2024, </w:t>
      </w:r>
      <w:r w:rsidRPr="002A7088">
        <w:rPr>
          <w:i/>
          <w:iCs/>
        </w:rPr>
        <w:t>Apply to become an Accredited Practising Dietitian</w:t>
      </w:r>
      <w:r>
        <w:t>, accessed from &lt;</w:t>
      </w:r>
      <w:r w:rsidRPr="00F34F61">
        <w:t>https://dietitiansaustralia.org.au/working-dietetics/credentialing-dietitians</w:t>
      </w:r>
      <w:r>
        <w:t>&gt;.</w:t>
      </w:r>
    </w:p>
  </w:footnote>
  <w:footnote w:id="279">
    <w:p w14:paraId="45EF3EE7" w14:textId="77777777" w:rsidR="00A36745" w:rsidRDefault="00A36745" w:rsidP="00A36745">
      <w:pPr>
        <w:pStyle w:val="FootnoteText"/>
      </w:pPr>
      <w:r>
        <w:rPr>
          <w:rStyle w:val="FootnoteReference"/>
        </w:rPr>
        <w:footnoteRef/>
      </w:r>
      <w:r>
        <w:t xml:space="preserve"> Audiology Australia 2021, </w:t>
      </w:r>
      <w:r w:rsidRPr="00B57601">
        <w:rPr>
          <w:i/>
          <w:iCs/>
        </w:rPr>
        <w:t>Annual Report 2021</w:t>
      </w:r>
      <w:r>
        <w:t>, accessed from the Audiology Australia website.</w:t>
      </w:r>
    </w:p>
  </w:footnote>
  <w:footnote w:id="280">
    <w:p w14:paraId="21774E96" w14:textId="77777777" w:rsidR="00D308EA" w:rsidRDefault="00D308EA" w:rsidP="00D308EA">
      <w:pPr>
        <w:pStyle w:val="FootnoteText"/>
      </w:pPr>
      <w:r>
        <w:rPr>
          <w:rStyle w:val="FootnoteReference"/>
        </w:rPr>
        <w:footnoteRef/>
      </w:r>
      <w:r>
        <w:t xml:space="preserve"> It is recognised that there are reporting requirements under the current state in relation to the National Code of Conduct, however awareness of these requirements is theorised to be low. </w:t>
      </w:r>
    </w:p>
  </w:footnote>
  <w:footnote w:id="281">
    <w:p w14:paraId="25280635" w14:textId="041A4606" w:rsidR="004F5976" w:rsidRPr="004F5976" w:rsidRDefault="004F5976">
      <w:pPr>
        <w:pStyle w:val="FootnoteText"/>
        <w:rPr>
          <w:lang w:val="en-AU"/>
        </w:rPr>
      </w:pPr>
      <w:r>
        <w:rPr>
          <w:rStyle w:val="FootnoteReference"/>
        </w:rPr>
        <w:footnoteRef/>
      </w:r>
      <w:r>
        <w:t xml:space="preserve"> </w:t>
      </w:r>
      <w:r w:rsidR="00086BCF">
        <w:rPr>
          <w:lang w:val="en-AU"/>
        </w:rPr>
        <w:t>Ahpra</w:t>
      </w:r>
      <w:r w:rsidR="00CA3DBD">
        <w:rPr>
          <w:lang w:val="en-AU"/>
        </w:rPr>
        <w:t>, information submitted.</w:t>
      </w:r>
    </w:p>
  </w:footnote>
  <w:footnote w:id="282">
    <w:p w14:paraId="29562577" w14:textId="7C71DA2F" w:rsidR="00086BCF" w:rsidRPr="007176F0" w:rsidRDefault="00086BCF">
      <w:pPr>
        <w:pStyle w:val="FootnoteText"/>
        <w:rPr>
          <w:lang w:val="en-AU"/>
        </w:rPr>
      </w:pPr>
      <w:r>
        <w:rPr>
          <w:rStyle w:val="FootnoteReference"/>
        </w:rPr>
        <w:footnoteRef/>
      </w:r>
      <w:r>
        <w:t xml:space="preserve"> Ahpra </w:t>
      </w:r>
      <w:r w:rsidR="00CD7133">
        <w:t xml:space="preserve">2024. </w:t>
      </w:r>
      <w:r w:rsidR="004C74E5" w:rsidRPr="007176F0">
        <w:rPr>
          <w:i/>
          <w:iCs/>
        </w:rPr>
        <w:t>Heath Professions Agreements</w:t>
      </w:r>
      <w:r w:rsidR="007E27AD">
        <w:rPr>
          <w:i/>
          <w:iCs/>
        </w:rPr>
        <w:t xml:space="preserve"> </w:t>
      </w:r>
      <w:r w:rsidR="001C364A">
        <w:rPr>
          <w:i/>
          <w:iCs/>
        </w:rPr>
        <w:t>– Paramedicine Board of Australian and the Australian Health Practitioner Regulation Agency 2018-2020</w:t>
      </w:r>
      <w:r w:rsidR="007E27AD">
        <w:t>, accessed from &lt;</w:t>
      </w:r>
      <w:r w:rsidR="007E27AD" w:rsidRPr="007E27AD">
        <w:t xml:space="preserve"> https://www.ahpra.gov.au/Publications/Health-profession-agreements.aspx</w:t>
      </w:r>
      <w:r w:rsidR="007E27AD">
        <w:t>&gt;.</w:t>
      </w:r>
    </w:p>
  </w:footnote>
  <w:footnote w:id="283">
    <w:p w14:paraId="08F29C26" w14:textId="77777777" w:rsidR="0027075D" w:rsidRDefault="0027075D" w:rsidP="0027075D">
      <w:pPr>
        <w:pStyle w:val="FootnoteText"/>
      </w:pPr>
      <w:r>
        <w:rPr>
          <w:rStyle w:val="FootnoteReference"/>
        </w:rPr>
        <w:footnoteRef/>
      </w:r>
      <w:r>
        <w:t xml:space="preserve"> National Health Practitioner Ombudsman 2024, </w:t>
      </w:r>
      <w:r w:rsidRPr="0007458C">
        <w:rPr>
          <w:i/>
          <w:iCs/>
        </w:rPr>
        <w:t>Legislation</w:t>
      </w:r>
      <w:r>
        <w:t>, accessed from &lt;</w:t>
      </w:r>
      <w:r w:rsidRPr="003D162B">
        <w:t>https://www.nhpo.gov.au/legislation</w:t>
      </w:r>
      <w:r>
        <w:t xml:space="preserve">&gt;. </w:t>
      </w:r>
    </w:p>
  </w:footnote>
  <w:footnote w:id="284">
    <w:p w14:paraId="7F4703DD" w14:textId="741DE309" w:rsidR="007948DE" w:rsidRPr="007176F0" w:rsidRDefault="007948DE">
      <w:pPr>
        <w:pStyle w:val="FootnoteText"/>
        <w:rPr>
          <w:lang w:val="en-AU"/>
        </w:rPr>
      </w:pPr>
      <w:r>
        <w:rPr>
          <w:rStyle w:val="FootnoteReference"/>
        </w:rPr>
        <w:footnoteRef/>
      </w:r>
      <w:r>
        <w:t xml:space="preserve"> </w:t>
      </w:r>
      <w:r w:rsidR="00254742">
        <w:rPr>
          <w:lang w:val="en-AU"/>
        </w:rPr>
        <w:t xml:space="preserve">Ahpra 2024, </w:t>
      </w:r>
      <w:r w:rsidR="00254742" w:rsidRPr="007176F0">
        <w:rPr>
          <w:i/>
          <w:iCs/>
          <w:lang w:val="en-AU"/>
        </w:rPr>
        <w:t>Accreditation authorities</w:t>
      </w:r>
      <w:r w:rsidR="00254742">
        <w:rPr>
          <w:lang w:val="en-AU"/>
        </w:rPr>
        <w:t>, accessed from &lt;</w:t>
      </w:r>
      <w:r w:rsidR="00254742" w:rsidRPr="00254742">
        <w:t xml:space="preserve"> </w:t>
      </w:r>
      <w:r w:rsidR="00254742" w:rsidRPr="00254742">
        <w:rPr>
          <w:lang w:val="en-AU"/>
        </w:rPr>
        <w:t>https://www.ahpra.gov.au/Accreditation/Accreditation-Authorities.aspx</w:t>
      </w:r>
      <w:r w:rsidR="00254742">
        <w:rPr>
          <w:lang w:val="en-AU"/>
        </w:rPr>
        <w:t>&gt;.</w:t>
      </w:r>
    </w:p>
  </w:footnote>
  <w:footnote w:id="285">
    <w:p w14:paraId="28B76E9F" w14:textId="77777777" w:rsidR="004B6BB8" w:rsidRPr="007176F0" w:rsidRDefault="004B6BB8" w:rsidP="004B6BB8">
      <w:pPr>
        <w:pStyle w:val="FootnoteText"/>
        <w:rPr>
          <w:lang w:val="en-AU"/>
        </w:rPr>
      </w:pPr>
      <w:r>
        <w:rPr>
          <w:rStyle w:val="FootnoteReference"/>
        </w:rPr>
        <w:footnoteRef/>
      </w:r>
      <w:r>
        <w:t xml:space="preserve"> </w:t>
      </w:r>
      <w:r>
        <w:rPr>
          <w:lang w:val="en-AU"/>
        </w:rPr>
        <w:t xml:space="preserve">Ahpra 2022, </w:t>
      </w:r>
      <w:r w:rsidRPr="007176F0">
        <w:rPr>
          <w:i/>
          <w:iCs/>
          <w:lang w:val="en-AU"/>
        </w:rPr>
        <w:t>Fee Setting Policy</w:t>
      </w:r>
      <w:r>
        <w:rPr>
          <w:lang w:val="en-AU"/>
        </w:rPr>
        <w:t>, accessed from &lt;</w:t>
      </w:r>
      <w:r w:rsidRPr="00521047">
        <w:t xml:space="preserve"> </w:t>
      </w:r>
      <w:r w:rsidRPr="00521047">
        <w:rPr>
          <w:lang w:val="en-AU"/>
        </w:rPr>
        <w:t>https://www.ahpra.gov.au/Registration/Applying-for-registration/Fees.aspx</w:t>
      </w:r>
      <w:r>
        <w:rPr>
          <w:lang w:val="en-AU"/>
        </w:rPr>
        <w:t>&gt;.</w:t>
      </w:r>
    </w:p>
  </w:footnote>
  <w:footnote w:id="286">
    <w:p w14:paraId="201B979D" w14:textId="77777777" w:rsidR="004B6BB8" w:rsidRPr="007176F0" w:rsidRDefault="004B6BB8" w:rsidP="004B6BB8">
      <w:pPr>
        <w:pStyle w:val="FootnoteText"/>
        <w:rPr>
          <w:lang w:val="en-AU"/>
        </w:rPr>
      </w:pPr>
      <w:r>
        <w:rPr>
          <w:rStyle w:val="FootnoteReference"/>
        </w:rPr>
        <w:footnoteRef/>
      </w:r>
      <w:r>
        <w:t xml:space="preserve">Ahpra 2015, </w:t>
      </w:r>
      <w:r w:rsidRPr="007176F0">
        <w:rPr>
          <w:i/>
          <w:iCs/>
        </w:rPr>
        <w:t>Obligations for employers of health practitioners</w:t>
      </w:r>
      <w:r>
        <w:t>, accessed from &lt;</w:t>
      </w:r>
      <w:r w:rsidRPr="002A7036">
        <w:t xml:space="preserve"> https://www.ahpra.gov.au/News/2015-12-31-obligations-for-employers.aspx#resources</w:t>
      </w:r>
      <w:r>
        <w:t xml:space="preserve">&gt;. </w:t>
      </w:r>
    </w:p>
  </w:footnote>
  <w:footnote w:id="287">
    <w:p w14:paraId="1032CF9B" w14:textId="72408B25" w:rsidR="00883C2C" w:rsidRPr="00883C2C" w:rsidRDefault="00883C2C">
      <w:pPr>
        <w:pStyle w:val="FootnoteText"/>
        <w:rPr>
          <w:lang w:val="en-AU"/>
        </w:rPr>
      </w:pPr>
      <w:r>
        <w:rPr>
          <w:rStyle w:val="FootnoteReference"/>
        </w:rPr>
        <w:footnoteRef/>
      </w:r>
      <w:r>
        <w:t xml:space="preserve"> </w:t>
      </w:r>
      <w:r w:rsidR="00141719">
        <w:rPr>
          <w:lang w:val="en-AU"/>
        </w:rPr>
        <w:t xml:space="preserve">Please refer to Section </w:t>
      </w:r>
      <w:r w:rsidR="00801FE2">
        <w:rPr>
          <w:lang w:val="en-AU"/>
        </w:rPr>
        <w:fldChar w:fldCharType="begin"/>
      </w:r>
      <w:r w:rsidR="00801FE2">
        <w:rPr>
          <w:lang w:val="en-AU"/>
        </w:rPr>
        <w:instrText xml:space="preserve"> REF _Ref191643216 \r \h </w:instrText>
      </w:r>
      <w:r w:rsidR="00801FE2">
        <w:rPr>
          <w:lang w:val="en-AU"/>
        </w:rPr>
      </w:r>
      <w:r w:rsidR="00801FE2">
        <w:rPr>
          <w:lang w:val="en-AU"/>
        </w:rPr>
        <w:fldChar w:fldCharType="separate"/>
      </w:r>
      <w:r w:rsidR="00F32107">
        <w:rPr>
          <w:lang w:val="en-AU"/>
        </w:rPr>
        <w:t>9.2.4.10</w:t>
      </w:r>
      <w:r w:rsidR="00801FE2">
        <w:rPr>
          <w:lang w:val="en-AU"/>
        </w:rPr>
        <w:fldChar w:fldCharType="end"/>
      </w:r>
      <w:r w:rsidR="00141719">
        <w:rPr>
          <w:lang w:val="en-AU"/>
        </w:rPr>
        <w:t xml:space="preserve"> for one-off compliance costs, which are not expected to </w:t>
      </w:r>
      <w:r w:rsidR="00BC510D">
        <w:rPr>
          <w:lang w:val="en-AU"/>
        </w:rPr>
        <w:t xml:space="preserve">drive </w:t>
      </w:r>
      <w:r w:rsidR="00CD4F50">
        <w:rPr>
          <w:lang w:val="en-AU"/>
        </w:rPr>
        <w:t xml:space="preserve">ongoing </w:t>
      </w:r>
      <w:r w:rsidR="00BC510D">
        <w:rPr>
          <w:lang w:val="en-AU"/>
        </w:rPr>
        <w:t xml:space="preserve">workforce substitution </w:t>
      </w:r>
      <w:r w:rsidR="00CD4F50">
        <w:rPr>
          <w:lang w:val="en-AU"/>
        </w:rPr>
        <w:t>dynamics</w:t>
      </w:r>
      <w:r w:rsidR="00141719">
        <w:rPr>
          <w:lang w:val="en-AU"/>
        </w:rPr>
        <w:t xml:space="preserve">. </w:t>
      </w:r>
    </w:p>
  </w:footnote>
  <w:footnote w:id="288">
    <w:p w14:paraId="4A2C8B90" w14:textId="0800E70E" w:rsidR="00AE63CE" w:rsidRPr="0007458C" w:rsidRDefault="00AE63CE">
      <w:pPr>
        <w:pStyle w:val="FootnoteText"/>
        <w:rPr>
          <w:lang w:val="en-AU"/>
        </w:rPr>
      </w:pPr>
      <w:r>
        <w:rPr>
          <w:rStyle w:val="FootnoteReference"/>
        </w:rPr>
        <w:footnoteRef/>
      </w:r>
      <w:r>
        <w:t xml:space="preserve"> </w:t>
      </w:r>
      <w:r>
        <w:rPr>
          <w:lang w:val="en-AU"/>
        </w:rPr>
        <w:t>Costs passed through to government</w:t>
      </w:r>
      <w:r w:rsidR="002A5AF0">
        <w:rPr>
          <w:lang w:val="en-AU"/>
        </w:rPr>
        <w:t xml:space="preserve"> are acknowledged to create third-round effects of either higher taxes to </w:t>
      </w:r>
      <w:r w:rsidR="00D10476">
        <w:rPr>
          <w:lang w:val="en-AU"/>
        </w:rPr>
        <w:t>consumers/taxpayers or foregone expenditure on other government priorities.</w:t>
      </w:r>
      <w:r w:rsidR="002A21CF">
        <w:rPr>
          <w:lang w:val="en-AU"/>
        </w:rPr>
        <w:t xml:space="preserve"> Third-round effects have not been considered in this analysis.</w:t>
      </w:r>
    </w:p>
  </w:footnote>
  <w:footnote w:id="289">
    <w:p w14:paraId="407E94C2" w14:textId="40A81AEF" w:rsidR="00D8396A" w:rsidRPr="00D8396A" w:rsidRDefault="00D8396A">
      <w:pPr>
        <w:pStyle w:val="FootnoteText"/>
        <w:rPr>
          <w:lang w:val="en-AU"/>
        </w:rPr>
      </w:pPr>
      <w:r>
        <w:rPr>
          <w:rStyle w:val="FootnoteReference"/>
        </w:rPr>
        <w:footnoteRef/>
      </w:r>
      <w:r>
        <w:t xml:space="preserve"> </w:t>
      </w:r>
      <w:r w:rsidR="00630CD0">
        <w:t xml:space="preserve">Please refer to Section </w:t>
      </w:r>
      <w:r w:rsidR="00FD61A4">
        <w:fldChar w:fldCharType="begin"/>
      </w:r>
      <w:r w:rsidR="00FD61A4">
        <w:instrText xml:space="preserve"> REF _Ref172549724 \r \h </w:instrText>
      </w:r>
      <w:r w:rsidR="00FD61A4">
        <w:fldChar w:fldCharType="separate"/>
      </w:r>
      <w:r w:rsidR="00F32107">
        <w:t>8.1.2.8</w:t>
      </w:r>
      <w:r w:rsidR="00FD61A4">
        <w:fldChar w:fldCharType="end"/>
      </w:r>
      <w:r w:rsidR="00630CD0">
        <w:t>.</w:t>
      </w:r>
    </w:p>
  </w:footnote>
  <w:footnote w:id="290">
    <w:p w14:paraId="7809BD42" w14:textId="077C2F18" w:rsidR="00397FBB" w:rsidRPr="0007458C" w:rsidRDefault="00397FBB">
      <w:pPr>
        <w:pStyle w:val="FootnoteText"/>
        <w:rPr>
          <w:lang w:val="en-AU"/>
        </w:rPr>
      </w:pPr>
      <w:r>
        <w:rPr>
          <w:rStyle w:val="FootnoteReference"/>
        </w:rPr>
        <w:footnoteRef/>
      </w:r>
      <w:r>
        <w:t xml:space="preserve"> </w:t>
      </w:r>
      <w:r w:rsidR="00511167">
        <w:t xml:space="preserve">Australian Government Department of Health and Aged Care 2024, Annual Program Statistics 2023-24, accessed from </w:t>
      </w:r>
      <w:r w:rsidR="00C76C7C" w:rsidRPr="0007458C">
        <w:t xml:space="preserve">https://www.health.gov.au/sites/default/files/2024-09/hearing-services-program-statistics-2023-24.pdf </w:t>
      </w:r>
      <w:r w:rsidR="00C76C7C">
        <w:t xml:space="preserve"> .  It is noted that this figure may include </w:t>
      </w:r>
      <w:r w:rsidR="008E5204">
        <w:t>re-fittings, which is a limitation of the approach.</w:t>
      </w:r>
    </w:p>
  </w:footnote>
  <w:footnote w:id="291">
    <w:p w14:paraId="5089DD7A" w14:textId="46AC1CE6" w:rsidR="007B7A87" w:rsidRPr="0007458C" w:rsidRDefault="007B7A87">
      <w:pPr>
        <w:pStyle w:val="FootnoteText"/>
        <w:rPr>
          <w:lang w:val="en-AU"/>
        </w:rPr>
      </w:pPr>
      <w:r>
        <w:rPr>
          <w:rStyle w:val="FootnoteReference"/>
        </w:rPr>
        <w:footnoteRef/>
      </w:r>
      <w:r>
        <w:t xml:space="preserve"> </w:t>
      </w:r>
      <w:r w:rsidR="00D55A55">
        <w:t xml:space="preserve">Based on Table 13 in: </w:t>
      </w:r>
      <w:r w:rsidRPr="007B7A87">
        <w:t xml:space="preserve">Woods and Burgess 2021, </w:t>
      </w:r>
      <w:r w:rsidRPr="0007458C">
        <w:rPr>
          <w:i/>
          <w:iCs/>
        </w:rPr>
        <w:t>Report of the Independent Review of the Hearing Services Program</w:t>
      </w:r>
      <w:r w:rsidRPr="007B7A87">
        <w:t>, p1</w:t>
      </w:r>
      <w:r w:rsidR="005C392C">
        <w:t>08</w:t>
      </w:r>
      <w:r w:rsidRPr="007B7A87">
        <w:t>, accessed from &lt; https://www.health.gov.au/sites/default/files/documents/2021/09/report-of-the-independent-review-of-the-hearing-services-program-report.pdf&gt;</w:t>
      </w:r>
    </w:p>
  </w:footnote>
  <w:footnote w:id="292">
    <w:p w14:paraId="2AEF92F7" w14:textId="05B7B905" w:rsidR="001D3ED3" w:rsidRPr="0007458C" w:rsidRDefault="001D3ED3">
      <w:pPr>
        <w:pStyle w:val="FootnoteText"/>
        <w:rPr>
          <w:lang w:val="en-AU"/>
        </w:rPr>
      </w:pPr>
      <w:r>
        <w:rPr>
          <w:rStyle w:val="FootnoteReference"/>
        </w:rPr>
        <w:footnoteRef/>
      </w:r>
      <w:r>
        <w:t xml:space="preserve"> </w:t>
      </w:r>
      <w:r w:rsidRPr="001D3ED3">
        <w:t xml:space="preserve">Woods and Burgess 2021, </w:t>
      </w:r>
      <w:r w:rsidRPr="0007458C">
        <w:rPr>
          <w:i/>
          <w:iCs/>
        </w:rPr>
        <w:t>Report of the Independent Review of the Hearing Services Program</w:t>
      </w:r>
      <w:r w:rsidRPr="001D3ED3">
        <w:t>, p1</w:t>
      </w:r>
      <w:r>
        <w:t>13</w:t>
      </w:r>
      <w:r w:rsidRPr="001D3ED3">
        <w:t>, accessed from &lt; https://www.health.gov.au/sites/default/files/documents/2021/09/report-of-the-independent-review-of-the-hearing-services-program-report.pdf&gt;</w:t>
      </w:r>
    </w:p>
  </w:footnote>
  <w:footnote w:id="293">
    <w:p w14:paraId="6BFCA996" w14:textId="63E93BEB" w:rsidR="003C770D" w:rsidRPr="0007458C" w:rsidRDefault="003C770D">
      <w:pPr>
        <w:pStyle w:val="FootnoteText"/>
        <w:rPr>
          <w:lang w:val="en-AU"/>
        </w:rPr>
      </w:pPr>
      <w:r>
        <w:rPr>
          <w:rStyle w:val="FootnoteReference"/>
        </w:rPr>
        <w:footnoteRef/>
      </w:r>
      <w:r>
        <w:t xml:space="preserve"> </w:t>
      </w:r>
      <w:r w:rsidRPr="003C770D">
        <w:t>For the list of included item numbers, please refer to &lt; https://www.aihw.gov.au/reports/primary-health-care/medicare-subsidised-gp-allied-health-specialist/contents/technical-notes/technical-information&gt;.</w:t>
      </w:r>
    </w:p>
  </w:footnote>
  <w:footnote w:id="294">
    <w:p w14:paraId="23170B98" w14:textId="6ABF954B" w:rsidR="00344E7A" w:rsidRPr="00B02034" w:rsidRDefault="00344E7A" w:rsidP="00344E7A">
      <w:pPr>
        <w:pStyle w:val="FootnoteText"/>
        <w:rPr>
          <w:lang w:val="en-AU"/>
        </w:rPr>
      </w:pPr>
      <w:r>
        <w:rPr>
          <w:rStyle w:val="FootnoteReference"/>
        </w:rPr>
        <w:footnoteRef/>
      </w:r>
      <w:r>
        <w:t xml:space="preserve"> </w:t>
      </w:r>
      <w:r w:rsidR="00277A58">
        <w:rPr>
          <w:lang w:val="en-AU"/>
        </w:rPr>
        <w:t>Ahpra</w:t>
      </w:r>
      <w:r>
        <w:rPr>
          <w:lang w:val="en-AU"/>
        </w:rPr>
        <w:t xml:space="preserve"> 2021, </w:t>
      </w:r>
      <w:r w:rsidRPr="0007458C">
        <w:rPr>
          <w:i/>
          <w:iCs/>
          <w:lang w:val="en-AU"/>
        </w:rPr>
        <w:t>Research and evaluation framework that aims to embed strong research culture published</w:t>
      </w:r>
      <w:r>
        <w:rPr>
          <w:lang w:val="en-AU"/>
        </w:rPr>
        <w:t>, accessed from &lt;</w:t>
      </w:r>
      <w:r w:rsidRPr="00DE2DB5">
        <w:t xml:space="preserve"> </w:t>
      </w:r>
      <w:r w:rsidRPr="00DE2DB5">
        <w:rPr>
          <w:lang w:val="en-AU"/>
        </w:rPr>
        <w:t>https://www.ahpra.gov.au/News/2021-08-27-Research-and-evaluation-framework.aspx</w:t>
      </w:r>
      <w:r>
        <w:rPr>
          <w:lang w:val="en-AU"/>
        </w:rPr>
        <w:t>&gt;.</w:t>
      </w:r>
    </w:p>
  </w:footnote>
  <w:footnote w:id="295">
    <w:p w14:paraId="0EF8387C" w14:textId="77777777" w:rsidR="00E22FF5" w:rsidRDefault="00E22FF5" w:rsidP="00E22FF5">
      <w:pPr>
        <w:pStyle w:val="FootnoteText"/>
      </w:pPr>
      <w:r>
        <w:rPr>
          <w:rStyle w:val="FootnoteReference"/>
        </w:rPr>
        <w:footnoteRef/>
      </w:r>
      <w:r>
        <w:t xml:space="preserve"> Audiology Australia 2023, </w:t>
      </w:r>
      <w:r>
        <w:rPr>
          <w:i/>
          <w:iCs/>
        </w:rPr>
        <w:t>Accreditation Standards for Audiology Programs</w:t>
      </w:r>
      <w:r>
        <w:t>, accessed from the Audiology Australia Resource Library on the Audiology Australia website.</w:t>
      </w:r>
    </w:p>
  </w:footnote>
  <w:footnote w:id="296">
    <w:p w14:paraId="7F52A43E" w14:textId="77777777" w:rsidR="00F93C5C" w:rsidRDefault="00F93C5C" w:rsidP="00F93C5C">
      <w:pPr>
        <w:pStyle w:val="FootnoteText"/>
      </w:pPr>
      <w:r>
        <w:rPr>
          <w:rStyle w:val="FootnoteReference"/>
        </w:rPr>
        <w:footnoteRef/>
      </w:r>
      <w:r>
        <w:t xml:space="preserve"> Audiology Australia 2023, </w:t>
      </w:r>
      <w:r w:rsidRPr="00BC7DD8">
        <w:rPr>
          <w:i/>
          <w:iCs/>
        </w:rPr>
        <w:t>Accreditation Policies and Procedures for Audiology Programs</w:t>
      </w:r>
      <w:r>
        <w:t>, accessed from the Resource Library of the Audiology Australia website (p17).</w:t>
      </w:r>
    </w:p>
  </w:footnote>
  <w:footnote w:id="297">
    <w:p w14:paraId="2073CA93" w14:textId="77777777" w:rsidR="00F93C5C" w:rsidRDefault="00F93C5C" w:rsidP="00F93C5C">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5515" w14:textId="77777777" w:rsidR="00F61468" w:rsidRDefault="00F614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F8023" w14:textId="6FBD7E74" w:rsidR="00951C56" w:rsidRDefault="00951C56">
    <w:pPr>
      <w:pStyle w:val="Header"/>
    </w:pPr>
  </w:p>
  <w:p w14:paraId="085C7657" w14:textId="77777777" w:rsidR="0067425D" w:rsidRDefault="0067425D">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E8BA4" w14:textId="77777777" w:rsidR="00F61468" w:rsidRDefault="00F614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E1E4" w14:textId="7B43D67B" w:rsidR="008417E5" w:rsidRDefault="008417E5">
    <w:pPr>
      <w:pStyle w:val="Header"/>
    </w:pPr>
  </w:p>
  <w:p w14:paraId="0B782156"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1194122"/>
    <w:multiLevelType w:val="hybridMultilevel"/>
    <w:tmpl w:val="CC0A4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11FF1"/>
    <w:multiLevelType w:val="hybridMultilevel"/>
    <w:tmpl w:val="1396B1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8610F36"/>
    <w:multiLevelType w:val="hybridMultilevel"/>
    <w:tmpl w:val="8CE4A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15AA0"/>
    <w:multiLevelType w:val="hybridMultilevel"/>
    <w:tmpl w:val="BE4627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45CC07E6">
      <w:start w:val="10"/>
      <w:numFmt w:val="bullet"/>
      <w:lvlText w:val="-"/>
      <w:lvlJc w:val="left"/>
      <w:pPr>
        <w:ind w:left="1800" w:hanging="360"/>
      </w:pPr>
      <w:rPr>
        <w:rFonts w:ascii="Calibri Light" w:eastAsia="Times New Roman" w:hAnsi="Calibri Light" w:cs="Calibri Light"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F9741A"/>
    <w:multiLevelType w:val="hybridMultilevel"/>
    <w:tmpl w:val="936AD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E23401"/>
    <w:multiLevelType w:val="hybridMultilevel"/>
    <w:tmpl w:val="7178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30A24"/>
    <w:multiLevelType w:val="hybridMultilevel"/>
    <w:tmpl w:val="79B21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0F2720"/>
    <w:multiLevelType w:val="hybridMultilevel"/>
    <w:tmpl w:val="1110F1A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DB3706"/>
    <w:multiLevelType w:val="hybridMultilevel"/>
    <w:tmpl w:val="476A2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4D0150"/>
    <w:multiLevelType w:val="hybridMultilevel"/>
    <w:tmpl w:val="253CB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4422A7"/>
    <w:multiLevelType w:val="hybridMultilevel"/>
    <w:tmpl w:val="E626E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1656C"/>
    <w:multiLevelType w:val="hybridMultilevel"/>
    <w:tmpl w:val="3434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097F47"/>
    <w:multiLevelType w:val="hybridMultilevel"/>
    <w:tmpl w:val="5C7C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542D3B"/>
    <w:multiLevelType w:val="hybridMultilevel"/>
    <w:tmpl w:val="D092038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1E707689"/>
    <w:multiLevelType w:val="hybridMultilevel"/>
    <w:tmpl w:val="7F46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240F6C"/>
    <w:multiLevelType w:val="multilevel"/>
    <w:tmpl w:val="C2FE460C"/>
    <w:styleLink w:val="Bullets"/>
    <w:lvl w:ilvl="0">
      <w:start w:val="1"/>
      <w:numFmt w:val="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8" w15:restartNumberingAfterBreak="0">
    <w:nsid w:val="21394768"/>
    <w:multiLevelType w:val="hybridMultilevel"/>
    <w:tmpl w:val="2034EA8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2BE0A42"/>
    <w:multiLevelType w:val="hybridMultilevel"/>
    <w:tmpl w:val="48EC0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D4651D"/>
    <w:multiLevelType w:val="hybridMultilevel"/>
    <w:tmpl w:val="BF5A6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7433F3"/>
    <w:multiLevelType w:val="hybridMultilevel"/>
    <w:tmpl w:val="61962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360AAF"/>
    <w:multiLevelType w:val="hybridMultilevel"/>
    <w:tmpl w:val="104819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227827"/>
    <w:multiLevelType w:val="hybridMultilevel"/>
    <w:tmpl w:val="92E85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E23156"/>
    <w:multiLevelType w:val="hybridMultilevel"/>
    <w:tmpl w:val="CD888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EB4FEB"/>
    <w:multiLevelType w:val="hybridMultilevel"/>
    <w:tmpl w:val="75F25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B22C7"/>
    <w:multiLevelType w:val="hybridMultilevel"/>
    <w:tmpl w:val="23F863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FC73079"/>
    <w:multiLevelType w:val="hybridMultilevel"/>
    <w:tmpl w:val="ADD66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2E0A3A"/>
    <w:multiLevelType w:val="hybridMultilevel"/>
    <w:tmpl w:val="152CA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F013AB"/>
    <w:multiLevelType w:val="hybridMultilevel"/>
    <w:tmpl w:val="6BF2A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EF0BAB"/>
    <w:multiLevelType w:val="hybridMultilevel"/>
    <w:tmpl w:val="7ED4164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1" w15:restartNumberingAfterBreak="0">
    <w:nsid w:val="343A4978"/>
    <w:multiLevelType w:val="hybridMultilevel"/>
    <w:tmpl w:val="650634E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34A66FBF"/>
    <w:multiLevelType w:val="hybridMultilevel"/>
    <w:tmpl w:val="AA1A23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217A40"/>
    <w:multiLevelType w:val="hybridMultilevel"/>
    <w:tmpl w:val="9C4A6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E360F5"/>
    <w:multiLevelType w:val="hybridMultilevel"/>
    <w:tmpl w:val="C2282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B1A01D8"/>
    <w:multiLevelType w:val="hybridMultilevel"/>
    <w:tmpl w:val="F7F64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D3714C7"/>
    <w:multiLevelType w:val="hybridMultilevel"/>
    <w:tmpl w:val="9732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7E7929"/>
    <w:multiLevelType w:val="hybridMultilevel"/>
    <w:tmpl w:val="934680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FAD01D2"/>
    <w:multiLevelType w:val="multilevel"/>
    <w:tmpl w:val="A60EDDB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555" w:hanging="720"/>
      </w:pPr>
      <w:rPr>
        <w:rFonts w:hint="default"/>
        <w:b/>
        <w:bCs w:val="0"/>
      </w:rPr>
    </w:lvl>
    <w:lvl w:ilvl="3">
      <w:start w:val="1"/>
      <w:numFmt w:val="decimal"/>
      <w:pStyle w:val="Heading4"/>
      <w:lvlText w:val="%1.%2.%3.%4"/>
      <w:lvlJc w:val="left"/>
      <w:pPr>
        <w:ind w:left="1857"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407C0E88"/>
    <w:multiLevelType w:val="hybridMultilevel"/>
    <w:tmpl w:val="31561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2D231E8"/>
    <w:multiLevelType w:val="hybridMultilevel"/>
    <w:tmpl w:val="9E6C3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432AE3"/>
    <w:multiLevelType w:val="hybridMultilevel"/>
    <w:tmpl w:val="0568A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57C67BE"/>
    <w:multiLevelType w:val="hybridMultilevel"/>
    <w:tmpl w:val="9A7E6C42"/>
    <w:lvl w:ilvl="0" w:tplc="2E444D5E">
      <w:start w:val="1"/>
      <w:numFmt w:val="bullet"/>
      <w:pStyle w:val="Table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5AF17D1"/>
    <w:multiLevelType w:val="hybridMultilevel"/>
    <w:tmpl w:val="D5A0D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8094328"/>
    <w:multiLevelType w:val="multilevel"/>
    <w:tmpl w:val="C2FE460C"/>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7" w15:restartNumberingAfterBreak="0">
    <w:nsid w:val="4A3A58AC"/>
    <w:multiLevelType w:val="hybridMultilevel"/>
    <w:tmpl w:val="25D8402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8" w15:restartNumberingAfterBreak="0">
    <w:nsid w:val="4D2424A9"/>
    <w:multiLevelType w:val="hybridMultilevel"/>
    <w:tmpl w:val="6604422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E5B32F3"/>
    <w:multiLevelType w:val="multilevel"/>
    <w:tmpl w:val="3CD645EC"/>
    <w:lvl w:ilvl="0">
      <w:start w:val="1"/>
      <w:numFmt w:val="lowerLetter"/>
      <w:lvlText w:val="%1."/>
      <w:lvlJc w:val="left"/>
      <w:pPr>
        <w:ind w:left="360" w:hanging="360"/>
      </w:pPr>
      <w:rPr>
        <w:rFonts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50" w15:restartNumberingAfterBreak="0">
    <w:nsid w:val="4EF37640"/>
    <w:multiLevelType w:val="hybridMultilevel"/>
    <w:tmpl w:val="6A0E0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0AD5406"/>
    <w:multiLevelType w:val="hybridMultilevel"/>
    <w:tmpl w:val="454CD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0C97726"/>
    <w:multiLevelType w:val="hybridMultilevel"/>
    <w:tmpl w:val="6090FB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512E21E8"/>
    <w:multiLevelType w:val="hybridMultilevel"/>
    <w:tmpl w:val="D4E2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8F2E69"/>
    <w:multiLevelType w:val="hybridMultilevel"/>
    <w:tmpl w:val="3F0AB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56" w15:restartNumberingAfterBreak="0">
    <w:nsid w:val="5302296C"/>
    <w:multiLevelType w:val="hybridMultilevel"/>
    <w:tmpl w:val="8FF65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41F7738"/>
    <w:multiLevelType w:val="multilevel"/>
    <w:tmpl w:val="65968890"/>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50037EE"/>
    <w:multiLevelType w:val="hybridMultilevel"/>
    <w:tmpl w:val="B2E4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543451E"/>
    <w:multiLevelType w:val="hybridMultilevel"/>
    <w:tmpl w:val="907C8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40094B"/>
    <w:multiLevelType w:val="hybridMultilevel"/>
    <w:tmpl w:val="5E487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7F33E06"/>
    <w:multiLevelType w:val="hybridMultilevel"/>
    <w:tmpl w:val="6AA26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3" w15:restartNumberingAfterBreak="0">
    <w:nsid w:val="62104A57"/>
    <w:multiLevelType w:val="hybridMultilevel"/>
    <w:tmpl w:val="6D1C37CC"/>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64" w15:restartNumberingAfterBreak="0">
    <w:nsid w:val="67991349"/>
    <w:multiLevelType w:val="hybridMultilevel"/>
    <w:tmpl w:val="27847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D79043A"/>
    <w:multiLevelType w:val="hybridMultilevel"/>
    <w:tmpl w:val="C756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50664D"/>
    <w:multiLevelType w:val="multilevel"/>
    <w:tmpl w:val="092AD106"/>
    <w:lvl w:ilvl="0">
      <w:start w:val="1"/>
      <w:numFmt w:val="lowerLetter"/>
      <w:lvlText w:val="%1)"/>
      <w:lvlJc w:val="left"/>
      <w:pPr>
        <w:ind w:left="360" w:hanging="360"/>
      </w:pPr>
      <w:rPr>
        <w:rFonts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67" w15:restartNumberingAfterBreak="0">
    <w:nsid w:val="74953CC8"/>
    <w:multiLevelType w:val="hybridMultilevel"/>
    <w:tmpl w:val="228E1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4C04B52"/>
    <w:multiLevelType w:val="hybridMultilevel"/>
    <w:tmpl w:val="BB96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F26426"/>
    <w:multiLevelType w:val="hybridMultilevel"/>
    <w:tmpl w:val="7DCA2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CA7CAA"/>
    <w:multiLevelType w:val="multilevel"/>
    <w:tmpl w:val="3D1A76A8"/>
    <w:lvl w:ilvl="0">
      <w:start w:val="1"/>
      <w:numFmt w:val="bullet"/>
      <w:lvlText w:val=""/>
      <w:lvlJc w:val="left"/>
      <w:pPr>
        <w:ind w:left="360" w:hanging="360"/>
      </w:pPr>
      <w:rPr>
        <w:rFonts w:ascii="Symbol" w:hAnsi="Symbol" w:hint="default"/>
        <w:color w:val="0F5CA2" w:themeColor="accent1"/>
      </w:rPr>
    </w:lvl>
    <w:lvl w:ilvl="1">
      <w:start w:val="1"/>
      <w:numFmt w:val="decimal"/>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71" w15:restartNumberingAfterBreak="0">
    <w:nsid w:val="79DD7400"/>
    <w:multiLevelType w:val="hybridMultilevel"/>
    <w:tmpl w:val="57A60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A7E1677"/>
    <w:multiLevelType w:val="hybridMultilevel"/>
    <w:tmpl w:val="242AAF38"/>
    <w:lvl w:ilvl="0" w:tplc="FFFFFFFF">
      <w:start w:val="1"/>
      <w:numFmt w:val="bullet"/>
      <w:lvlText w:val=""/>
      <w:lvlJc w:val="left"/>
      <w:pPr>
        <w:ind w:left="1080" w:hanging="360"/>
      </w:pPr>
      <w:rPr>
        <w:rFonts w:ascii="Symbol" w:hAnsi="Symbol" w:hint="default"/>
      </w:rPr>
    </w:lvl>
    <w:lvl w:ilvl="1" w:tplc="0C09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7CF068DF"/>
    <w:multiLevelType w:val="hybridMultilevel"/>
    <w:tmpl w:val="F9FE3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6"/>
  </w:num>
  <w:num w:numId="4">
    <w:abstractNumId w:val="55"/>
  </w:num>
  <w:num w:numId="5">
    <w:abstractNumId w:val="46"/>
  </w:num>
  <w:num w:numId="6">
    <w:abstractNumId w:val="6"/>
  </w:num>
  <w:num w:numId="7">
    <w:abstractNumId w:val="57"/>
  </w:num>
  <w:num w:numId="8">
    <w:abstractNumId w:val="39"/>
  </w:num>
  <w:num w:numId="9">
    <w:abstractNumId w:val="43"/>
  </w:num>
  <w:num w:numId="10">
    <w:abstractNumId w:val="62"/>
  </w:num>
  <w:num w:numId="11">
    <w:abstractNumId w:val="45"/>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2"/>
    </w:lvlOverride>
  </w:num>
  <w:num w:numId="14">
    <w:abstractNumId w:val="72"/>
  </w:num>
  <w:num w:numId="15">
    <w:abstractNumId w:val="63"/>
  </w:num>
  <w:num w:numId="16">
    <w:abstractNumId w:val="16"/>
  </w:num>
  <w:num w:numId="17">
    <w:abstractNumId w:val="65"/>
  </w:num>
  <w:num w:numId="18">
    <w:abstractNumId w:val="9"/>
  </w:num>
  <w:num w:numId="19">
    <w:abstractNumId w:val="48"/>
  </w:num>
  <w:num w:numId="20">
    <w:abstractNumId w:val="22"/>
  </w:num>
  <w:num w:numId="21">
    <w:abstractNumId w:val="12"/>
  </w:num>
  <w:num w:numId="22">
    <w:abstractNumId w:val="42"/>
  </w:num>
  <w:num w:numId="23">
    <w:abstractNumId w:val="34"/>
  </w:num>
  <w:num w:numId="24">
    <w:abstractNumId w:val="50"/>
  </w:num>
  <w:num w:numId="25">
    <w:abstractNumId w:val="4"/>
  </w:num>
  <w:num w:numId="26">
    <w:abstractNumId w:val="71"/>
  </w:num>
  <w:num w:numId="27">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2"/>
    </w:lvlOverride>
  </w:num>
  <w:num w:numId="28">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2"/>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21"/>
  </w:num>
  <w:num w:numId="33">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2"/>
    </w:lvlOverride>
  </w:num>
  <w:num w:numId="34">
    <w:abstractNumId w:val="18"/>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7"/>
  </w:num>
  <w:num w:numId="38">
    <w:abstractNumId w:val="27"/>
  </w:num>
  <w:num w:numId="39">
    <w:abstractNumId w:val="2"/>
  </w:num>
  <w:num w:numId="40">
    <w:abstractNumId w:val="29"/>
  </w:num>
  <w:num w:numId="41">
    <w:abstractNumId w:val="33"/>
  </w:num>
  <w:num w:numId="42">
    <w:abstractNumId w:val="20"/>
  </w:num>
  <w:num w:numId="43">
    <w:abstractNumId w:val="1"/>
  </w:num>
  <w:num w:numId="44">
    <w:abstractNumId w:val="41"/>
  </w:num>
  <w:num w:numId="45">
    <w:abstractNumId w:val="51"/>
  </w:num>
  <w:num w:numId="46">
    <w:abstractNumId w:val="69"/>
  </w:num>
  <w:num w:numId="47">
    <w:abstractNumId w:val="15"/>
  </w:num>
  <w:num w:numId="48">
    <w:abstractNumId w:val="54"/>
  </w:num>
  <w:num w:numId="49">
    <w:abstractNumId w:val="49"/>
  </w:num>
  <w:num w:numId="50">
    <w:abstractNumId w:val="59"/>
  </w:num>
  <w:num w:numId="51">
    <w:abstractNumId w:val="61"/>
  </w:num>
  <w:num w:numId="52">
    <w:abstractNumId w:val="24"/>
  </w:num>
  <w:num w:numId="53">
    <w:abstractNumId w:val="60"/>
  </w:num>
  <w:num w:numId="54">
    <w:abstractNumId w:val="10"/>
  </w:num>
  <w:num w:numId="55">
    <w:abstractNumId w:val="35"/>
  </w:num>
  <w:num w:numId="56">
    <w:abstractNumId w:val="70"/>
  </w:num>
  <w:num w:numId="57">
    <w:abstractNumId w:val="73"/>
  </w:num>
  <w:num w:numId="58">
    <w:abstractNumId w:val="64"/>
  </w:num>
  <w:num w:numId="59">
    <w:abstractNumId w:val="40"/>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num>
  <w:num w:numId="63">
    <w:abstractNumId w:val="32"/>
  </w:num>
  <w:num w:numId="64">
    <w:abstractNumId w:val="37"/>
  </w:num>
  <w:num w:numId="65">
    <w:abstractNumId w:val="58"/>
  </w:num>
  <w:num w:numId="66">
    <w:abstractNumId w:val="31"/>
  </w:num>
  <w:num w:numId="67">
    <w:abstractNumId w:val="14"/>
  </w:num>
  <w:num w:numId="68">
    <w:abstractNumId w:val="11"/>
  </w:num>
  <w:num w:numId="69">
    <w:abstractNumId w:val="67"/>
  </w:num>
  <w:num w:numId="70">
    <w:abstractNumId w:val="28"/>
  </w:num>
  <w:num w:numId="71">
    <w:abstractNumId w:val="53"/>
  </w:num>
  <w:num w:numId="72">
    <w:abstractNumId w:val="30"/>
  </w:num>
  <w:num w:numId="73">
    <w:abstractNumId w:val="47"/>
  </w:num>
  <w:num w:numId="74">
    <w:abstractNumId w:val="23"/>
  </w:num>
  <w:num w:numId="75">
    <w:abstractNumId w:val="13"/>
  </w:num>
  <w:num w:numId="76">
    <w:abstractNumId w:val="19"/>
  </w:num>
  <w:num w:numId="77">
    <w:abstractNumId w:val="5"/>
  </w:num>
  <w:num w:numId="78">
    <w:abstractNumId w:val="38"/>
  </w:num>
  <w:num w:numId="79">
    <w:abstractNumId w:val="26"/>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num>
  <w:num w:numId="82">
    <w:abstractNumId w:val="68"/>
  </w:num>
  <w:num w:numId="83">
    <w:abstractNumId w:val="56"/>
  </w:num>
  <w:num w:numId="84">
    <w:abstractNumId w:val="3"/>
  </w:num>
  <w:num w:numId="85">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81"/>
    <w:rsid w:val="0000006D"/>
    <w:rsid w:val="00000197"/>
    <w:rsid w:val="00000B26"/>
    <w:rsid w:val="0000100C"/>
    <w:rsid w:val="00001676"/>
    <w:rsid w:val="0000199C"/>
    <w:rsid w:val="00001B30"/>
    <w:rsid w:val="00001B6A"/>
    <w:rsid w:val="00001D70"/>
    <w:rsid w:val="000020DE"/>
    <w:rsid w:val="00002463"/>
    <w:rsid w:val="000025AA"/>
    <w:rsid w:val="000026FE"/>
    <w:rsid w:val="00002725"/>
    <w:rsid w:val="00002A0C"/>
    <w:rsid w:val="00002A4E"/>
    <w:rsid w:val="00002B1B"/>
    <w:rsid w:val="00002C7D"/>
    <w:rsid w:val="00002E6B"/>
    <w:rsid w:val="00003179"/>
    <w:rsid w:val="00003208"/>
    <w:rsid w:val="00003252"/>
    <w:rsid w:val="0000330E"/>
    <w:rsid w:val="00003748"/>
    <w:rsid w:val="0000388C"/>
    <w:rsid w:val="00003932"/>
    <w:rsid w:val="00003A88"/>
    <w:rsid w:val="00003DE1"/>
    <w:rsid w:val="00003E17"/>
    <w:rsid w:val="00003E44"/>
    <w:rsid w:val="0000407B"/>
    <w:rsid w:val="0000450F"/>
    <w:rsid w:val="000047C4"/>
    <w:rsid w:val="00004A7C"/>
    <w:rsid w:val="00004AB0"/>
    <w:rsid w:val="00004BC9"/>
    <w:rsid w:val="00004C05"/>
    <w:rsid w:val="00004FBF"/>
    <w:rsid w:val="00005078"/>
    <w:rsid w:val="0000541C"/>
    <w:rsid w:val="00005469"/>
    <w:rsid w:val="000054A1"/>
    <w:rsid w:val="000054CA"/>
    <w:rsid w:val="0000562E"/>
    <w:rsid w:val="0000582B"/>
    <w:rsid w:val="00005853"/>
    <w:rsid w:val="00005986"/>
    <w:rsid w:val="00005EB0"/>
    <w:rsid w:val="00005F04"/>
    <w:rsid w:val="00005FCC"/>
    <w:rsid w:val="000060E7"/>
    <w:rsid w:val="00006955"/>
    <w:rsid w:val="00006AFA"/>
    <w:rsid w:val="00006E87"/>
    <w:rsid w:val="0000750E"/>
    <w:rsid w:val="0000753D"/>
    <w:rsid w:val="00007743"/>
    <w:rsid w:val="000077C6"/>
    <w:rsid w:val="00007856"/>
    <w:rsid w:val="00007BC6"/>
    <w:rsid w:val="00007CF2"/>
    <w:rsid w:val="00007DC6"/>
    <w:rsid w:val="00007E0F"/>
    <w:rsid w:val="00007FD2"/>
    <w:rsid w:val="00010060"/>
    <w:rsid w:val="000100C7"/>
    <w:rsid w:val="00010223"/>
    <w:rsid w:val="000102EE"/>
    <w:rsid w:val="00010422"/>
    <w:rsid w:val="000107BB"/>
    <w:rsid w:val="00010D44"/>
    <w:rsid w:val="00010E7B"/>
    <w:rsid w:val="00010E98"/>
    <w:rsid w:val="000114CB"/>
    <w:rsid w:val="00011614"/>
    <w:rsid w:val="00011823"/>
    <w:rsid w:val="00011900"/>
    <w:rsid w:val="00011934"/>
    <w:rsid w:val="00011ACB"/>
    <w:rsid w:val="00011B62"/>
    <w:rsid w:val="00011CE4"/>
    <w:rsid w:val="00011D80"/>
    <w:rsid w:val="00011EE1"/>
    <w:rsid w:val="00012059"/>
    <w:rsid w:val="000122C5"/>
    <w:rsid w:val="0001244C"/>
    <w:rsid w:val="0001261B"/>
    <w:rsid w:val="0001277D"/>
    <w:rsid w:val="0001282F"/>
    <w:rsid w:val="00012A89"/>
    <w:rsid w:val="00012D99"/>
    <w:rsid w:val="00012EF3"/>
    <w:rsid w:val="00012F33"/>
    <w:rsid w:val="00013026"/>
    <w:rsid w:val="00013262"/>
    <w:rsid w:val="000136CB"/>
    <w:rsid w:val="0001379B"/>
    <w:rsid w:val="00013BAD"/>
    <w:rsid w:val="00013C9E"/>
    <w:rsid w:val="00013CFF"/>
    <w:rsid w:val="00013D6B"/>
    <w:rsid w:val="00013EEE"/>
    <w:rsid w:val="00013F72"/>
    <w:rsid w:val="00014046"/>
    <w:rsid w:val="0001415F"/>
    <w:rsid w:val="00014207"/>
    <w:rsid w:val="00014393"/>
    <w:rsid w:val="0001465A"/>
    <w:rsid w:val="000147CB"/>
    <w:rsid w:val="000149AA"/>
    <w:rsid w:val="00014D43"/>
    <w:rsid w:val="00014DED"/>
    <w:rsid w:val="00014FF5"/>
    <w:rsid w:val="000150D9"/>
    <w:rsid w:val="00015169"/>
    <w:rsid w:val="000153B7"/>
    <w:rsid w:val="0001561E"/>
    <w:rsid w:val="000158BB"/>
    <w:rsid w:val="00015B44"/>
    <w:rsid w:val="00015D5F"/>
    <w:rsid w:val="00016271"/>
    <w:rsid w:val="00016313"/>
    <w:rsid w:val="0001636F"/>
    <w:rsid w:val="00016460"/>
    <w:rsid w:val="000164AC"/>
    <w:rsid w:val="0001674A"/>
    <w:rsid w:val="000167C4"/>
    <w:rsid w:val="00016B65"/>
    <w:rsid w:val="00016B86"/>
    <w:rsid w:val="00016CD1"/>
    <w:rsid w:val="00017094"/>
    <w:rsid w:val="000172F4"/>
    <w:rsid w:val="0001736D"/>
    <w:rsid w:val="000177C0"/>
    <w:rsid w:val="000177FA"/>
    <w:rsid w:val="00017865"/>
    <w:rsid w:val="000179B0"/>
    <w:rsid w:val="00017AAD"/>
    <w:rsid w:val="00017C40"/>
    <w:rsid w:val="00017ECA"/>
    <w:rsid w:val="00017EF1"/>
    <w:rsid w:val="00017F22"/>
    <w:rsid w:val="00017F74"/>
    <w:rsid w:val="0002011D"/>
    <w:rsid w:val="0002058E"/>
    <w:rsid w:val="00020608"/>
    <w:rsid w:val="00020930"/>
    <w:rsid w:val="00020AC0"/>
    <w:rsid w:val="00020E27"/>
    <w:rsid w:val="00020F93"/>
    <w:rsid w:val="000210B8"/>
    <w:rsid w:val="000211F9"/>
    <w:rsid w:val="0002122A"/>
    <w:rsid w:val="00021414"/>
    <w:rsid w:val="000214FC"/>
    <w:rsid w:val="00021535"/>
    <w:rsid w:val="0002192E"/>
    <w:rsid w:val="00021947"/>
    <w:rsid w:val="00021F94"/>
    <w:rsid w:val="0002204E"/>
    <w:rsid w:val="00022094"/>
    <w:rsid w:val="000222B7"/>
    <w:rsid w:val="000223BF"/>
    <w:rsid w:val="00022439"/>
    <w:rsid w:val="00022573"/>
    <w:rsid w:val="0002262A"/>
    <w:rsid w:val="00022677"/>
    <w:rsid w:val="00022AA8"/>
    <w:rsid w:val="00022AD3"/>
    <w:rsid w:val="00022CCB"/>
    <w:rsid w:val="00022CDC"/>
    <w:rsid w:val="00022D7A"/>
    <w:rsid w:val="00022DDB"/>
    <w:rsid w:val="00022E9C"/>
    <w:rsid w:val="000230C7"/>
    <w:rsid w:val="00023437"/>
    <w:rsid w:val="000239BE"/>
    <w:rsid w:val="00023BA7"/>
    <w:rsid w:val="00023CB5"/>
    <w:rsid w:val="00023D37"/>
    <w:rsid w:val="00023FB4"/>
    <w:rsid w:val="000246E0"/>
    <w:rsid w:val="00024A11"/>
    <w:rsid w:val="00024A12"/>
    <w:rsid w:val="00024CD4"/>
    <w:rsid w:val="000259CC"/>
    <w:rsid w:val="00025A9E"/>
    <w:rsid w:val="00025DBB"/>
    <w:rsid w:val="0002623E"/>
    <w:rsid w:val="000262D3"/>
    <w:rsid w:val="00026626"/>
    <w:rsid w:val="000266A2"/>
    <w:rsid w:val="00026768"/>
    <w:rsid w:val="0002693D"/>
    <w:rsid w:val="00026958"/>
    <w:rsid w:val="00026ACD"/>
    <w:rsid w:val="00026D4A"/>
    <w:rsid w:val="00026E9B"/>
    <w:rsid w:val="0002705E"/>
    <w:rsid w:val="0002712D"/>
    <w:rsid w:val="0002751D"/>
    <w:rsid w:val="000275D0"/>
    <w:rsid w:val="0002783C"/>
    <w:rsid w:val="0002795E"/>
    <w:rsid w:val="00027991"/>
    <w:rsid w:val="00027DCD"/>
    <w:rsid w:val="000301AB"/>
    <w:rsid w:val="000301CD"/>
    <w:rsid w:val="00030362"/>
    <w:rsid w:val="000303DB"/>
    <w:rsid w:val="0003046E"/>
    <w:rsid w:val="00030800"/>
    <w:rsid w:val="00030AB2"/>
    <w:rsid w:val="00030AFD"/>
    <w:rsid w:val="00030F7B"/>
    <w:rsid w:val="00031307"/>
    <w:rsid w:val="00031339"/>
    <w:rsid w:val="000313A5"/>
    <w:rsid w:val="000314EC"/>
    <w:rsid w:val="000316F4"/>
    <w:rsid w:val="000317AB"/>
    <w:rsid w:val="000317B0"/>
    <w:rsid w:val="000317F2"/>
    <w:rsid w:val="000318AF"/>
    <w:rsid w:val="00031900"/>
    <w:rsid w:val="0003199D"/>
    <w:rsid w:val="000319CC"/>
    <w:rsid w:val="00031A37"/>
    <w:rsid w:val="00031A4B"/>
    <w:rsid w:val="00031C81"/>
    <w:rsid w:val="00031F7D"/>
    <w:rsid w:val="000320ED"/>
    <w:rsid w:val="0003225A"/>
    <w:rsid w:val="000324C3"/>
    <w:rsid w:val="00032576"/>
    <w:rsid w:val="000325B2"/>
    <w:rsid w:val="000326C4"/>
    <w:rsid w:val="000328C7"/>
    <w:rsid w:val="00032B2A"/>
    <w:rsid w:val="00032BB4"/>
    <w:rsid w:val="00032E50"/>
    <w:rsid w:val="00032EB6"/>
    <w:rsid w:val="000334C0"/>
    <w:rsid w:val="000338E6"/>
    <w:rsid w:val="00033A2E"/>
    <w:rsid w:val="00033BFC"/>
    <w:rsid w:val="00033D10"/>
    <w:rsid w:val="0003401F"/>
    <w:rsid w:val="00034544"/>
    <w:rsid w:val="00034733"/>
    <w:rsid w:val="00034B07"/>
    <w:rsid w:val="00034E25"/>
    <w:rsid w:val="0003528A"/>
    <w:rsid w:val="000357FA"/>
    <w:rsid w:val="00035C45"/>
    <w:rsid w:val="00035CCA"/>
    <w:rsid w:val="00035E5A"/>
    <w:rsid w:val="00036194"/>
    <w:rsid w:val="000364DD"/>
    <w:rsid w:val="0003674E"/>
    <w:rsid w:val="00036AD5"/>
    <w:rsid w:val="00036D9A"/>
    <w:rsid w:val="00036E2B"/>
    <w:rsid w:val="00037063"/>
    <w:rsid w:val="00037086"/>
    <w:rsid w:val="00037131"/>
    <w:rsid w:val="000371DB"/>
    <w:rsid w:val="0003723D"/>
    <w:rsid w:val="00037341"/>
    <w:rsid w:val="000373A1"/>
    <w:rsid w:val="00037609"/>
    <w:rsid w:val="00037690"/>
    <w:rsid w:val="0003771D"/>
    <w:rsid w:val="00037828"/>
    <w:rsid w:val="000379C7"/>
    <w:rsid w:val="00037AF6"/>
    <w:rsid w:val="00037D9D"/>
    <w:rsid w:val="00037E96"/>
    <w:rsid w:val="00040185"/>
    <w:rsid w:val="000403B7"/>
    <w:rsid w:val="00040A41"/>
    <w:rsid w:val="00040BEB"/>
    <w:rsid w:val="00040D53"/>
    <w:rsid w:val="00040E8D"/>
    <w:rsid w:val="00040F09"/>
    <w:rsid w:val="00041275"/>
    <w:rsid w:val="000412B9"/>
    <w:rsid w:val="000413EE"/>
    <w:rsid w:val="00041895"/>
    <w:rsid w:val="000418F0"/>
    <w:rsid w:val="000419D2"/>
    <w:rsid w:val="00041BB2"/>
    <w:rsid w:val="00041D55"/>
    <w:rsid w:val="00042069"/>
    <w:rsid w:val="00042111"/>
    <w:rsid w:val="0004240F"/>
    <w:rsid w:val="000425AD"/>
    <w:rsid w:val="000425B6"/>
    <w:rsid w:val="0004288F"/>
    <w:rsid w:val="00042A01"/>
    <w:rsid w:val="00042EC5"/>
    <w:rsid w:val="00042ECA"/>
    <w:rsid w:val="00043016"/>
    <w:rsid w:val="00043294"/>
    <w:rsid w:val="000432F3"/>
    <w:rsid w:val="00043350"/>
    <w:rsid w:val="00043516"/>
    <w:rsid w:val="0004351B"/>
    <w:rsid w:val="00043A4E"/>
    <w:rsid w:val="00043C46"/>
    <w:rsid w:val="000441D5"/>
    <w:rsid w:val="00044334"/>
    <w:rsid w:val="000444F6"/>
    <w:rsid w:val="000445BE"/>
    <w:rsid w:val="000446A0"/>
    <w:rsid w:val="00044983"/>
    <w:rsid w:val="00044FE1"/>
    <w:rsid w:val="0004535D"/>
    <w:rsid w:val="000453D2"/>
    <w:rsid w:val="000456E0"/>
    <w:rsid w:val="000458E9"/>
    <w:rsid w:val="00045BFD"/>
    <w:rsid w:val="00045D68"/>
    <w:rsid w:val="000461B4"/>
    <w:rsid w:val="000462C3"/>
    <w:rsid w:val="000464EB"/>
    <w:rsid w:val="0004652F"/>
    <w:rsid w:val="000465C1"/>
    <w:rsid w:val="00046675"/>
    <w:rsid w:val="0004689A"/>
    <w:rsid w:val="000468C2"/>
    <w:rsid w:val="00046EA9"/>
    <w:rsid w:val="00046EFA"/>
    <w:rsid w:val="00047071"/>
    <w:rsid w:val="0004715E"/>
    <w:rsid w:val="00047320"/>
    <w:rsid w:val="00047849"/>
    <w:rsid w:val="00047B5F"/>
    <w:rsid w:val="00047BB6"/>
    <w:rsid w:val="00047EFF"/>
    <w:rsid w:val="0005001D"/>
    <w:rsid w:val="00050432"/>
    <w:rsid w:val="00050561"/>
    <w:rsid w:val="000506FE"/>
    <w:rsid w:val="000508CC"/>
    <w:rsid w:val="00050D39"/>
    <w:rsid w:val="00050F3C"/>
    <w:rsid w:val="00050F80"/>
    <w:rsid w:val="00050FE6"/>
    <w:rsid w:val="000510EC"/>
    <w:rsid w:val="00051342"/>
    <w:rsid w:val="0005137F"/>
    <w:rsid w:val="000513CC"/>
    <w:rsid w:val="00051502"/>
    <w:rsid w:val="00051562"/>
    <w:rsid w:val="00051564"/>
    <w:rsid w:val="000517BD"/>
    <w:rsid w:val="000517CA"/>
    <w:rsid w:val="00051834"/>
    <w:rsid w:val="00051884"/>
    <w:rsid w:val="00051995"/>
    <w:rsid w:val="00051C17"/>
    <w:rsid w:val="00051E0D"/>
    <w:rsid w:val="00052069"/>
    <w:rsid w:val="00052560"/>
    <w:rsid w:val="0005290C"/>
    <w:rsid w:val="00052A88"/>
    <w:rsid w:val="00052B38"/>
    <w:rsid w:val="00052C85"/>
    <w:rsid w:val="00052E62"/>
    <w:rsid w:val="00052F85"/>
    <w:rsid w:val="00052FFB"/>
    <w:rsid w:val="0005304B"/>
    <w:rsid w:val="00053080"/>
    <w:rsid w:val="00053123"/>
    <w:rsid w:val="00053226"/>
    <w:rsid w:val="0005331A"/>
    <w:rsid w:val="00053411"/>
    <w:rsid w:val="0005367E"/>
    <w:rsid w:val="0005368F"/>
    <w:rsid w:val="00053892"/>
    <w:rsid w:val="00053F37"/>
    <w:rsid w:val="0005435C"/>
    <w:rsid w:val="000543C6"/>
    <w:rsid w:val="00054790"/>
    <w:rsid w:val="00054AED"/>
    <w:rsid w:val="00054DFF"/>
    <w:rsid w:val="00054F7B"/>
    <w:rsid w:val="00054FA5"/>
    <w:rsid w:val="0005524B"/>
    <w:rsid w:val="00055333"/>
    <w:rsid w:val="000553D3"/>
    <w:rsid w:val="00055676"/>
    <w:rsid w:val="00055773"/>
    <w:rsid w:val="00055924"/>
    <w:rsid w:val="0005600A"/>
    <w:rsid w:val="00056121"/>
    <w:rsid w:val="000563EB"/>
    <w:rsid w:val="00056A87"/>
    <w:rsid w:val="00056BD6"/>
    <w:rsid w:val="00056CC0"/>
    <w:rsid w:val="00056D66"/>
    <w:rsid w:val="00056E68"/>
    <w:rsid w:val="00056FC4"/>
    <w:rsid w:val="00057056"/>
    <w:rsid w:val="00057257"/>
    <w:rsid w:val="00057353"/>
    <w:rsid w:val="0005749D"/>
    <w:rsid w:val="0005775C"/>
    <w:rsid w:val="00057A1B"/>
    <w:rsid w:val="00057E15"/>
    <w:rsid w:val="00057E1B"/>
    <w:rsid w:val="000607DA"/>
    <w:rsid w:val="00060860"/>
    <w:rsid w:val="000608B2"/>
    <w:rsid w:val="00060A40"/>
    <w:rsid w:val="00060AA7"/>
    <w:rsid w:val="00060B04"/>
    <w:rsid w:val="00060BB3"/>
    <w:rsid w:val="00060F89"/>
    <w:rsid w:val="00061066"/>
    <w:rsid w:val="00061189"/>
    <w:rsid w:val="000611BA"/>
    <w:rsid w:val="000612E6"/>
    <w:rsid w:val="0006146B"/>
    <w:rsid w:val="00061526"/>
    <w:rsid w:val="0006152E"/>
    <w:rsid w:val="000617D0"/>
    <w:rsid w:val="00061A7C"/>
    <w:rsid w:val="00061D21"/>
    <w:rsid w:val="00061DED"/>
    <w:rsid w:val="00062147"/>
    <w:rsid w:val="0006222A"/>
    <w:rsid w:val="00062289"/>
    <w:rsid w:val="000622E8"/>
    <w:rsid w:val="00062BF0"/>
    <w:rsid w:val="00062C0A"/>
    <w:rsid w:val="00062C1A"/>
    <w:rsid w:val="00062FD9"/>
    <w:rsid w:val="00063164"/>
    <w:rsid w:val="000632E4"/>
    <w:rsid w:val="00063618"/>
    <w:rsid w:val="00063999"/>
    <w:rsid w:val="00063D4A"/>
    <w:rsid w:val="00063ED3"/>
    <w:rsid w:val="0006418D"/>
    <w:rsid w:val="00064423"/>
    <w:rsid w:val="00064540"/>
    <w:rsid w:val="00064647"/>
    <w:rsid w:val="00064AE5"/>
    <w:rsid w:val="00064B1F"/>
    <w:rsid w:val="000650E5"/>
    <w:rsid w:val="0006516A"/>
    <w:rsid w:val="00065255"/>
    <w:rsid w:val="000656E6"/>
    <w:rsid w:val="000658F5"/>
    <w:rsid w:val="00065A54"/>
    <w:rsid w:val="00065B4B"/>
    <w:rsid w:val="00066298"/>
    <w:rsid w:val="00066694"/>
    <w:rsid w:val="00066B7B"/>
    <w:rsid w:val="00066F36"/>
    <w:rsid w:val="0006720E"/>
    <w:rsid w:val="000672BE"/>
    <w:rsid w:val="0006733B"/>
    <w:rsid w:val="00067438"/>
    <w:rsid w:val="000674B8"/>
    <w:rsid w:val="000679AE"/>
    <w:rsid w:val="00067F3F"/>
    <w:rsid w:val="00067F74"/>
    <w:rsid w:val="000701A9"/>
    <w:rsid w:val="00070377"/>
    <w:rsid w:val="00070521"/>
    <w:rsid w:val="00070551"/>
    <w:rsid w:val="00070639"/>
    <w:rsid w:val="00070C25"/>
    <w:rsid w:val="00070C4A"/>
    <w:rsid w:val="0007103C"/>
    <w:rsid w:val="000711E7"/>
    <w:rsid w:val="000712C1"/>
    <w:rsid w:val="00071353"/>
    <w:rsid w:val="00071415"/>
    <w:rsid w:val="00071482"/>
    <w:rsid w:val="0007158B"/>
    <w:rsid w:val="000715F4"/>
    <w:rsid w:val="00071676"/>
    <w:rsid w:val="0007168B"/>
    <w:rsid w:val="00071699"/>
    <w:rsid w:val="00071708"/>
    <w:rsid w:val="00071C9A"/>
    <w:rsid w:val="00071FB5"/>
    <w:rsid w:val="0007208D"/>
    <w:rsid w:val="000722E2"/>
    <w:rsid w:val="000726D2"/>
    <w:rsid w:val="00072CB6"/>
    <w:rsid w:val="00072F09"/>
    <w:rsid w:val="00072F0E"/>
    <w:rsid w:val="000735EE"/>
    <w:rsid w:val="000736CA"/>
    <w:rsid w:val="0007374E"/>
    <w:rsid w:val="00073925"/>
    <w:rsid w:val="00073A40"/>
    <w:rsid w:val="00073D95"/>
    <w:rsid w:val="00074233"/>
    <w:rsid w:val="0007439D"/>
    <w:rsid w:val="000743C6"/>
    <w:rsid w:val="00074554"/>
    <w:rsid w:val="00074570"/>
    <w:rsid w:val="0007458C"/>
    <w:rsid w:val="00074634"/>
    <w:rsid w:val="00074AA4"/>
    <w:rsid w:val="00074E7E"/>
    <w:rsid w:val="00074EE1"/>
    <w:rsid w:val="00075018"/>
    <w:rsid w:val="00075114"/>
    <w:rsid w:val="0007517A"/>
    <w:rsid w:val="000752F6"/>
    <w:rsid w:val="000753C8"/>
    <w:rsid w:val="000758DF"/>
    <w:rsid w:val="00075BED"/>
    <w:rsid w:val="00075EA1"/>
    <w:rsid w:val="00075F1E"/>
    <w:rsid w:val="00076233"/>
    <w:rsid w:val="0007667A"/>
    <w:rsid w:val="00076708"/>
    <w:rsid w:val="00076771"/>
    <w:rsid w:val="00076817"/>
    <w:rsid w:val="000768EF"/>
    <w:rsid w:val="00076E8D"/>
    <w:rsid w:val="00077010"/>
    <w:rsid w:val="00077429"/>
    <w:rsid w:val="0007776E"/>
    <w:rsid w:val="00077838"/>
    <w:rsid w:val="0007788E"/>
    <w:rsid w:val="000779DA"/>
    <w:rsid w:val="00077B72"/>
    <w:rsid w:val="00077B99"/>
    <w:rsid w:val="00077EFB"/>
    <w:rsid w:val="00080163"/>
    <w:rsid w:val="000801D8"/>
    <w:rsid w:val="00080971"/>
    <w:rsid w:val="00080A1F"/>
    <w:rsid w:val="00080B2F"/>
    <w:rsid w:val="00080C08"/>
    <w:rsid w:val="00080F2F"/>
    <w:rsid w:val="00080F40"/>
    <w:rsid w:val="000811D1"/>
    <w:rsid w:val="00081344"/>
    <w:rsid w:val="00081369"/>
    <w:rsid w:val="0008137E"/>
    <w:rsid w:val="0008141A"/>
    <w:rsid w:val="00081614"/>
    <w:rsid w:val="0008184F"/>
    <w:rsid w:val="00081B07"/>
    <w:rsid w:val="00081B0B"/>
    <w:rsid w:val="00081CE2"/>
    <w:rsid w:val="00081DAA"/>
    <w:rsid w:val="00081DAF"/>
    <w:rsid w:val="00081F16"/>
    <w:rsid w:val="00082073"/>
    <w:rsid w:val="0008213C"/>
    <w:rsid w:val="0008218C"/>
    <w:rsid w:val="00082211"/>
    <w:rsid w:val="00082299"/>
    <w:rsid w:val="0008232D"/>
    <w:rsid w:val="0008235C"/>
    <w:rsid w:val="000827A6"/>
    <w:rsid w:val="0008289F"/>
    <w:rsid w:val="00082AE4"/>
    <w:rsid w:val="00082B52"/>
    <w:rsid w:val="00082DB2"/>
    <w:rsid w:val="00082F11"/>
    <w:rsid w:val="00082FC5"/>
    <w:rsid w:val="00083070"/>
    <w:rsid w:val="00083161"/>
    <w:rsid w:val="00083400"/>
    <w:rsid w:val="000835BE"/>
    <w:rsid w:val="0008360F"/>
    <w:rsid w:val="00083733"/>
    <w:rsid w:val="0008374B"/>
    <w:rsid w:val="00083A74"/>
    <w:rsid w:val="00083BE7"/>
    <w:rsid w:val="00083DAB"/>
    <w:rsid w:val="00083DEF"/>
    <w:rsid w:val="00083EE7"/>
    <w:rsid w:val="00083F5F"/>
    <w:rsid w:val="00084054"/>
    <w:rsid w:val="00084080"/>
    <w:rsid w:val="00084250"/>
    <w:rsid w:val="0008426E"/>
    <w:rsid w:val="000842E8"/>
    <w:rsid w:val="00084475"/>
    <w:rsid w:val="0008449F"/>
    <w:rsid w:val="000844ED"/>
    <w:rsid w:val="0008474F"/>
    <w:rsid w:val="0008481D"/>
    <w:rsid w:val="00084956"/>
    <w:rsid w:val="00084DA1"/>
    <w:rsid w:val="00085020"/>
    <w:rsid w:val="00085457"/>
    <w:rsid w:val="00085C98"/>
    <w:rsid w:val="00085D08"/>
    <w:rsid w:val="00085F1E"/>
    <w:rsid w:val="00085FE6"/>
    <w:rsid w:val="000861C2"/>
    <w:rsid w:val="00086209"/>
    <w:rsid w:val="00086655"/>
    <w:rsid w:val="000868D1"/>
    <w:rsid w:val="00086BCF"/>
    <w:rsid w:val="000871ED"/>
    <w:rsid w:val="00087333"/>
    <w:rsid w:val="0008748A"/>
    <w:rsid w:val="000874FA"/>
    <w:rsid w:val="000875C6"/>
    <w:rsid w:val="000876A9"/>
    <w:rsid w:val="000876BC"/>
    <w:rsid w:val="00087817"/>
    <w:rsid w:val="00087A69"/>
    <w:rsid w:val="00087AE4"/>
    <w:rsid w:val="00087D14"/>
    <w:rsid w:val="00087E90"/>
    <w:rsid w:val="00090157"/>
    <w:rsid w:val="00090185"/>
    <w:rsid w:val="000901EE"/>
    <w:rsid w:val="00090288"/>
    <w:rsid w:val="000903D2"/>
    <w:rsid w:val="00090951"/>
    <w:rsid w:val="00090C26"/>
    <w:rsid w:val="00090EC6"/>
    <w:rsid w:val="00090F57"/>
    <w:rsid w:val="00091043"/>
    <w:rsid w:val="00091063"/>
    <w:rsid w:val="000910B3"/>
    <w:rsid w:val="0009120D"/>
    <w:rsid w:val="000913E8"/>
    <w:rsid w:val="000916EE"/>
    <w:rsid w:val="0009185F"/>
    <w:rsid w:val="00091A60"/>
    <w:rsid w:val="00091ECC"/>
    <w:rsid w:val="00091F3C"/>
    <w:rsid w:val="0009200D"/>
    <w:rsid w:val="00092207"/>
    <w:rsid w:val="00092242"/>
    <w:rsid w:val="0009228A"/>
    <w:rsid w:val="000925E0"/>
    <w:rsid w:val="0009296A"/>
    <w:rsid w:val="00092D52"/>
    <w:rsid w:val="00093175"/>
    <w:rsid w:val="000932F0"/>
    <w:rsid w:val="000933F0"/>
    <w:rsid w:val="00093954"/>
    <w:rsid w:val="000939FF"/>
    <w:rsid w:val="00093A94"/>
    <w:rsid w:val="00093BC2"/>
    <w:rsid w:val="00093C18"/>
    <w:rsid w:val="00093EE7"/>
    <w:rsid w:val="00093FFC"/>
    <w:rsid w:val="00094084"/>
    <w:rsid w:val="0009419F"/>
    <w:rsid w:val="00094240"/>
    <w:rsid w:val="00094458"/>
    <w:rsid w:val="00094513"/>
    <w:rsid w:val="00094564"/>
    <w:rsid w:val="00094793"/>
    <w:rsid w:val="00094D5E"/>
    <w:rsid w:val="00094E77"/>
    <w:rsid w:val="00095016"/>
    <w:rsid w:val="000952B0"/>
    <w:rsid w:val="00095533"/>
    <w:rsid w:val="0009588B"/>
    <w:rsid w:val="000959B6"/>
    <w:rsid w:val="00095D2A"/>
    <w:rsid w:val="00095DB0"/>
    <w:rsid w:val="00095DC9"/>
    <w:rsid w:val="00095E7D"/>
    <w:rsid w:val="000960D8"/>
    <w:rsid w:val="0009639A"/>
    <w:rsid w:val="000963D7"/>
    <w:rsid w:val="0009650C"/>
    <w:rsid w:val="000965A5"/>
    <w:rsid w:val="000966DF"/>
    <w:rsid w:val="00096717"/>
    <w:rsid w:val="00096726"/>
    <w:rsid w:val="00096862"/>
    <w:rsid w:val="00096B1F"/>
    <w:rsid w:val="000970A8"/>
    <w:rsid w:val="0009719A"/>
    <w:rsid w:val="00097343"/>
    <w:rsid w:val="00097362"/>
    <w:rsid w:val="00097374"/>
    <w:rsid w:val="000975CD"/>
    <w:rsid w:val="00097755"/>
    <w:rsid w:val="0009776D"/>
    <w:rsid w:val="00097945"/>
    <w:rsid w:val="000979CC"/>
    <w:rsid w:val="00097CE7"/>
    <w:rsid w:val="00097D2D"/>
    <w:rsid w:val="00097F35"/>
    <w:rsid w:val="000A00C2"/>
    <w:rsid w:val="000A06CE"/>
    <w:rsid w:val="000A0A62"/>
    <w:rsid w:val="000A0ACD"/>
    <w:rsid w:val="000A1252"/>
    <w:rsid w:val="000A1523"/>
    <w:rsid w:val="000A15EA"/>
    <w:rsid w:val="000A1809"/>
    <w:rsid w:val="000A1AA0"/>
    <w:rsid w:val="000A1CF2"/>
    <w:rsid w:val="000A1F74"/>
    <w:rsid w:val="000A2175"/>
    <w:rsid w:val="000A21EE"/>
    <w:rsid w:val="000A229E"/>
    <w:rsid w:val="000A2365"/>
    <w:rsid w:val="000A2454"/>
    <w:rsid w:val="000A27B7"/>
    <w:rsid w:val="000A2901"/>
    <w:rsid w:val="000A2904"/>
    <w:rsid w:val="000A2DC5"/>
    <w:rsid w:val="000A3037"/>
    <w:rsid w:val="000A31DD"/>
    <w:rsid w:val="000A3217"/>
    <w:rsid w:val="000A3377"/>
    <w:rsid w:val="000A3543"/>
    <w:rsid w:val="000A3956"/>
    <w:rsid w:val="000A3A26"/>
    <w:rsid w:val="000A3BBB"/>
    <w:rsid w:val="000A3C60"/>
    <w:rsid w:val="000A42BC"/>
    <w:rsid w:val="000A4343"/>
    <w:rsid w:val="000A480A"/>
    <w:rsid w:val="000A492D"/>
    <w:rsid w:val="000A498F"/>
    <w:rsid w:val="000A4A46"/>
    <w:rsid w:val="000A5007"/>
    <w:rsid w:val="000A5115"/>
    <w:rsid w:val="000A5480"/>
    <w:rsid w:val="000A55D5"/>
    <w:rsid w:val="000A5991"/>
    <w:rsid w:val="000A5AFF"/>
    <w:rsid w:val="000A5B1E"/>
    <w:rsid w:val="000A5C36"/>
    <w:rsid w:val="000A5C61"/>
    <w:rsid w:val="000A5DD5"/>
    <w:rsid w:val="000A5EA2"/>
    <w:rsid w:val="000A5F68"/>
    <w:rsid w:val="000A60BE"/>
    <w:rsid w:val="000A629A"/>
    <w:rsid w:val="000A63CF"/>
    <w:rsid w:val="000A6426"/>
    <w:rsid w:val="000A66BF"/>
    <w:rsid w:val="000A680B"/>
    <w:rsid w:val="000A6812"/>
    <w:rsid w:val="000A6A56"/>
    <w:rsid w:val="000A6A81"/>
    <w:rsid w:val="000A6A9C"/>
    <w:rsid w:val="000A6B0D"/>
    <w:rsid w:val="000A6B12"/>
    <w:rsid w:val="000A6DC8"/>
    <w:rsid w:val="000A6F98"/>
    <w:rsid w:val="000A7009"/>
    <w:rsid w:val="000A7055"/>
    <w:rsid w:val="000A71FA"/>
    <w:rsid w:val="000A723A"/>
    <w:rsid w:val="000A72F2"/>
    <w:rsid w:val="000A7364"/>
    <w:rsid w:val="000A7379"/>
    <w:rsid w:val="000A745B"/>
    <w:rsid w:val="000A759E"/>
    <w:rsid w:val="000A761F"/>
    <w:rsid w:val="000A7779"/>
    <w:rsid w:val="000A7C06"/>
    <w:rsid w:val="000A7D21"/>
    <w:rsid w:val="000B0313"/>
    <w:rsid w:val="000B07D7"/>
    <w:rsid w:val="000B087C"/>
    <w:rsid w:val="000B096A"/>
    <w:rsid w:val="000B0BD6"/>
    <w:rsid w:val="000B0C86"/>
    <w:rsid w:val="000B0D39"/>
    <w:rsid w:val="000B0DF9"/>
    <w:rsid w:val="000B1029"/>
    <w:rsid w:val="000B10AF"/>
    <w:rsid w:val="000B113E"/>
    <w:rsid w:val="000B1275"/>
    <w:rsid w:val="000B1438"/>
    <w:rsid w:val="000B194D"/>
    <w:rsid w:val="000B19FD"/>
    <w:rsid w:val="000B220D"/>
    <w:rsid w:val="000B238D"/>
    <w:rsid w:val="000B239D"/>
    <w:rsid w:val="000B27F8"/>
    <w:rsid w:val="000B2997"/>
    <w:rsid w:val="000B2B63"/>
    <w:rsid w:val="000B2BCA"/>
    <w:rsid w:val="000B2DEA"/>
    <w:rsid w:val="000B30FF"/>
    <w:rsid w:val="000B318A"/>
    <w:rsid w:val="000B3293"/>
    <w:rsid w:val="000B32A9"/>
    <w:rsid w:val="000B36A4"/>
    <w:rsid w:val="000B3A7B"/>
    <w:rsid w:val="000B3D09"/>
    <w:rsid w:val="000B3E6F"/>
    <w:rsid w:val="000B3ECB"/>
    <w:rsid w:val="000B435E"/>
    <w:rsid w:val="000B45A3"/>
    <w:rsid w:val="000B463C"/>
    <w:rsid w:val="000B482B"/>
    <w:rsid w:val="000B4BD7"/>
    <w:rsid w:val="000B4C3D"/>
    <w:rsid w:val="000B4D2A"/>
    <w:rsid w:val="000B4D60"/>
    <w:rsid w:val="000B4D8D"/>
    <w:rsid w:val="000B4DAF"/>
    <w:rsid w:val="000B4E96"/>
    <w:rsid w:val="000B4F63"/>
    <w:rsid w:val="000B5196"/>
    <w:rsid w:val="000B5396"/>
    <w:rsid w:val="000B570C"/>
    <w:rsid w:val="000B5829"/>
    <w:rsid w:val="000B5B94"/>
    <w:rsid w:val="000B5C98"/>
    <w:rsid w:val="000B5CE4"/>
    <w:rsid w:val="000B5F1C"/>
    <w:rsid w:val="000B60BE"/>
    <w:rsid w:val="000B6214"/>
    <w:rsid w:val="000B6497"/>
    <w:rsid w:val="000B66AF"/>
    <w:rsid w:val="000B69B4"/>
    <w:rsid w:val="000B6C95"/>
    <w:rsid w:val="000B72B4"/>
    <w:rsid w:val="000B755D"/>
    <w:rsid w:val="000B7645"/>
    <w:rsid w:val="000B777C"/>
    <w:rsid w:val="000B7796"/>
    <w:rsid w:val="000B7AC5"/>
    <w:rsid w:val="000B7EA8"/>
    <w:rsid w:val="000C0059"/>
    <w:rsid w:val="000C02F0"/>
    <w:rsid w:val="000C0411"/>
    <w:rsid w:val="000C0799"/>
    <w:rsid w:val="000C0874"/>
    <w:rsid w:val="000C0FD8"/>
    <w:rsid w:val="000C1592"/>
    <w:rsid w:val="000C15EF"/>
    <w:rsid w:val="000C1BA5"/>
    <w:rsid w:val="000C1E9A"/>
    <w:rsid w:val="000C1EE2"/>
    <w:rsid w:val="000C215F"/>
    <w:rsid w:val="000C24AF"/>
    <w:rsid w:val="000C24D8"/>
    <w:rsid w:val="000C29BF"/>
    <w:rsid w:val="000C29F6"/>
    <w:rsid w:val="000C2C77"/>
    <w:rsid w:val="000C2F1A"/>
    <w:rsid w:val="000C3039"/>
    <w:rsid w:val="000C31B9"/>
    <w:rsid w:val="000C3447"/>
    <w:rsid w:val="000C3BC0"/>
    <w:rsid w:val="000C3EC4"/>
    <w:rsid w:val="000C3FD1"/>
    <w:rsid w:val="000C4228"/>
    <w:rsid w:val="000C4311"/>
    <w:rsid w:val="000C46AD"/>
    <w:rsid w:val="000C4AF9"/>
    <w:rsid w:val="000C4C99"/>
    <w:rsid w:val="000C50B8"/>
    <w:rsid w:val="000C51EA"/>
    <w:rsid w:val="000C549F"/>
    <w:rsid w:val="000C556C"/>
    <w:rsid w:val="000C5580"/>
    <w:rsid w:val="000C569D"/>
    <w:rsid w:val="000C58AD"/>
    <w:rsid w:val="000C5B5F"/>
    <w:rsid w:val="000C5D5A"/>
    <w:rsid w:val="000C601A"/>
    <w:rsid w:val="000C62D5"/>
    <w:rsid w:val="000C64E5"/>
    <w:rsid w:val="000C65A0"/>
    <w:rsid w:val="000C6605"/>
    <w:rsid w:val="000C6608"/>
    <w:rsid w:val="000C6AA2"/>
    <w:rsid w:val="000C6AC9"/>
    <w:rsid w:val="000C6C91"/>
    <w:rsid w:val="000C6FF4"/>
    <w:rsid w:val="000C7061"/>
    <w:rsid w:val="000C723F"/>
    <w:rsid w:val="000C7449"/>
    <w:rsid w:val="000C7530"/>
    <w:rsid w:val="000C7BCF"/>
    <w:rsid w:val="000C7E7C"/>
    <w:rsid w:val="000C7F0A"/>
    <w:rsid w:val="000C7F2B"/>
    <w:rsid w:val="000C7F9E"/>
    <w:rsid w:val="000D00AB"/>
    <w:rsid w:val="000D00B4"/>
    <w:rsid w:val="000D01E9"/>
    <w:rsid w:val="000D05C7"/>
    <w:rsid w:val="000D0664"/>
    <w:rsid w:val="000D0AD1"/>
    <w:rsid w:val="000D0B46"/>
    <w:rsid w:val="000D0BE0"/>
    <w:rsid w:val="000D0CAF"/>
    <w:rsid w:val="000D0E25"/>
    <w:rsid w:val="000D1041"/>
    <w:rsid w:val="000D1070"/>
    <w:rsid w:val="000D13D2"/>
    <w:rsid w:val="000D154F"/>
    <w:rsid w:val="000D180B"/>
    <w:rsid w:val="000D18B8"/>
    <w:rsid w:val="000D1C76"/>
    <w:rsid w:val="000D20F7"/>
    <w:rsid w:val="000D21C5"/>
    <w:rsid w:val="000D240B"/>
    <w:rsid w:val="000D262B"/>
    <w:rsid w:val="000D2698"/>
    <w:rsid w:val="000D2B18"/>
    <w:rsid w:val="000D2C97"/>
    <w:rsid w:val="000D2DB2"/>
    <w:rsid w:val="000D31C5"/>
    <w:rsid w:val="000D3269"/>
    <w:rsid w:val="000D32FD"/>
    <w:rsid w:val="000D3427"/>
    <w:rsid w:val="000D3516"/>
    <w:rsid w:val="000D3669"/>
    <w:rsid w:val="000D3809"/>
    <w:rsid w:val="000D3884"/>
    <w:rsid w:val="000D3AF4"/>
    <w:rsid w:val="000D3B84"/>
    <w:rsid w:val="000D3BDA"/>
    <w:rsid w:val="000D3E21"/>
    <w:rsid w:val="000D3E6F"/>
    <w:rsid w:val="000D477E"/>
    <w:rsid w:val="000D4C2F"/>
    <w:rsid w:val="000D4C5D"/>
    <w:rsid w:val="000D4CCB"/>
    <w:rsid w:val="000D4DAE"/>
    <w:rsid w:val="000D5212"/>
    <w:rsid w:val="000D5338"/>
    <w:rsid w:val="000D53B7"/>
    <w:rsid w:val="000D53F9"/>
    <w:rsid w:val="000D5635"/>
    <w:rsid w:val="000D5779"/>
    <w:rsid w:val="000D5B48"/>
    <w:rsid w:val="000D5E68"/>
    <w:rsid w:val="000D6226"/>
    <w:rsid w:val="000D63D3"/>
    <w:rsid w:val="000D6730"/>
    <w:rsid w:val="000D6B00"/>
    <w:rsid w:val="000D6B1F"/>
    <w:rsid w:val="000D6BF4"/>
    <w:rsid w:val="000D6D98"/>
    <w:rsid w:val="000D6F63"/>
    <w:rsid w:val="000D71A9"/>
    <w:rsid w:val="000D799C"/>
    <w:rsid w:val="000D7BCF"/>
    <w:rsid w:val="000D7D7E"/>
    <w:rsid w:val="000D7F46"/>
    <w:rsid w:val="000D7FF6"/>
    <w:rsid w:val="000E005F"/>
    <w:rsid w:val="000E049C"/>
    <w:rsid w:val="000E06E5"/>
    <w:rsid w:val="000E0753"/>
    <w:rsid w:val="000E0790"/>
    <w:rsid w:val="000E0998"/>
    <w:rsid w:val="000E0AF5"/>
    <w:rsid w:val="000E0B0A"/>
    <w:rsid w:val="000E0B95"/>
    <w:rsid w:val="000E0CBE"/>
    <w:rsid w:val="000E12CD"/>
    <w:rsid w:val="000E176F"/>
    <w:rsid w:val="000E1797"/>
    <w:rsid w:val="000E17B6"/>
    <w:rsid w:val="000E1955"/>
    <w:rsid w:val="000E1996"/>
    <w:rsid w:val="000E1C24"/>
    <w:rsid w:val="000E1D52"/>
    <w:rsid w:val="000E1DBE"/>
    <w:rsid w:val="000E1DDE"/>
    <w:rsid w:val="000E1DF9"/>
    <w:rsid w:val="000E1F6E"/>
    <w:rsid w:val="000E1F72"/>
    <w:rsid w:val="000E229E"/>
    <w:rsid w:val="000E251F"/>
    <w:rsid w:val="000E2663"/>
    <w:rsid w:val="000E29F6"/>
    <w:rsid w:val="000E2B3D"/>
    <w:rsid w:val="000E3504"/>
    <w:rsid w:val="000E354F"/>
    <w:rsid w:val="000E36BA"/>
    <w:rsid w:val="000E38E1"/>
    <w:rsid w:val="000E3998"/>
    <w:rsid w:val="000E3AA3"/>
    <w:rsid w:val="000E3AF0"/>
    <w:rsid w:val="000E3B55"/>
    <w:rsid w:val="000E3E50"/>
    <w:rsid w:val="000E4028"/>
    <w:rsid w:val="000E40EE"/>
    <w:rsid w:val="000E42D5"/>
    <w:rsid w:val="000E4590"/>
    <w:rsid w:val="000E46B8"/>
    <w:rsid w:val="000E46D6"/>
    <w:rsid w:val="000E4E38"/>
    <w:rsid w:val="000E4E4A"/>
    <w:rsid w:val="000E4E5C"/>
    <w:rsid w:val="000E5044"/>
    <w:rsid w:val="000E5379"/>
    <w:rsid w:val="000E5981"/>
    <w:rsid w:val="000E5BC5"/>
    <w:rsid w:val="000E5EB8"/>
    <w:rsid w:val="000E5F7A"/>
    <w:rsid w:val="000E5FEB"/>
    <w:rsid w:val="000E6380"/>
    <w:rsid w:val="000E680F"/>
    <w:rsid w:val="000E6897"/>
    <w:rsid w:val="000E6CD8"/>
    <w:rsid w:val="000E6E09"/>
    <w:rsid w:val="000E71E1"/>
    <w:rsid w:val="000E723D"/>
    <w:rsid w:val="000E72E6"/>
    <w:rsid w:val="000E7713"/>
    <w:rsid w:val="000E776F"/>
    <w:rsid w:val="000E7960"/>
    <w:rsid w:val="000E79BE"/>
    <w:rsid w:val="000E7C87"/>
    <w:rsid w:val="000E7CED"/>
    <w:rsid w:val="000E7D2B"/>
    <w:rsid w:val="000F002B"/>
    <w:rsid w:val="000F0296"/>
    <w:rsid w:val="000F02FF"/>
    <w:rsid w:val="000F0392"/>
    <w:rsid w:val="000F0708"/>
    <w:rsid w:val="000F133B"/>
    <w:rsid w:val="000F1A65"/>
    <w:rsid w:val="000F1BE5"/>
    <w:rsid w:val="000F1C48"/>
    <w:rsid w:val="000F1CEA"/>
    <w:rsid w:val="000F1D7E"/>
    <w:rsid w:val="000F1E33"/>
    <w:rsid w:val="000F1ED2"/>
    <w:rsid w:val="000F1FB0"/>
    <w:rsid w:val="000F2078"/>
    <w:rsid w:val="000F2410"/>
    <w:rsid w:val="000F2461"/>
    <w:rsid w:val="000F246F"/>
    <w:rsid w:val="000F24BA"/>
    <w:rsid w:val="000F2584"/>
    <w:rsid w:val="000F2801"/>
    <w:rsid w:val="000F29DC"/>
    <w:rsid w:val="000F2CAE"/>
    <w:rsid w:val="000F2D14"/>
    <w:rsid w:val="000F3326"/>
    <w:rsid w:val="000F34F9"/>
    <w:rsid w:val="000F35CA"/>
    <w:rsid w:val="000F3C4B"/>
    <w:rsid w:val="000F3CE4"/>
    <w:rsid w:val="000F42FA"/>
    <w:rsid w:val="000F442F"/>
    <w:rsid w:val="000F4579"/>
    <w:rsid w:val="000F45A0"/>
    <w:rsid w:val="000F45BA"/>
    <w:rsid w:val="000F45F4"/>
    <w:rsid w:val="000F45F9"/>
    <w:rsid w:val="000F4644"/>
    <w:rsid w:val="000F4727"/>
    <w:rsid w:val="000F481C"/>
    <w:rsid w:val="000F488E"/>
    <w:rsid w:val="000F4983"/>
    <w:rsid w:val="000F4DD7"/>
    <w:rsid w:val="000F4EEE"/>
    <w:rsid w:val="000F53DC"/>
    <w:rsid w:val="000F55D4"/>
    <w:rsid w:val="000F5D8E"/>
    <w:rsid w:val="000F5E9F"/>
    <w:rsid w:val="000F5F1C"/>
    <w:rsid w:val="000F6118"/>
    <w:rsid w:val="000F6288"/>
    <w:rsid w:val="000F62F5"/>
    <w:rsid w:val="000F634A"/>
    <w:rsid w:val="000F6532"/>
    <w:rsid w:val="000F6A39"/>
    <w:rsid w:val="000F6C79"/>
    <w:rsid w:val="000F7538"/>
    <w:rsid w:val="000F75EF"/>
    <w:rsid w:val="000F7609"/>
    <w:rsid w:val="000F769C"/>
    <w:rsid w:val="000F79D1"/>
    <w:rsid w:val="000F79E7"/>
    <w:rsid w:val="000F7A81"/>
    <w:rsid w:val="000F7C25"/>
    <w:rsid w:val="000F7ED4"/>
    <w:rsid w:val="00100311"/>
    <w:rsid w:val="00100460"/>
    <w:rsid w:val="00100659"/>
    <w:rsid w:val="00100F54"/>
    <w:rsid w:val="001010D2"/>
    <w:rsid w:val="00101718"/>
    <w:rsid w:val="00101A8E"/>
    <w:rsid w:val="00101B50"/>
    <w:rsid w:val="00101B73"/>
    <w:rsid w:val="00101BB7"/>
    <w:rsid w:val="00101E0E"/>
    <w:rsid w:val="001020AB"/>
    <w:rsid w:val="001020F2"/>
    <w:rsid w:val="0010283C"/>
    <w:rsid w:val="0010284C"/>
    <w:rsid w:val="001028D4"/>
    <w:rsid w:val="00102A6C"/>
    <w:rsid w:val="00102B00"/>
    <w:rsid w:val="00102CAE"/>
    <w:rsid w:val="00102DCE"/>
    <w:rsid w:val="00102FEC"/>
    <w:rsid w:val="0010336E"/>
    <w:rsid w:val="0010338A"/>
    <w:rsid w:val="001035BC"/>
    <w:rsid w:val="00103773"/>
    <w:rsid w:val="00103B7F"/>
    <w:rsid w:val="00103C0F"/>
    <w:rsid w:val="00103DA2"/>
    <w:rsid w:val="00103F52"/>
    <w:rsid w:val="00104027"/>
    <w:rsid w:val="00104040"/>
    <w:rsid w:val="0010406C"/>
    <w:rsid w:val="001043F1"/>
    <w:rsid w:val="001044F1"/>
    <w:rsid w:val="001045E2"/>
    <w:rsid w:val="00104639"/>
    <w:rsid w:val="0010463C"/>
    <w:rsid w:val="00104690"/>
    <w:rsid w:val="001046F5"/>
    <w:rsid w:val="00104963"/>
    <w:rsid w:val="00104CC6"/>
    <w:rsid w:val="00104CC9"/>
    <w:rsid w:val="001050B5"/>
    <w:rsid w:val="001050F4"/>
    <w:rsid w:val="00105509"/>
    <w:rsid w:val="00105913"/>
    <w:rsid w:val="00105B8D"/>
    <w:rsid w:val="00105CC6"/>
    <w:rsid w:val="00105E47"/>
    <w:rsid w:val="00105E76"/>
    <w:rsid w:val="00105ED2"/>
    <w:rsid w:val="001060B1"/>
    <w:rsid w:val="0010638C"/>
    <w:rsid w:val="0010666E"/>
    <w:rsid w:val="00106953"/>
    <w:rsid w:val="00106C2B"/>
    <w:rsid w:val="00106DEA"/>
    <w:rsid w:val="00106EFD"/>
    <w:rsid w:val="0010717C"/>
    <w:rsid w:val="001074C6"/>
    <w:rsid w:val="0010750E"/>
    <w:rsid w:val="00107589"/>
    <w:rsid w:val="001077D4"/>
    <w:rsid w:val="00107818"/>
    <w:rsid w:val="00107888"/>
    <w:rsid w:val="00107A4B"/>
    <w:rsid w:val="00110043"/>
    <w:rsid w:val="00110182"/>
    <w:rsid w:val="001101F9"/>
    <w:rsid w:val="00110210"/>
    <w:rsid w:val="00110311"/>
    <w:rsid w:val="0011059A"/>
    <w:rsid w:val="001105E1"/>
    <w:rsid w:val="0011085C"/>
    <w:rsid w:val="00110A51"/>
    <w:rsid w:val="00110C4E"/>
    <w:rsid w:val="00110D3D"/>
    <w:rsid w:val="00110D55"/>
    <w:rsid w:val="00111115"/>
    <w:rsid w:val="0011115C"/>
    <w:rsid w:val="001111E2"/>
    <w:rsid w:val="001112BF"/>
    <w:rsid w:val="001118B4"/>
    <w:rsid w:val="00111A43"/>
    <w:rsid w:val="00111C26"/>
    <w:rsid w:val="00111C75"/>
    <w:rsid w:val="0011201A"/>
    <w:rsid w:val="001120C7"/>
    <w:rsid w:val="001121A9"/>
    <w:rsid w:val="001122A5"/>
    <w:rsid w:val="00112320"/>
    <w:rsid w:val="00112537"/>
    <w:rsid w:val="00112647"/>
    <w:rsid w:val="00112AA5"/>
    <w:rsid w:val="00112B71"/>
    <w:rsid w:val="00112EC3"/>
    <w:rsid w:val="00112F90"/>
    <w:rsid w:val="0011302A"/>
    <w:rsid w:val="0011346A"/>
    <w:rsid w:val="0011391D"/>
    <w:rsid w:val="00113B4E"/>
    <w:rsid w:val="00113DB5"/>
    <w:rsid w:val="00113E4E"/>
    <w:rsid w:val="00113EC3"/>
    <w:rsid w:val="00114160"/>
    <w:rsid w:val="001141DF"/>
    <w:rsid w:val="001143AB"/>
    <w:rsid w:val="001150C4"/>
    <w:rsid w:val="001151E2"/>
    <w:rsid w:val="00115317"/>
    <w:rsid w:val="00115332"/>
    <w:rsid w:val="00115474"/>
    <w:rsid w:val="001154DC"/>
    <w:rsid w:val="001158C9"/>
    <w:rsid w:val="00115966"/>
    <w:rsid w:val="00115B12"/>
    <w:rsid w:val="00115B40"/>
    <w:rsid w:val="00115C92"/>
    <w:rsid w:val="00115DA9"/>
    <w:rsid w:val="00115F02"/>
    <w:rsid w:val="001160B5"/>
    <w:rsid w:val="001160FC"/>
    <w:rsid w:val="00116112"/>
    <w:rsid w:val="00116340"/>
    <w:rsid w:val="0011634C"/>
    <w:rsid w:val="00116378"/>
    <w:rsid w:val="0011652D"/>
    <w:rsid w:val="00116613"/>
    <w:rsid w:val="001168B1"/>
    <w:rsid w:val="0011696E"/>
    <w:rsid w:val="001169A5"/>
    <w:rsid w:val="001169DF"/>
    <w:rsid w:val="00116C56"/>
    <w:rsid w:val="00117083"/>
    <w:rsid w:val="0011725F"/>
    <w:rsid w:val="00117395"/>
    <w:rsid w:val="00117880"/>
    <w:rsid w:val="00117AB7"/>
    <w:rsid w:val="00117BEA"/>
    <w:rsid w:val="0012028C"/>
    <w:rsid w:val="001203C2"/>
    <w:rsid w:val="0012057C"/>
    <w:rsid w:val="001208F2"/>
    <w:rsid w:val="00120C58"/>
    <w:rsid w:val="00120EAA"/>
    <w:rsid w:val="00120F93"/>
    <w:rsid w:val="00121003"/>
    <w:rsid w:val="00121897"/>
    <w:rsid w:val="00121B57"/>
    <w:rsid w:val="00121D0E"/>
    <w:rsid w:val="00122105"/>
    <w:rsid w:val="0012212A"/>
    <w:rsid w:val="0012244E"/>
    <w:rsid w:val="0012266E"/>
    <w:rsid w:val="001227C2"/>
    <w:rsid w:val="0012289A"/>
    <w:rsid w:val="001228D5"/>
    <w:rsid w:val="001229F9"/>
    <w:rsid w:val="00122DBB"/>
    <w:rsid w:val="00122E04"/>
    <w:rsid w:val="00122FCC"/>
    <w:rsid w:val="001230B1"/>
    <w:rsid w:val="001231C6"/>
    <w:rsid w:val="001232A8"/>
    <w:rsid w:val="00123491"/>
    <w:rsid w:val="00123533"/>
    <w:rsid w:val="00123B0C"/>
    <w:rsid w:val="00123DA1"/>
    <w:rsid w:val="00123EB4"/>
    <w:rsid w:val="00123F52"/>
    <w:rsid w:val="00124066"/>
    <w:rsid w:val="001240FE"/>
    <w:rsid w:val="001243D4"/>
    <w:rsid w:val="001243E1"/>
    <w:rsid w:val="001244AD"/>
    <w:rsid w:val="00124622"/>
    <w:rsid w:val="00124735"/>
    <w:rsid w:val="00124772"/>
    <w:rsid w:val="0012490F"/>
    <w:rsid w:val="00124AC2"/>
    <w:rsid w:val="00124DB6"/>
    <w:rsid w:val="001253CC"/>
    <w:rsid w:val="001254F5"/>
    <w:rsid w:val="00125549"/>
    <w:rsid w:val="0012569C"/>
    <w:rsid w:val="00125753"/>
    <w:rsid w:val="00125764"/>
    <w:rsid w:val="00125E79"/>
    <w:rsid w:val="00126429"/>
    <w:rsid w:val="00126511"/>
    <w:rsid w:val="00126BB8"/>
    <w:rsid w:val="001271F9"/>
    <w:rsid w:val="001273EA"/>
    <w:rsid w:val="001279C1"/>
    <w:rsid w:val="001279D2"/>
    <w:rsid w:val="00127C85"/>
    <w:rsid w:val="00127CF3"/>
    <w:rsid w:val="00127D94"/>
    <w:rsid w:val="001309A2"/>
    <w:rsid w:val="00130A7C"/>
    <w:rsid w:val="00130C62"/>
    <w:rsid w:val="00130C88"/>
    <w:rsid w:val="00130C96"/>
    <w:rsid w:val="00130FA7"/>
    <w:rsid w:val="0013132C"/>
    <w:rsid w:val="001314B9"/>
    <w:rsid w:val="001314C5"/>
    <w:rsid w:val="001315DA"/>
    <w:rsid w:val="00132059"/>
    <w:rsid w:val="00132419"/>
    <w:rsid w:val="0013242B"/>
    <w:rsid w:val="00132445"/>
    <w:rsid w:val="001324EF"/>
    <w:rsid w:val="001325D6"/>
    <w:rsid w:val="00132864"/>
    <w:rsid w:val="00132A69"/>
    <w:rsid w:val="0013319C"/>
    <w:rsid w:val="00133282"/>
    <w:rsid w:val="001335C2"/>
    <w:rsid w:val="0013391C"/>
    <w:rsid w:val="00133976"/>
    <w:rsid w:val="00133A23"/>
    <w:rsid w:val="00133C78"/>
    <w:rsid w:val="00133CB7"/>
    <w:rsid w:val="00133EC8"/>
    <w:rsid w:val="0013418D"/>
    <w:rsid w:val="001341D3"/>
    <w:rsid w:val="001342BA"/>
    <w:rsid w:val="0013451E"/>
    <w:rsid w:val="00134626"/>
    <w:rsid w:val="00134678"/>
    <w:rsid w:val="001346FF"/>
    <w:rsid w:val="001348C0"/>
    <w:rsid w:val="001348CE"/>
    <w:rsid w:val="00134B0A"/>
    <w:rsid w:val="00135188"/>
    <w:rsid w:val="00135287"/>
    <w:rsid w:val="0013532D"/>
    <w:rsid w:val="00135456"/>
    <w:rsid w:val="001354B8"/>
    <w:rsid w:val="0013561A"/>
    <w:rsid w:val="001358EA"/>
    <w:rsid w:val="00135B6A"/>
    <w:rsid w:val="00135BE1"/>
    <w:rsid w:val="00135C50"/>
    <w:rsid w:val="00135D51"/>
    <w:rsid w:val="00135E85"/>
    <w:rsid w:val="00136192"/>
    <w:rsid w:val="00136324"/>
    <w:rsid w:val="001363E9"/>
    <w:rsid w:val="0013661F"/>
    <w:rsid w:val="001368A6"/>
    <w:rsid w:val="001368D7"/>
    <w:rsid w:val="00136A22"/>
    <w:rsid w:val="00136E64"/>
    <w:rsid w:val="001370F7"/>
    <w:rsid w:val="0013726E"/>
    <w:rsid w:val="00137400"/>
    <w:rsid w:val="0013740E"/>
    <w:rsid w:val="00137703"/>
    <w:rsid w:val="00137A53"/>
    <w:rsid w:val="00137B44"/>
    <w:rsid w:val="00137BA7"/>
    <w:rsid w:val="00137C5A"/>
    <w:rsid w:val="00137D33"/>
    <w:rsid w:val="0014091A"/>
    <w:rsid w:val="00140AFD"/>
    <w:rsid w:val="00140C36"/>
    <w:rsid w:val="00140E2C"/>
    <w:rsid w:val="001411A0"/>
    <w:rsid w:val="0014138B"/>
    <w:rsid w:val="0014139A"/>
    <w:rsid w:val="00141613"/>
    <w:rsid w:val="00141719"/>
    <w:rsid w:val="00141903"/>
    <w:rsid w:val="00141954"/>
    <w:rsid w:val="00141A02"/>
    <w:rsid w:val="00141AE5"/>
    <w:rsid w:val="00141CDF"/>
    <w:rsid w:val="00141D89"/>
    <w:rsid w:val="00141EBD"/>
    <w:rsid w:val="00141F17"/>
    <w:rsid w:val="001421F4"/>
    <w:rsid w:val="00142392"/>
    <w:rsid w:val="001425BA"/>
    <w:rsid w:val="001426FC"/>
    <w:rsid w:val="001428B8"/>
    <w:rsid w:val="00142919"/>
    <w:rsid w:val="00142AA5"/>
    <w:rsid w:val="00142D8F"/>
    <w:rsid w:val="00142E7C"/>
    <w:rsid w:val="0014304F"/>
    <w:rsid w:val="00143376"/>
    <w:rsid w:val="001437E4"/>
    <w:rsid w:val="001439D5"/>
    <w:rsid w:val="00143A9A"/>
    <w:rsid w:val="00143B70"/>
    <w:rsid w:val="00143B76"/>
    <w:rsid w:val="00143D41"/>
    <w:rsid w:val="00143E78"/>
    <w:rsid w:val="00143E84"/>
    <w:rsid w:val="00144075"/>
    <w:rsid w:val="00144299"/>
    <w:rsid w:val="0014450A"/>
    <w:rsid w:val="0014452F"/>
    <w:rsid w:val="00144843"/>
    <w:rsid w:val="0014488B"/>
    <w:rsid w:val="00144972"/>
    <w:rsid w:val="00144B90"/>
    <w:rsid w:val="00144C2E"/>
    <w:rsid w:val="001451CD"/>
    <w:rsid w:val="001452E6"/>
    <w:rsid w:val="0014545F"/>
    <w:rsid w:val="001456CF"/>
    <w:rsid w:val="00145A2B"/>
    <w:rsid w:val="00145FB5"/>
    <w:rsid w:val="0014612A"/>
    <w:rsid w:val="00146B9A"/>
    <w:rsid w:val="00146C5A"/>
    <w:rsid w:val="00146F09"/>
    <w:rsid w:val="00146F9A"/>
    <w:rsid w:val="00147104"/>
    <w:rsid w:val="00147617"/>
    <w:rsid w:val="00147DCE"/>
    <w:rsid w:val="00147FCF"/>
    <w:rsid w:val="00150484"/>
    <w:rsid w:val="001504F2"/>
    <w:rsid w:val="00150549"/>
    <w:rsid w:val="00150F44"/>
    <w:rsid w:val="00151111"/>
    <w:rsid w:val="00151284"/>
    <w:rsid w:val="0015168D"/>
    <w:rsid w:val="00151BAA"/>
    <w:rsid w:val="00151BE1"/>
    <w:rsid w:val="00151C2E"/>
    <w:rsid w:val="00151D6D"/>
    <w:rsid w:val="00151FC3"/>
    <w:rsid w:val="00152448"/>
    <w:rsid w:val="0015266C"/>
    <w:rsid w:val="001527E7"/>
    <w:rsid w:val="00152850"/>
    <w:rsid w:val="00152903"/>
    <w:rsid w:val="00152ABF"/>
    <w:rsid w:val="00152C80"/>
    <w:rsid w:val="00152E84"/>
    <w:rsid w:val="00152EDC"/>
    <w:rsid w:val="00153431"/>
    <w:rsid w:val="00153565"/>
    <w:rsid w:val="00153866"/>
    <w:rsid w:val="00153D06"/>
    <w:rsid w:val="00153E6E"/>
    <w:rsid w:val="0015422E"/>
    <w:rsid w:val="001542CE"/>
    <w:rsid w:val="00154397"/>
    <w:rsid w:val="001544D0"/>
    <w:rsid w:val="00154ACA"/>
    <w:rsid w:val="00154B08"/>
    <w:rsid w:val="00154B17"/>
    <w:rsid w:val="00154F0C"/>
    <w:rsid w:val="00155181"/>
    <w:rsid w:val="00155201"/>
    <w:rsid w:val="0015524D"/>
    <w:rsid w:val="001552B3"/>
    <w:rsid w:val="001552EC"/>
    <w:rsid w:val="00155427"/>
    <w:rsid w:val="001557B6"/>
    <w:rsid w:val="0015596C"/>
    <w:rsid w:val="00155A40"/>
    <w:rsid w:val="00155D66"/>
    <w:rsid w:val="00155D95"/>
    <w:rsid w:val="00155DC2"/>
    <w:rsid w:val="00155E25"/>
    <w:rsid w:val="00155E7C"/>
    <w:rsid w:val="001561A2"/>
    <w:rsid w:val="0015651A"/>
    <w:rsid w:val="00156557"/>
    <w:rsid w:val="001565B6"/>
    <w:rsid w:val="001565F3"/>
    <w:rsid w:val="00156E04"/>
    <w:rsid w:val="00156EFF"/>
    <w:rsid w:val="00156FF5"/>
    <w:rsid w:val="00157176"/>
    <w:rsid w:val="0015752A"/>
    <w:rsid w:val="001577B6"/>
    <w:rsid w:val="001578AA"/>
    <w:rsid w:val="00157A74"/>
    <w:rsid w:val="00157C10"/>
    <w:rsid w:val="00157C46"/>
    <w:rsid w:val="0016058C"/>
    <w:rsid w:val="001605FC"/>
    <w:rsid w:val="001607F3"/>
    <w:rsid w:val="00160A26"/>
    <w:rsid w:val="00160B6B"/>
    <w:rsid w:val="00160BB8"/>
    <w:rsid w:val="00160C44"/>
    <w:rsid w:val="00160F44"/>
    <w:rsid w:val="00160FDF"/>
    <w:rsid w:val="0016121C"/>
    <w:rsid w:val="00161222"/>
    <w:rsid w:val="001612E5"/>
    <w:rsid w:val="00161448"/>
    <w:rsid w:val="001615DF"/>
    <w:rsid w:val="0016168E"/>
    <w:rsid w:val="0016179E"/>
    <w:rsid w:val="001618DB"/>
    <w:rsid w:val="00161B5F"/>
    <w:rsid w:val="00161DCA"/>
    <w:rsid w:val="00161E4D"/>
    <w:rsid w:val="00161E99"/>
    <w:rsid w:val="001623DC"/>
    <w:rsid w:val="00162964"/>
    <w:rsid w:val="00162AA2"/>
    <w:rsid w:val="00162AF7"/>
    <w:rsid w:val="00163085"/>
    <w:rsid w:val="001630CF"/>
    <w:rsid w:val="00163268"/>
    <w:rsid w:val="001633D1"/>
    <w:rsid w:val="00163577"/>
    <w:rsid w:val="001636C8"/>
    <w:rsid w:val="00163E04"/>
    <w:rsid w:val="00164040"/>
    <w:rsid w:val="001640DD"/>
    <w:rsid w:val="0016454E"/>
    <w:rsid w:val="0016475D"/>
    <w:rsid w:val="001649E8"/>
    <w:rsid w:val="00164A9F"/>
    <w:rsid w:val="00164B12"/>
    <w:rsid w:val="00164C46"/>
    <w:rsid w:val="00164C59"/>
    <w:rsid w:val="00164E2C"/>
    <w:rsid w:val="00164FC5"/>
    <w:rsid w:val="001652C5"/>
    <w:rsid w:val="00165418"/>
    <w:rsid w:val="001655D1"/>
    <w:rsid w:val="00165A4E"/>
    <w:rsid w:val="00165C7C"/>
    <w:rsid w:val="00165DCC"/>
    <w:rsid w:val="0016601F"/>
    <w:rsid w:val="00166630"/>
    <w:rsid w:val="00166637"/>
    <w:rsid w:val="00166936"/>
    <w:rsid w:val="0016694A"/>
    <w:rsid w:val="001669AE"/>
    <w:rsid w:val="00166A4C"/>
    <w:rsid w:val="00166CCA"/>
    <w:rsid w:val="00166DEA"/>
    <w:rsid w:val="00166E39"/>
    <w:rsid w:val="00166EE9"/>
    <w:rsid w:val="001671F4"/>
    <w:rsid w:val="00167361"/>
    <w:rsid w:val="00167568"/>
    <w:rsid w:val="00167676"/>
    <w:rsid w:val="0016785B"/>
    <w:rsid w:val="00167944"/>
    <w:rsid w:val="00167B87"/>
    <w:rsid w:val="00170154"/>
    <w:rsid w:val="001702DA"/>
    <w:rsid w:val="001705E3"/>
    <w:rsid w:val="001706DB"/>
    <w:rsid w:val="001706F2"/>
    <w:rsid w:val="00170BCD"/>
    <w:rsid w:val="00170D74"/>
    <w:rsid w:val="00170E47"/>
    <w:rsid w:val="00170E99"/>
    <w:rsid w:val="00171012"/>
    <w:rsid w:val="00171256"/>
    <w:rsid w:val="001712DB"/>
    <w:rsid w:val="001713A2"/>
    <w:rsid w:val="001713BA"/>
    <w:rsid w:val="00171642"/>
    <w:rsid w:val="001716E8"/>
    <w:rsid w:val="001717BB"/>
    <w:rsid w:val="00171D70"/>
    <w:rsid w:val="00171DFD"/>
    <w:rsid w:val="00172010"/>
    <w:rsid w:val="00172113"/>
    <w:rsid w:val="001721AF"/>
    <w:rsid w:val="0017294E"/>
    <w:rsid w:val="00172A03"/>
    <w:rsid w:val="00172CB5"/>
    <w:rsid w:val="00172DEA"/>
    <w:rsid w:val="00172E29"/>
    <w:rsid w:val="00172E54"/>
    <w:rsid w:val="00172E64"/>
    <w:rsid w:val="00172FB2"/>
    <w:rsid w:val="00172FD9"/>
    <w:rsid w:val="00172FDF"/>
    <w:rsid w:val="0017302C"/>
    <w:rsid w:val="001733F7"/>
    <w:rsid w:val="00173587"/>
    <w:rsid w:val="001736DC"/>
    <w:rsid w:val="00173737"/>
    <w:rsid w:val="00173DF4"/>
    <w:rsid w:val="00173F25"/>
    <w:rsid w:val="00174120"/>
    <w:rsid w:val="00174354"/>
    <w:rsid w:val="00174360"/>
    <w:rsid w:val="00174A41"/>
    <w:rsid w:val="00174E0A"/>
    <w:rsid w:val="00174F0D"/>
    <w:rsid w:val="0017581E"/>
    <w:rsid w:val="001759B7"/>
    <w:rsid w:val="00175B3A"/>
    <w:rsid w:val="00175BD1"/>
    <w:rsid w:val="00175D33"/>
    <w:rsid w:val="00175DFC"/>
    <w:rsid w:val="00175EFD"/>
    <w:rsid w:val="0017608A"/>
    <w:rsid w:val="0017609F"/>
    <w:rsid w:val="00176250"/>
    <w:rsid w:val="00176255"/>
    <w:rsid w:val="0017656F"/>
    <w:rsid w:val="0017665C"/>
    <w:rsid w:val="001766C7"/>
    <w:rsid w:val="00176895"/>
    <w:rsid w:val="00176A10"/>
    <w:rsid w:val="00176B21"/>
    <w:rsid w:val="00176C98"/>
    <w:rsid w:val="00176E27"/>
    <w:rsid w:val="00176EBE"/>
    <w:rsid w:val="001770BB"/>
    <w:rsid w:val="001770F6"/>
    <w:rsid w:val="0017711E"/>
    <w:rsid w:val="00177412"/>
    <w:rsid w:val="0017745F"/>
    <w:rsid w:val="001775AA"/>
    <w:rsid w:val="00177642"/>
    <w:rsid w:val="00177DFB"/>
    <w:rsid w:val="00177F5B"/>
    <w:rsid w:val="0018020F"/>
    <w:rsid w:val="001802DB"/>
    <w:rsid w:val="001806EE"/>
    <w:rsid w:val="001807B7"/>
    <w:rsid w:val="001807B9"/>
    <w:rsid w:val="00180931"/>
    <w:rsid w:val="00180EF9"/>
    <w:rsid w:val="00181227"/>
    <w:rsid w:val="0018126B"/>
    <w:rsid w:val="001813F8"/>
    <w:rsid w:val="001815FA"/>
    <w:rsid w:val="0018164E"/>
    <w:rsid w:val="0018177F"/>
    <w:rsid w:val="001817DE"/>
    <w:rsid w:val="001818E2"/>
    <w:rsid w:val="00181AA0"/>
    <w:rsid w:val="00181AF4"/>
    <w:rsid w:val="00181D60"/>
    <w:rsid w:val="001820CE"/>
    <w:rsid w:val="001821F0"/>
    <w:rsid w:val="001822C3"/>
    <w:rsid w:val="0018234C"/>
    <w:rsid w:val="00182384"/>
    <w:rsid w:val="0018266F"/>
    <w:rsid w:val="001826CA"/>
    <w:rsid w:val="00182872"/>
    <w:rsid w:val="001829FF"/>
    <w:rsid w:val="00182E5E"/>
    <w:rsid w:val="00182F3A"/>
    <w:rsid w:val="00182F71"/>
    <w:rsid w:val="00182FEB"/>
    <w:rsid w:val="00183069"/>
    <w:rsid w:val="00183203"/>
    <w:rsid w:val="001832C9"/>
    <w:rsid w:val="00183407"/>
    <w:rsid w:val="00183523"/>
    <w:rsid w:val="00183D5E"/>
    <w:rsid w:val="00183F8D"/>
    <w:rsid w:val="0018419A"/>
    <w:rsid w:val="001842D5"/>
    <w:rsid w:val="001846BE"/>
    <w:rsid w:val="00184952"/>
    <w:rsid w:val="001849D9"/>
    <w:rsid w:val="00184A44"/>
    <w:rsid w:val="00184B15"/>
    <w:rsid w:val="00184CF1"/>
    <w:rsid w:val="00184D9E"/>
    <w:rsid w:val="00184DCB"/>
    <w:rsid w:val="0018505B"/>
    <w:rsid w:val="0018508C"/>
    <w:rsid w:val="0018537F"/>
    <w:rsid w:val="001854B9"/>
    <w:rsid w:val="001855BF"/>
    <w:rsid w:val="0018576B"/>
    <w:rsid w:val="0018576E"/>
    <w:rsid w:val="00185785"/>
    <w:rsid w:val="0018589D"/>
    <w:rsid w:val="001858E2"/>
    <w:rsid w:val="001858EB"/>
    <w:rsid w:val="00185BE3"/>
    <w:rsid w:val="00185ED5"/>
    <w:rsid w:val="00185EDB"/>
    <w:rsid w:val="00186009"/>
    <w:rsid w:val="0018606C"/>
    <w:rsid w:val="00186281"/>
    <w:rsid w:val="0018659A"/>
    <w:rsid w:val="0018685F"/>
    <w:rsid w:val="00186A0B"/>
    <w:rsid w:val="00186A57"/>
    <w:rsid w:val="00186B8A"/>
    <w:rsid w:val="00186E46"/>
    <w:rsid w:val="001870E3"/>
    <w:rsid w:val="00187187"/>
    <w:rsid w:val="0018723B"/>
    <w:rsid w:val="001874FB"/>
    <w:rsid w:val="00187608"/>
    <w:rsid w:val="0018799F"/>
    <w:rsid w:val="00187A15"/>
    <w:rsid w:val="00187AE8"/>
    <w:rsid w:val="00187CF2"/>
    <w:rsid w:val="00187D9B"/>
    <w:rsid w:val="00187F63"/>
    <w:rsid w:val="001900D5"/>
    <w:rsid w:val="0019023A"/>
    <w:rsid w:val="00190338"/>
    <w:rsid w:val="0019033F"/>
    <w:rsid w:val="001904A2"/>
    <w:rsid w:val="00190512"/>
    <w:rsid w:val="001905A6"/>
    <w:rsid w:val="001905C0"/>
    <w:rsid w:val="00190912"/>
    <w:rsid w:val="00190A24"/>
    <w:rsid w:val="00190E7F"/>
    <w:rsid w:val="00190F1B"/>
    <w:rsid w:val="00190F6C"/>
    <w:rsid w:val="0019149F"/>
    <w:rsid w:val="001914B9"/>
    <w:rsid w:val="001916FC"/>
    <w:rsid w:val="00191DC2"/>
    <w:rsid w:val="00191E0D"/>
    <w:rsid w:val="00192457"/>
    <w:rsid w:val="001924C3"/>
    <w:rsid w:val="001924F1"/>
    <w:rsid w:val="00192526"/>
    <w:rsid w:val="00192548"/>
    <w:rsid w:val="0019275E"/>
    <w:rsid w:val="00192A77"/>
    <w:rsid w:val="00192E5F"/>
    <w:rsid w:val="00192ED8"/>
    <w:rsid w:val="0019343E"/>
    <w:rsid w:val="00193547"/>
    <w:rsid w:val="001935FD"/>
    <w:rsid w:val="00193808"/>
    <w:rsid w:val="0019387E"/>
    <w:rsid w:val="001939D3"/>
    <w:rsid w:val="00193A49"/>
    <w:rsid w:val="00193DBD"/>
    <w:rsid w:val="00193F71"/>
    <w:rsid w:val="00194101"/>
    <w:rsid w:val="0019430B"/>
    <w:rsid w:val="001946D6"/>
    <w:rsid w:val="001946D7"/>
    <w:rsid w:val="001947E5"/>
    <w:rsid w:val="0019499A"/>
    <w:rsid w:val="00194B0A"/>
    <w:rsid w:val="00194C71"/>
    <w:rsid w:val="00194CDA"/>
    <w:rsid w:val="00194D8F"/>
    <w:rsid w:val="00194DDB"/>
    <w:rsid w:val="001950DF"/>
    <w:rsid w:val="001951C4"/>
    <w:rsid w:val="00195279"/>
    <w:rsid w:val="001952CF"/>
    <w:rsid w:val="00195BA4"/>
    <w:rsid w:val="00195CC8"/>
    <w:rsid w:val="00195E5D"/>
    <w:rsid w:val="00195E8E"/>
    <w:rsid w:val="001961EA"/>
    <w:rsid w:val="001961EE"/>
    <w:rsid w:val="001965BD"/>
    <w:rsid w:val="00196633"/>
    <w:rsid w:val="00196821"/>
    <w:rsid w:val="001969A5"/>
    <w:rsid w:val="00196BD4"/>
    <w:rsid w:val="00196E90"/>
    <w:rsid w:val="00197342"/>
    <w:rsid w:val="001974A3"/>
    <w:rsid w:val="001974CE"/>
    <w:rsid w:val="00197677"/>
    <w:rsid w:val="00197A98"/>
    <w:rsid w:val="00197B77"/>
    <w:rsid w:val="00197BCC"/>
    <w:rsid w:val="001A0076"/>
    <w:rsid w:val="001A0407"/>
    <w:rsid w:val="001A053D"/>
    <w:rsid w:val="001A0946"/>
    <w:rsid w:val="001A0AB9"/>
    <w:rsid w:val="001A0D7E"/>
    <w:rsid w:val="001A0F94"/>
    <w:rsid w:val="001A1051"/>
    <w:rsid w:val="001A10E2"/>
    <w:rsid w:val="001A12F7"/>
    <w:rsid w:val="001A146B"/>
    <w:rsid w:val="001A1732"/>
    <w:rsid w:val="001A1A60"/>
    <w:rsid w:val="001A1BCE"/>
    <w:rsid w:val="001A1C02"/>
    <w:rsid w:val="001A1C92"/>
    <w:rsid w:val="001A2006"/>
    <w:rsid w:val="001A202D"/>
    <w:rsid w:val="001A225C"/>
    <w:rsid w:val="001A2357"/>
    <w:rsid w:val="001A23D2"/>
    <w:rsid w:val="001A23D3"/>
    <w:rsid w:val="001A2631"/>
    <w:rsid w:val="001A272C"/>
    <w:rsid w:val="001A2815"/>
    <w:rsid w:val="001A2898"/>
    <w:rsid w:val="001A29A8"/>
    <w:rsid w:val="001A2A08"/>
    <w:rsid w:val="001A2B5E"/>
    <w:rsid w:val="001A2BF6"/>
    <w:rsid w:val="001A2DBF"/>
    <w:rsid w:val="001A2EC3"/>
    <w:rsid w:val="001A2F7B"/>
    <w:rsid w:val="001A3066"/>
    <w:rsid w:val="001A31CD"/>
    <w:rsid w:val="001A328E"/>
    <w:rsid w:val="001A3417"/>
    <w:rsid w:val="001A34E0"/>
    <w:rsid w:val="001A3620"/>
    <w:rsid w:val="001A3706"/>
    <w:rsid w:val="001A379E"/>
    <w:rsid w:val="001A37CC"/>
    <w:rsid w:val="001A3899"/>
    <w:rsid w:val="001A3982"/>
    <w:rsid w:val="001A3DD7"/>
    <w:rsid w:val="001A4056"/>
    <w:rsid w:val="001A4247"/>
    <w:rsid w:val="001A4273"/>
    <w:rsid w:val="001A4328"/>
    <w:rsid w:val="001A45DB"/>
    <w:rsid w:val="001A4707"/>
    <w:rsid w:val="001A47C3"/>
    <w:rsid w:val="001A4A73"/>
    <w:rsid w:val="001A4B30"/>
    <w:rsid w:val="001A4B45"/>
    <w:rsid w:val="001A4B92"/>
    <w:rsid w:val="001A4FD7"/>
    <w:rsid w:val="001A50BC"/>
    <w:rsid w:val="001A5587"/>
    <w:rsid w:val="001A5624"/>
    <w:rsid w:val="001A56F4"/>
    <w:rsid w:val="001A59E8"/>
    <w:rsid w:val="001A5A8E"/>
    <w:rsid w:val="001A6159"/>
    <w:rsid w:val="001A619A"/>
    <w:rsid w:val="001A6316"/>
    <w:rsid w:val="001A63D1"/>
    <w:rsid w:val="001A6498"/>
    <w:rsid w:val="001A64A1"/>
    <w:rsid w:val="001A674D"/>
    <w:rsid w:val="001A6774"/>
    <w:rsid w:val="001A67DF"/>
    <w:rsid w:val="001A6811"/>
    <w:rsid w:val="001A6C5E"/>
    <w:rsid w:val="001A6CEE"/>
    <w:rsid w:val="001A6DDE"/>
    <w:rsid w:val="001A72D8"/>
    <w:rsid w:val="001A7888"/>
    <w:rsid w:val="001A7E30"/>
    <w:rsid w:val="001A7EC3"/>
    <w:rsid w:val="001A7F13"/>
    <w:rsid w:val="001A7FE4"/>
    <w:rsid w:val="001B0148"/>
    <w:rsid w:val="001B0243"/>
    <w:rsid w:val="001B0281"/>
    <w:rsid w:val="001B0382"/>
    <w:rsid w:val="001B0434"/>
    <w:rsid w:val="001B0952"/>
    <w:rsid w:val="001B0997"/>
    <w:rsid w:val="001B09B1"/>
    <w:rsid w:val="001B0D85"/>
    <w:rsid w:val="001B0E8B"/>
    <w:rsid w:val="001B0F64"/>
    <w:rsid w:val="001B1983"/>
    <w:rsid w:val="001B1A79"/>
    <w:rsid w:val="001B1B28"/>
    <w:rsid w:val="001B1BC8"/>
    <w:rsid w:val="001B1E09"/>
    <w:rsid w:val="001B1FE4"/>
    <w:rsid w:val="001B2515"/>
    <w:rsid w:val="001B251D"/>
    <w:rsid w:val="001B26A1"/>
    <w:rsid w:val="001B272D"/>
    <w:rsid w:val="001B2941"/>
    <w:rsid w:val="001B2A25"/>
    <w:rsid w:val="001B2B9F"/>
    <w:rsid w:val="001B2C2E"/>
    <w:rsid w:val="001B2D16"/>
    <w:rsid w:val="001B2E1F"/>
    <w:rsid w:val="001B31F3"/>
    <w:rsid w:val="001B3299"/>
    <w:rsid w:val="001B33D7"/>
    <w:rsid w:val="001B34C4"/>
    <w:rsid w:val="001B3552"/>
    <w:rsid w:val="001B39D6"/>
    <w:rsid w:val="001B3AAC"/>
    <w:rsid w:val="001B3C1C"/>
    <w:rsid w:val="001B3CAC"/>
    <w:rsid w:val="001B3CE5"/>
    <w:rsid w:val="001B3E6D"/>
    <w:rsid w:val="001B41B6"/>
    <w:rsid w:val="001B41D2"/>
    <w:rsid w:val="001B441B"/>
    <w:rsid w:val="001B45CB"/>
    <w:rsid w:val="001B46B8"/>
    <w:rsid w:val="001B470E"/>
    <w:rsid w:val="001B48A3"/>
    <w:rsid w:val="001B4AA3"/>
    <w:rsid w:val="001B4D4D"/>
    <w:rsid w:val="001B4FDD"/>
    <w:rsid w:val="001B4FEB"/>
    <w:rsid w:val="001B5203"/>
    <w:rsid w:val="001B5360"/>
    <w:rsid w:val="001B54AD"/>
    <w:rsid w:val="001B5D47"/>
    <w:rsid w:val="001B5E57"/>
    <w:rsid w:val="001B61F4"/>
    <w:rsid w:val="001B666C"/>
    <w:rsid w:val="001B6A37"/>
    <w:rsid w:val="001B6AF7"/>
    <w:rsid w:val="001B6F3E"/>
    <w:rsid w:val="001B6F91"/>
    <w:rsid w:val="001B71F5"/>
    <w:rsid w:val="001B7316"/>
    <w:rsid w:val="001B7404"/>
    <w:rsid w:val="001B743A"/>
    <w:rsid w:val="001B74E1"/>
    <w:rsid w:val="001B7547"/>
    <w:rsid w:val="001B7AE5"/>
    <w:rsid w:val="001B7BC4"/>
    <w:rsid w:val="001B7C83"/>
    <w:rsid w:val="001B7CE7"/>
    <w:rsid w:val="001B7F8E"/>
    <w:rsid w:val="001C035A"/>
    <w:rsid w:val="001C050E"/>
    <w:rsid w:val="001C051D"/>
    <w:rsid w:val="001C063E"/>
    <w:rsid w:val="001C0656"/>
    <w:rsid w:val="001C0670"/>
    <w:rsid w:val="001C0C09"/>
    <w:rsid w:val="001C10F5"/>
    <w:rsid w:val="001C1146"/>
    <w:rsid w:val="001C11EA"/>
    <w:rsid w:val="001C14AD"/>
    <w:rsid w:val="001C1761"/>
    <w:rsid w:val="001C17A3"/>
    <w:rsid w:val="001C191E"/>
    <w:rsid w:val="001C19E2"/>
    <w:rsid w:val="001C1A33"/>
    <w:rsid w:val="001C1B25"/>
    <w:rsid w:val="001C1C8E"/>
    <w:rsid w:val="001C1CD5"/>
    <w:rsid w:val="001C1F1B"/>
    <w:rsid w:val="001C24B0"/>
    <w:rsid w:val="001C25C4"/>
    <w:rsid w:val="001C274B"/>
    <w:rsid w:val="001C2AE2"/>
    <w:rsid w:val="001C2B9F"/>
    <w:rsid w:val="001C2D25"/>
    <w:rsid w:val="001C2DBC"/>
    <w:rsid w:val="001C303F"/>
    <w:rsid w:val="001C31EC"/>
    <w:rsid w:val="001C354D"/>
    <w:rsid w:val="001C364A"/>
    <w:rsid w:val="001C365A"/>
    <w:rsid w:val="001C37AC"/>
    <w:rsid w:val="001C37DD"/>
    <w:rsid w:val="001C3974"/>
    <w:rsid w:val="001C3A7C"/>
    <w:rsid w:val="001C3B7A"/>
    <w:rsid w:val="001C3E70"/>
    <w:rsid w:val="001C3EF8"/>
    <w:rsid w:val="001C3F85"/>
    <w:rsid w:val="001C429A"/>
    <w:rsid w:val="001C46E4"/>
    <w:rsid w:val="001C4A10"/>
    <w:rsid w:val="001C4CD4"/>
    <w:rsid w:val="001C4CF8"/>
    <w:rsid w:val="001C4F4F"/>
    <w:rsid w:val="001C5195"/>
    <w:rsid w:val="001C5321"/>
    <w:rsid w:val="001C5348"/>
    <w:rsid w:val="001C54EF"/>
    <w:rsid w:val="001C556E"/>
    <w:rsid w:val="001C5822"/>
    <w:rsid w:val="001C598F"/>
    <w:rsid w:val="001C59F5"/>
    <w:rsid w:val="001C5B44"/>
    <w:rsid w:val="001C5C0F"/>
    <w:rsid w:val="001C5DE7"/>
    <w:rsid w:val="001C6126"/>
    <w:rsid w:val="001C625C"/>
    <w:rsid w:val="001C62ED"/>
    <w:rsid w:val="001C6526"/>
    <w:rsid w:val="001C68E8"/>
    <w:rsid w:val="001C6934"/>
    <w:rsid w:val="001C6948"/>
    <w:rsid w:val="001C6C23"/>
    <w:rsid w:val="001C6D68"/>
    <w:rsid w:val="001C6DCA"/>
    <w:rsid w:val="001C6E8B"/>
    <w:rsid w:val="001C7005"/>
    <w:rsid w:val="001C72C0"/>
    <w:rsid w:val="001C7313"/>
    <w:rsid w:val="001C733A"/>
    <w:rsid w:val="001C7408"/>
    <w:rsid w:val="001C74A2"/>
    <w:rsid w:val="001C7870"/>
    <w:rsid w:val="001C7CD9"/>
    <w:rsid w:val="001D015E"/>
    <w:rsid w:val="001D02E6"/>
    <w:rsid w:val="001D036D"/>
    <w:rsid w:val="001D046E"/>
    <w:rsid w:val="001D0474"/>
    <w:rsid w:val="001D04D9"/>
    <w:rsid w:val="001D04F8"/>
    <w:rsid w:val="001D060C"/>
    <w:rsid w:val="001D096C"/>
    <w:rsid w:val="001D0F02"/>
    <w:rsid w:val="001D0F0A"/>
    <w:rsid w:val="001D11CF"/>
    <w:rsid w:val="001D121C"/>
    <w:rsid w:val="001D1280"/>
    <w:rsid w:val="001D1596"/>
    <w:rsid w:val="001D16F3"/>
    <w:rsid w:val="001D17A0"/>
    <w:rsid w:val="001D1862"/>
    <w:rsid w:val="001D193E"/>
    <w:rsid w:val="001D1960"/>
    <w:rsid w:val="001D1A41"/>
    <w:rsid w:val="001D1A6D"/>
    <w:rsid w:val="001D1ABF"/>
    <w:rsid w:val="001D1C97"/>
    <w:rsid w:val="001D20D4"/>
    <w:rsid w:val="001D2530"/>
    <w:rsid w:val="001D26E3"/>
    <w:rsid w:val="001D2732"/>
    <w:rsid w:val="001D2761"/>
    <w:rsid w:val="001D3183"/>
    <w:rsid w:val="001D3197"/>
    <w:rsid w:val="001D32B0"/>
    <w:rsid w:val="001D377A"/>
    <w:rsid w:val="001D37D5"/>
    <w:rsid w:val="001D38A6"/>
    <w:rsid w:val="001D39AB"/>
    <w:rsid w:val="001D3A0B"/>
    <w:rsid w:val="001D3BF1"/>
    <w:rsid w:val="001D3ED3"/>
    <w:rsid w:val="001D4025"/>
    <w:rsid w:val="001D4120"/>
    <w:rsid w:val="001D4211"/>
    <w:rsid w:val="001D422A"/>
    <w:rsid w:val="001D4734"/>
    <w:rsid w:val="001D478D"/>
    <w:rsid w:val="001D4874"/>
    <w:rsid w:val="001D4984"/>
    <w:rsid w:val="001D4A04"/>
    <w:rsid w:val="001D4B70"/>
    <w:rsid w:val="001D4F44"/>
    <w:rsid w:val="001D50DA"/>
    <w:rsid w:val="001D51DF"/>
    <w:rsid w:val="001D5344"/>
    <w:rsid w:val="001D53FA"/>
    <w:rsid w:val="001D55A1"/>
    <w:rsid w:val="001D5873"/>
    <w:rsid w:val="001D58CA"/>
    <w:rsid w:val="001D5A65"/>
    <w:rsid w:val="001D5AF7"/>
    <w:rsid w:val="001D5D24"/>
    <w:rsid w:val="001D5E3F"/>
    <w:rsid w:val="001D5EBE"/>
    <w:rsid w:val="001D5EE2"/>
    <w:rsid w:val="001D5F65"/>
    <w:rsid w:val="001D6025"/>
    <w:rsid w:val="001D63DA"/>
    <w:rsid w:val="001D642A"/>
    <w:rsid w:val="001D65FD"/>
    <w:rsid w:val="001D6708"/>
    <w:rsid w:val="001D6878"/>
    <w:rsid w:val="001D6883"/>
    <w:rsid w:val="001D6887"/>
    <w:rsid w:val="001D6ACA"/>
    <w:rsid w:val="001D6BB3"/>
    <w:rsid w:val="001D6BCB"/>
    <w:rsid w:val="001D6F00"/>
    <w:rsid w:val="001D7024"/>
    <w:rsid w:val="001D709B"/>
    <w:rsid w:val="001D70AA"/>
    <w:rsid w:val="001D71B6"/>
    <w:rsid w:val="001D7287"/>
    <w:rsid w:val="001D737B"/>
    <w:rsid w:val="001D739B"/>
    <w:rsid w:val="001D74AC"/>
    <w:rsid w:val="001D754D"/>
    <w:rsid w:val="001D76ED"/>
    <w:rsid w:val="001D79F8"/>
    <w:rsid w:val="001D7DF4"/>
    <w:rsid w:val="001E007F"/>
    <w:rsid w:val="001E048F"/>
    <w:rsid w:val="001E05EC"/>
    <w:rsid w:val="001E0619"/>
    <w:rsid w:val="001E0857"/>
    <w:rsid w:val="001E0861"/>
    <w:rsid w:val="001E0A83"/>
    <w:rsid w:val="001E0B05"/>
    <w:rsid w:val="001E0C33"/>
    <w:rsid w:val="001E0C8B"/>
    <w:rsid w:val="001E0E9B"/>
    <w:rsid w:val="001E0EB8"/>
    <w:rsid w:val="001E11E4"/>
    <w:rsid w:val="001E123A"/>
    <w:rsid w:val="001E145B"/>
    <w:rsid w:val="001E1ADB"/>
    <w:rsid w:val="001E1D7C"/>
    <w:rsid w:val="001E1F35"/>
    <w:rsid w:val="001E264B"/>
    <w:rsid w:val="001E26E0"/>
    <w:rsid w:val="001E2A17"/>
    <w:rsid w:val="001E2BE7"/>
    <w:rsid w:val="001E2EA3"/>
    <w:rsid w:val="001E2F95"/>
    <w:rsid w:val="001E2FB0"/>
    <w:rsid w:val="001E3143"/>
    <w:rsid w:val="001E3484"/>
    <w:rsid w:val="001E357C"/>
    <w:rsid w:val="001E3941"/>
    <w:rsid w:val="001E394E"/>
    <w:rsid w:val="001E39B4"/>
    <w:rsid w:val="001E39BC"/>
    <w:rsid w:val="001E3B22"/>
    <w:rsid w:val="001E3FF2"/>
    <w:rsid w:val="001E40BF"/>
    <w:rsid w:val="001E4191"/>
    <w:rsid w:val="001E41D2"/>
    <w:rsid w:val="001E4475"/>
    <w:rsid w:val="001E470D"/>
    <w:rsid w:val="001E47E4"/>
    <w:rsid w:val="001E4A86"/>
    <w:rsid w:val="001E4AF7"/>
    <w:rsid w:val="001E4B1C"/>
    <w:rsid w:val="001E4CCC"/>
    <w:rsid w:val="001E4DC7"/>
    <w:rsid w:val="001E4F1C"/>
    <w:rsid w:val="001E51E0"/>
    <w:rsid w:val="001E5285"/>
    <w:rsid w:val="001E53C4"/>
    <w:rsid w:val="001E548D"/>
    <w:rsid w:val="001E549C"/>
    <w:rsid w:val="001E58BD"/>
    <w:rsid w:val="001E58D0"/>
    <w:rsid w:val="001E5EAF"/>
    <w:rsid w:val="001E5F8C"/>
    <w:rsid w:val="001E60AD"/>
    <w:rsid w:val="001E62DE"/>
    <w:rsid w:val="001E641D"/>
    <w:rsid w:val="001E644A"/>
    <w:rsid w:val="001E6712"/>
    <w:rsid w:val="001E6A8E"/>
    <w:rsid w:val="001E6B5F"/>
    <w:rsid w:val="001E6F4B"/>
    <w:rsid w:val="001E6F5C"/>
    <w:rsid w:val="001E6FAE"/>
    <w:rsid w:val="001E6FC7"/>
    <w:rsid w:val="001E70C9"/>
    <w:rsid w:val="001E7119"/>
    <w:rsid w:val="001E7506"/>
    <w:rsid w:val="001E7674"/>
    <w:rsid w:val="001E7678"/>
    <w:rsid w:val="001E76F6"/>
    <w:rsid w:val="001E788B"/>
    <w:rsid w:val="001E7936"/>
    <w:rsid w:val="001E7B03"/>
    <w:rsid w:val="001E7B09"/>
    <w:rsid w:val="001E7B3F"/>
    <w:rsid w:val="001E7BBD"/>
    <w:rsid w:val="001E7C07"/>
    <w:rsid w:val="001E7D91"/>
    <w:rsid w:val="001F0225"/>
    <w:rsid w:val="001F04DE"/>
    <w:rsid w:val="001F053C"/>
    <w:rsid w:val="001F0803"/>
    <w:rsid w:val="001F0919"/>
    <w:rsid w:val="001F1278"/>
    <w:rsid w:val="001F1BC5"/>
    <w:rsid w:val="001F1D58"/>
    <w:rsid w:val="001F2084"/>
    <w:rsid w:val="001F2277"/>
    <w:rsid w:val="001F2281"/>
    <w:rsid w:val="001F22A3"/>
    <w:rsid w:val="001F234B"/>
    <w:rsid w:val="001F240A"/>
    <w:rsid w:val="001F2431"/>
    <w:rsid w:val="001F243E"/>
    <w:rsid w:val="001F2539"/>
    <w:rsid w:val="001F2565"/>
    <w:rsid w:val="001F2678"/>
    <w:rsid w:val="001F26DC"/>
    <w:rsid w:val="001F26F8"/>
    <w:rsid w:val="001F28BA"/>
    <w:rsid w:val="001F2B9E"/>
    <w:rsid w:val="001F2F05"/>
    <w:rsid w:val="001F32B1"/>
    <w:rsid w:val="001F336C"/>
    <w:rsid w:val="001F352B"/>
    <w:rsid w:val="001F362F"/>
    <w:rsid w:val="001F378F"/>
    <w:rsid w:val="001F3A53"/>
    <w:rsid w:val="001F3E80"/>
    <w:rsid w:val="001F4000"/>
    <w:rsid w:val="001F4321"/>
    <w:rsid w:val="001F4335"/>
    <w:rsid w:val="001F453D"/>
    <w:rsid w:val="001F4A04"/>
    <w:rsid w:val="001F4B39"/>
    <w:rsid w:val="001F4B90"/>
    <w:rsid w:val="001F4ECD"/>
    <w:rsid w:val="001F510C"/>
    <w:rsid w:val="001F5998"/>
    <w:rsid w:val="001F5AC5"/>
    <w:rsid w:val="001F5B0B"/>
    <w:rsid w:val="001F5C9A"/>
    <w:rsid w:val="001F61DE"/>
    <w:rsid w:val="001F6236"/>
    <w:rsid w:val="001F6403"/>
    <w:rsid w:val="001F64AB"/>
    <w:rsid w:val="001F66CD"/>
    <w:rsid w:val="001F67C4"/>
    <w:rsid w:val="001F6A86"/>
    <w:rsid w:val="001F6B93"/>
    <w:rsid w:val="001F6C68"/>
    <w:rsid w:val="001F6C6A"/>
    <w:rsid w:val="001F6FB3"/>
    <w:rsid w:val="001F72C4"/>
    <w:rsid w:val="001F747A"/>
    <w:rsid w:val="001F749B"/>
    <w:rsid w:val="001F74DB"/>
    <w:rsid w:val="001F76ED"/>
    <w:rsid w:val="001F77AB"/>
    <w:rsid w:val="001F7944"/>
    <w:rsid w:val="001F7F46"/>
    <w:rsid w:val="001F7F61"/>
    <w:rsid w:val="001F7FBC"/>
    <w:rsid w:val="00200080"/>
    <w:rsid w:val="00200297"/>
    <w:rsid w:val="00200718"/>
    <w:rsid w:val="00200762"/>
    <w:rsid w:val="00200DFF"/>
    <w:rsid w:val="00201003"/>
    <w:rsid w:val="0020105C"/>
    <w:rsid w:val="0020107B"/>
    <w:rsid w:val="002018F8"/>
    <w:rsid w:val="00201CC0"/>
    <w:rsid w:val="00201D60"/>
    <w:rsid w:val="00201F5E"/>
    <w:rsid w:val="0020200A"/>
    <w:rsid w:val="002025A4"/>
    <w:rsid w:val="0020260B"/>
    <w:rsid w:val="00202613"/>
    <w:rsid w:val="00202965"/>
    <w:rsid w:val="00202C64"/>
    <w:rsid w:val="00202D46"/>
    <w:rsid w:val="00202F49"/>
    <w:rsid w:val="002031F9"/>
    <w:rsid w:val="002033AB"/>
    <w:rsid w:val="002034B9"/>
    <w:rsid w:val="002034F8"/>
    <w:rsid w:val="00203649"/>
    <w:rsid w:val="00203692"/>
    <w:rsid w:val="00203BC3"/>
    <w:rsid w:val="00203C3D"/>
    <w:rsid w:val="00203CF6"/>
    <w:rsid w:val="00203F1D"/>
    <w:rsid w:val="00203F97"/>
    <w:rsid w:val="002041F6"/>
    <w:rsid w:val="0020440B"/>
    <w:rsid w:val="002045B4"/>
    <w:rsid w:val="002045D6"/>
    <w:rsid w:val="00204650"/>
    <w:rsid w:val="00204669"/>
    <w:rsid w:val="002048E6"/>
    <w:rsid w:val="002049A0"/>
    <w:rsid w:val="00204A0C"/>
    <w:rsid w:val="00204AE7"/>
    <w:rsid w:val="00204BA4"/>
    <w:rsid w:val="00204DCD"/>
    <w:rsid w:val="00204FB6"/>
    <w:rsid w:val="00205101"/>
    <w:rsid w:val="00205157"/>
    <w:rsid w:val="00205481"/>
    <w:rsid w:val="0020577D"/>
    <w:rsid w:val="00205A1A"/>
    <w:rsid w:val="00205A22"/>
    <w:rsid w:val="00205AB6"/>
    <w:rsid w:val="00205B25"/>
    <w:rsid w:val="00205C1E"/>
    <w:rsid w:val="00205F01"/>
    <w:rsid w:val="002062C8"/>
    <w:rsid w:val="002062D0"/>
    <w:rsid w:val="002064CB"/>
    <w:rsid w:val="0020652F"/>
    <w:rsid w:val="00206570"/>
    <w:rsid w:val="002066F8"/>
    <w:rsid w:val="00206918"/>
    <w:rsid w:val="002069EA"/>
    <w:rsid w:val="00206A51"/>
    <w:rsid w:val="00206B25"/>
    <w:rsid w:val="00206C5D"/>
    <w:rsid w:val="00206E3C"/>
    <w:rsid w:val="00206E4A"/>
    <w:rsid w:val="0020705F"/>
    <w:rsid w:val="0020710D"/>
    <w:rsid w:val="002071EF"/>
    <w:rsid w:val="0020733A"/>
    <w:rsid w:val="0020750F"/>
    <w:rsid w:val="00207590"/>
    <w:rsid w:val="00207941"/>
    <w:rsid w:val="00207C4D"/>
    <w:rsid w:val="00207C60"/>
    <w:rsid w:val="00207CED"/>
    <w:rsid w:val="00207D5B"/>
    <w:rsid w:val="002100F6"/>
    <w:rsid w:val="002101BE"/>
    <w:rsid w:val="002101F5"/>
    <w:rsid w:val="002103A2"/>
    <w:rsid w:val="00210806"/>
    <w:rsid w:val="00210A25"/>
    <w:rsid w:val="00210B49"/>
    <w:rsid w:val="00210DE0"/>
    <w:rsid w:val="00210DEF"/>
    <w:rsid w:val="00210F2F"/>
    <w:rsid w:val="00210FEA"/>
    <w:rsid w:val="00211003"/>
    <w:rsid w:val="0021137E"/>
    <w:rsid w:val="0021153E"/>
    <w:rsid w:val="00211F16"/>
    <w:rsid w:val="002121CC"/>
    <w:rsid w:val="002124E6"/>
    <w:rsid w:val="002124F8"/>
    <w:rsid w:val="00212656"/>
    <w:rsid w:val="00212A98"/>
    <w:rsid w:val="00212D3D"/>
    <w:rsid w:val="00212DE1"/>
    <w:rsid w:val="00212EEA"/>
    <w:rsid w:val="00212F1B"/>
    <w:rsid w:val="00213068"/>
    <w:rsid w:val="0021317F"/>
    <w:rsid w:val="00213253"/>
    <w:rsid w:val="002132C6"/>
    <w:rsid w:val="002134C7"/>
    <w:rsid w:val="00213533"/>
    <w:rsid w:val="002135C9"/>
    <w:rsid w:val="0021362B"/>
    <w:rsid w:val="002136E6"/>
    <w:rsid w:val="00213832"/>
    <w:rsid w:val="002138ED"/>
    <w:rsid w:val="002139BA"/>
    <w:rsid w:val="00213B56"/>
    <w:rsid w:val="00213DF6"/>
    <w:rsid w:val="00214113"/>
    <w:rsid w:val="002142F5"/>
    <w:rsid w:val="00214697"/>
    <w:rsid w:val="002146ED"/>
    <w:rsid w:val="002149EA"/>
    <w:rsid w:val="00214BE4"/>
    <w:rsid w:val="00214D2D"/>
    <w:rsid w:val="0021507E"/>
    <w:rsid w:val="00215092"/>
    <w:rsid w:val="002152D4"/>
    <w:rsid w:val="00215377"/>
    <w:rsid w:val="00215642"/>
    <w:rsid w:val="00215AB8"/>
    <w:rsid w:val="00215B5B"/>
    <w:rsid w:val="00215BA5"/>
    <w:rsid w:val="00215C8E"/>
    <w:rsid w:val="00215D0E"/>
    <w:rsid w:val="00215D51"/>
    <w:rsid w:val="00215DA9"/>
    <w:rsid w:val="0021603D"/>
    <w:rsid w:val="002160F3"/>
    <w:rsid w:val="002161B3"/>
    <w:rsid w:val="002163BA"/>
    <w:rsid w:val="002164F6"/>
    <w:rsid w:val="002165CE"/>
    <w:rsid w:val="00216792"/>
    <w:rsid w:val="002167DB"/>
    <w:rsid w:val="00216CA3"/>
    <w:rsid w:val="00216D65"/>
    <w:rsid w:val="0021712B"/>
    <w:rsid w:val="002173D5"/>
    <w:rsid w:val="00217752"/>
    <w:rsid w:val="0021783A"/>
    <w:rsid w:val="00217B2A"/>
    <w:rsid w:val="00217B42"/>
    <w:rsid w:val="00217C0E"/>
    <w:rsid w:val="00217D11"/>
    <w:rsid w:val="00217E5A"/>
    <w:rsid w:val="00217EE2"/>
    <w:rsid w:val="002209F3"/>
    <w:rsid w:val="00220D61"/>
    <w:rsid w:val="00220E92"/>
    <w:rsid w:val="00220F6B"/>
    <w:rsid w:val="0022109B"/>
    <w:rsid w:val="002210CE"/>
    <w:rsid w:val="0022127C"/>
    <w:rsid w:val="002213B4"/>
    <w:rsid w:val="00221403"/>
    <w:rsid w:val="002215A9"/>
    <w:rsid w:val="00221655"/>
    <w:rsid w:val="002216C7"/>
    <w:rsid w:val="00221976"/>
    <w:rsid w:val="00221E58"/>
    <w:rsid w:val="00221E7F"/>
    <w:rsid w:val="00222027"/>
    <w:rsid w:val="002220AB"/>
    <w:rsid w:val="002220B0"/>
    <w:rsid w:val="00222209"/>
    <w:rsid w:val="00222299"/>
    <w:rsid w:val="002222C9"/>
    <w:rsid w:val="00222517"/>
    <w:rsid w:val="0022253A"/>
    <w:rsid w:val="00222B95"/>
    <w:rsid w:val="00222C4B"/>
    <w:rsid w:val="00222D06"/>
    <w:rsid w:val="002231AE"/>
    <w:rsid w:val="0022342C"/>
    <w:rsid w:val="00223536"/>
    <w:rsid w:val="002236D8"/>
    <w:rsid w:val="00223786"/>
    <w:rsid w:val="00223A0D"/>
    <w:rsid w:val="00223D5D"/>
    <w:rsid w:val="00223DB9"/>
    <w:rsid w:val="00223F02"/>
    <w:rsid w:val="0022422A"/>
    <w:rsid w:val="00224263"/>
    <w:rsid w:val="0022433A"/>
    <w:rsid w:val="0022449C"/>
    <w:rsid w:val="00224517"/>
    <w:rsid w:val="00224612"/>
    <w:rsid w:val="002246EC"/>
    <w:rsid w:val="00224D43"/>
    <w:rsid w:val="00224D8B"/>
    <w:rsid w:val="00225189"/>
    <w:rsid w:val="002254C6"/>
    <w:rsid w:val="0022563B"/>
    <w:rsid w:val="002257E8"/>
    <w:rsid w:val="002259A1"/>
    <w:rsid w:val="002259F0"/>
    <w:rsid w:val="00225E4C"/>
    <w:rsid w:val="00225F51"/>
    <w:rsid w:val="00225FE9"/>
    <w:rsid w:val="002262B9"/>
    <w:rsid w:val="00226323"/>
    <w:rsid w:val="002265FF"/>
    <w:rsid w:val="00226605"/>
    <w:rsid w:val="002269DA"/>
    <w:rsid w:val="00226B77"/>
    <w:rsid w:val="00226C90"/>
    <w:rsid w:val="00226CA0"/>
    <w:rsid w:val="00226E41"/>
    <w:rsid w:val="002276FA"/>
    <w:rsid w:val="0022785C"/>
    <w:rsid w:val="002278F2"/>
    <w:rsid w:val="00227A0A"/>
    <w:rsid w:val="00227C19"/>
    <w:rsid w:val="00227EAB"/>
    <w:rsid w:val="00227FD8"/>
    <w:rsid w:val="002301B6"/>
    <w:rsid w:val="0023057A"/>
    <w:rsid w:val="002305A0"/>
    <w:rsid w:val="002305A1"/>
    <w:rsid w:val="002305CF"/>
    <w:rsid w:val="002305D0"/>
    <w:rsid w:val="00230643"/>
    <w:rsid w:val="0023089C"/>
    <w:rsid w:val="002308A5"/>
    <w:rsid w:val="002309A1"/>
    <w:rsid w:val="00230B26"/>
    <w:rsid w:val="00230DFD"/>
    <w:rsid w:val="00230F98"/>
    <w:rsid w:val="00231205"/>
    <w:rsid w:val="00231398"/>
    <w:rsid w:val="002313F7"/>
    <w:rsid w:val="00231588"/>
    <w:rsid w:val="002315D9"/>
    <w:rsid w:val="0023162A"/>
    <w:rsid w:val="0023167A"/>
    <w:rsid w:val="00231A49"/>
    <w:rsid w:val="00231CD3"/>
    <w:rsid w:val="00231DF4"/>
    <w:rsid w:val="00231EB8"/>
    <w:rsid w:val="00231ED6"/>
    <w:rsid w:val="00232234"/>
    <w:rsid w:val="00232641"/>
    <w:rsid w:val="0023299A"/>
    <w:rsid w:val="00232BAF"/>
    <w:rsid w:val="00232C95"/>
    <w:rsid w:val="00232E95"/>
    <w:rsid w:val="002333E3"/>
    <w:rsid w:val="00233548"/>
    <w:rsid w:val="00233ABC"/>
    <w:rsid w:val="0023404F"/>
    <w:rsid w:val="0023419A"/>
    <w:rsid w:val="002341FF"/>
    <w:rsid w:val="002342C9"/>
    <w:rsid w:val="002343D5"/>
    <w:rsid w:val="002344FF"/>
    <w:rsid w:val="002346E3"/>
    <w:rsid w:val="0023478B"/>
    <w:rsid w:val="00234921"/>
    <w:rsid w:val="00234C49"/>
    <w:rsid w:val="00234E1E"/>
    <w:rsid w:val="00234E3F"/>
    <w:rsid w:val="002351E4"/>
    <w:rsid w:val="002352DD"/>
    <w:rsid w:val="002352F7"/>
    <w:rsid w:val="0023537C"/>
    <w:rsid w:val="002353C2"/>
    <w:rsid w:val="0023560A"/>
    <w:rsid w:val="002356FA"/>
    <w:rsid w:val="00235702"/>
    <w:rsid w:val="002357F2"/>
    <w:rsid w:val="00235AD7"/>
    <w:rsid w:val="00235B3C"/>
    <w:rsid w:val="00235E12"/>
    <w:rsid w:val="00236359"/>
    <w:rsid w:val="00236424"/>
    <w:rsid w:val="002367C6"/>
    <w:rsid w:val="00236817"/>
    <w:rsid w:val="00236B5B"/>
    <w:rsid w:val="00236F4F"/>
    <w:rsid w:val="002373F8"/>
    <w:rsid w:val="00237548"/>
    <w:rsid w:val="00237735"/>
    <w:rsid w:val="00237B31"/>
    <w:rsid w:val="00237BB0"/>
    <w:rsid w:val="00237D51"/>
    <w:rsid w:val="0024009F"/>
    <w:rsid w:val="002401AA"/>
    <w:rsid w:val="002405DF"/>
    <w:rsid w:val="00240836"/>
    <w:rsid w:val="00240897"/>
    <w:rsid w:val="00240C6E"/>
    <w:rsid w:val="00240E4F"/>
    <w:rsid w:val="002410EA"/>
    <w:rsid w:val="00241272"/>
    <w:rsid w:val="002414C9"/>
    <w:rsid w:val="002415AF"/>
    <w:rsid w:val="002418B0"/>
    <w:rsid w:val="002418C1"/>
    <w:rsid w:val="00241CEE"/>
    <w:rsid w:val="002422A4"/>
    <w:rsid w:val="002423D2"/>
    <w:rsid w:val="00242587"/>
    <w:rsid w:val="002426C7"/>
    <w:rsid w:val="00242AAD"/>
    <w:rsid w:val="00242B0B"/>
    <w:rsid w:val="00242B1D"/>
    <w:rsid w:val="00242E94"/>
    <w:rsid w:val="00242F6D"/>
    <w:rsid w:val="00243041"/>
    <w:rsid w:val="0024311E"/>
    <w:rsid w:val="00243126"/>
    <w:rsid w:val="002431EA"/>
    <w:rsid w:val="00243265"/>
    <w:rsid w:val="00243522"/>
    <w:rsid w:val="00243565"/>
    <w:rsid w:val="00243723"/>
    <w:rsid w:val="00243948"/>
    <w:rsid w:val="00243DB0"/>
    <w:rsid w:val="00243E02"/>
    <w:rsid w:val="00244284"/>
    <w:rsid w:val="002446BD"/>
    <w:rsid w:val="002447A3"/>
    <w:rsid w:val="002447A5"/>
    <w:rsid w:val="002448F6"/>
    <w:rsid w:val="002449FC"/>
    <w:rsid w:val="00244A20"/>
    <w:rsid w:val="00244B58"/>
    <w:rsid w:val="00244C3A"/>
    <w:rsid w:val="00244D63"/>
    <w:rsid w:val="0024507E"/>
    <w:rsid w:val="00245363"/>
    <w:rsid w:val="00245444"/>
    <w:rsid w:val="00245456"/>
    <w:rsid w:val="00245481"/>
    <w:rsid w:val="00245596"/>
    <w:rsid w:val="002455A6"/>
    <w:rsid w:val="00245840"/>
    <w:rsid w:val="00245CA7"/>
    <w:rsid w:val="00245CE8"/>
    <w:rsid w:val="00245FD2"/>
    <w:rsid w:val="00246246"/>
    <w:rsid w:val="00246539"/>
    <w:rsid w:val="00246694"/>
    <w:rsid w:val="00246D57"/>
    <w:rsid w:val="00246D5F"/>
    <w:rsid w:val="00246ECC"/>
    <w:rsid w:val="0024711D"/>
    <w:rsid w:val="0024729A"/>
    <w:rsid w:val="002472FD"/>
    <w:rsid w:val="00247643"/>
    <w:rsid w:val="00247672"/>
    <w:rsid w:val="00247679"/>
    <w:rsid w:val="0024773E"/>
    <w:rsid w:val="002477D9"/>
    <w:rsid w:val="002479A3"/>
    <w:rsid w:val="00247AF4"/>
    <w:rsid w:val="002501C9"/>
    <w:rsid w:val="002503AA"/>
    <w:rsid w:val="00250696"/>
    <w:rsid w:val="0025069E"/>
    <w:rsid w:val="00250705"/>
    <w:rsid w:val="00250852"/>
    <w:rsid w:val="00250ABC"/>
    <w:rsid w:val="00250BCF"/>
    <w:rsid w:val="00250CAE"/>
    <w:rsid w:val="00250E03"/>
    <w:rsid w:val="00251074"/>
    <w:rsid w:val="00251202"/>
    <w:rsid w:val="002512AC"/>
    <w:rsid w:val="0025140E"/>
    <w:rsid w:val="0025166C"/>
    <w:rsid w:val="00251754"/>
    <w:rsid w:val="00251764"/>
    <w:rsid w:val="0025187F"/>
    <w:rsid w:val="0025190E"/>
    <w:rsid w:val="002519CF"/>
    <w:rsid w:val="00251A43"/>
    <w:rsid w:val="00251D15"/>
    <w:rsid w:val="00251D2E"/>
    <w:rsid w:val="0025213C"/>
    <w:rsid w:val="002522AF"/>
    <w:rsid w:val="00252398"/>
    <w:rsid w:val="00252428"/>
    <w:rsid w:val="002525B6"/>
    <w:rsid w:val="0025281C"/>
    <w:rsid w:val="002532AB"/>
    <w:rsid w:val="00253329"/>
    <w:rsid w:val="0025349C"/>
    <w:rsid w:val="002536A6"/>
    <w:rsid w:val="00253A71"/>
    <w:rsid w:val="00253AFA"/>
    <w:rsid w:val="00253C8D"/>
    <w:rsid w:val="00253D44"/>
    <w:rsid w:val="00253E51"/>
    <w:rsid w:val="00254017"/>
    <w:rsid w:val="00254134"/>
    <w:rsid w:val="00254144"/>
    <w:rsid w:val="002542D7"/>
    <w:rsid w:val="002542DF"/>
    <w:rsid w:val="00254742"/>
    <w:rsid w:val="00254796"/>
    <w:rsid w:val="002549FC"/>
    <w:rsid w:val="00254A43"/>
    <w:rsid w:val="00254CD6"/>
    <w:rsid w:val="00255294"/>
    <w:rsid w:val="002554D7"/>
    <w:rsid w:val="00255668"/>
    <w:rsid w:val="002557E1"/>
    <w:rsid w:val="00255836"/>
    <w:rsid w:val="002559CA"/>
    <w:rsid w:val="00255F3C"/>
    <w:rsid w:val="00255F3F"/>
    <w:rsid w:val="00256182"/>
    <w:rsid w:val="002562AB"/>
    <w:rsid w:val="002564F4"/>
    <w:rsid w:val="002566B8"/>
    <w:rsid w:val="00256709"/>
    <w:rsid w:val="00256747"/>
    <w:rsid w:val="00256748"/>
    <w:rsid w:val="002567A4"/>
    <w:rsid w:val="00256D8D"/>
    <w:rsid w:val="00256E2A"/>
    <w:rsid w:val="00256F74"/>
    <w:rsid w:val="00256FE7"/>
    <w:rsid w:val="002571A3"/>
    <w:rsid w:val="002577DE"/>
    <w:rsid w:val="00257933"/>
    <w:rsid w:val="00257C8C"/>
    <w:rsid w:val="002600CD"/>
    <w:rsid w:val="00260271"/>
    <w:rsid w:val="002602E5"/>
    <w:rsid w:val="002602ED"/>
    <w:rsid w:val="0026033A"/>
    <w:rsid w:val="0026060E"/>
    <w:rsid w:val="0026072D"/>
    <w:rsid w:val="00260A56"/>
    <w:rsid w:val="00260A84"/>
    <w:rsid w:val="00260A8F"/>
    <w:rsid w:val="00260B6E"/>
    <w:rsid w:val="00260EA2"/>
    <w:rsid w:val="00260EAB"/>
    <w:rsid w:val="00260F5F"/>
    <w:rsid w:val="00260F78"/>
    <w:rsid w:val="0026114D"/>
    <w:rsid w:val="00261167"/>
    <w:rsid w:val="00261446"/>
    <w:rsid w:val="002615C1"/>
    <w:rsid w:val="0026199C"/>
    <w:rsid w:val="00261F0C"/>
    <w:rsid w:val="0026206B"/>
    <w:rsid w:val="00262133"/>
    <w:rsid w:val="00262162"/>
    <w:rsid w:val="00262274"/>
    <w:rsid w:val="002622A0"/>
    <w:rsid w:val="002622CD"/>
    <w:rsid w:val="00262311"/>
    <w:rsid w:val="00262451"/>
    <w:rsid w:val="00262644"/>
    <w:rsid w:val="00262682"/>
    <w:rsid w:val="00262814"/>
    <w:rsid w:val="00262A62"/>
    <w:rsid w:val="00262BDF"/>
    <w:rsid w:val="00262BEF"/>
    <w:rsid w:val="00262DC0"/>
    <w:rsid w:val="00262E17"/>
    <w:rsid w:val="00263061"/>
    <w:rsid w:val="00263209"/>
    <w:rsid w:val="0026327D"/>
    <w:rsid w:val="0026344C"/>
    <w:rsid w:val="002638D5"/>
    <w:rsid w:val="00263E1E"/>
    <w:rsid w:val="00263ECF"/>
    <w:rsid w:val="00263F70"/>
    <w:rsid w:val="0026402D"/>
    <w:rsid w:val="00264086"/>
    <w:rsid w:val="00264126"/>
    <w:rsid w:val="0026427E"/>
    <w:rsid w:val="00264344"/>
    <w:rsid w:val="00264468"/>
    <w:rsid w:val="0026449A"/>
    <w:rsid w:val="002644A2"/>
    <w:rsid w:val="002645A6"/>
    <w:rsid w:val="00264972"/>
    <w:rsid w:val="00264ABB"/>
    <w:rsid w:val="00264B50"/>
    <w:rsid w:val="00264C35"/>
    <w:rsid w:val="00265214"/>
    <w:rsid w:val="002653EB"/>
    <w:rsid w:val="0026586D"/>
    <w:rsid w:val="002658FD"/>
    <w:rsid w:val="00265BE6"/>
    <w:rsid w:val="00265D47"/>
    <w:rsid w:val="00266133"/>
    <w:rsid w:val="0026639E"/>
    <w:rsid w:val="002664AD"/>
    <w:rsid w:val="00266867"/>
    <w:rsid w:val="00266974"/>
    <w:rsid w:val="00266A9D"/>
    <w:rsid w:val="00266D2A"/>
    <w:rsid w:val="00266E8A"/>
    <w:rsid w:val="00266EEF"/>
    <w:rsid w:val="00266F3A"/>
    <w:rsid w:val="0026725D"/>
    <w:rsid w:val="002672B1"/>
    <w:rsid w:val="002674D6"/>
    <w:rsid w:val="00267637"/>
    <w:rsid w:val="00267819"/>
    <w:rsid w:val="00267A93"/>
    <w:rsid w:val="00267DA8"/>
    <w:rsid w:val="00267F97"/>
    <w:rsid w:val="00267FAD"/>
    <w:rsid w:val="00267FFD"/>
    <w:rsid w:val="0027036B"/>
    <w:rsid w:val="002703E4"/>
    <w:rsid w:val="002704F5"/>
    <w:rsid w:val="002704F6"/>
    <w:rsid w:val="0027075D"/>
    <w:rsid w:val="00270808"/>
    <w:rsid w:val="00270969"/>
    <w:rsid w:val="00270A52"/>
    <w:rsid w:val="00270F00"/>
    <w:rsid w:val="00270F97"/>
    <w:rsid w:val="00270FD2"/>
    <w:rsid w:val="0027118F"/>
    <w:rsid w:val="00271234"/>
    <w:rsid w:val="0027159C"/>
    <w:rsid w:val="002715BC"/>
    <w:rsid w:val="00271695"/>
    <w:rsid w:val="002716B1"/>
    <w:rsid w:val="002716B2"/>
    <w:rsid w:val="00271797"/>
    <w:rsid w:val="002719D3"/>
    <w:rsid w:val="00271AA8"/>
    <w:rsid w:val="00271D95"/>
    <w:rsid w:val="00272171"/>
    <w:rsid w:val="002723B9"/>
    <w:rsid w:val="002724D2"/>
    <w:rsid w:val="00272AA1"/>
    <w:rsid w:val="00272AB4"/>
    <w:rsid w:val="00272B55"/>
    <w:rsid w:val="00272C6F"/>
    <w:rsid w:val="00272C80"/>
    <w:rsid w:val="00272CD3"/>
    <w:rsid w:val="00272E02"/>
    <w:rsid w:val="00272E14"/>
    <w:rsid w:val="00273425"/>
    <w:rsid w:val="0027350C"/>
    <w:rsid w:val="00273756"/>
    <w:rsid w:val="00273C0A"/>
    <w:rsid w:val="00273D78"/>
    <w:rsid w:val="00273FD9"/>
    <w:rsid w:val="00274483"/>
    <w:rsid w:val="002745E7"/>
    <w:rsid w:val="00274713"/>
    <w:rsid w:val="0027484F"/>
    <w:rsid w:val="00274930"/>
    <w:rsid w:val="00274A1E"/>
    <w:rsid w:val="00274CE0"/>
    <w:rsid w:val="00275048"/>
    <w:rsid w:val="0027516D"/>
    <w:rsid w:val="00275204"/>
    <w:rsid w:val="00275357"/>
    <w:rsid w:val="002753D3"/>
    <w:rsid w:val="00275555"/>
    <w:rsid w:val="00275869"/>
    <w:rsid w:val="00275A0A"/>
    <w:rsid w:val="00275BED"/>
    <w:rsid w:val="00275D48"/>
    <w:rsid w:val="00275F91"/>
    <w:rsid w:val="0027605B"/>
    <w:rsid w:val="002760B4"/>
    <w:rsid w:val="00276302"/>
    <w:rsid w:val="00276400"/>
    <w:rsid w:val="0027656A"/>
    <w:rsid w:val="002767FD"/>
    <w:rsid w:val="00276B00"/>
    <w:rsid w:val="00276D80"/>
    <w:rsid w:val="00277312"/>
    <w:rsid w:val="002774CF"/>
    <w:rsid w:val="00277858"/>
    <w:rsid w:val="00277A08"/>
    <w:rsid w:val="00277A58"/>
    <w:rsid w:val="00277AEA"/>
    <w:rsid w:val="00277B20"/>
    <w:rsid w:val="00277B63"/>
    <w:rsid w:val="00277B95"/>
    <w:rsid w:val="00277CB4"/>
    <w:rsid w:val="00277DA6"/>
    <w:rsid w:val="00277F2D"/>
    <w:rsid w:val="0028012F"/>
    <w:rsid w:val="00280367"/>
    <w:rsid w:val="002808CE"/>
    <w:rsid w:val="002809B3"/>
    <w:rsid w:val="00280B13"/>
    <w:rsid w:val="00280B1D"/>
    <w:rsid w:val="00280C55"/>
    <w:rsid w:val="0028117A"/>
    <w:rsid w:val="00281392"/>
    <w:rsid w:val="00281419"/>
    <w:rsid w:val="00281674"/>
    <w:rsid w:val="002817A4"/>
    <w:rsid w:val="00281801"/>
    <w:rsid w:val="00281935"/>
    <w:rsid w:val="00281A61"/>
    <w:rsid w:val="00281A99"/>
    <w:rsid w:val="00281B3F"/>
    <w:rsid w:val="00281B89"/>
    <w:rsid w:val="00281B92"/>
    <w:rsid w:val="00281CC0"/>
    <w:rsid w:val="00281E7B"/>
    <w:rsid w:val="00281F2F"/>
    <w:rsid w:val="00282111"/>
    <w:rsid w:val="0028229E"/>
    <w:rsid w:val="00282BEC"/>
    <w:rsid w:val="00282C4B"/>
    <w:rsid w:val="00282C72"/>
    <w:rsid w:val="00282F47"/>
    <w:rsid w:val="00282FF0"/>
    <w:rsid w:val="00283024"/>
    <w:rsid w:val="0028327D"/>
    <w:rsid w:val="002835D4"/>
    <w:rsid w:val="00283983"/>
    <w:rsid w:val="00283C01"/>
    <w:rsid w:val="00283F4E"/>
    <w:rsid w:val="00284098"/>
    <w:rsid w:val="002840CA"/>
    <w:rsid w:val="0028441C"/>
    <w:rsid w:val="002845FF"/>
    <w:rsid w:val="002849ED"/>
    <w:rsid w:val="00284A46"/>
    <w:rsid w:val="00284B3B"/>
    <w:rsid w:val="00284C15"/>
    <w:rsid w:val="00284DC0"/>
    <w:rsid w:val="00285128"/>
    <w:rsid w:val="0028512F"/>
    <w:rsid w:val="0028516C"/>
    <w:rsid w:val="0028569A"/>
    <w:rsid w:val="0028587D"/>
    <w:rsid w:val="00285B04"/>
    <w:rsid w:val="00285D0B"/>
    <w:rsid w:val="00285D2E"/>
    <w:rsid w:val="00285E94"/>
    <w:rsid w:val="00285EE5"/>
    <w:rsid w:val="00285FF1"/>
    <w:rsid w:val="002861E3"/>
    <w:rsid w:val="0028644E"/>
    <w:rsid w:val="002864CD"/>
    <w:rsid w:val="0028690A"/>
    <w:rsid w:val="00286B47"/>
    <w:rsid w:val="00286BC5"/>
    <w:rsid w:val="00286D02"/>
    <w:rsid w:val="00287010"/>
    <w:rsid w:val="00287463"/>
    <w:rsid w:val="002874A7"/>
    <w:rsid w:val="002875CF"/>
    <w:rsid w:val="002876A1"/>
    <w:rsid w:val="002878E3"/>
    <w:rsid w:val="002879F6"/>
    <w:rsid w:val="00287A91"/>
    <w:rsid w:val="00287C75"/>
    <w:rsid w:val="00287D05"/>
    <w:rsid w:val="00287EDC"/>
    <w:rsid w:val="00287F48"/>
    <w:rsid w:val="00287F61"/>
    <w:rsid w:val="00287FD6"/>
    <w:rsid w:val="002903AC"/>
    <w:rsid w:val="00290522"/>
    <w:rsid w:val="00290624"/>
    <w:rsid w:val="002907A1"/>
    <w:rsid w:val="002909D6"/>
    <w:rsid w:val="00290D08"/>
    <w:rsid w:val="00290DE1"/>
    <w:rsid w:val="00291160"/>
    <w:rsid w:val="00291289"/>
    <w:rsid w:val="002912CC"/>
    <w:rsid w:val="00291401"/>
    <w:rsid w:val="00291449"/>
    <w:rsid w:val="00291A09"/>
    <w:rsid w:val="00291B20"/>
    <w:rsid w:val="00291B30"/>
    <w:rsid w:val="00291B4B"/>
    <w:rsid w:val="00291C93"/>
    <w:rsid w:val="00291D67"/>
    <w:rsid w:val="00291E11"/>
    <w:rsid w:val="00292180"/>
    <w:rsid w:val="002925A5"/>
    <w:rsid w:val="002929A4"/>
    <w:rsid w:val="00292AAF"/>
    <w:rsid w:val="00293232"/>
    <w:rsid w:val="00293353"/>
    <w:rsid w:val="0029340C"/>
    <w:rsid w:val="0029359F"/>
    <w:rsid w:val="00293743"/>
    <w:rsid w:val="00293962"/>
    <w:rsid w:val="00293A02"/>
    <w:rsid w:val="00293B56"/>
    <w:rsid w:val="00293B77"/>
    <w:rsid w:val="00293B8F"/>
    <w:rsid w:val="00293D52"/>
    <w:rsid w:val="00293E9D"/>
    <w:rsid w:val="00293F0C"/>
    <w:rsid w:val="00294061"/>
    <w:rsid w:val="00294186"/>
    <w:rsid w:val="00294703"/>
    <w:rsid w:val="002947E9"/>
    <w:rsid w:val="0029486E"/>
    <w:rsid w:val="0029495B"/>
    <w:rsid w:val="00294BBC"/>
    <w:rsid w:val="00294D7A"/>
    <w:rsid w:val="00294E66"/>
    <w:rsid w:val="00294FB5"/>
    <w:rsid w:val="002951CB"/>
    <w:rsid w:val="002951D3"/>
    <w:rsid w:val="002954A0"/>
    <w:rsid w:val="00295889"/>
    <w:rsid w:val="00295D5A"/>
    <w:rsid w:val="00295E9B"/>
    <w:rsid w:val="00295FA0"/>
    <w:rsid w:val="00295FDB"/>
    <w:rsid w:val="0029609C"/>
    <w:rsid w:val="00296125"/>
    <w:rsid w:val="0029615C"/>
    <w:rsid w:val="00296263"/>
    <w:rsid w:val="002964F6"/>
    <w:rsid w:val="00296744"/>
    <w:rsid w:val="002967D4"/>
    <w:rsid w:val="0029682C"/>
    <w:rsid w:val="00296E3F"/>
    <w:rsid w:val="00297056"/>
    <w:rsid w:val="002970A6"/>
    <w:rsid w:val="00297219"/>
    <w:rsid w:val="00297468"/>
    <w:rsid w:val="00297797"/>
    <w:rsid w:val="002979DD"/>
    <w:rsid w:val="00297A31"/>
    <w:rsid w:val="00297B8C"/>
    <w:rsid w:val="00297EF4"/>
    <w:rsid w:val="002A0164"/>
    <w:rsid w:val="002A050A"/>
    <w:rsid w:val="002A05BC"/>
    <w:rsid w:val="002A08D3"/>
    <w:rsid w:val="002A08E7"/>
    <w:rsid w:val="002A09BA"/>
    <w:rsid w:val="002A0CEF"/>
    <w:rsid w:val="002A0DF2"/>
    <w:rsid w:val="002A0F8C"/>
    <w:rsid w:val="002A1447"/>
    <w:rsid w:val="002A1468"/>
    <w:rsid w:val="002A1549"/>
    <w:rsid w:val="002A1575"/>
    <w:rsid w:val="002A1B9C"/>
    <w:rsid w:val="002A1F19"/>
    <w:rsid w:val="002A1F79"/>
    <w:rsid w:val="002A21CF"/>
    <w:rsid w:val="002A235C"/>
    <w:rsid w:val="002A24EB"/>
    <w:rsid w:val="002A2567"/>
    <w:rsid w:val="002A2696"/>
    <w:rsid w:val="002A2923"/>
    <w:rsid w:val="002A2A52"/>
    <w:rsid w:val="002A2A9A"/>
    <w:rsid w:val="002A2B6C"/>
    <w:rsid w:val="002A2B99"/>
    <w:rsid w:val="002A2C12"/>
    <w:rsid w:val="002A2E60"/>
    <w:rsid w:val="002A2F65"/>
    <w:rsid w:val="002A2F9D"/>
    <w:rsid w:val="002A30D8"/>
    <w:rsid w:val="002A3100"/>
    <w:rsid w:val="002A31A7"/>
    <w:rsid w:val="002A3379"/>
    <w:rsid w:val="002A351B"/>
    <w:rsid w:val="002A3684"/>
    <w:rsid w:val="002A378E"/>
    <w:rsid w:val="002A3C4B"/>
    <w:rsid w:val="002A3C84"/>
    <w:rsid w:val="002A3CC5"/>
    <w:rsid w:val="002A3EE6"/>
    <w:rsid w:val="002A44F7"/>
    <w:rsid w:val="002A456C"/>
    <w:rsid w:val="002A489A"/>
    <w:rsid w:val="002A4BB8"/>
    <w:rsid w:val="002A4E88"/>
    <w:rsid w:val="002A4F26"/>
    <w:rsid w:val="002A4F48"/>
    <w:rsid w:val="002A5231"/>
    <w:rsid w:val="002A5320"/>
    <w:rsid w:val="002A5894"/>
    <w:rsid w:val="002A5A2A"/>
    <w:rsid w:val="002A5A6B"/>
    <w:rsid w:val="002A5AF0"/>
    <w:rsid w:val="002A5BC5"/>
    <w:rsid w:val="002A5C02"/>
    <w:rsid w:val="002A5F0A"/>
    <w:rsid w:val="002A6271"/>
    <w:rsid w:val="002A62AB"/>
    <w:rsid w:val="002A672B"/>
    <w:rsid w:val="002A68E7"/>
    <w:rsid w:val="002A6B57"/>
    <w:rsid w:val="002A6F6F"/>
    <w:rsid w:val="002A7036"/>
    <w:rsid w:val="002A70C6"/>
    <w:rsid w:val="002A724D"/>
    <w:rsid w:val="002A762F"/>
    <w:rsid w:val="002A77E7"/>
    <w:rsid w:val="002A783B"/>
    <w:rsid w:val="002A7B27"/>
    <w:rsid w:val="002A7BD4"/>
    <w:rsid w:val="002B07D0"/>
    <w:rsid w:val="002B0822"/>
    <w:rsid w:val="002B0AAE"/>
    <w:rsid w:val="002B0BC7"/>
    <w:rsid w:val="002B0E4E"/>
    <w:rsid w:val="002B107C"/>
    <w:rsid w:val="002B134F"/>
    <w:rsid w:val="002B1391"/>
    <w:rsid w:val="002B15EE"/>
    <w:rsid w:val="002B166E"/>
    <w:rsid w:val="002B1BB1"/>
    <w:rsid w:val="002B1BB9"/>
    <w:rsid w:val="002B1CF2"/>
    <w:rsid w:val="002B2083"/>
    <w:rsid w:val="002B20E1"/>
    <w:rsid w:val="002B26AC"/>
    <w:rsid w:val="002B26B5"/>
    <w:rsid w:val="002B2906"/>
    <w:rsid w:val="002B2ABF"/>
    <w:rsid w:val="002B2EE2"/>
    <w:rsid w:val="002B30A7"/>
    <w:rsid w:val="002B3281"/>
    <w:rsid w:val="002B365E"/>
    <w:rsid w:val="002B382F"/>
    <w:rsid w:val="002B3AE6"/>
    <w:rsid w:val="002B3B72"/>
    <w:rsid w:val="002B3FB4"/>
    <w:rsid w:val="002B3FC3"/>
    <w:rsid w:val="002B41E3"/>
    <w:rsid w:val="002B4309"/>
    <w:rsid w:val="002B4438"/>
    <w:rsid w:val="002B4A32"/>
    <w:rsid w:val="002B4AAE"/>
    <w:rsid w:val="002B4D8D"/>
    <w:rsid w:val="002B4DEC"/>
    <w:rsid w:val="002B4E3F"/>
    <w:rsid w:val="002B4E86"/>
    <w:rsid w:val="002B4EA1"/>
    <w:rsid w:val="002B5043"/>
    <w:rsid w:val="002B5318"/>
    <w:rsid w:val="002B55D7"/>
    <w:rsid w:val="002B583C"/>
    <w:rsid w:val="002B5851"/>
    <w:rsid w:val="002B5872"/>
    <w:rsid w:val="002B5907"/>
    <w:rsid w:val="002B59F0"/>
    <w:rsid w:val="002B5ADE"/>
    <w:rsid w:val="002B5B9D"/>
    <w:rsid w:val="002B5BE6"/>
    <w:rsid w:val="002B5C31"/>
    <w:rsid w:val="002B5D08"/>
    <w:rsid w:val="002B5E26"/>
    <w:rsid w:val="002B6564"/>
    <w:rsid w:val="002B682A"/>
    <w:rsid w:val="002B6C73"/>
    <w:rsid w:val="002B6E80"/>
    <w:rsid w:val="002B6F6E"/>
    <w:rsid w:val="002B70A2"/>
    <w:rsid w:val="002B71FE"/>
    <w:rsid w:val="002B78C1"/>
    <w:rsid w:val="002B790F"/>
    <w:rsid w:val="002B7991"/>
    <w:rsid w:val="002B7C41"/>
    <w:rsid w:val="002B7CA3"/>
    <w:rsid w:val="002B7CBC"/>
    <w:rsid w:val="002B7D75"/>
    <w:rsid w:val="002C03A8"/>
    <w:rsid w:val="002C068E"/>
    <w:rsid w:val="002C07BD"/>
    <w:rsid w:val="002C0CCD"/>
    <w:rsid w:val="002C0F09"/>
    <w:rsid w:val="002C14AE"/>
    <w:rsid w:val="002C169B"/>
    <w:rsid w:val="002C1A37"/>
    <w:rsid w:val="002C1BCD"/>
    <w:rsid w:val="002C1D6A"/>
    <w:rsid w:val="002C1FA1"/>
    <w:rsid w:val="002C2004"/>
    <w:rsid w:val="002C21C2"/>
    <w:rsid w:val="002C226C"/>
    <w:rsid w:val="002C240B"/>
    <w:rsid w:val="002C3289"/>
    <w:rsid w:val="002C3437"/>
    <w:rsid w:val="002C3DF4"/>
    <w:rsid w:val="002C3E4E"/>
    <w:rsid w:val="002C3FF6"/>
    <w:rsid w:val="002C40DD"/>
    <w:rsid w:val="002C42B2"/>
    <w:rsid w:val="002C4384"/>
    <w:rsid w:val="002C441C"/>
    <w:rsid w:val="002C44EC"/>
    <w:rsid w:val="002C45F4"/>
    <w:rsid w:val="002C485D"/>
    <w:rsid w:val="002C4A9A"/>
    <w:rsid w:val="002C4DE9"/>
    <w:rsid w:val="002C4E0E"/>
    <w:rsid w:val="002C5333"/>
    <w:rsid w:val="002C5545"/>
    <w:rsid w:val="002C5849"/>
    <w:rsid w:val="002C5A7A"/>
    <w:rsid w:val="002C5BB6"/>
    <w:rsid w:val="002C5BF7"/>
    <w:rsid w:val="002C606C"/>
    <w:rsid w:val="002C60C1"/>
    <w:rsid w:val="002C635A"/>
    <w:rsid w:val="002C6367"/>
    <w:rsid w:val="002C687B"/>
    <w:rsid w:val="002C6AB6"/>
    <w:rsid w:val="002C6BA3"/>
    <w:rsid w:val="002C6C11"/>
    <w:rsid w:val="002C6FC8"/>
    <w:rsid w:val="002C7017"/>
    <w:rsid w:val="002C7183"/>
    <w:rsid w:val="002C741F"/>
    <w:rsid w:val="002C7C67"/>
    <w:rsid w:val="002C7F16"/>
    <w:rsid w:val="002D018D"/>
    <w:rsid w:val="002D034D"/>
    <w:rsid w:val="002D0357"/>
    <w:rsid w:val="002D043F"/>
    <w:rsid w:val="002D0582"/>
    <w:rsid w:val="002D0824"/>
    <w:rsid w:val="002D0945"/>
    <w:rsid w:val="002D09C4"/>
    <w:rsid w:val="002D0BBA"/>
    <w:rsid w:val="002D0DFB"/>
    <w:rsid w:val="002D0E18"/>
    <w:rsid w:val="002D0F69"/>
    <w:rsid w:val="002D0FA0"/>
    <w:rsid w:val="002D0FAA"/>
    <w:rsid w:val="002D1328"/>
    <w:rsid w:val="002D1894"/>
    <w:rsid w:val="002D1C14"/>
    <w:rsid w:val="002D1EED"/>
    <w:rsid w:val="002D204F"/>
    <w:rsid w:val="002D223F"/>
    <w:rsid w:val="002D2508"/>
    <w:rsid w:val="002D2586"/>
    <w:rsid w:val="002D25A5"/>
    <w:rsid w:val="002D2640"/>
    <w:rsid w:val="002D26DD"/>
    <w:rsid w:val="002D295E"/>
    <w:rsid w:val="002D2BEC"/>
    <w:rsid w:val="002D2BED"/>
    <w:rsid w:val="002D3133"/>
    <w:rsid w:val="002D32A5"/>
    <w:rsid w:val="002D3578"/>
    <w:rsid w:val="002D3AE2"/>
    <w:rsid w:val="002D3B90"/>
    <w:rsid w:val="002D3D38"/>
    <w:rsid w:val="002D3DEF"/>
    <w:rsid w:val="002D3F5C"/>
    <w:rsid w:val="002D40ED"/>
    <w:rsid w:val="002D41E0"/>
    <w:rsid w:val="002D42F9"/>
    <w:rsid w:val="002D44C2"/>
    <w:rsid w:val="002D4609"/>
    <w:rsid w:val="002D465C"/>
    <w:rsid w:val="002D4672"/>
    <w:rsid w:val="002D47B9"/>
    <w:rsid w:val="002D4A51"/>
    <w:rsid w:val="002D4AFD"/>
    <w:rsid w:val="002D5100"/>
    <w:rsid w:val="002D51AA"/>
    <w:rsid w:val="002D5237"/>
    <w:rsid w:val="002D5310"/>
    <w:rsid w:val="002D53EF"/>
    <w:rsid w:val="002D5687"/>
    <w:rsid w:val="002D58B4"/>
    <w:rsid w:val="002D5B22"/>
    <w:rsid w:val="002D5BA5"/>
    <w:rsid w:val="002D5BC5"/>
    <w:rsid w:val="002D5EDB"/>
    <w:rsid w:val="002D610C"/>
    <w:rsid w:val="002D6176"/>
    <w:rsid w:val="002D627A"/>
    <w:rsid w:val="002D672B"/>
    <w:rsid w:val="002D678D"/>
    <w:rsid w:val="002D6846"/>
    <w:rsid w:val="002D69F7"/>
    <w:rsid w:val="002D6A1D"/>
    <w:rsid w:val="002D6FB1"/>
    <w:rsid w:val="002D729D"/>
    <w:rsid w:val="002D7489"/>
    <w:rsid w:val="002D755A"/>
    <w:rsid w:val="002D772A"/>
    <w:rsid w:val="002D7A87"/>
    <w:rsid w:val="002D7BF2"/>
    <w:rsid w:val="002D7C78"/>
    <w:rsid w:val="002D7E6C"/>
    <w:rsid w:val="002D7FE0"/>
    <w:rsid w:val="002E0145"/>
    <w:rsid w:val="002E03DB"/>
    <w:rsid w:val="002E077C"/>
    <w:rsid w:val="002E092A"/>
    <w:rsid w:val="002E0A6B"/>
    <w:rsid w:val="002E0D25"/>
    <w:rsid w:val="002E0D71"/>
    <w:rsid w:val="002E0D81"/>
    <w:rsid w:val="002E0E9B"/>
    <w:rsid w:val="002E0FD2"/>
    <w:rsid w:val="002E109F"/>
    <w:rsid w:val="002E10A5"/>
    <w:rsid w:val="002E13D9"/>
    <w:rsid w:val="002E13DF"/>
    <w:rsid w:val="002E15CB"/>
    <w:rsid w:val="002E18D2"/>
    <w:rsid w:val="002E1D7D"/>
    <w:rsid w:val="002E1FD3"/>
    <w:rsid w:val="002E2267"/>
    <w:rsid w:val="002E22B7"/>
    <w:rsid w:val="002E2322"/>
    <w:rsid w:val="002E2538"/>
    <w:rsid w:val="002E2F41"/>
    <w:rsid w:val="002E300E"/>
    <w:rsid w:val="002E3279"/>
    <w:rsid w:val="002E32E0"/>
    <w:rsid w:val="002E336E"/>
    <w:rsid w:val="002E3371"/>
    <w:rsid w:val="002E363A"/>
    <w:rsid w:val="002E3ADF"/>
    <w:rsid w:val="002E3AEF"/>
    <w:rsid w:val="002E3D03"/>
    <w:rsid w:val="002E3D60"/>
    <w:rsid w:val="002E3E5B"/>
    <w:rsid w:val="002E3F12"/>
    <w:rsid w:val="002E42EE"/>
    <w:rsid w:val="002E4485"/>
    <w:rsid w:val="002E44FB"/>
    <w:rsid w:val="002E4520"/>
    <w:rsid w:val="002E45F2"/>
    <w:rsid w:val="002E4710"/>
    <w:rsid w:val="002E478A"/>
    <w:rsid w:val="002E4846"/>
    <w:rsid w:val="002E4860"/>
    <w:rsid w:val="002E48FB"/>
    <w:rsid w:val="002E4BAA"/>
    <w:rsid w:val="002E4D31"/>
    <w:rsid w:val="002E511E"/>
    <w:rsid w:val="002E5230"/>
    <w:rsid w:val="002E529C"/>
    <w:rsid w:val="002E53A7"/>
    <w:rsid w:val="002E5419"/>
    <w:rsid w:val="002E578E"/>
    <w:rsid w:val="002E5A4A"/>
    <w:rsid w:val="002E5AC8"/>
    <w:rsid w:val="002E5B4A"/>
    <w:rsid w:val="002E5BE6"/>
    <w:rsid w:val="002E60AC"/>
    <w:rsid w:val="002E60E8"/>
    <w:rsid w:val="002E6170"/>
    <w:rsid w:val="002E61EA"/>
    <w:rsid w:val="002E6226"/>
    <w:rsid w:val="002E64E7"/>
    <w:rsid w:val="002E6524"/>
    <w:rsid w:val="002E6541"/>
    <w:rsid w:val="002E6588"/>
    <w:rsid w:val="002E6705"/>
    <w:rsid w:val="002E677D"/>
    <w:rsid w:val="002E69C5"/>
    <w:rsid w:val="002E6B9D"/>
    <w:rsid w:val="002E7170"/>
    <w:rsid w:val="002E743A"/>
    <w:rsid w:val="002E745C"/>
    <w:rsid w:val="002E7576"/>
    <w:rsid w:val="002E7964"/>
    <w:rsid w:val="002E7BEC"/>
    <w:rsid w:val="002E7D13"/>
    <w:rsid w:val="002E7E2C"/>
    <w:rsid w:val="002E7F0A"/>
    <w:rsid w:val="002F03B0"/>
    <w:rsid w:val="002F061F"/>
    <w:rsid w:val="002F07DD"/>
    <w:rsid w:val="002F0811"/>
    <w:rsid w:val="002F09C6"/>
    <w:rsid w:val="002F0C96"/>
    <w:rsid w:val="002F0F9D"/>
    <w:rsid w:val="002F12BA"/>
    <w:rsid w:val="002F137E"/>
    <w:rsid w:val="002F1B08"/>
    <w:rsid w:val="002F1C46"/>
    <w:rsid w:val="002F1C63"/>
    <w:rsid w:val="002F1CF2"/>
    <w:rsid w:val="002F2156"/>
    <w:rsid w:val="002F21BF"/>
    <w:rsid w:val="002F2393"/>
    <w:rsid w:val="002F24FD"/>
    <w:rsid w:val="002F2691"/>
    <w:rsid w:val="002F2727"/>
    <w:rsid w:val="002F2960"/>
    <w:rsid w:val="002F2B7C"/>
    <w:rsid w:val="002F2BCA"/>
    <w:rsid w:val="002F2D9F"/>
    <w:rsid w:val="002F2F7A"/>
    <w:rsid w:val="002F3008"/>
    <w:rsid w:val="002F3344"/>
    <w:rsid w:val="002F3750"/>
    <w:rsid w:val="002F37C8"/>
    <w:rsid w:val="002F381B"/>
    <w:rsid w:val="002F38EE"/>
    <w:rsid w:val="002F39CA"/>
    <w:rsid w:val="002F3D12"/>
    <w:rsid w:val="002F3E15"/>
    <w:rsid w:val="002F3E4C"/>
    <w:rsid w:val="002F45C8"/>
    <w:rsid w:val="002F4999"/>
    <w:rsid w:val="002F4A49"/>
    <w:rsid w:val="002F4B6F"/>
    <w:rsid w:val="002F4C47"/>
    <w:rsid w:val="002F4DC8"/>
    <w:rsid w:val="002F50D4"/>
    <w:rsid w:val="002F50DA"/>
    <w:rsid w:val="002F5295"/>
    <w:rsid w:val="002F5325"/>
    <w:rsid w:val="002F538F"/>
    <w:rsid w:val="002F542D"/>
    <w:rsid w:val="002F5441"/>
    <w:rsid w:val="002F571B"/>
    <w:rsid w:val="002F5B13"/>
    <w:rsid w:val="002F5E0E"/>
    <w:rsid w:val="002F60DB"/>
    <w:rsid w:val="002F60F4"/>
    <w:rsid w:val="002F63D1"/>
    <w:rsid w:val="002F6719"/>
    <w:rsid w:val="002F6B2A"/>
    <w:rsid w:val="002F715B"/>
    <w:rsid w:val="002F717C"/>
    <w:rsid w:val="002F7396"/>
    <w:rsid w:val="002F74D7"/>
    <w:rsid w:val="002F769C"/>
    <w:rsid w:val="002F78B0"/>
    <w:rsid w:val="002F7985"/>
    <w:rsid w:val="002F7A29"/>
    <w:rsid w:val="002F7C08"/>
    <w:rsid w:val="003002C4"/>
    <w:rsid w:val="0030046C"/>
    <w:rsid w:val="00300475"/>
    <w:rsid w:val="0030054C"/>
    <w:rsid w:val="00300A1E"/>
    <w:rsid w:val="00300AD4"/>
    <w:rsid w:val="00300BE3"/>
    <w:rsid w:val="00301214"/>
    <w:rsid w:val="003013B1"/>
    <w:rsid w:val="0030150D"/>
    <w:rsid w:val="00301553"/>
    <w:rsid w:val="00301636"/>
    <w:rsid w:val="003016D9"/>
    <w:rsid w:val="00301B47"/>
    <w:rsid w:val="00301F07"/>
    <w:rsid w:val="0030226D"/>
    <w:rsid w:val="003022A8"/>
    <w:rsid w:val="00302396"/>
    <w:rsid w:val="003023D4"/>
    <w:rsid w:val="00302492"/>
    <w:rsid w:val="003025A9"/>
    <w:rsid w:val="003027E1"/>
    <w:rsid w:val="00302A91"/>
    <w:rsid w:val="00302B73"/>
    <w:rsid w:val="00302BDA"/>
    <w:rsid w:val="00302E49"/>
    <w:rsid w:val="00303112"/>
    <w:rsid w:val="00303295"/>
    <w:rsid w:val="0030369D"/>
    <w:rsid w:val="0030374B"/>
    <w:rsid w:val="00303A88"/>
    <w:rsid w:val="00303BB9"/>
    <w:rsid w:val="00303C9A"/>
    <w:rsid w:val="00303CEB"/>
    <w:rsid w:val="00304179"/>
    <w:rsid w:val="00304276"/>
    <w:rsid w:val="00304431"/>
    <w:rsid w:val="003044DE"/>
    <w:rsid w:val="00304664"/>
    <w:rsid w:val="00304683"/>
    <w:rsid w:val="003047DF"/>
    <w:rsid w:val="00304865"/>
    <w:rsid w:val="00304872"/>
    <w:rsid w:val="0030487C"/>
    <w:rsid w:val="00304966"/>
    <w:rsid w:val="00304F12"/>
    <w:rsid w:val="00305153"/>
    <w:rsid w:val="003052AD"/>
    <w:rsid w:val="003052B3"/>
    <w:rsid w:val="0030558A"/>
    <w:rsid w:val="00305956"/>
    <w:rsid w:val="0030599A"/>
    <w:rsid w:val="00305A73"/>
    <w:rsid w:val="00305E62"/>
    <w:rsid w:val="00305F6E"/>
    <w:rsid w:val="00305FAB"/>
    <w:rsid w:val="0030604A"/>
    <w:rsid w:val="0030609A"/>
    <w:rsid w:val="003061A5"/>
    <w:rsid w:val="00306418"/>
    <w:rsid w:val="0030688A"/>
    <w:rsid w:val="00306A0E"/>
    <w:rsid w:val="00307082"/>
    <w:rsid w:val="003071D9"/>
    <w:rsid w:val="00307357"/>
    <w:rsid w:val="00307553"/>
    <w:rsid w:val="00307951"/>
    <w:rsid w:val="00307E34"/>
    <w:rsid w:val="00307E55"/>
    <w:rsid w:val="00307F35"/>
    <w:rsid w:val="00307FBB"/>
    <w:rsid w:val="00307FF8"/>
    <w:rsid w:val="0031038F"/>
    <w:rsid w:val="00310943"/>
    <w:rsid w:val="003109ED"/>
    <w:rsid w:val="00310A0B"/>
    <w:rsid w:val="00310BAF"/>
    <w:rsid w:val="00310C6D"/>
    <w:rsid w:val="00310C8A"/>
    <w:rsid w:val="00311176"/>
    <w:rsid w:val="00311456"/>
    <w:rsid w:val="0031162A"/>
    <w:rsid w:val="003119C1"/>
    <w:rsid w:val="00311C11"/>
    <w:rsid w:val="00311D33"/>
    <w:rsid w:val="00311EE3"/>
    <w:rsid w:val="00312449"/>
    <w:rsid w:val="003124A4"/>
    <w:rsid w:val="003125EA"/>
    <w:rsid w:val="0031266C"/>
    <w:rsid w:val="00312804"/>
    <w:rsid w:val="0031280A"/>
    <w:rsid w:val="00312882"/>
    <w:rsid w:val="003128A5"/>
    <w:rsid w:val="003128E8"/>
    <w:rsid w:val="00312921"/>
    <w:rsid w:val="00312E32"/>
    <w:rsid w:val="0031300F"/>
    <w:rsid w:val="00313738"/>
    <w:rsid w:val="00313C11"/>
    <w:rsid w:val="00313CC4"/>
    <w:rsid w:val="00313DB2"/>
    <w:rsid w:val="00314095"/>
    <w:rsid w:val="003140DE"/>
    <w:rsid w:val="00314134"/>
    <w:rsid w:val="00314153"/>
    <w:rsid w:val="003142A5"/>
    <w:rsid w:val="003144C3"/>
    <w:rsid w:val="00314612"/>
    <w:rsid w:val="003146DF"/>
    <w:rsid w:val="00314749"/>
    <w:rsid w:val="00314A3C"/>
    <w:rsid w:val="00314B98"/>
    <w:rsid w:val="00314BF5"/>
    <w:rsid w:val="00314CDA"/>
    <w:rsid w:val="00314CF1"/>
    <w:rsid w:val="00314D41"/>
    <w:rsid w:val="00314E8A"/>
    <w:rsid w:val="00314F72"/>
    <w:rsid w:val="00314F82"/>
    <w:rsid w:val="00314F99"/>
    <w:rsid w:val="00315159"/>
    <w:rsid w:val="00315210"/>
    <w:rsid w:val="003154E6"/>
    <w:rsid w:val="00315539"/>
    <w:rsid w:val="00315590"/>
    <w:rsid w:val="00316152"/>
    <w:rsid w:val="003164DE"/>
    <w:rsid w:val="0031654B"/>
    <w:rsid w:val="003165E4"/>
    <w:rsid w:val="00316625"/>
    <w:rsid w:val="0031665C"/>
    <w:rsid w:val="00316746"/>
    <w:rsid w:val="0031679A"/>
    <w:rsid w:val="003169B2"/>
    <w:rsid w:val="00316AA4"/>
    <w:rsid w:val="00316AEA"/>
    <w:rsid w:val="00316B60"/>
    <w:rsid w:val="00316C21"/>
    <w:rsid w:val="0031702A"/>
    <w:rsid w:val="003172EB"/>
    <w:rsid w:val="00317680"/>
    <w:rsid w:val="00317A70"/>
    <w:rsid w:val="00317D23"/>
    <w:rsid w:val="00317E0F"/>
    <w:rsid w:val="00317E8C"/>
    <w:rsid w:val="00317F53"/>
    <w:rsid w:val="00320219"/>
    <w:rsid w:val="00320238"/>
    <w:rsid w:val="00320834"/>
    <w:rsid w:val="003209F0"/>
    <w:rsid w:val="00320A42"/>
    <w:rsid w:val="00320E36"/>
    <w:rsid w:val="00321135"/>
    <w:rsid w:val="00321B60"/>
    <w:rsid w:val="0032204E"/>
    <w:rsid w:val="0032209B"/>
    <w:rsid w:val="00322149"/>
    <w:rsid w:val="0032225D"/>
    <w:rsid w:val="0032226F"/>
    <w:rsid w:val="00322452"/>
    <w:rsid w:val="00322864"/>
    <w:rsid w:val="00322887"/>
    <w:rsid w:val="00322A5F"/>
    <w:rsid w:val="00322D22"/>
    <w:rsid w:val="00322DF9"/>
    <w:rsid w:val="00322E97"/>
    <w:rsid w:val="00323008"/>
    <w:rsid w:val="00323176"/>
    <w:rsid w:val="003232F4"/>
    <w:rsid w:val="003236BD"/>
    <w:rsid w:val="003238F8"/>
    <w:rsid w:val="0032393F"/>
    <w:rsid w:val="00323C20"/>
    <w:rsid w:val="00323C5F"/>
    <w:rsid w:val="00323EE9"/>
    <w:rsid w:val="0032406F"/>
    <w:rsid w:val="003242EC"/>
    <w:rsid w:val="00324316"/>
    <w:rsid w:val="00324347"/>
    <w:rsid w:val="00324432"/>
    <w:rsid w:val="003249D4"/>
    <w:rsid w:val="0032501F"/>
    <w:rsid w:val="0032515B"/>
    <w:rsid w:val="00325315"/>
    <w:rsid w:val="003257E1"/>
    <w:rsid w:val="00325F69"/>
    <w:rsid w:val="00326386"/>
    <w:rsid w:val="0032647B"/>
    <w:rsid w:val="003264B0"/>
    <w:rsid w:val="0032664E"/>
    <w:rsid w:val="00326C37"/>
    <w:rsid w:val="00326E97"/>
    <w:rsid w:val="0032703D"/>
    <w:rsid w:val="003273C6"/>
    <w:rsid w:val="003274F3"/>
    <w:rsid w:val="003275CF"/>
    <w:rsid w:val="003276D9"/>
    <w:rsid w:val="0032773E"/>
    <w:rsid w:val="0032785E"/>
    <w:rsid w:val="00327CFB"/>
    <w:rsid w:val="00327EB7"/>
    <w:rsid w:val="00327EE2"/>
    <w:rsid w:val="00327FA8"/>
    <w:rsid w:val="00330087"/>
    <w:rsid w:val="003301CE"/>
    <w:rsid w:val="00330209"/>
    <w:rsid w:val="003304D5"/>
    <w:rsid w:val="00330523"/>
    <w:rsid w:val="003305A8"/>
    <w:rsid w:val="003306D3"/>
    <w:rsid w:val="00330829"/>
    <w:rsid w:val="00330BED"/>
    <w:rsid w:val="00330D27"/>
    <w:rsid w:val="00330D9F"/>
    <w:rsid w:val="00331159"/>
    <w:rsid w:val="00331217"/>
    <w:rsid w:val="003315B4"/>
    <w:rsid w:val="00331664"/>
    <w:rsid w:val="00331985"/>
    <w:rsid w:val="00331AB1"/>
    <w:rsid w:val="003322E2"/>
    <w:rsid w:val="003324A5"/>
    <w:rsid w:val="0033263D"/>
    <w:rsid w:val="00332804"/>
    <w:rsid w:val="00332A6E"/>
    <w:rsid w:val="00332C11"/>
    <w:rsid w:val="00332D18"/>
    <w:rsid w:val="00333067"/>
    <w:rsid w:val="003334CE"/>
    <w:rsid w:val="00333551"/>
    <w:rsid w:val="00333A59"/>
    <w:rsid w:val="00333B14"/>
    <w:rsid w:val="00333BDE"/>
    <w:rsid w:val="00333D1A"/>
    <w:rsid w:val="00333D50"/>
    <w:rsid w:val="00333FB1"/>
    <w:rsid w:val="003341E8"/>
    <w:rsid w:val="003341F1"/>
    <w:rsid w:val="0033463B"/>
    <w:rsid w:val="00334878"/>
    <w:rsid w:val="00334A5F"/>
    <w:rsid w:val="00334C36"/>
    <w:rsid w:val="00334C89"/>
    <w:rsid w:val="00334FEC"/>
    <w:rsid w:val="00335157"/>
    <w:rsid w:val="003352DE"/>
    <w:rsid w:val="0033538C"/>
    <w:rsid w:val="003353E9"/>
    <w:rsid w:val="003355B4"/>
    <w:rsid w:val="00335ADE"/>
    <w:rsid w:val="003362A2"/>
    <w:rsid w:val="00336488"/>
    <w:rsid w:val="0033668F"/>
    <w:rsid w:val="00336715"/>
    <w:rsid w:val="00336798"/>
    <w:rsid w:val="003369AD"/>
    <w:rsid w:val="00336A4A"/>
    <w:rsid w:val="00336DE6"/>
    <w:rsid w:val="00336E6A"/>
    <w:rsid w:val="00336F2E"/>
    <w:rsid w:val="0033719C"/>
    <w:rsid w:val="003371BF"/>
    <w:rsid w:val="00337293"/>
    <w:rsid w:val="003373DE"/>
    <w:rsid w:val="003374B5"/>
    <w:rsid w:val="00337631"/>
    <w:rsid w:val="00337663"/>
    <w:rsid w:val="00337759"/>
    <w:rsid w:val="003378C3"/>
    <w:rsid w:val="00337A88"/>
    <w:rsid w:val="00337BDD"/>
    <w:rsid w:val="00337CFC"/>
    <w:rsid w:val="00337F6B"/>
    <w:rsid w:val="00340163"/>
    <w:rsid w:val="0034072D"/>
    <w:rsid w:val="003408C5"/>
    <w:rsid w:val="00341130"/>
    <w:rsid w:val="00341140"/>
    <w:rsid w:val="003412BC"/>
    <w:rsid w:val="00341300"/>
    <w:rsid w:val="00341315"/>
    <w:rsid w:val="00341351"/>
    <w:rsid w:val="00341B5A"/>
    <w:rsid w:val="00341D75"/>
    <w:rsid w:val="00341F88"/>
    <w:rsid w:val="00341FDA"/>
    <w:rsid w:val="003422FD"/>
    <w:rsid w:val="00342332"/>
    <w:rsid w:val="00342677"/>
    <w:rsid w:val="00342CDD"/>
    <w:rsid w:val="00342EB9"/>
    <w:rsid w:val="003432EC"/>
    <w:rsid w:val="00343380"/>
    <w:rsid w:val="003437D2"/>
    <w:rsid w:val="00343829"/>
    <w:rsid w:val="00343C04"/>
    <w:rsid w:val="00343F0E"/>
    <w:rsid w:val="00344173"/>
    <w:rsid w:val="0034440C"/>
    <w:rsid w:val="00344551"/>
    <w:rsid w:val="003447E2"/>
    <w:rsid w:val="00344983"/>
    <w:rsid w:val="00344B7E"/>
    <w:rsid w:val="00344E7A"/>
    <w:rsid w:val="00344E80"/>
    <w:rsid w:val="003451CD"/>
    <w:rsid w:val="00345382"/>
    <w:rsid w:val="00345472"/>
    <w:rsid w:val="00345795"/>
    <w:rsid w:val="00345A70"/>
    <w:rsid w:val="00345A84"/>
    <w:rsid w:val="00345AF6"/>
    <w:rsid w:val="00345D63"/>
    <w:rsid w:val="00346204"/>
    <w:rsid w:val="00346272"/>
    <w:rsid w:val="00346482"/>
    <w:rsid w:val="003464AA"/>
    <w:rsid w:val="003467CB"/>
    <w:rsid w:val="00346817"/>
    <w:rsid w:val="00346820"/>
    <w:rsid w:val="00346B37"/>
    <w:rsid w:val="00346BAF"/>
    <w:rsid w:val="00346E06"/>
    <w:rsid w:val="00346F1E"/>
    <w:rsid w:val="00346F3B"/>
    <w:rsid w:val="00346F44"/>
    <w:rsid w:val="00346F54"/>
    <w:rsid w:val="00346F9C"/>
    <w:rsid w:val="003470BE"/>
    <w:rsid w:val="00347375"/>
    <w:rsid w:val="0034742E"/>
    <w:rsid w:val="00347463"/>
    <w:rsid w:val="00347484"/>
    <w:rsid w:val="00347610"/>
    <w:rsid w:val="00347915"/>
    <w:rsid w:val="00347B8A"/>
    <w:rsid w:val="00347D30"/>
    <w:rsid w:val="00347D48"/>
    <w:rsid w:val="00347F92"/>
    <w:rsid w:val="003501A3"/>
    <w:rsid w:val="0035022C"/>
    <w:rsid w:val="003502DE"/>
    <w:rsid w:val="00350370"/>
    <w:rsid w:val="00350396"/>
    <w:rsid w:val="00350750"/>
    <w:rsid w:val="003507D6"/>
    <w:rsid w:val="00350885"/>
    <w:rsid w:val="00350B57"/>
    <w:rsid w:val="00350B61"/>
    <w:rsid w:val="00350C0A"/>
    <w:rsid w:val="00350C4D"/>
    <w:rsid w:val="00350FA8"/>
    <w:rsid w:val="0035121C"/>
    <w:rsid w:val="003512C9"/>
    <w:rsid w:val="003513F2"/>
    <w:rsid w:val="00351536"/>
    <w:rsid w:val="00351566"/>
    <w:rsid w:val="00351981"/>
    <w:rsid w:val="0035199A"/>
    <w:rsid w:val="00351C23"/>
    <w:rsid w:val="00351C99"/>
    <w:rsid w:val="00351D8D"/>
    <w:rsid w:val="0035215B"/>
    <w:rsid w:val="00352229"/>
    <w:rsid w:val="003522D0"/>
    <w:rsid w:val="0035280B"/>
    <w:rsid w:val="003529B3"/>
    <w:rsid w:val="00352B72"/>
    <w:rsid w:val="00352CBF"/>
    <w:rsid w:val="00352D21"/>
    <w:rsid w:val="00352DAD"/>
    <w:rsid w:val="00352FB2"/>
    <w:rsid w:val="0035319D"/>
    <w:rsid w:val="00353356"/>
    <w:rsid w:val="003534FB"/>
    <w:rsid w:val="00353F7B"/>
    <w:rsid w:val="003540CC"/>
    <w:rsid w:val="003542A3"/>
    <w:rsid w:val="00354465"/>
    <w:rsid w:val="003544FA"/>
    <w:rsid w:val="00354563"/>
    <w:rsid w:val="00354693"/>
    <w:rsid w:val="00354930"/>
    <w:rsid w:val="0035495E"/>
    <w:rsid w:val="00354BA0"/>
    <w:rsid w:val="00354F63"/>
    <w:rsid w:val="00355039"/>
    <w:rsid w:val="003550C0"/>
    <w:rsid w:val="00355155"/>
    <w:rsid w:val="00355179"/>
    <w:rsid w:val="003551A7"/>
    <w:rsid w:val="00355248"/>
    <w:rsid w:val="003552D2"/>
    <w:rsid w:val="0035540C"/>
    <w:rsid w:val="003556ED"/>
    <w:rsid w:val="00355A09"/>
    <w:rsid w:val="00355C17"/>
    <w:rsid w:val="00355C95"/>
    <w:rsid w:val="00355E69"/>
    <w:rsid w:val="003561C8"/>
    <w:rsid w:val="003562DC"/>
    <w:rsid w:val="0035635E"/>
    <w:rsid w:val="00356402"/>
    <w:rsid w:val="00356679"/>
    <w:rsid w:val="00356946"/>
    <w:rsid w:val="00356B62"/>
    <w:rsid w:val="00356E47"/>
    <w:rsid w:val="00357055"/>
    <w:rsid w:val="0035705C"/>
    <w:rsid w:val="00357128"/>
    <w:rsid w:val="00357360"/>
    <w:rsid w:val="0035754C"/>
    <w:rsid w:val="0035757D"/>
    <w:rsid w:val="00357722"/>
    <w:rsid w:val="0035774F"/>
    <w:rsid w:val="00357AAD"/>
    <w:rsid w:val="00357B4A"/>
    <w:rsid w:val="00357D45"/>
    <w:rsid w:val="00357F42"/>
    <w:rsid w:val="00360082"/>
    <w:rsid w:val="00360245"/>
    <w:rsid w:val="00360258"/>
    <w:rsid w:val="00360275"/>
    <w:rsid w:val="00360506"/>
    <w:rsid w:val="003605F9"/>
    <w:rsid w:val="00360752"/>
    <w:rsid w:val="00360867"/>
    <w:rsid w:val="00360AD2"/>
    <w:rsid w:val="00360B1F"/>
    <w:rsid w:val="00360B88"/>
    <w:rsid w:val="00360F61"/>
    <w:rsid w:val="003613BA"/>
    <w:rsid w:val="0036166A"/>
    <w:rsid w:val="00361975"/>
    <w:rsid w:val="00361A67"/>
    <w:rsid w:val="00361D37"/>
    <w:rsid w:val="00361F49"/>
    <w:rsid w:val="003620EF"/>
    <w:rsid w:val="00362212"/>
    <w:rsid w:val="0036244A"/>
    <w:rsid w:val="003624D7"/>
    <w:rsid w:val="00362771"/>
    <w:rsid w:val="003627CC"/>
    <w:rsid w:val="00362ABF"/>
    <w:rsid w:val="00362C15"/>
    <w:rsid w:val="00362E91"/>
    <w:rsid w:val="00363428"/>
    <w:rsid w:val="00363472"/>
    <w:rsid w:val="00363513"/>
    <w:rsid w:val="003635C4"/>
    <w:rsid w:val="003639C4"/>
    <w:rsid w:val="00363C00"/>
    <w:rsid w:val="00363DC4"/>
    <w:rsid w:val="00363E20"/>
    <w:rsid w:val="0036400E"/>
    <w:rsid w:val="00364062"/>
    <w:rsid w:val="003640C1"/>
    <w:rsid w:val="003641E6"/>
    <w:rsid w:val="00364258"/>
    <w:rsid w:val="0036463D"/>
    <w:rsid w:val="00364787"/>
    <w:rsid w:val="003649F6"/>
    <w:rsid w:val="003649F9"/>
    <w:rsid w:val="00364A96"/>
    <w:rsid w:val="00364ABD"/>
    <w:rsid w:val="00364C99"/>
    <w:rsid w:val="00364F13"/>
    <w:rsid w:val="00364F44"/>
    <w:rsid w:val="00364F7A"/>
    <w:rsid w:val="003651FA"/>
    <w:rsid w:val="003653E4"/>
    <w:rsid w:val="0036561E"/>
    <w:rsid w:val="0036569F"/>
    <w:rsid w:val="003656F4"/>
    <w:rsid w:val="00365734"/>
    <w:rsid w:val="00365C82"/>
    <w:rsid w:val="00365D45"/>
    <w:rsid w:val="00366142"/>
    <w:rsid w:val="003661B9"/>
    <w:rsid w:val="00366722"/>
    <w:rsid w:val="0036673A"/>
    <w:rsid w:val="0036675B"/>
    <w:rsid w:val="0036694E"/>
    <w:rsid w:val="00366B27"/>
    <w:rsid w:val="00366C61"/>
    <w:rsid w:val="00366C8E"/>
    <w:rsid w:val="00366FE4"/>
    <w:rsid w:val="00367000"/>
    <w:rsid w:val="003670B4"/>
    <w:rsid w:val="00367123"/>
    <w:rsid w:val="00367542"/>
    <w:rsid w:val="00367573"/>
    <w:rsid w:val="003676D0"/>
    <w:rsid w:val="003676D7"/>
    <w:rsid w:val="00367A31"/>
    <w:rsid w:val="00367B4B"/>
    <w:rsid w:val="00367CC3"/>
    <w:rsid w:val="00367DD1"/>
    <w:rsid w:val="00367EC3"/>
    <w:rsid w:val="00367EE0"/>
    <w:rsid w:val="0037036D"/>
    <w:rsid w:val="00370623"/>
    <w:rsid w:val="00370628"/>
    <w:rsid w:val="003706F1"/>
    <w:rsid w:val="00370823"/>
    <w:rsid w:val="00370A4B"/>
    <w:rsid w:val="00370E13"/>
    <w:rsid w:val="00370EC3"/>
    <w:rsid w:val="0037107E"/>
    <w:rsid w:val="0037110A"/>
    <w:rsid w:val="003713A9"/>
    <w:rsid w:val="00371510"/>
    <w:rsid w:val="0037173E"/>
    <w:rsid w:val="00371C06"/>
    <w:rsid w:val="00372294"/>
    <w:rsid w:val="00372301"/>
    <w:rsid w:val="00372566"/>
    <w:rsid w:val="003726F1"/>
    <w:rsid w:val="00372700"/>
    <w:rsid w:val="00372EF0"/>
    <w:rsid w:val="00373082"/>
    <w:rsid w:val="003731E4"/>
    <w:rsid w:val="00373260"/>
    <w:rsid w:val="003732B5"/>
    <w:rsid w:val="003733D2"/>
    <w:rsid w:val="003734D5"/>
    <w:rsid w:val="003738BE"/>
    <w:rsid w:val="00373947"/>
    <w:rsid w:val="00373B8D"/>
    <w:rsid w:val="00373F78"/>
    <w:rsid w:val="0037411B"/>
    <w:rsid w:val="003741D5"/>
    <w:rsid w:val="0037433B"/>
    <w:rsid w:val="003748A3"/>
    <w:rsid w:val="00374A46"/>
    <w:rsid w:val="00374CA3"/>
    <w:rsid w:val="00374D3A"/>
    <w:rsid w:val="0037518F"/>
    <w:rsid w:val="00375468"/>
    <w:rsid w:val="00376005"/>
    <w:rsid w:val="00376033"/>
    <w:rsid w:val="003761A4"/>
    <w:rsid w:val="00376327"/>
    <w:rsid w:val="00376393"/>
    <w:rsid w:val="003764DA"/>
    <w:rsid w:val="00376704"/>
    <w:rsid w:val="00376721"/>
    <w:rsid w:val="00376908"/>
    <w:rsid w:val="00376C69"/>
    <w:rsid w:val="00376CC2"/>
    <w:rsid w:val="00376D5D"/>
    <w:rsid w:val="00376DCF"/>
    <w:rsid w:val="00376DF4"/>
    <w:rsid w:val="00376E5C"/>
    <w:rsid w:val="00377098"/>
    <w:rsid w:val="003770EA"/>
    <w:rsid w:val="003770F7"/>
    <w:rsid w:val="00377207"/>
    <w:rsid w:val="003772BD"/>
    <w:rsid w:val="003772FF"/>
    <w:rsid w:val="003773F3"/>
    <w:rsid w:val="003774C7"/>
    <w:rsid w:val="00377754"/>
    <w:rsid w:val="003777B4"/>
    <w:rsid w:val="003802D8"/>
    <w:rsid w:val="00380383"/>
    <w:rsid w:val="003805A7"/>
    <w:rsid w:val="00380794"/>
    <w:rsid w:val="003808D6"/>
    <w:rsid w:val="00380BA6"/>
    <w:rsid w:val="00380C9B"/>
    <w:rsid w:val="003812EE"/>
    <w:rsid w:val="00381B24"/>
    <w:rsid w:val="00381B59"/>
    <w:rsid w:val="00381D73"/>
    <w:rsid w:val="00382415"/>
    <w:rsid w:val="0038246B"/>
    <w:rsid w:val="00382482"/>
    <w:rsid w:val="0038255B"/>
    <w:rsid w:val="003825B6"/>
    <w:rsid w:val="0038273F"/>
    <w:rsid w:val="00382773"/>
    <w:rsid w:val="00382875"/>
    <w:rsid w:val="00382E09"/>
    <w:rsid w:val="00382F5D"/>
    <w:rsid w:val="00382F93"/>
    <w:rsid w:val="00383252"/>
    <w:rsid w:val="0038336B"/>
    <w:rsid w:val="0038399A"/>
    <w:rsid w:val="00383A2B"/>
    <w:rsid w:val="00383B78"/>
    <w:rsid w:val="00383CBC"/>
    <w:rsid w:val="00383CF4"/>
    <w:rsid w:val="00383F02"/>
    <w:rsid w:val="00383F86"/>
    <w:rsid w:val="00384082"/>
    <w:rsid w:val="0038414B"/>
    <w:rsid w:val="00384473"/>
    <w:rsid w:val="00384C4E"/>
    <w:rsid w:val="00384C65"/>
    <w:rsid w:val="00384C92"/>
    <w:rsid w:val="00384DAA"/>
    <w:rsid w:val="00385011"/>
    <w:rsid w:val="003850F1"/>
    <w:rsid w:val="003851AC"/>
    <w:rsid w:val="00385406"/>
    <w:rsid w:val="00385987"/>
    <w:rsid w:val="00385C04"/>
    <w:rsid w:val="00385F7E"/>
    <w:rsid w:val="0038637A"/>
    <w:rsid w:val="0038647A"/>
    <w:rsid w:val="00386585"/>
    <w:rsid w:val="0038669A"/>
    <w:rsid w:val="003866A4"/>
    <w:rsid w:val="00386737"/>
    <w:rsid w:val="00386CB9"/>
    <w:rsid w:val="00386F0A"/>
    <w:rsid w:val="00386F2D"/>
    <w:rsid w:val="00387189"/>
    <w:rsid w:val="0038718D"/>
    <w:rsid w:val="003871F3"/>
    <w:rsid w:val="00387381"/>
    <w:rsid w:val="0038739E"/>
    <w:rsid w:val="00387633"/>
    <w:rsid w:val="00387642"/>
    <w:rsid w:val="00387774"/>
    <w:rsid w:val="0038779B"/>
    <w:rsid w:val="003878E3"/>
    <w:rsid w:val="0038799B"/>
    <w:rsid w:val="00387AA6"/>
    <w:rsid w:val="00390395"/>
    <w:rsid w:val="003906F8"/>
    <w:rsid w:val="003908AF"/>
    <w:rsid w:val="00390BC6"/>
    <w:rsid w:val="00390BDC"/>
    <w:rsid w:val="003910D5"/>
    <w:rsid w:val="003910E0"/>
    <w:rsid w:val="0039116E"/>
    <w:rsid w:val="0039127B"/>
    <w:rsid w:val="00391582"/>
    <w:rsid w:val="0039167C"/>
    <w:rsid w:val="003916D3"/>
    <w:rsid w:val="003917EA"/>
    <w:rsid w:val="003919D3"/>
    <w:rsid w:val="00391B8A"/>
    <w:rsid w:val="00391FD1"/>
    <w:rsid w:val="00392424"/>
    <w:rsid w:val="0039294C"/>
    <w:rsid w:val="00392C7F"/>
    <w:rsid w:val="00392FAB"/>
    <w:rsid w:val="00392FC5"/>
    <w:rsid w:val="00393330"/>
    <w:rsid w:val="0039350C"/>
    <w:rsid w:val="00393594"/>
    <w:rsid w:val="003937E0"/>
    <w:rsid w:val="003938CB"/>
    <w:rsid w:val="00393C27"/>
    <w:rsid w:val="00393C29"/>
    <w:rsid w:val="00393CB8"/>
    <w:rsid w:val="00393EDF"/>
    <w:rsid w:val="003940BB"/>
    <w:rsid w:val="0039413A"/>
    <w:rsid w:val="003941D8"/>
    <w:rsid w:val="00394332"/>
    <w:rsid w:val="00394536"/>
    <w:rsid w:val="003949B6"/>
    <w:rsid w:val="00394E21"/>
    <w:rsid w:val="00394EAE"/>
    <w:rsid w:val="00395012"/>
    <w:rsid w:val="00395079"/>
    <w:rsid w:val="0039525B"/>
    <w:rsid w:val="003958D3"/>
    <w:rsid w:val="00395A6D"/>
    <w:rsid w:val="00395EF2"/>
    <w:rsid w:val="00395EFF"/>
    <w:rsid w:val="003960E6"/>
    <w:rsid w:val="0039616C"/>
    <w:rsid w:val="003962C7"/>
    <w:rsid w:val="003968F1"/>
    <w:rsid w:val="0039697B"/>
    <w:rsid w:val="00396988"/>
    <w:rsid w:val="003969E1"/>
    <w:rsid w:val="00396A63"/>
    <w:rsid w:val="00396A69"/>
    <w:rsid w:val="00396B19"/>
    <w:rsid w:val="00396B20"/>
    <w:rsid w:val="00396BAF"/>
    <w:rsid w:val="00396C71"/>
    <w:rsid w:val="00396D97"/>
    <w:rsid w:val="00396E23"/>
    <w:rsid w:val="00396FA9"/>
    <w:rsid w:val="00396FE2"/>
    <w:rsid w:val="00397272"/>
    <w:rsid w:val="003972FE"/>
    <w:rsid w:val="00397412"/>
    <w:rsid w:val="003979F0"/>
    <w:rsid w:val="00397B04"/>
    <w:rsid w:val="00397C95"/>
    <w:rsid w:val="00397DCB"/>
    <w:rsid w:val="00397FBB"/>
    <w:rsid w:val="003A01DD"/>
    <w:rsid w:val="003A0214"/>
    <w:rsid w:val="003A02B7"/>
    <w:rsid w:val="003A05B8"/>
    <w:rsid w:val="003A0663"/>
    <w:rsid w:val="003A0785"/>
    <w:rsid w:val="003A07AA"/>
    <w:rsid w:val="003A0844"/>
    <w:rsid w:val="003A0C76"/>
    <w:rsid w:val="003A0FE0"/>
    <w:rsid w:val="003A102C"/>
    <w:rsid w:val="003A1430"/>
    <w:rsid w:val="003A1753"/>
    <w:rsid w:val="003A1804"/>
    <w:rsid w:val="003A18D5"/>
    <w:rsid w:val="003A19B9"/>
    <w:rsid w:val="003A19C5"/>
    <w:rsid w:val="003A2007"/>
    <w:rsid w:val="003A203C"/>
    <w:rsid w:val="003A2048"/>
    <w:rsid w:val="003A2126"/>
    <w:rsid w:val="003A213B"/>
    <w:rsid w:val="003A220C"/>
    <w:rsid w:val="003A239B"/>
    <w:rsid w:val="003A23B4"/>
    <w:rsid w:val="003A23F6"/>
    <w:rsid w:val="003A2AB8"/>
    <w:rsid w:val="003A2B34"/>
    <w:rsid w:val="003A2C71"/>
    <w:rsid w:val="003A30F5"/>
    <w:rsid w:val="003A337A"/>
    <w:rsid w:val="003A35E2"/>
    <w:rsid w:val="003A3619"/>
    <w:rsid w:val="003A3898"/>
    <w:rsid w:val="003A3AB8"/>
    <w:rsid w:val="003A3DCE"/>
    <w:rsid w:val="003A407B"/>
    <w:rsid w:val="003A4310"/>
    <w:rsid w:val="003A49A4"/>
    <w:rsid w:val="003A49AF"/>
    <w:rsid w:val="003A4DAD"/>
    <w:rsid w:val="003A5388"/>
    <w:rsid w:val="003A5BFF"/>
    <w:rsid w:val="003A5C01"/>
    <w:rsid w:val="003A5F4D"/>
    <w:rsid w:val="003A61F0"/>
    <w:rsid w:val="003A6203"/>
    <w:rsid w:val="003A6637"/>
    <w:rsid w:val="003A69E1"/>
    <w:rsid w:val="003A6AA5"/>
    <w:rsid w:val="003A6D0A"/>
    <w:rsid w:val="003A6D51"/>
    <w:rsid w:val="003A6D83"/>
    <w:rsid w:val="003A6E86"/>
    <w:rsid w:val="003A70D9"/>
    <w:rsid w:val="003A7755"/>
    <w:rsid w:val="003A77DB"/>
    <w:rsid w:val="003A7918"/>
    <w:rsid w:val="003A79CB"/>
    <w:rsid w:val="003A7FA1"/>
    <w:rsid w:val="003B00A9"/>
    <w:rsid w:val="003B0144"/>
    <w:rsid w:val="003B01A4"/>
    <w:rsid w:val="003B0209"/>
    <w:rsid w:val="003B040F"/>
    <w:rsid w:val="003B05B4"/>
    <w:rsid w:val="003B0675"/>
    <w:rsid w:val="003B084D"/>
    <w:rsid w:val="003B0B44"/>
    <w:rsid w:val="003B0C68"/>
    <w:rsid w:val="003B0DC8"/>
    <w:rsid w:val="003B0E33"/>
    <w:rsid w:val="003B1285"/>
    <w:rsid w:val="003B1356"/>
    <w:rsid w:val="003B1457"/>
    <w:rsid w:val="003B14E7"/>
    <w:rsid w:val="003B15EC"/>
    <w:rsid w:val="003B1635"/>
    <w:rsid w:val="003B182D"/>
    <w:rsid w:val="003B182E"/>
    <w:rsid w:val="003B1889"/>
    <w:rsid w:val="003B1A54"/>
    <w:rsid w:val="003B2009"/>
    <w:rsid w:val="003B20A1"/>
    <w:rsid w:val="003B2229"/>
    <w:rsid w:val="003B2277"/>
    <w:rsid w:val="003B2315"/>
    <w:rsid w:val="003B2817"/>
    <w:rsid w:val="003B2C3E"/>
    <w:rsid w:val="003B2CDC"/>
    <w:rsid w:val="003B3911"/>
    <w:rsid w:val="003B3959"/>
    <w:rsid w:val="003B3E78"/>
    <w:rsid w:val="003B401B"/>
    <w:rsid w:val="003B40CE"/>
    <w:rsid w:val="003B4289"/>
    <w:rsid w:val="003B48DF"/>
    <w:rsid w:val="003B490B"/>
    <w:rsid w:val="003B4ABA"/>
    <w:rsid w:val="003B4EFB"/>
    <w:rsid w:val="003B4FD6"/>
    <w:rsid w:val="003B5103"/>
    <w:rsid w:val="003B5273"/>
    <w:rsid w:val="003B5638"/>
    <w:rsid w:val="003B5A45"/>
    <w:rsid w:val="003B5B97"/>
    <w:rsid w:val="003B5D79"/>
    <w:rsid w:val="003B5DBE"/>
    <w:rsid w:val="003B5DE2"/>
    <w:rsid w:val="003B5DFA"/>
    <w:rsid w:val="003B6270"/>
    <w:rsid w:val="003B6431"/>
    <w:rsid w:val="003B65F5"/>
    <w:rsid w:val="003B6751"/>
    <w:rsid w:val="003B67E3"/>
    <w:rsid w:val="003B67EF"/>
    <w:rsid w:val="003B69F0"/>
    <w:rsid w:val="003B6A6F"/>
    <w:rsid w:val="003B6A8A"/>
    <w:rsid w:val="003B6AA6"/>
    <w:rsid w:val="003B6C2F"/>
    <w:rsid w:val="003B6E4E"/>
    <w:rsid w:val="003B6ED3"/>
    <w:rsid w:val="003B7250"/>
    <w:rsid w:val="003B7588"/>
    <w:rsid w:val="003B768B"/>
    <w:rsid w:val="003B76A2"/>
    <w:rsid w:val="003B7945"/>
    <w:rsid w:val="003B7C6A"/>
    <w:rsid w:val="003B7CF3"/>
    <w:rsid w:val="003B7E8C"/>
    <w:rsid w:val="003B7ED7"/>
    <w:rsid w:val="003C0179"/>
    <w:rsid w:val="003C01C0"/>
    <w:rsid w:val="003C0689"/>
    <w:rsid w:val="003C085E"/>
    <w:rsid w:val="003C0ADA"/>
    <w:rsid w:val="003C0CC5"/>
    <w:rsid w:val="003C0DBC"/>
    <w:rsid w:val="003C0F0A"/>
    <w:rsid w:val="003C10A6"/>
    <w:rsid w:val="003C136C"/>
    <w:rsid w:val="003C163F"/>
    <w:rsid w:val="003C1821"/>
    <w:rsid w:val="003C1BAF"/>
    <w:rsid w:val="003C1D2A"/>
    <w:rsid w:val="003C20B9"/>
    <w:rsid w:val="003C2107"/>
    <w:rsid w:val="003C21C4"/>
    <w:rsid w:val="003C23CE"/>
    <w:rsid w:val="003C24CB"/>
    <w:rsid w:val="003C2576"/>
    <w:rsid w:val="003C2890"/>
    <w:rsid w:val="003C2F19"/>
    <w:rsid w:val="003C2F3D"/>
    <w:rsid w:val="003C32FD"/>
    <w:rsid w:val="003C3335"/>
    <w:rsid w:val="003C34E2"/>
    <w:rsid w:val="003C35B4"/>
    <w:rsid w:val="003C3699"/>
    <w:rsid w:val="003C36D7"/>
    <w:rsid w:val="003C3870"/>
    <w:rsid w:val="003C38DD"/>
    <w:rsid w:val="003C38F0"/>
    <w:rsid w:val="003C3B48"/>
    <w:rsid w:val="003C3C46"/>
    <w:rsid w:val="003C3D85"/>
    <w:rsid w:val="003C3EB4"/>
    <w:rsid w:val="003C3F48"/>
    <w:rsid w:val="003C40A5"/>
    <w:rsid w:val="003C40AB"/>
    <w:rsid w:val="003C4120"/>
    <w:rsid w:val="003C4237"/>
    <w:rsid w:val="003C4554"/>
    <w:rsid w:val="003C45B2"/>
    <w:rsid w:val="003C4707"/>
    <w:rsid w:val="003C498C"/>
    <w:rsid w:val="003C49EC"/>
    <w:rsid w:val="003C4B07"/>
    <w:rsid w:val="003C4B9B"/>
    <w:rsid w:val="003C4BF8"/>
    <w:rsid w:val="003C4FA3"/>
    <w:rsid w:val="003C511B"/>
    <w:rsid w:val="003C532F"/>
    <w:rsid w:val="003C543A"/>
    <w:rsid w:val="003C5630"/>
    <w:rsid w:val="003C57B5"/>
    <w:rsid w:val="003C599A"/>
    <w:rsid w:val="003C5B1B"/>
    <w:rsid w:val="003C5C17"/>
    <w:rsid w:val="003C5FD6"/>
    <w:rsid w:val="003C61BA"/>
    <w:rsid w:val="003C67FB"/>
    <w:rsid w:val="003C6882"/>
    <w:rsid w:val="003C68BF"/>
    <w:rsid w:val="003C6B65"/>
    <w:rsid w:val="003C6F05"/>
    <w:rsid w:val="003C70E6"/>
    <w:rsid w:val="003C729C"/>
    <w:rsid w:val="003C73FF"/>
    <w:rsid w:val="003C7441"/>
    <w:rsid w:val="003C770D"/>
    <w:rsid w:val="003C775C"/>
    <w:rsid w:val="003C77ED"/>
    <w:rsid w:val="003C77F6"/>
    <w:rsid w:val="003C78CF"/>
    <w:rsid w:val="003C7B57"/>
    <w:rsid w:val="003C7D0F"/>
    <w:rsid w:val="003D0266"/>
    <w:rsid w:val="003D026E"/>
    <w:rsid w:val="003D03A0"/>
    <w:rsid w:val="003D06E9"/>
    <w:rsid w:val="003D0703"/>
    <w:rsid w:val="003D0839"/>
    <w:rsid w:val="003D104A"/>
    <w:rsid w:val="003D114A"/>
    <w:rsid w:val="003D1181"/>
    <w:rsid w:val="003D1317"/>
    <w:rsid w:val="003D16A5"/>
    <w:rsid w:val="003D1939"/>
    <w:rsid w:val="003D1BDB"/>
    <w:rsid w:val="003D1C10"/>
    <w:rsid w:val="003D1CC4"/>
    <w:rsid w:val="003D1F60"/>
    <w:rsid w:val="003D2226"/>
    <w:rsid w:val="003D225A"/>
    <w:rsid w:val="003D2280"/>
    <w:rsid w:val="003D22C3"/>
    <w:rsid w:val="003D242C"/>
    <w:rsid w:val="003D2656"/>
    <w:rsid w:val="003D27FF"/>
    <w:rsid w:val="003D298E"/>
    <w:rsid w:val="003D2997"/>
    <w:rsid w:val="003D2A63"/>
    <w:rsid w:val="003D2AFE"/>
    <w:rsid w:val="003D2CCF"/>
    <w:rsid w:val="003D2D25"/>
    <w:rsid w:val="003D2E46"/>
    <w:rsid w:val="003D2F47"/>
    <w:rsid w:val="003D2F99"/>
    <w:rsid w:val="003D3021"/>
    <w:rsid w:val="003D3119"/>
    <w:rsid w:val="003D3270"/>
    <w:rsid w:val="003D330B"/>
    <w:rsid w:val="003D3591"/>
    <w:rsid w:val="003D35EE"/>
    <w:rsid w:val="003D3670"/>
    <w:rsid w:val="003D3838"/>
    <w:rsid w:val="003D39B3"/>
    <w:rsid w:val="003D3B49"/>
    <w:rsid w:val="003D3B60"/>
    <w:rsid w:val="003D3C25"/>
    <w:rsid w:val="003D3E65"/>
    <w:rsid w:val="003D409C"/>
    <w:rsid w:val="003D41E2"/>
    <w:rsid w:val="003D42C2"/>
    <w:rsid w:val="003D42F6"/>
    <w:rsid w:val="003D44D8"/>
    <w:rsid w:val="003D4687"/>
    <w:rsid w:val="003D4816"/>
    <w:rsid w:val="003D4988"/>
    <w:rsid w:val="003D49D0"/>
    <w:rsid w:val="003D4E6F"/>
    <w:rsid w:val="003D4ECB"/>
    <w:rsid w:val="003D50B4"/>
    <w:rsid w:val="003D580D"/>
    <w:rsid w:val="003D630D"/>
    <w:rsid w:val="003D6445"/>
    <w:rsid w:val="003D660C"/>
    <w:rsid w:val="003D66DE"/>
    <w:rsid w:val="003D67A9"/>
    <w:rsid w:val="003D6865"/>
    <w:rsid w:val="003D6C2E"/>
    <w:rsid w:val="003D6E75"/>
    <w:rsid w:val="003D6E83"/>
    <w:rsid w:val="003D6E86"/>
    <w:rsid w:val="003D70F8"/>
    <w:rsid w:val="003D717B"/>
    <w:rsid w:val="003D776C"/>
    <w:rsid w:val="003D77C4"/>
    <w:rsid w:val="003D782E"/>
    <w:rsid w:val="003D79CC"/>
    <w:rsid w:val="003D7B0C"/>
    <w:rsid w:val="003D7D9D"/>
    <w:rsid w:val="003E0108"/>
    <w:rsid w:val="003E03E0"/>
    <w:rsid w:val="003E06AF"/>
    <w:rsid w:val="003E0882"/>
    <w:rsid w:val="003E0A32"/>
    <w:rsid w:val="003E0C4F"/>
    <w:rsid w:val="003E106A"/>
    <w:rsid w:val="003E1265"/>
    <w:rsid w:val="003E1405"/>
    <w:rsid w:val="003E174B"/>
    <w:rsid w:val="003E1D76"/>
    <w:rsid w:val="003E1F11"/>
    <w:rsid w:val="003E2446"/>
    <w:rsid w:val="003E25AB"/>
    <w:rsid w:val="003E289A"/>
    <w:rsid w:val="003E2942"/>
    <w:rsid w:val="003E29B4"/>
    <w:rsid w:val="003E2E4B"/>
    <w:rsid w:val="003E319D"/>
    <w:rsid w:val="003E334B"/>
    <w:rsid w:val="003E33A0"/>
    <w:rsid w:val="003E3555"/>
    <w:rsid w:val="003E3667"/>
    <w:rsid w:val="003E3691"/>
    <w:rsid w:val="003E38E8"/>
    <w:rsid w:val="003E38EA"/>
    <w:rsid w:val="003E3A03"/>
    <w:rsid w:val="003E3E97"/>
    <w:rsid w:val="003E4151"/>
    <w:rsid w:val="003E418C"/>
    <w:rsid w:val="003E4574"/>
    <w:rsid w:val="003E4764"/>
    <w:rsid w:val="003E4970"/>
    <w:rsid w:val="003E4E11"/>
    <w:rsid w:val="003E4EF6"/>
    <w:rsid w:val="003E50F6"/>
    <w:rsid w:val="003E5300"/>
    <w:rsid w:val="003E56AF"/>
    <w:rsid w:val="003E584A"/>
    <w:rsid w:val="003E5C36"/>
    <w:rsid w:val="003E5D10"/>
    <w:rsid w:val="003E5DA1"/>
    <w:rsid w:val="003E600B"/>
    <w:rsid w:val="003E6077"/>
    <w:rsid w:val="003E690B"/>
    <w:rsid w:val="003E6985"/>
    <w:rsid w:val="003E69EC"/>
    <w:rsid w:val="003E6A08"/>
    <w:rsid w:val="003E6ADE"/>
    <w:rsid w:val="003E6DCC"/>
    <w:rsid w:val="003E6E46"/>
    <w:rsid w:val="003E6EC7"/>
    <w:rsid w:val="003E6ED0"/>
    <w:rsid w:val="003E72E2"/>
    <w:rsid w:val="003E7396"/>
    <w:rsid w:val="003E7422"/>
    <w:rsid w:val="003E7599"/>
    <w:rsid w:val="003E7699"/>
    <w:rsid w:val="003E76B7"/>
    <w:rsid w:val="003E78D1"/>
    <w:rsid w:val="003E7921"/>
    <w:rsid w:val="003E7AB8"/>
    <w:rsid w:val="003E7E69"/>
    <w:rsid w:val="003E7FDD"/>
    <w:rsid w:val="003F003B"/>
    <w:rsid w:val="003F0150"/>
    <w:rsid w:val="003F0350"/>
    <w:rsid w:val="003F046E"/>
    <w:rsid w:val="003F0698"/>
    <w:rsid w:val="003F0C43"/>
    <w:rsid w:val="003F0C5A"/>
    <w:rsid w:val="003F0CB0"/>
    <w:rsid w:val="003F0E95"/>
    <w:rsid w:val="003F1027"/>
    <w:rsid w:val="003F104F"/>
    <w:rsid w:val="003F10F6"/>
    <w:rsid w:val="003F112F"/>
    <w:rsid w:val="003F1399"/>
    <w:rsid w:val="003F1AF3"/>
    <w:rsid w:val="003F1CFA"/>
    <w:rsid w:val="003F1EB1"/>
    <w:rsid w:val="003F2019"/>
    <w:rsid w:val="003F206B"/>
    <w:rsid w:val="003F2279"/>
    <w:rsid w:val="003F22F5"/>
    <w:rsid w:val="003F2346"/>
    <w:rsid w:val="003F25C1"/>
    <w:rsid w:val="003F2784"/>
    <w:rsid w:val="003F2894"/>
    <w:rsid w:val="003F2908"/>
    <w:rsid w:val="003F2A10"/>
    <w:rsid w:val="003F2B89"/>
    <w:rsid w:val="003F2E11"/>
    <w:rsid w:val="003F2F05"/>
    <w:rsid w:val="003F3095"/>
    <w:rsid w:val="003F309D"/>
    <w:rsid w:val="003F3135"/>
    <w:rsid w:val="003F31E5"/>
    <w:rsid w:val="003F3274"/>
    <w:rsid w:val="003F3445"/>
    <w:rsid w:val="003F3568"/>
    <w:rsid w:val="003F36C4"/>
    <w:rsid w:val="003F36CA"/>
    <w:rsid w:val="003F36F0"/>
    <w:rsid w:val="003F375A"/>
    <w:rsid w:val="003F3C1B"/>
    <w:rsid w:val="003F3CC9"/>
    <w:rsid w:val="003F41EC"/>
    <w:rsid w:val="003F426C"/>
    <w:rsid w:val="003F4323"/>
    <w:rsid w:val="003F460F"/>
    <w:rsid w:val="003F48F7"/>
    <w:rsid w:val="003F4CEA"/>
    <w:rsid w:val="003F50DD"/>
    <w:rsid w:val="003F525F"/>
    <w:rsid w:val="003F5320"/>
    <w:rsid w:val="003F538E"/>
    <w:rsid w:val="003F548E"/>
    <w:rsid w:val="003F561A"/>
    <w:rsid w:val="003F5713"/>
    <w:rsid w:val="003F5901"/>
    <w:rsid w:val="003F5AE9"/>
    <w:rsid w:val="003F5ECF"/>
    <w:rsid w:val="003F5F2F"/>
    <w:rsid w:val="003F5FEC"/>
    <w:rsid w:val="003F6051"/>
    <w:rsid w:val="003F61B5"/>
    <w:rsid w:val="003F6689"/>
    <w:rsid w:val="003F66C7"/>
    <w:rsid w:val="003F6766"/>
    <w:rsid w:val="003F6781"/>
    <w:rsid w:val="003F69F4"/>
    <w:rsid w:val="003F6C24"/>
    <w:rsid w:val="003F7079"/>
    <w:rsid w:val="003F70C2"/>
    <w:rsid w:val="003F74C0"/>
    <w:rsid w:val="003F787F"/>
    <w:rsid w:val="003F7BF4"/>
    <w:rsid w:val="003F7BFA"/>
    <w:rsid w:val="003F7C60"/>
    <w:rsid w:val="003F7E00"/>
    <w:rsid w:val="003F7F9E"/>
    <w:rsid w:val="0040001C"/>
    <w:rsid w:val="00400045"/>
    <w:rsid w:val="00400347"/>
    <w:rsid w:val="00400503"/>
    <w:rsid w:val="0040057C"/>
    <w:rsid w:val="0040084A"/>
    <w:rsid w:val="00400915"/>
    <w:rsid w:val="00400976"/>
    <w:rsid w:val="00400DC8"/>
    <w:rsid w:val="004011EA"/>
    <w:rsid w:val="00401308"/>
    <w:rsid w:val="004014E3"/>
    <w:rsid w:val="004014E8"/>
    <w:rsid w:val="004018C9"/>
    <w:rsid w:val="00401B0B"/>
    <w:rsid w:val="00401BCD"/>
    <w:rsid w:val="00401E0D"/>
    <w:rsid w:val="00401EA4"/>
    <w:rsid w:val="00402241"/>
    <w:rsid w:val="0040234E"/>
    <w:rsid w:val="0040257C"/>
    <w:rsid w:val="00402601"/>
    <w:rsid w:val="004026BE"/>
    <w:rsid w:val="00402757"/>
    <w:rsid w:val="004028CB"/>
    <w:rsid w:val="004029FB"/>
    <w:rsid w:val="00402C2C"/>
    <w:rsid w:val="00402C4F"/>
    <w:rsid w:val="00402F61"/>
    <w:rsid w:val="00403827"/>
    <w:rsid w:val="0040399B"/>
    <w:rsid w:val="004039D0"/>
    <w:rsid w:val="00403B04"/>
    <w:rsid w:val="00403DFD"/>
    <w:rsid w:val="00403FCC"/>
    <w:rsid w:val="00404147"/>
    <w:rsid w:val="00404203"/>
    <w:rsid w:val="00404282"/>
    <w:rsid w:val="004042CE"/>
    <w:rsid w:val="004042D6"/>
    <w:rsid w:val="004043FA"/>
    <w:rsid w:val="00404556"/>
    <w:rsid w:val="00404AA3"/>
    <w:rsid w:val="00404CEE"/>
    <w:rsid w:val="00404E68"/>
    <w:rsid w:val="00405200"/>
    <w:rsid w:val="004052F3"/>
    <w:rsid w:val="00405353"/>
    <w:rsid w:val="00405487"/>
    <w:rsid w:val="00405750"/>
    <w:rsid w:val="004057B9"/>
    <w:rsid w:val="00405A7D"/>
    <w:rsid w:val="00405AFE"/>
    <w:rsid w:val="00405B41"/>
    <w:rsid w:val="00405B5D"/>
    <w:rsid w:val="00405B6E"/>
    <w:rsid w:val="00405F56"/>
    <w:rsid w:val="00405FF2"/>
    <w:rsid w:val="0040604A"/>
    <w:rsid w:val="00406068"/>
    <w:rsid w:val="00406449"/>
    <w:rsid w:val="004065D7"/>
    <w:rsid w:val="004066D9"/>
    <w:rsid w:val="004067E1"/>
    <w:rsid w:val="00406A3C"/>
    <w:rsid w:val="00406DB5"/>
    <w:rsid w:val="00406E21"/>
    <w:rsid w:val="004072CC"/>
    <w:rsid w:val="004072EA"/>
    <w:rsid w:val="004074A3"/>
    <w:rsid w:val="00407512"/>
    <w:rsid w:val="004076B7"/>
    <w:rsid w:val="00407708"/>
    <w:rsid w:val="0040795D"/>
    <w:rsid w:val="00407AA7"/>
    <w:rsid w:val="00407AF4"/>
    <w:rsid w:val="00407C3E"/>
    <w:rsid w:val="00407D1C"/>
    <w:rsid w:val="00407EB6"/>
    <w:rsid w:val="00407EE7"/>
    <w:rsid w:val="004101AD"/>
    <w:rsid w:val="004101C8"/>
    <w:rsid w:val="00410252"/>
    <w:rsid w:val="0041027E"/>
    <w:rsid w:val="0041053A"/>
    <w:rsid w:val="0041061B"/>
    <w:rsid w:val="00410648"/>
    <w:rsid w:val="004107F2"/>
    <w:rsid w:val="00410D5C"/>
    <w:rsid w:val="0041160E"/>
    <w:rsid w:val="0041175A"/>
    <w:rsid w:val="00411837"/>
    <w:rsid w:val="004118B7"/>
    <w:rsid w:val="00411A86"/>
    <w:rsid w:val="00411CF1"/>
    <w:rsid w:val="00411D39"/>
    <w:rsid w:val="00411E51"/>
    <w:rsid w:val="00411F34"/>
    <w:rsid w:val="00412172"/>
    <w:rsid w:val="004122E1"/>
    <w:rsid w:val="004122F6"/>
    <w:rsid w:val="004123E7"/>
    <w:rsid w:val="004124A4"/>
    <w:rsid w:val="004124EB"/>
    <w:rsid w:val="00412998"/>
    <w:rsid w:val="00412A69"/>
    <w:rsid w:val="00412A8B"/>
    <w:rsid w:val="00413147"/>
    <w:rsid w:val="00413245"/>
    <w:rsid w:val="00413327"/>
    <w:rsid w:val="0041333B"/>
    <w:rsid w:val="0041343E"/>
    <w:rsid w:val="00413445"/>
    <w:rsid w:val="004135CD"/>
    <w:rsid w:val="004136A7"/>
    <w:rsid w:val="004137D6"/>
    <w:rsid w:val="0041380A"/>
    <w:rsid w:val="004138D2"/>
    <w:rsid w:val="004138FE"/>
    <w:rsid w:val="00413A66"/>
    <w:rsid w:val="00413AD1"/>
    <w:rsid w:val="00413B2E"/>
    <w:rsid w:val="00413E3E"/>
    <w:rsid w:val="004140FF"/>
    <w:rsid w:val="00414337"/>
    <w:rsid w:val="0041445E"/>
    <w:rsid w:val="004147EB"/>
    <w:rsid w:val="00414CA5"/>
    <w:rsid w:val="00415261"/>
    <w:rsid w:val="004153FE"/>
    <w:rsid w:val="004154A3"/>
    <w:rsid w:val="004155DA"/>
    <w:rsid w:val="004155EF"/>
    <w:rsid w:val="0041587C"/>
    <w:rsid w:val="004159FA"/>
    <w:rsid w:val="00415D59"/>
    <w:rsid w:val="00415E41"/>
    <w:rsid w:val="00416249"/>
    <w:rsid w:val="0041633A"/>
    <w:rsid w:val="0041643F"/>
    <w:rsid w:val="004164D7"/>
    <w:rsid w:val="0041653C"/>
    <w:rsid w:val="00416614"/>
    <w:rsid w:val="00416754"/>
    <w:rsid w:val="0041693D"/>
    <w:rsid w:val="00416D11"/>
    <w:rsid w:val="00416E69"/>
    <w:rsid w:val="00416FE4"/>
    <w:rsid w:val="0041703E"/>
    <w:rsid w:val="00417273"/>
    <w:rsid w:val="0041734C"/>
    <w:rsid w:val="004174B1"/>
    <w:rsid w:val="00417A15"/>
    <w:rsid w:val="00417CB3"/>
    <w:rsid w:val="00417E1D"/>
    <w:rsid w:val="00417EB0"/>
    <w:rsid w:val="00417FA1"/>
    <w:rsid w:val="00420186"/>
    <w:rsid w:val="0042023B"/>
    <w:rsid w:val="004202B7"/>
    <w:rsid w:val="004202CC"/>
    <w:rsid w:val="004205D1"/>
    <w:rsid w:val="0042086C"/>
    <w:rsid w:val="0042096A"/>
    <w:rsid w:val="00420AE8"/>
    <w:rsid w:val="00421200"/>
    <w:rsid w:val="004212D4"/>
    <w:rsid w:val="00421349"/>
    <w:rsid w:val="0042159C"/>
    <w:rsid w:val="0042175A"/>
    <w:rsid w:val="0042180A"/>
    <w:rsid w:val="00421DC4"/>
    <w:rsid w:val="00421EC9"/>
    <w:rsid w:val="00421FE4"/>
    <w:rsid w:val="00422350"/>
    <w:rsid w:val="004223DC"/>
    <w:rsid w:val="004226B0"/>
    <w:rsid w:val="004227AE"/>
    <w:rsid w:val="004228B1"/>
    <w:rsid w:val="004229C4"/>
    <w:rsid w:val="00422CCB"/>
    <w:rsid w:val="00422E2C"/>
    <w:rsid w:val="00423444"/>
    <w:rsid w:val="004236CC"/>
    <w:rsid w:val="00423799"/>
    <w:rsid w:val="004237CE"/>
    <w:rsid w:val="00423AEB"/>
    <w:rsid w:val="00423B00"/>
    <w:rsid w:val="00423B8D"/>
    <w:rsid w:val="00424230"/>
    <w:rsid w:val="00424DFB"/>
    <w:rsid w:val="0042530C"/>
    <w:rsid w:val="0042531A"/>
    <w:rsid w:val="00425368"/>
    <w:rsid w:val="00425450"/>
    <w:rsid w:val="00425CE3"/>
    <w:rsid w:val="00425FBF"/>
    <w:rsid w:val="00426621"/>
    <w:rsid w:val="00426DD3"/>
    <w:rsid w:val="00426E69"/>
    <w:rsid w:val="00426FE0"/>
    <w:rsid w:val="00426FEA"/>
    <w:rsid w:val="004270FB"/>
    <w:rsid w:val="00427130"/>
    <w:rsid w:val="004275CC"/>
    <w:rsid w:val="0042762B"/>
    <w:rsid w:val="00427649"/>
    <w:rsid w:val="00427877"/>
    <w:rsid w:val="00427994"/>
    <w:rsid w:val="00427D16"/>
    <w:rsid w:val="00430020"/>
    <w:rsid w:val="0043031F"/>
    <w:rsid w:val="0043041C"/>
    <w:rsid w:val="00430463"/>
    <w:rsid w:val="0043054B"/>
    <w:rsid w:val="004305C7"/>
    <w:rsid w:val="004305E4"/>
    <w:rsid w:val="004309A0"/>
    <w:rsid w:val="00430B47"/>
    <w:rsid w:val="00430B6A"/>
    <w:rsid w:val="00430C6A"/>
    <w:rsid w:val="00430CC9"/>
    <w:rsid w:val="00430CFA"/>
    <w:rsid w:val="00430DD8"/>
    <w:rsid w:val="004311FD"/>
    <w:rsid w:val="0043134F"/>
    <w:rsid w:val="00431804"/>
    <w:rsid w:val="00431857"/>
    <w:rsid w:val="00431B39"/>
    <w:rsid w:val="00431CB9"/>
    <w:rsid w:val="00431CBA"/>
    <w:rsid w:val="00431E60"/>
    <w:rsid w:val="0043222C"/>
    <w:rsid w:val="004322EC"/>
    <w:rsid w:val="0043269A"/>
    <w:rsid w:val="00432CC8"/>
    <w:rsid w:val="00432E73"/>
    <w:rsid w:val="00432E84"/>
    <w:rsid w:val="004330AE"/>
    <w:rsid w:val="004331AD"/>
    <w:rsid w:val="00433228"/>
    <w:rsid w:val="00433549"/>
    <w:rsid w:val="00433739"/>
    <w:rsid w:val="004338D5"/>
    <w:rsid w:val="004342BF"/>
    <w:rsid w:val="004343B9"/>
    <w:rsid w:val="004343D1"/>
    <w:rsid w:val="004344DA"/>
    <w:rsid w:val="00434664"/>
    <w:rsid w:val="004346A1"/>
    <w:rsid w:val="004346D7"/>
    <w:rsid w:val="004349B4"/>
    <w:rsid w:val="00434AC6"/>
    <w:rsid w:val="00434B10"/>
    <w:rsid w:val="00434F1B"/>
    <w:rsid w:val="004351E7"/>
    <w:rsid w:val="0043552E"/>
    <w:rsid w:val="004357BE"/>
    <w:rsid w:val="00435E1B"/>
    <w:rsid w:val="00435EFB"/>
    <w:rsid w:val="00435FB5"/>
    <w:rsid w:val="00436287"/>
    <w:rsid w:val="004362E0"/>
    <w:rsid w:val="00436A5E"/>
    <w:rsid w:val="00436E84"/>
    <w:rsid w:val="00436E8D"/>
    <w:rsid w:val="00436EC6"/>
    <w:rsid w:val="00436F69"/>
    <w:rsid w:val="004374B1"/>
    <w:rsid w:val="0043766D"/>
    <w:rsid w:val="00437688"/>
    <w:rsid w:val="004377B7"/>
    <w:rsid w:val="00437814"/>
    <w:rsid w:val="00437894"/>
    <w:rsid w:val="00437DE0"/>
    <w:rsid w:val="00437E71"/>
    <w:rsid w:val="00437EFA"/>
    <w:rsid w:val="00437F32"/>
    <w:rsid w:val="004404CB"/>
    <w:rsid w:val="004409D3"/>
    <w:rsid w:val="00440E1C"/>
    <w:rsid w:val="00441078"/>
    <w:rsid w:val="00441215"/>
    <w:rsid w:val="0044134C"/>
    <w:rsid w:val="00441B00"/>
    <w:rsid w:val="00441D28"/>
    <w:rsid w:val="00441DF7"/>
    <w:rsid w:val="00441E22"/>
    <w:rsid w:val="00442445"/>
    <w:rsid w:val="004424C1"/>
    <w:rsid w:val="00442529"/>
    <w:rsid w:val="004425E2"/>
    <w:rsid w:val="00442878"/>
    <w:rsid w:val="00442AA8"/>
    <w:rsid w:val="00442AD9"/>
    <w:rsid w:val="00442B01"/>
    <w:rsid w:val="00442C57"/>
    <w:rsid w:val="00442DF0"/>
    <w:rsid w:val="004432FF"/>
    <w:rsid w:val="00443338"/>
    <w:rsid w:val="00443465"/>
    <w:rsid w:val="0044350F"/>
    <w:rsid w:val="00443549"/>
    <w:rsid w:val="00443578"/>
    <w:rsid w:val="0044389C"/>
    <w:rsid w:val="00443906"/>
    <w:rsid w:val="00443A02"/>
    <w:rsid w:val="00443DA3"/>
    <w:rsid w:val="00443EAC"/>
    <w:rsid w:val="00444053"/>
    <w:rsid w:val="00444192"/>
    <w:rsid w:val="004441BF"/>
    <w:rsid w:val="004442F3"/>
    <w:rsid w:val="00444578"/>
    <w:rsid w:val="004445D8"/>
    <w:rsid w:val="00444C11"/>
    <w:rsid w:val="0044500B"/>
    <w:rsid w:val="004454D8"/>
    <w:rsid w:val="00445586"/>
    <w:rsid w:val="00445700"/>
    <w:rsid w:val="00445743"/>
    <w:rsid w:val="0044586C"/>
    <w:rsid w:val="004458F2"/>
    <w:rsid w:val="004459FD"/>
    <w:rsid w:val="004462DE"/>
    <w:rsid w:val="0044639B"/>
    <w:rsid w:val="00446475"/>
    <w:rsid w:val="00446617"/>
    <w:rsid w:val="00446706"/>
    <w:rsid w:val="004469AE"/>
    <w:rsid w:val="00446CA1"/>
    <w:rsid w:val="00446CCF"/>
    <w:rsid w:val="00446E87"/>
    <w:rsid w:val="00446FE4"/>
    <w:rsid w:val="0044711D"/>
    <w:rsid w:val="004471CE"/>
    <w:rsid w:val="004471E6"/>
    <w:rsid w:val="004472EE"/>
    <w:rsid w:val="0044735C"/>
    <w:rsid w:val="00447492"/>
    <w:rsid w:val="004478C8"/>
    <w:rsid w:val="00447A37"/>
    <w:rsid w:val="00447A4C"/>
    <w:rsid w:val="00447C42"/>
    <w:rsid w:val="00447CA7"/>
    <w:rsid w:val="00447E2B"/>
    <w:rsid w:val="0045010A"/>
    <w:rsid w:val="00450139"/>
    <w:rsid w:val="00450322"/>
    <w:rsid w:val="00450333"/>
    <w:rsid w:val="00450350"/>
    <w:rsid w:val="00450433"/>
    <w:rsid w:val="00450588"/>
    <w:rsid w:val="0045093D"/>
    <w:rsid w:val="00450C1C"/>
    <w:rsid w:val="00450CBE"/>
    <w:rsid w:val="00450DAC"/>
    <w:rsid w:val="00450EA2"/>
    <w:rsid w:val="00450EAF"/>
    <w:rsid w:val="00450FAA"/>
    <w:rsid w:val="00450FB2"/>
    <w:rsid w:val="004513CB"/>
    <w:rsid w:val="00451613"/>
    <w:rsid w:val="004517A3"/>
    <w:rsid w:val="00451A6E"/>
    <w:rsid w:val="00451E77"/>
    <w:rsid w:val="004523DA"/>
    <w:rsid w:val="0045248D"/>
    <w:rsid w:val="004525BD"/>
    <w:rsid w:val="004526AD"/>
    <w:rsid w:val="004527E2"/>
    <w:rsid w:val="00452A4A"/>
    <w:rsid w:val="00452ECE"/>
    <w:rsid w:val="00453059"/>
    <w:rsid w:val="0045323F"/>
    <w:rsid w:val="004532BD"/>
    <w:rsid w:val="0045335F"/>
    <w:rsid w:val="00453547"/>
    <w:rsid w:val="004536BF"/>
    <w:rsid w:val="0045375D"/>
    <w:rsid w:val="00453A91"/>
    <w:rsid w:val="00453D0D"/>
    <w:rsid w:val="00453F88"/>
    <w:rsid w:val="004541AC"/>
    <w:rsid w:val="00454353"/>
    <w:rsid w:val="0045443D"/>
    <w:rsid w:val="004544E9"/>
    <w:rsid w:val="004546CE"/>
    <w:rsid w:val="0045481B"/>
    <w:rsid w:val="00454919"/>
    <w:rsid w:val="00454ACF"/>
    <w:rsid w:val="00454AF1"/>
    <w:rsid w:val="00454D3E"/>
    <w:rsid w:val="00454E69"/>
    <w:rsid w:val="00455005"/>
    <w:rsid w:val="004550DA"/>
    <w:rsid w:val="00455628"/>
    <w:rsid w:val="004558DF"/>
    <w:rsid w:val="00455997"/>
    <w:rsid w:val="00455D81"/>
    <w:rsid w:val="00455F61"/>
    <w:rsid w:val="004561B7"/>
    <w:rsid w:val="004568FE"/>
    <w:rsid w:val="00456BFA"/>
    <w:rsid w:val="00457023"/>
    <w:rsid w:val="0045717A"/>
    <w:rsid w:val="00457257"/>
    <w:rsid w:val="00457286"/>
    <w:rsid w:val="004572A8"/>
    <w:rsid w:val="00457321"/>
    <w:rsid w:val="0045760A"/>
    <w:rsid w:val="0045775A"/>
    <w:rsid w:val="004577BC"/>
    <w:rsid w:val="00457949"/>
    <w:rsid w:val="00457BDC"/>
    <w:rsid w:val="00457F04"/>
    <w:rsid w:val="00460114"/>
    <w:rsid w:val="0046015E"/>
    <w:rsid w:val="00460190"/>
    <w:rsid w:val="004601AD"/>
    <w:rsid w:val="004601B6"/>
    <w:rsid w:val="004604A5"/>
    <w:rsid w:val="004606B6"/>
    <w:rsid w:val="00460870"/>
    <w:rsid w:val="00460AAD"/>
    <w:rsid w:val="00460BB5"/>
    <w:rsid w:val="00460FAC"/>
    <w:rsid w:val="00461331"/>
    <w:rsid w:val="00461946"/>
    <w:rsid w:val="00461975"/>
    <w:rsid w:val="00461A6A"/>
    <w:rsid w:val="00461AA4"/>
    <w:rsid w:val="00461CE5"/>
    <w:rsid w:val="00461D54"/>
    <w:rsid w:val="00461D81"/>
    <w:rsid w:val="00461E90"/>
    <w:rsid w:val="00462408"/>
    <w:rsid w:val="00462537"/>
    <w:rsid w:val="00462C04"/>
    <w:rsid w:val="00462D38"/>
    <w:rsid w:val="00462D6B"/>
    <w:rsid w:val="00462D96"/>
    <w:rsid w:val="00462DC3"/>
    <w:rsid w:val="00462E55"/>
    <w:rsid w:val="00462E95"/>
    <w:rsid w:val="00462EB7"/>
    <w:rsid w:val="004630CE"/>
    <w:rsid w:val="0046319E"/>
    <w:rsid w:val="004631B4"/>
    <w:rsid w:val="00463275"/>
    <w:rsid w:val="004633DA"/>
    <w:rsid w:val="00463499"/>
    <w:rsid w:val="00463721"/>
    <w:rsid w:val="004637FB"/>
    <w:rsid w:val="00463B03"/>
    <w:rsid w:val="00463FF9"/>
    <w:rsid w:val="004642C4"/>
    <w:rsid w:val="00464973"/>
    <w:rsid w:val="00464AD9"/>
    <w:rsid w:val="00464BEF"/>
    <w:rsid w:val="004652CC"/>
    <w:rsid w:val="00465610"/>
    <w:rsid w:val="004659F1"/>
    <w:rsid w:val="004660EF"/>
    <w:rsid w:val="004661FB"/>
    <w:rsid w:val="00466250"/>
    <w:rsid w:val="004666A6"/>
    <w:rsid w:val="004667D6"/>
    <w:rsid w:val="00466A14"/>
    <w:rsid w:val="00466D1A"/>
    <w:rsid w:val="00467395"/>
    <w:rsid w:val="004673AE"/>
    <w:rsid w:val="00467425"/>
    <w:rsid w:val="0046755B"/>
    <w:rsid w:val="0046760C"/>
    <w:rsid w:val="0046764B"/>
    <w:rsid w:val="00467771"/>
    <w:rsid w:val="00467A4E"/>
    <w:rsid w:val="00467C8A"/>
    <w:rsid w:val="00467EEC"/>
    <w:rsid w:val="004700E4"/>
    <w:rsid w:val="004702C3"/>
    <w:rsid w:val="004705A2"/>
    <w:rsid w:val="004705EE"/>
    <w:rsid w:val="00470639"/>
    <w:rsid w:val="004707B6"/>
    <w:rsid w:val="00470863"/>
    <w:rsid w:val="004708C2"/>
    <w:rsid w:val="00470C0E"/>
    <w:rsid w:val="00470C73"/>
    <w:rsid w:val="00470FA0"/>
    <w:rsid w:val="004710B0"/>
    <w:rsid w:val="004713DC"/>
    <w:rsid w:val="0047175C"/>
    <w:rsid w:val="00471895"/>
    <w:rsid w:val="0047196E"/>
    <w:rsid w:val="00471D52"/>
    <w:rsid w:val="00471EC1"/>
    <w:rsid w:val="0047204F"/>
    <w:rsid w:val="00472089"/>
    <w:rsid w:val="0047221A"/>
    <w:rsid w:val="00472352"/>
    <w:rsid w:val="00472B39"/>
    <w:rsid w:val="00472F70"/>
    <w:rsid w:val="0047300A"/>
    <w:rsid w:val="00473246"/>
    <w:rsid w:val="0047379B"/>
    <w:rsid w:val="00473876"/>
    <w:rsid w:val="00473AFC"/>
    <w:rsid w:val="00473CAC"/>
    <w:rsid w:val="00473CDF"/>
    <w:rsid w:val="00473D8D"/>
    <w:rsid w:val="00474006"/>
    <w:rsid w:val="004745B0"/>
    <w:rsid w:val="0047497E"/>
    <w:rsid w:val="004749A7"/>
    <w:rsid w:val="00474A2F"/>
    <w:rsid w:val="00474C12"/>
    <w:rsid w:val="00474C27"/>
    <w:rsid w:val="00474F5E"/>
    <w:rsid w:val="0047540C"/>
    <w:rsid w:val="00475436"/>
    <w:rsid w:val="0047576D"/>
    <w:rsid w:val="00475982"/>
    <w:rsid w:val="00475A51"/>
    <w:rsid w:val="00475B30"/>
    <w:rsid w:val="00476082"/>
    <w:rsid w:val="00476175"/>
    <w:rsid w:val="00476830"/>
    <w:rsid w:val="00476AF9"/>
    <w:rsid w:val="00476C9F"/>
    <w:rsid w:val="00476D9D"/>
    <w:rsid w:val="00476EAC"/>
    <w:rsid w:val="00476F1A"/>
    <w:rsid w:val="00476F2C"/>
    <w:rsid w:val="00477138"/>
    <w:rsid w:val="004777AE"/>
    <w:rsid w:val="00477DD3"/>
    <w:rsid w:val="004805F3"/>
    <w:rsid w:val="004806D1"/>
    <w:rsid w:val="00480812"/>
    <w:rsid w:val="00480DD9"/>
    <w:rsid w:val="0048102B"/>
    <w:rsid w:val="00481781"/>
    <w:rsid w:val="004817EC"/>
    <w:rsid w:val="004817FA"/>
    <w:rsid w:val="0048181E"/>
    <w:rsid w:val="00481A26"/>
    <w:rsid w:val="00481AB9"/>
    <w:rsid w:val="00481B5F"/>
    <w:rsid w:val="00481EB6"/>
    <w:rsid w:val="0048224E"/>
    <w:rsid w:val="00482267"/>
    <w:rsid w:val="0048274C"/>
    <w:rsid w:val="00482773"/>
    <w:rsid w:val="00482AAF"/>
    <w:rsid w:val="00482BB1"/>
    <w:rsid w:val="00482C06"/>
    <w:rsid w:val="00482CC3"/>
    <w:rsid w:val="00482DC9"/>
    <w:rsid w:val="00482E33"/>
    <w:rsid w:val="00483130"/>
    <w:rsid w:val="004831AF"/>
    <w:rsid w:val="004831D3"/>
    <w:rsid w:val="00483230"/>
    <w:rsid w:val="00483549"/>
    <w:rsid w:val="00483C64"/>
    <w:rsid w:val="00483C8A"/>
    <w:rsid w:val="00483DE4"/>
    <w:rsid w:val="00483F0F"/>
    <w:rsid w:val="00484373"/>
    <w:rsid w:val="00484422"/>
    <w:rsid w:val="00484742"/>
    <w:rsid w:val="0048485E"/>
    <w:rsid w:val="004848BD"/>
    <w:rsid w:val="004848DE"/>
    <w:rsid w:val="00484A97"/>
    <w:rsid w:val="004850A8"/>
    <w:rsid w:val="0048541A"/>
    <w:rsid w:val="0048543E"/>
    <w:rsid w:val="00485994"/>
    <w:rsid w:val="00485F5C"/>
    <w:rsid w:val="004864FB"/>
    <w:rsid w:val="004867DC"/>
    <w:rsid w:val="00486960"/>
    <w:rsid w:val="00486D56"/>
    <w:rsid w:val="00487030"/>
    <w:rsid w:val="00487054"/>
    <w:rsid w:val="00487122"/>
    <w:rsid w:val="00487167"/>
    <w:rsid w:val="00487296"/>
    <w:rsid w:val="004872DD"/>
    <w:rsid w:val="00487470"/>
    <w:rsid w:val="00487513"/>
    <w:rsid w:val="0048759F"/>
    <w:rsid w:val="00487883"/>
    <w:rsid w:val="00487AE6"/>
    <w:rsid w:val="00487CAD"/>
    <w:rsid w:val="0049007D"/>
    <w:rsid w:val="0049041E"/>
    <w:rsid w:val="00490423"/>
    <w:rsid w:val="0049042A"/>
    <w:rsid w:val="00490450"/>
    <w:rsid w:val="004906EC"/>
    <w:rsid w:val="004907DC"/>
    <w:rsid w:val="00490B80"/>
    <w:rsid w:val="00490C0B"/>
    <w:rsid w:val="00490F32"/>
    <w:rsid w:val="00490F9E"/>
    <w:rsid w:val="0049102C"/>
    <w:rsid w:val="00491135"/>
    <w:rsid w:val="004913DC"/>
    <w:rsid w:val="00491494"/>
    <w:rsid w:val="00491F77"/>
    <w:rsid w:val="00491FFD"/>
    <w:rsid w:val="004924A5"/>
    <w:rsid w:val="00492568"/>
    <w:rsid w:val="004925B4"/>
    <w:rsid w:val="004927DF"/>
    <w:rsid w:val="00492A87"/>
    <w:rsid w:val="00492BAC"/>
    <w:rsid w:val="00492BFA"/>
    <w:rsid w:val="00492C9D"/>
    <w:rsid w:val="00492CF4"/>
    <w:rsid w:val="00492E8D"/>
    <w:rsid w:val="004932FA"/>
    <w:rsid w:val="0049343D"/>
    <w:rsid w:val="0049377D"/>
    <w:rsid w:val="004938AD"/>
    <w:rsid w:val="00493A60"/>
    <w:rsid w:val="00493B95"/>
    <w:rsid w:val="00494105"/>
    <w:rsid w:val="00494252"/>
    <w:rsid w:val="0049425D"/>
    <w:rsid w:val="00494425"/>
    <w:rsid w:val="004944AF"/>
    <w:rsid w:val="00494797"/>
    <w:rsid w:val="004949CD"/>
    <w:rsid w:val="00494CBB"/>
    <w:rsid w:val="00494E3F"/>
    <w:rsid w:val="00494F12"/>
    <w:rsid w:val="004950AD"/>
    <w:rsid w:val="0049541E"/>
    <w:rsid w:val="004954D4"/>
    <w:rsid w:val="00495741"/>
    <w:rsid w:val="0049594A"/>
    <w:rsid w:val="00495ECB"/>
    <w:rsid w:val="00495FD8"/>
    <w:rsid w:val="00496048"/>
    <w:rsid w:val="004960A1"/>
    <w:rsid w:val="0049637B"/>
    <w:rsid w:val="004963DB"/>
    <w:rsid w:val="0049665A"/>
    <w:rsid w:val="00496682"/>
    <w:rsid w:val="00496859"/>
    <w:rsid w:val="00496B4B"/>
    <w:rsid w:val="00496E21"/>
    <w:rsid w:val="00496F77"/>
    <w:rsid w:val="00497321"/>
    <w:rsid w:val="00497331"/>
    <w:rsid w:val="004975EB"/>
    <w:rsid w:val="00497620"/>
    <w:rsid w:val="0049781A"/>
    <w:rsid w:val="004979F6"/>
    <w:rsid w:val="00497AD5"/>
    <w:rsid w:val="00497AF6"/>
    <w:rsid w:val="00497B43"/>
    <w:rsid w:val="00497D8D"/>
    <w:rsid w:val="00497E37"/>
    <w:rsid w:val="004A027A"/>
    <w:rsid w:val="004A043C"/>
    <w:rsid w:val="004A0680"/>
    <w:rsid w:val="004A0768"/>
    <w:rsid w:val="004A0797"/>
    <w:rsid w:val="004A09C9"/>
    <w:rsid w:val="004A0B8D"/>
    <w:rsid w:val="004A0D0B"/>
    <w:rsid w:val="004A0E71"/>
    <w:rsid w:val="004A1122"/>
    <w:rsid w:val="004A1199"/>
    <w:rsid w:val="004A128A"/>
    <w:rsid w:val="004A1325"/>
    <w:rsid w:val="004A1633"/>
    <w:rsid w:val="004A1B03"/>
    <w:rsid w:val="004A1B6B"/>
    <w:rsid w:val="004A1BE6"/>
    <w:rsid w:val="004A1C9C"/>
    <w:rsid w:val="004A1E1D"/>
    <w:rsid w:val="004A1FA9"/>
    <w:rsid w:val="004A1FFC"/>
    <w:rsid w:val="004A22B9"/>
    <w:rsid w:val="004A239E"/>
    <w:rsid w:val="004A2474"/>
    <w:rsid w:val="004A2CFA"/>
    <w:rsid w:val="004A2D46"/>
    <w:rsid w:val="004A2EC2"/>
    <w:rsid w:val="004A3042"/>
    <w:rsid w:val="004A30E2"/>
    <w:rsid w:val="004A327A"/>
    <w:rsid w:val="004A3350"/>
    <w:rsid w:val="004A3551"/>
    <w:rsid w:val="004A35A8"/>
    <w:rsid w:val="004A3698"/>
    <w:rsid w:val="004A3777"/>
    <w:rsid w:val="004A39F1"/>
    <w:rsid w:val="004A3C4F"/>
    <w:rsid w:val="004A3FDF"/>
    <w:rsid w:val="004A4510"/>
    <w:rsid w:val="004A469D"/>
    <w:rsid w:val="004A495B"/>
    <w:rsid w:val="004A4A32"/>
    <w:rsid w:val="004A4D8B"/>
    <w:rsid w:val="004A4F37"/>
    <w:rsid w:val="004A5031"/>
    <w:rsid w:val="004A51BE"/>
    <w:rsid w:val="004A54D2"/>
    <w:rsid w:val="004A5522"/>
    <w:rsid w:val="004A556D"/>
    <w:rsid w:val="004A5EED"/>
    <w:rsid w:val="004A6091"/>
    <w:rsid w:val="004A62B0"/>
    <w:rsid w:val="004A642D"/>
    <w:rsid w:val="004A648B"/>
    <w:rsid w:val="004A652B"/>
    <w:rsid w:val="004A6570"/>
    <w:rsid w:val="004A662E"/>
    <w:rsid w:val="004A66D0"/>
    <w:rsid w:val="004A685B"/>
    <w:rsid w:val="004A692C"/>
    <w:rsid w:val="004A6B3E"/>
    <w:rsid w:val="004A6E8B"/>
    <w:rsid w:val="004A6FED"/>
    <w:rsid w:val="004A700C"/>
    <w:rsid w:val="004A71D2"/>
    <w:rsid w:val="004A7248"/>
    <w:rsid w:val="004A72E5"/>
    <w:rsid w:val="004A75B8"/>
    <w:rsid w:val="004A79B9"/>
    <w:rsid w:val="004A7ADA"/>
    <w:rsid w:val="004A7DA5"/>
    <w:rsid w:val="004A7DF1"/>
    <w:rsid w:val="004A7E00"/>
    <w:rsid w:val="004B00AE"/>
    <w:rsid w:val="004B02D8"/>
    <w:rsid w:val="004B0672"/>
    <w:rsid w:val="004B06B1"/>
    <w:rsid w:val="004B077C"/>
    <w:rsid w:val="004B085F"/>
    <w:rsid w:val="004B08C2"/>
    <w:rsid w:val="004B0954"/>
    <w:rsid w:val="004B0A6C"/>
    <w:rsid w:val="004B1264"/>
    <w:rsid w:val="004B1462"/>
    <w:rsid w:val="004B1485"/>
    <w:rsid w:val="004B1865"/>
    <w:rsid w:val="004B186D"/>
    <w:rsid w:val="004B1896"/>
    <w:rsid w:val="004B1A25"/>
    <w:rsid w:val="004B1FA5"/>
    <w:rsid w:val="004B268B"/>
    <w:rsid w:val="004B285B"/>
    <w:rsid w:val="004B28BB"/>
    <w:rsid w:val="004B2D03"/>
    <w:rsid w:val="004B2E35"/>
    <w:rsid w:val="004B2EB9"/>
    <w:rsid w:val="004B2F14"/>
    <w:rsid w:val="004B2FC8"/>
    <w:rsid w:val="004B30D7"/>
    <w:rsid w:val="004B33BD"/>
    <w:rsid w:val="004B3494"/>
    <w:rsid w:val="004B352A"/>
    <w:rsid w:val="004B35BB"/>
    <w:rsid w:val="004B37CB"/>
    <w:rsid w:val="004B3801"/>
    <w:rsid w:val="004B3865"/>
    <w:rsid w:val="004B3B6C"/>
    <w:rsid w:val="004B3B74"/>
    <w:rsid w:val="004B3C08"/>
    <w:rsid w:val="004B3D1E"/>
    <w:rsid w:val="004B3ECF"/>
    <w:rsid w:val="004B3F0F"/>
    <w:rsid w:val="004B4212"/>
    <w:rsid w:val="004B447C"/>
    <w:rsid w:val="004B4735"/>
    <w:rsid w:val="004B47E3"/>
    <w:rsid w:val="004B4896"/>
    <w:rsid w:val="004B4A93"/>
    <w:rsid w:val="004B4B45"/>
    <w:rsid w:val="004B4B52"/>
    <w:rsid w:val="004B4D55"/>
    <w:rsid w:val="004B51B2"/>
    <w:rsid w:val="004B540E"/>
    <w:rsid w:val="004B5412"/>
    <w:rsid w:val="004B58AB"/>
    <w:rsid w:val="004B5C45"/>
    <w:rsid w:val="004B5D12"/>
    <w:rsid w:val="004B5D44"/>
    <w:rsid w:val="004B5F1C"/>
    <w:rsid w:val="004B6301"/>
    <w:rsid w:val="004B65DA"/>
    <w:rsid w:val="004B66E6"/>
    <w:rsid w:val="004B67E5"/>
    <w:rsid w:val="004B68F0"/>
    <w:rsid w:val="004B6B2D"/>
    <w:rsid w:val="004B6B9D"/>
    <w:rsid w:val="004B6BB8"/>
    <w:rsid w:val="004B71A8"/>
    <w:rsid w:val="004B7301"/>
    <w:rsid w:val="004B7CAB"/>
    <w:rsid w:val="004B7D4A"/>
    <w:rsid w:val="004C011F"/>
    <w:rsid w:val="004C0184"/>
    <w:rsid w:val="004C075C"/>
    <w:rsid w:val="004C087F"/>
    <w:rsid w:val="004C0CB8"/>
    <w:rsid w:val="004C0F8B"/>
    <w:rsid w:val="004C1000"/>
    <w:rsid w:val="004C1130"/>
    <w:rsid w:val="004C1348"/>
    <w:rsid w:val="004C14B3"/>
    <w:rsid w:val="004C1786"/>
    <w:rsid w:val="004C18B7"/>
    <w:rsid w:val="004C18CD"/>
    <w:rsid w:val="004C1A2D"/>
    <w:rsid w:val="004C1BBB"/>
    <w:rsid w:val="004C1C53"/>
    <w:rsid w:val="004C1CB2"/>
    <w:rsid w:val="004C1D7A"/>
    <w:rsid w:val="004C1DFB"/>
    <w:rsid w:val="004C21A6"/>
    <w:rsid w:val="004C26F1"/>
    <w:rsid w:val="004C270F"/>
    <w:rsid w:val="004C2876"/>
    <w:rsid w:val="004C29F3"/>
    <w:rsid w:val="004C2B28"/>
    <w:rsid w:val="004C2D0F"/>
    <w:rsid w:val="004C3013"/>
    <w:rsid w:val="004C34EA"/>
    <w:rsid w:val="004C35B0"/>
    <w:rsid w:val="004C361C"/>
    <w:rsid w:val="004C390A"/>
    <w:rsid w:val="004C3968"/>
    <w:rsid w:val="004C3D36"/>
    <w:rsid w:val="004C3D4E"/>
    <w:rsid w:val="004C4390"/>
    <w:rsid w:val="004C4528"/>
    <w:rsid w:val="004C4730"/>
    <w:rsid w:val="004C4903"/>
    <w:rsid w:val="004C49B4"/>
    <w:rsid w:val="004C4C85"/>
    <w:rsid w:val="004C526F"/>
    <w:rsid w:val="004C5A6D"/>
    <w:rsid w:val="004C5C78"/>
    <w:rsid w:val="004C5DBA"/>
    <w:rsid w:val="004C5DC3"/>
    <w:rsid w:val="004C62DE"/>
    <w:rsid w:val="004C64A2"/>
    <w:rsid w:val="004C64CF"/>
    <w:rsid w:val="004C6530"/>
    <w:rsid w:val="004C6561"/>
    <w:rsid w:val="004C6A2F"/>
    <w:rsid w:val="004C6D7A"/>
    <w:rsid w:val="004C6DED"/>
    <w:rsid w:val="004C72CF"/>
    <w:rsid w:val="004C72F0"/>
    <w:rsid w:val="004C74E5"/>
    <w:rsid w:val="004C7684"/>
    <w:rsid w:val="004C7ADB"/>
    <w:rsid w:val="004C7BD5"/>
    <w:rsid w:val="004C7E73"/>
    <w:rsid w:val="004C7F5A"/>
    <w:rsid w:val="004C7F9E"/>
    <w:rsid w:val="004C7FAC"/>
    <w:rsid w:val="004C7FCF"/>
    <w:rsid w:val="004D00B2"/>
    <w:rsid w:val="004D00FF"/>
    <w:rsid w:val="004D01D5"/>
    <w:rsid w:val="004D0207"/>
    <w:rsid w:val="004D05F8"/>
    <w:rsid w:val="004D0628"/>
    <w:rsid w:val="004D066D"/>
    <w:rsid w:val="004D09E5"/>
    <w:rsid w:val="004D0AB4"/>
    <w:rsid w:val="004D0B04"/>
    <w:rsid w:val="004D10D7"/>
    <w:rsid w:val="004D1332"/>
    <w:rsid w:val="004D137C"/>
    <w:rsid w:val="004D15D0"/>
    <w:rsid w:val="004D1655"/>
    <w:rsid w:val="004D1858"/>
    <w:rsid w:val="004D185E"/>
    <w:rsid w:val="004D19D1"/>
    <w:rsid w:val="004D1A25"/>
    <w:rsid w:val="004D1C52"/>
    <w:rsid w:val="004D1CEA"/>
    <w:rsid w:val="004D20EC"/>
    <w:rsid w:val="004D2289"/>
    <w:rsid w:val="004D2294"/>
    <w:rsid w:val="004D23E3"/>
    <w:rsid w:val="004D252D"/>
    <w:rsid w:val="004D2662"/>
    <w:rsid w:val="004D268A"/>
    <w:rsid w:val="004D26DA"/>
    <w:rsid w:val="004D282F"/>
    <w:rsid w:val="004D2852"/>
    <w:rsid w:val="004D2861"/>
    <w:rsid w:val="004D2A17"/>
    <w:rsid w:val="004D2AAE"/>
    <w:rsid w:val="004D2AF7"/>
    <w:rsid w:val="004D2B20"/>
    <w:rsid w:val="004D2C1A"/>
    <w:rsid w:val="004D2E32"/>
    <w:rsid w:val="004D2F14"/>
    <w:rsid w:val="004D327B"/>
    <w:rsid w:val="004D340B"/>
    <w:rsid w:val="004D34D1"/>
    <w:rsid w:val="004D357D"/>
    <w:rsid w:val="004D35CF"/>
    <w:rsid w:val="004D3661"/>
    <w:rsid w:val="004D397B"/>
    <w:rsid w:val="004D401C"/>
    <w:rsid w:val="004D4114"/>
    <w:rsid w:val="004D424B"/>
    <w:rsid w:val="004D4294"/>
    <w:rsid w:val="004D45BE"/>
    <w:rsid w:val="004D4811"/>
    <w:rsid w:val="004D483E"/>
    <w:rsid w:val="004D48C4"/>
    <w:rsid w:val="004D4997"/>
    <w:rsid w:val="004D4AC7"/>
    <w:rsid w:val="004D5B75"/>
    <w:rsid w:val="004D6366"/>
    <w:rsid w:val="004D643C"/>
    <w:rsid w:val="004D6592"/>
    <w:rsid w:val="004D698F"/>
    <w:rsid w:val="004D6BDD"/>
    <w:rsid w:val="004D6EE4"/>
    <w:rsid w:val="004D707F"/>
    <w:rsid w:val="004D709D"/>
    <w:rsid w:val="004D7195"/>
    <w:rsid w:val="004D71C0"/>
    <w:rsid w:val="004D74F7"/>
    <w:rsid w:val="004D78A4"/>
    <w:rsid w:val="004D79EF"/>
    <w:rsid w:val="004D7B14"/>
    <w:rsid w:val="004D7CA7"/>
    <w:rsid w:val="004D7EC2"/>
    <w:rsid w:val="004E025C"/>
    <w:rsid w:val="004E02A3"/>
    <w:rsid w:val="004E04EF"/>
    <w:rsid w:val="004E052B"/>
    <w:rsid w:val="004E0741"/>
    <w:rsid w:val="004E0CB2"/>
    <w:rsid w:val="004E1216"/>
    <w:rsid w:val="004E1427"/>
    <w:rsid w:val="004E14C1"/>
    <w:rsid w:val="004E1516"/>
    <w:rsid w:val="004E18ED"/>
    <w:rsid w:val="004E1A11"/>
    <w:rsid w:val="004E1AF5"/>
    <w:rsid w:val="004E2261"/>
    <w:rsid w:val="004E2284"/>
    <w:rsid w:val="004E2388"/>
    <w:rsid w:val="004E244B"/>
    <w:rsid w:val="004E2526"/>
    <w:rsid w:val="004E2EF2"/>
    <w:rsid w:val="004E2FB3"/>
    <w:rsid w:val="004E302A"/>
    <w:rsid w:val="004E310B"/>
    <w:rsid w:val="004E3431"/>
    <w:rsid w:val="004E34B8"/>
    <w:rsid w:val="004E3784"/>
    <w:rsid w:val="004E37A6"/>
    <w:rsid w:val="004E39B9"/>
    <w:rsid w:val="004E3A5D"/>
    <w:rsid w:val="004E3CD4"/>
    <w:rsid w:val="004E3CF1"/>
    <w:rsid w:val="004E3E32"/>
    <w:rsid w:val="004E402F"/>
    <w:rsid w:val="004E41BF"/>
    <w:rsid w:val="004E443C"/>
    <w:rsid w:val="004E44B1"/>
    <w:rsid w:val="004E483C"/>
    <w:rsid w:val="004E4AD0"/>
    <w:rsid w:val="004E4C71"/>
    <w:rsid w:val="004E4D6C"/>
    <w:rsid w:val="004E4D78"/>
    <w:rsid w:val="004E4D83"/>
    <w:rsid w:val="004E515D"/>
    <w:rsid w:val="004E5245"/>
    <w:rsid w:val="004E5290"/>
    <w:rsid w:val="004E52C4"/>
    <w:rsid w:val="004E5336"/>
    <w:rsid w:val="004E54FD"/>
    <w:rsid w:val="004E584F"/>
    <w:rsid w:val="004E585B"/>
    <w:rsid w:val="004E6021"/>
    <w:rsid w:val="004E60D6"/>
    <w:rsid w:val="004E6107"/>
    <w:rsid w:val="004E6356"/>
    <w:rsid w:val="004E642C"/>
    <w:rsid w:val="004E66EE"/>
    <w:rsid w:val="004E675F"/>
    <w:rsid w:val="004E67C8"/>
    <w:rsid w:val="004E6845"/>
    <w:rsid w:val="004E6886"/>
    <w:rsid w:val="004E689B"/>
    <w:rsid w:val="004E6A16"/>
    <w:rsid w:val="004E6B4F"/>
    <w:rsid w:val="004E6DD6"/>
    <w:rsid w:val="004E6F13"/>
    <w:rsid w:val="004E6F49"/>
    <w:rsid w:val="004E6FB6"/>
    <w:rsid w:val="004E70DB"/>
    <w:rsid w:val="004E720F"/>
    <w:rsid w:val="004E72B8"/>
    <w:rsid w:val="004E7304"/>
    <w:rsid w:val="004E7649"/>
    <w:rsid w:val="004E77D8"/>
    <w:rsid w:val="004E78A9"/>
    <w:rsid w:val="004E7990"/>
    <w:rsid w:val="004E7C01"/>
    <w:rsid w:val="004E7D3C"/>
    <w:rsid w:val="004E7FD8"/>
    <w:rsid w:val="004F0265"/>
    <w:rsid w:val="004F02B1"/>
    <w:rsid w:val="004F04BA"/>
    <w:rsid w:val="004F08BA"/>
    <w:rsid w:val="004F08F6"/>
    <w:rsid w:val="004F0A38"/>
    <w:rsid w:val="004F0CAF"/>
    <w:rsid w:val="004F0D6A"/>
    <w:rsid w:val="004F0DAE"/>
    <w:rsid w:val="004F0EDE"/>
    <w:rsid w:val="004F0F25"/>
    <w:rsid w:val="004F114D"/>
    <w:rsid w:val="004F12EC"/>
    <w:rsid w:val="004F1433"/>
    <w:rsid w:val="004F154D"/>
    <w:rsid w:val="004F15A8"/>
    <w:rsid w:val="004F168B"/>
    <w:rsid w:val="004F1C97"/>
    <w:rsid w:val="004F1CE9"/>
    <w:rsid w:val="004F1D0C"/>
    <w:rsid w:val="004F1D70"/>
    <w:rsid w:val="004F1D9C"/>
    <w:rsid w:val="004F1F71"/>
    <w:rsid w:val="004F2504"/>
    <w:rsid w:val="004F26D9"/>
    <w:rsid w:val="004F2856"/>
    <w:rsid w:val="004F2976"/>
    <w:rsid w:val="004F2ABA"/>
    <w:rsid w:val="004F2DEB"/>
    <w:rsid w:val="004F2EB0"/>
    <w:rsid w:val="004F2F63"/>
    <w:rsid w:val="004F320E"/>
    <w:rsid w:val="004F382F"/>
    <w:rsid w:val="004F3B87"/>
    <w:rsid w:val="004F3CDB"/>
    <w:rsid w:val="004F3F2F"/>
    <w:rsid w:val="004F4315"/>
    <w:rsid w:val="004F4816"/>
    <w:rsid w:val="004F4857"/>
    <w:rsid w:val="004F4A08"/>
    <w:rsid w:val="004F4A83"/>
    <w:rsid w:val="004F4AEB"/>
    <w:rsid w:val="004F4C7D"/>
    <w:rsid w:val="004F4EC2"/>
    <w:rsid w:val="004F5190"/>
    <w:rsid w:val="004F5197"/>
    <w:rsid w:val="004F5229"/>
    <w:rsid w:val="004F54DC"/>
    <w:rsid w:val="004F5871"/>
    <w:rsid w:val="004F590C"/>
    <w:rsid w:val="004F5976"/>
    <w:rsid w:val="004F5B0E"/>
    <w:rsid w:val="004F66E8"/>
    <w:rsid w:val="004F6E0C"/>
    <w:rsid w:val="004F736D"/>
    <w:rsid w:val="004F73C3"/>
    <w:rsid w:val="004F740A"/>
    <w:rsid w:val="004F7534"/>
    <w:rsid w:val="004F7BB3"/>
    <w:rsid w:val="004F7C11"/>
    <w:rsid w:val="00500424"/>
    <w:rsid w:val="0050064C"/>
    <w:rsid w:val="00500720"/>
    <w:rsid w:val="00500730"/>
    <w:rsid w:val="00500756"/>
    <w:rsid w:val="00500994"/>
    <w:rsid w:val="0050099B"/>
    <w:rsid w:val="00500A17"/>
    <w:rsid w:val="00500A33"/>
    <w:rsid w:val="00500BB2"/>
    <w:rsid w:val="00500C9F"/>
    <w:rsid w:val="00500D86"/>
    <w:rsid w:val="00500E34"/>
    <w:rsid w:val="00500F59"/>
    <w:rsid w:val="00501258"/>
    <w:rsid w:val="0050156F"/>
    <w:rsid w:val="0050161D"/>
    <w:rsid w:val="005016BF"/>
    <w:rsid w:val="00501CC0"/>
    <w:rsid w:val="0050231B"/>
    <w:rsid w:val="005023B0"/>
    <w:rsid w:val="005025D5"/>
    <w:rsid w:val="005026F9"/>
    <w:rsid w:val="005027A1"/>
    <w:rsid w:val="0050284C"/>
    <w:rsid w:val="0050286A"/>
    <w:rsid w:val="00502D57"/>
    <w:rsid w:val="00502DB2"/>
    <w:rsid w:val="00502F44"/>
    <w:rsid w:val="005031DA"/>
    <w:rsid w:val="005035DE"/>
    <w:rsid w:val="005038A9"/>
    <w:rsid w:val="00503A01"/>
    <w:rsid w:val="00503CFF"/>
    <w:rsid w:val="00503F2D"/>
    <w:rsid w:val="00504190"/>
    <w:rsid w:val="005042A3"/>
    <w:rsid w:val="005047BB"/>
    <w:rsid w:val="005048A4"/>
    <w:rsid w:val="005048AE"/>
    <w:rsid w:val="00504959"/>
    <w:rsid w:val="0050496A"/>
    <w:rsid w:val="00504973"/>
    <w:rsid w:val="00504AE2"/>
    <w:rsid w:val="00504C3C"/>
    <w:rsid w:val="00504C89"/>
    <w:rsid w:val="00504CD4"/>
    <w:rsid w:val="00504D26"/>
    <w:rsid w:val="00504D50"/>
    <w:rsid w:val="00504EE7"/>
    <w:rsid w:val="0050517E"/>
    <w:rsid w:val="00505184"/>
    <w:rsid w:val="005052A6"/>
    <w:rsid w:val="00505323"/>
    <w:rsid w:val="0050533C"/>
    <w:rsid w:val="00505488"/>
    <w:rsid w:val="00505679"/>
    <w:rsid w:val="00505703"/>
    <w:rsid w:val="00505768"/>
    <w:rsid w:val="005058B9"/>
    <w:rsid w:val="00505F9D"/>
    <w:rsid w:val="005061BC"/>
    <w:rsid w:val="00506338"/>
    <w:rsid w:val="005066D4"/>
    <w:rsid w:val="00506850"/>
    <w:rsid w:val="00506CCF"/>
    <w:rsid w:val="00506F5E"/>
    <w:rsid w:val="0050724F"/>
    <w:rsid w:val="00507383"/>
    <w:rsid w:val="005074D1"/>
    <w:rsid w:val="0050766E"/>
    <w:rsid w:val="005077E3"/>
    <w:rsid w:val="0050794E"/>
    <w:rsid w:val="00507A2A"/>
    <w:rsid w:val="00507B45"/>
    <w:rsid w:val="00507F66"/>
    <w:rsid w:val="005102B1"/>
    <w:rsid w:val="005105F5"/>
    <w:rsid w:val="005106A8"/>
    <w:rsid w:val="0051073D"/>
    <w:rsid w:val="0051077B"/>
    <w:rsid w:val="0051094A"/>
    <w:rsid w:val="00510AD0"/>
    <w:rsid w:val="00510B9D"/>
    <w:rsid w:val="00510CAD"/>
    <w:rsid w:val="00511051"/>
    <w:rsid w:val="00511121"/>
    <w:rsid w:val="00511167"/>
    <w:rsid w:val="005111F8"/>
    <w:rsid w:val="0051123A"/>
    <w:rsid w:val="0051125B"/>
    <w:rsid w:val="005112CE"/>
    <w:rsid w:val="005112F0"/>
    <w:rsid w:val="00511338"/>
    <w:rsid w:val="00511353"/>
    <w:rsid w:val="00511674"/>
    <w:rsid w:val="0051168B"/>
    <w:rsid w:val="0051184F"/>
    <w:rsid w:val="005119FC"/>
    <w:rsid w:val="00511C38"/>
    <w:rsid w:val="00511C44"/>
    <w:rsid w:val="00511D2E"/>
    <w:rsid w:val="0051228C"/>
    <w:rsid w:val="00512791"/>
    <w:rsid w:val="0051299B"/>
    <w:rsid w:val="00512ADF"/>
    <w:rsid w:val="00512DD7"/>
    <w:rsid w:val="00512FE3"/>
    <w:rsid w:val="00513015"/>
    <w:rsid w:val="00513090"/>
    <w:rsid w:val="005130DA"/>
    <w:rsid w:val="00513326"/>
    <w:rsid w:val="005137D4"/>
    <w:rsid w:val="00513BBD"/>
    <w:rsid w:val="00513CF0"/>
    <w:rsid w:val="00513D3F"/>
    <w:rsid w:val="00513E2B"/>
    <w:rsid w:val="00513F63"/>
    <w:rsid w:val="00514218"/>
    <w:rsid w:val="00514572"/>
    <w:rsid w:val="00514617"/>
    <w:rsid w:val="00514670"/>
    <w:rsid w:val="005147DE"/>
    <w:rsid w:val="005147FC"/>
    <w:rsid w:val="00514B55"/>
    <w:rsid w:val="00514BF2"/>
    <w:rsid w:val="00514D23"/>
    <w:rsid w:val="00514EAD"/>
    <w:rsid w:val="00514F63"/>
    <w:rsid w:val="00514F75"/>
    <w:rsid w:val="005150D3"/>
    <w:rsid w:val="0051522A"/>
    <w:rsid w:val="005152A4"/>
    <w:rsid w:val="00515588"/>
    <w:rsid w:val="005162E4"/>
    <w:rsid w:val="0051642A"/>
    <w:rsid w:val="005164D9"/>
    <w:rsid w:val="005168BF"/>
    <w:rsid w:val="00516961"/>
    <w:rsid w:val="00516B70"/>
    <w:rsid w:val="00516BDB"/>
    <w:rsid w:val="00516C7B"/>
    <w:rsid w:val="00516D13"/>
    <w:rsid w:val="005177E3"/>
    <w:rsid w:val="00517B78"/>
    <w:rsid w:val="00517BD9"/>
    <w:rsid w:val="00517FF1"/>
    <w:rsid w:val="005200C4"/>
    <w:rsid w:val="0052027A"/>
    <w:rsid w:val="005205B8"/>
    <w:rsid w:val="0052077F"/>
    <w:rsid w:val="0052090D"/>
    <w:rsid w:val="00520BAB"/>
    <w:rsid w:val="00520DE1"/>
    <w:rsid w:val="00520F1A"/>
    <w:rsid w:val="00521047"/>
    <w:rsid w:val="005212C4"/>
    <w:rsid w:val="005214AA"/>
    <w:rsid w:val="005218B4"/>
    <w:rsid w:val="00521A04"/>
    <w:rsid w:val="00521B45"/>
    <w:rsid w:val="00521C2B"/>
    <w:rsid w:val="00521C91"/>
    <w:rsid w:val="00521F5E"/>
    <w:rsid w:val="00521FFF"/>
    <w:rsid w:val="0052294F"/>
    <w:rsid w:val="00522973"/>
    <w:rsid w:val="00522AA8"/>
    <w:rsid w:val="00522C12"/>
    <w:rsid w:val="00522C60"/>
    <w:rsid w:val="00522C7F"/>
    <w:rsid w:val="00522D23"/>
    <w:rsid w:val="00522DD1"/>
    <w:rsid w:val="00523120"/>
    <w:rsid w:val="00523129"/>
    <w:rsid w:val="00523299"/>
    <w:rsid w:val="0052332F"/>
    <w:rsid w:val="0052336C"/>
    <w:rsid w:val="005234BB"/>
    <w:rsid w:val="0052382A"/>
    <w:rsid w:val="00523858"/>
    <w:rsid w:val="00523878"/>
    <w:rsid w:val="0052397A"/>
    <w:rsid w:val="005239C9"/>
    <w:rsid w:val="00523D76"/>
    <w:rsid w:val="00523E43"/>
    <w:rsid w:val="00523FEF"/>
    <w:rsid w:val="00524075"/>
    <w:rsid w:val="0052437F"/>
    <w:rsid w:val="0052443A"/>
    <w:rsid w:val="00524719"/>
    <w:rsid w:val="005249F3"/>
    <w:rsid w:val="00524A14"/>
    <w:rsid w:val="00524A95"/>
    <w:rsid w:val="00524AC4"/>
    <w:rsid w:val="00524B2A"/>
    <w:rsid w:val="00524EE8"/>
    <w:rsid w:val="00525449"/>
    <w:rsid w:val="00525A4D"/>
    <w:rsid w:val="00525A80"/>
    <w:rsid w:val="00525D31"/>
    <w:rsid w:val="005260C5"/>
    <w:rsid w:val="00526112"/>
    <w:rsid w:val="0052626E"/>
    <w:rsid w:val="005265DA"/>
    <w:rsid w:val="00526603"/>
    <w:rsid w:val="0052676D"/>
    <w:rsid w:val="00526823"/>
    <w:rsid w:val="00526919"/>
    <w:rsid w:val="00526D3E"/>
    <w:rsid w:val="00526DD4"/>
    <w:rsid w:val="00526FD5"/>
    <w:rsid w:val="00527056"/>
    <w:rsid w:val="00527097"/>
    <w:rsid w:val="005271D5"/>
    <w:rsid w:val="00527461"/>
    <w:rsid w:val="00527531"/>
    <w:rsid w:val="005277E7"/>
    <w:rsid w:val="00527DFC"/>
    <w:rsid w:val="00530376"/>
    <w:rsid w:val="00530591"/>
    <w:rsid w:val="00530B40"/>
    <w:rsid w:val="00530DCC"/>
    <w:rsid w:val="005312CE"/>
    <w:rsid w:val="00531339"/>
    <w:rsid w:val="00531475"/>
    <w:rsid w:val="005314E4"/>
    <w:rsid w:val="0053163C"/>
    <w:rsid w:val="00531752"/>
    <w:rsid w:val="0053178D"/>
    <w:rsid w:val="00531839"/>
    <w:rsid w:val="00531A21"/>
    <w:rsid w:val="00532280"/>
    <w:rsid w:val="0053238A"/>
    <w:rsid w:val="00532552"/>
    <w:rsid w:val="0053259F"/>
    <w:rsid w:val="00532875"/>
    <w:rsid w:val="00532B49"/>
    <w:rsid w:val="00532BAA"/>
    <w:rsid w:val="00532CA9"/>
    <w:rsid w:val="00532EDC"/>
    <w:rsid w:val="00532F1B"/>
    <w:rsid w:val="0053303E"/>
    <w:rsid w:val="005330B7"/>
    <w:rsid w:val="00533239"/>
    <w:rsid w:val="00533670"/>
    <w:rsid w:val="005339CC"/>
    <w:rsid w:val="00533BDB"/>
    <w:rsid w:val="00533CFD"/>
    <w:rsid w:val="00533E5F"/>
    <w:rsid w:val="005340C0"/>
    <w:rsid w:val="0053412C"/>
    <w:rsid w:val="00534331"/>
    <w:rsid w:val="00534446"/>
    <w:rsid w:val="005344D0"/>
    <w:rsid w:val="0053451E"/>
    <w:rsid w:val="0053466E"/>
    <w:rsid w:val="005347E6"/>
    <w:rsid w:val="005349BE"/>
    <w:rsid w:val="00534B8E"/>
    <w:rsid w:val="00534EEE"/>
    <w:rsid w:val="00534F90"/>
    <w:rsid w:val="0053555B"/>
    <w:rsid w:val="0053569F"/>
    <w:rsid w:val="005356E9"/>
    <w:rsid w:val="00535C30"/>
    <w:rsid w:val="00535E36"/>
    <w:rsid w:val="005360FE"/>
    <w:rsid w:val="00536607"/>
    <w:rsid w:val="00536C62"/>
    <w:rsid w:val="00536E51"/>
    <w:rsid w:val="00536E55"/>
    <w:rsid w:val="00536EE2"/>
    <w:rsid w:val="00536FA6"/>
    <w:rsid w:val="005370AD"/>
    <w:rsid w:val="00537575"/>
    <w:rsid w:val="005375F2"/>
    <w:rsid w:val="0053763D"/>
    <w:rsid w:val="0054022F"/>
    <w:rsid w:val="0054028F"/>
    <w:rsid w:val="005402ED"/>
    <w:rsid w:val="00540522"/>
    <w:rsid w:val="00540545"/>
    <w:rsid w:val="0054070C"/>
    <w:rsid w:val="005407CD"/>
    <w:rsid w:val="00540A56"/>
    <w:rsid w:val="00540A9F"/>
    <w:rsid w:val="00540ABB"/>
    <w:rsid w:val="00540CDB"/>
    <w:rsid w:val="00540D46"/>
    <w:rsid w:val="00540D4C"/>
    <w:rsid w:val="00540EB1"/>
    <w:rsid w:val="00540F3D"/>
    <w:rsid w:val="005410C5"/>
    <w:rsid w:val="0054113B"/>
    <w:rsid w:val="0054120E"/>
    <w:rsid w:val="005415DF"/>
    <w:rsid w:val="00541788"/>
    <w:rsid w:val="0054195F"/>
    <w:rsid w:val="00541963"/>
    <w:rsid w:val="00541C06"/>
    <w:rsid w:val="00541C08"/>
    <w:rsid w:val="00541C33"/>
    <w:rsid w:val="00541D95"/>
    <w:rsid w:val="00541DAD"/>
    <w:rsid w:val="00541FCF"/>
    <w:rsid w:val="00542072"/>
    <w:rsid w:val="005424E5"/>
    <w:rsid w:val="00542C71"/>
    <w:rsid w:val="00542F6A"/>
    <w:rsid w:val="005432D6"/>
    <w:rsid w:val="005433C7"/>
    <w:rsid w:val="00543436"/>
    <w:rsid w:val="00543528"/>
    <w:rsid w:val="00543588"/>
    <w:rsid w:val="0054369A"/>
    <w:rsid w:val="005437E4"/>
    <w:rsid w:val="005439E0"/>
    <w:rsid w:val="00543A02"/>
    <w:rsid w:val="00543C80"/>
    <w:rsid w:val="00543CF1"/>
    <w:rsid w:val="0054415E"/>
    <w:rsid w:val="00544210"/>
    <w:rsid w:val="00544405"/>
    <w:rsid w:val="005444AB"/>
    <w:rsid w:val="00544503"/>
    <w:rsid w:val="005445B0"/>
    <w:rsid w:val="00544653"/>
    <w:rsid w:val="00544878"/>
    <w:rsid w:val="00544AC6"/>
    <w:rsid w:val="00544AD8"/>
    <w:rsid w:val="00544D76"/>
    <w:rsid w:val="00544DA2"/>
    <w:rsid w:val="00544F02"/>
    <w:rsid w:val="00544F0F"/>
    <w:rsid w:val="00544F65"/>
    <w:rsid w:val="00545177"/>
    <w:rsid w:val="005451DC"/>
    <w:rsid w:val="00545568"/>
    <w:rsid w:val="005455D1"/>
    <w:rsid w:val="0054564E"/>
    <w:rsid w:val="00546407"/>
    <w:rsid w:val="0054640C"/>
    <w:rsid w:val="0054645F"/>
    <w:rsid w:val="005464A7"/>
    <w:rsid w:val="005464BB"/>
    <w:rsid w:val="00546510"/>
    <w:rsid w:val="00546613"/>
    <w:rsid w:val="00546653"/>
    <w:rsid w:val="00546825"/>
    <w:rsid w:val="00546DB4"/>
    <w:rsid w:val="00546DFE"/>
    <w:rsid w:val="00546ED4"/>
    <w:rsid w:val="00546F33"/>
    <w:rsid w:val="00547030"/>
    <w:rsid w:val="0054704A"/>
    <w:rsid w:val="005478CC"/>
    <w:rsid w:val="00547914"/>
    <w:rsid w:val="00547C10"/>
    <w:rsid w:val="005501B1"/>
    <w:rsid w:val="00550335"/>
    <w:rsid w:val="005506A9"/>
    <w:rsid w:val="00550858"/>
    <w:rsid w:val="00550926"/>
    <w:rsid w:val="00550DD8"/>
    <w:rsid w:val="00550F52"/>
    <w:rsid w:val="00550F76"/>
    <w:rsid w:val="0055139E"/>
    <w:rsid w:val="0055150A"/>
    <w:rsid w:val="005515F1"/>
    <w:rsid w:val="0055167D"/>
    <w:rsid w:val="005517B8"/>
    <w:rsid w:val="00551885"/>
    <w:rsid w:val="005519B1"/>
    <w:rsid w:val="005519DE"/>
    <w:rsid w:val="00551D51"/>
    <w:rsid w:val="00551E91"/>
    <w:rsid w:val="00552785"/>
    <w:rsid w:val="0055284F"/>
    <w:rsid w:val="0055291A"/>
    <w:rsid w:val="00552AC7"/>
    <w:rsid w:val="00552B07"/>
    <w:rsid w:val="00552B08"/>
    <w:rsid w:val="00552D3E"/>
    <w:rsid w:val="00553085"/>
    <w:rsid w:val="00553209"/>
    <w:rsid w:val="0055322E"/>
    <w:rsid w:val="005534B4"/>
    <w:rsid w:val="0055358A"/>
    <w:rsid w:val="005536A7"/>
    <w:rsid w:val="005536D0"/>
    <w:rsid w:val="00553A02"/>
    <w:rsid w:val="00553A17"/>
    <w:rsid w:val="00553A5C"/>
    <w:rsid w:val="00553AAD"/>
    <w:rsid w:val="00553B4A"/>
    <w:rsid w:val="00553C6E"/>
    <w:rsid w:val="00553D0F"/>
    <w:rsid w:val="00553D76"/>
    <w:rsid w:val="00553E9A"/>
    <w:rsid w:val="00554008"/>
    <w:rsid w:val="0055407E"/>
    <w:rsid w:val="00554216"/>
    <w:rsid w:val="00554230"/>
    <w:rsid w:val="005542AA"/>
    <w:rsid w:val="00554796"/>
    <w:rsid w:val="00554B3F"/>
    <w:rsid w:val="00554EB1"/>
    <w:rsid w:val="00555240"/>
    <w:rsid w:val="00555272"/>
    <w:rsid w:val="0055583F"/>
    <w:rsid w:val="00555902"/>
    <w:rsid w:val="005559EA"/>
    <w:rsid w:val="00555BEA"/>
    <w:rsid w:val="00555C7D"/>
    <w:rsid w:val="00555D80"/>
    <w:rsid w:val="005561A2"/>
    <w:rsid w:val="00556324"/>
    <w:rsid w:val="00556871"/>
    <w:rsid w:val="00556898"/>
    <w:rsid w:val="005569DD"/>
    <w:rsid w:val="00556FD4"/>
    <w:rsid w:val="005573CE"/>
    <w:rsid w:val="005579B0"/>
    <w:rsid w:val="00557A78"/>
    <w:rsid w:val="00557BBC"/>
    <w:rsid w:val="00557BE7"/>
    <w:rsid w:val="00557CD9"/>
    <w:rsid w:val="00557E04"/>
    <w:rsid w:val="00557F67"/>
    <w:rsid w:val="0056004A"/>
    <w:rsid w:val="0056031E"/>
    <w:rsid w:val="00560391"/>
    <w:rsid w:val="00560404"/>
    <w:rsid w:val="005604F0"/>
    <w:rsid w:val="005605C1"/>
    <w:rsid w:val="005605F6"/>
    <w:rsid w:val="00560877"/>
    <w:rsid w:val="005608A1"/>
    <w:rsid w:val="00560BA5"/>
    <w:rsid w:val="00560E40"/>
    <w:rsid w:val="00560E67"/>
    <w:rsid w:val="00560ED9"/>
    <w:rsid w:val="00560F80"/>
    <w:rsid w:val="0056122A"/>
    <w:rsid w:val="0056129F"/>
    <w:rsid w:val="005613D1"/>
    <w:rsid w:val="0056147F"/>
    <w:rsid w:val="005617F2"/>
    <w:rsid w:val="0056183D"/>
    <w:rsid w:val="005618B1"/>
    <w:rsid w:val="005618CA"/>
    <w:rsid w:val="00561952"/>
    <w:rsid w:val="005619DA"/>
    <w:rsid w:val="00561E18"/>
    <w:rsid w:val="00562161"/>
    <w:rsid w:val="0056243E"/>
    <w:rsid w:val="00562455"/>
    <w:rsid w:val="005624E8"/>
    <w:rsid w:val="00562502"/>
    <w:rsid w:val="00562875"/>
    <w:rsid w:val="00562B2E"/>
    <w:rsid w:val="00562D82"/>
    <w:rsid w:val="00562DF8"/>
    <w:rsid w:val="00562F66"/>
    <w:rsid w:val="00563122"/>
    <w:rsid w:val="00563123"/>
    <w:rsid w:val="005631B3"/>
    <w:rsid w:val="00563BA3"/>
    <w:rsid w:val="00563E3A"/>
    <w:rsid w:val="00563F83"/>
    <w:rsid w:val="005641A0"/>
    <w:rsid w:val="0056423E"/>
    <w:rsid w:val="005645D4"/>
    <w:rsid w:val="00564A9B"/>
    <w:rsid w:val="00564AE4"/>
    <w:rsid w:val="00564EB1"/>
    <w:rsid w:val="00565111"/>
    <w:rsid w:val="0056512A"/>
    <w:rsid w:val="005651CF"/>
    <w:rsid w:val="00565475"/>
    <w:rsid w:val="005654F5"/>
    <w:rsid w:val="00565593"/>
    <w:rsid w:val="005655C9"/>
    <w:rsid w:val="00565938"/>
    <w:rsid w:val="00565D41"/>
    <w:rsid w:val="005660D8"/>
    <w:rsid w:val="00566208"/>
    <w:rsid w:val="00566211"/>
    <w:rsid w:val="0056656D"/>
    <w:rsid w:val="00566581"/>
    <w:rsid w:val="005665AB"/>
    <w:rsid w:val="005666BA"/>
    <w:rsid w:val="00566BB6"/>
    <w:rsid w:val="00567356"/>
    <w:rsid w:val="0056736F"/>
    <w:rsid w:val="00567600"/>
    <w:rsid w:val="005678A9"/>
    <w:rsid w:val="00567904"/>
    <w:rsid w:val="005679A6"/>
    <w:rsid w:val="00567BA7"/>
    <w:rsid w:val="00567DA7"/>
    <w:rsid w:val="00567FF5"/>
    <w:rsid w:val="00570199"/>
    <w:rsid w:val="005703C7"/>
    <w:rsid w:val="0057065B"/>
    <w:rsid w:val="005709D6"/>
    <w:rsid w:val="00570B2E"/>
    <w:rsid w:val="00570BF8"/>
    <w:rsid w:val="00570CB4"/>
    <w:rsid w:val="00570CE1"/>
    <w:rsid w:val="0057100D"/>
    <w:rsid w:val="005711C8"/>
    <w:rsid w:val="005715B8"/>
    <w:rsid w:val="005715E0"/>
    <w:rsid w:val="0057166F"/>
    <w:rsid w:val="005718C1"/>
    <w:rsid w:val="005719D5"/>
    <w:rsid w:val="00571D3F"/>
    <w:rsid w:val="00571DD1"/>
    <w:rsid w:val="00571E5C"/>
    <w:rsid w:val="00571F6A"/>
    <w:rsid w:val="00572048"/>
    <w:rsid w:val="00572292"/>
    <w:rsid w:val="005722C5"/>
    <w:rsid w:val="0057277D"/>
    <w:rsid w:val="0057282E"/>
    <w:rsid w:val="00572879"/>
    <w:rsid w:val="00572932"/>
    <w:rsid w:val="005729D3"/>
    <w:rsid w:val="00572BC5"/>
    <w:rsid w:val="005736FA"/>
    <w:rsid w:val="00573994"/>
    <w:rsid w:val="00573A94"/>
    <w:rsid w:val="00573B2F"/>
    <w:rsid w:val="00573D16"/>
    <w:rsid w:val="005744C0"/>
    <w:rsid w:val="00574914"/>
    <w:rsid w:val="00574AC8"/>
    <w:rsid w:val="00574D8F"/>
    <w:rsid w:val="005751BC"/>
    <w:rsid w:val="00575477"/>
    <w:rsid w:val="00575603"/>
    <w:rsid w:val="005757B2"/>
    <w:rsid w:val="005757C1"/>
    <w:rsid w:val="00575857"/>
    <w:rsid w:val="005759FE"/>
    <w:rsid w:val="00575A56"/>
    <w:rsid w:val="00575BE7"/>
    <w:rsid w:val="00575C75"/>
    <w:rsid w:val="00575DEC"/>
    <w:rsid w:val="00575E69"/>
    <w:rsid w:val="00575FF9"/>
    <w:rsid w:val="0057616E"/>
    <w:rsid w:val="005763B1"/>
    <w:rsid w:val="00576722"/>
    <w:rsid w:val="00576AB5"/>
    <w:rsid w:val="00576CE3"/>
    <w:rsid w:val="005773D5"/>
    <w:rsid w:val="00577489"/>
    <w:rsid w:val="00577568"/>
    <w:rsid w:val="00577829"/>
    <w:rsid w:val="0057785F"/>
    <w:rsid w:val="005778CC"/>
    <w:rsid w:val="00577AF8"/>
    <w:rsid w:val="00577CA2"/>
    <w:rsid w:val="00577D16"/>
    <w:rsid w:val="00577E14"/>
    <w:rsid w:val="00577E23"/>
    <w:rsid w:val="00580230"/>
    <w:rsid w:val="00580532"/>
    <w:rsid w:val="00580593"/>
    <w:rsid w:val="005807C8"/>
    <w:rsid w:val="00580898"/>
    <w:rsid w:val="00580C88"/>
    <w:rsid w:val="00580D57"/>
    <w:rsid w:val="0058101A"/>
    <w:rsid w:val="00581145"/>
    <w:rsid w:val="00581370"/>
    <w:rsid w:val="00581630"/>
    <w:rsid w:val="00581676"/>
    <w:rsid w:val="005816DB"/>
    <w:rsid w:val="00581833"/>
    <w:rsid w:val="00581F35"/>
    <w:rsid w:val="0058237A"/>
    <w:rsid w:val="005827A6"/>
    <w:rsid w:val="00582A42"/>
    <w:rsid w:val="00582B05"/>
    <w:rsid w:val="00582D6C"/>
    <w:rsid w:val="00583050"/>
    <w:rsid w:val="0058321C"/>
    <w:rsid w:val="005832E3"/>
    <w:rsid w:val="00583339"/>
    <w:rsid w:val="005833A5"/>
    <w:rsid w:val="005837A9"/>
    <w:rsid w:val="00583936"/>
    <w:rsid w:val="005839DE"/>
    <w:rsid w:val="00583C54"/>
    <w:rsid w:val="00584028"/>
    <w:rsid w:val="00584875"/>
    <w:rsid w:val="005849AE"/>
    <w:rsid w:val="00584C95"/>
    <w:rsid w:val="00584D69"/>
    <w:rsid w:val="00584FEF"/>
    <w:rsid w:val="00585281"/>
    <w:rsid w:val="0058562E"/>
    <w:rsid w:val="00585682"/>
    <w:rsid w:val="00585684"/>
    <w:rsid w:val="00585B28"/>
    <w:rsid w:val="00585D21"/>
    <w:rsid w:val="00585E9F"/>
    <w:rsid w:val="00585ED0"/>
    <w:rsid w:val="00585FF8"/>
    <w:rsid w:val="00586196"/>
    <w:rsid w:val="005865F9"/>
    <w:rsid w:val="0058662F"/>
    <w:rsid w:val="00586850"/>
    <w:rsid w:val="00586B2B"/>
    <w:rsid w:val="00586EFD"/>
    <w:rsid w:val="005870B7"/>
    <w:rsid w:val="005871AA"/>
    <w:rsid w:val="005871F2"/>
    <w:rsid w:val="0058760E"/>
    <w:rsid w:val="005877EF"/>
    <w:rsid w:val="00587B88"/>
    <w:rsid w:val="00587E5C"/>
    <w:rsid w:val="00590180"/>
    <w:rsid w:val="00590195"/>
    <w:rsid w:val="005903C8"/>
    <w:rsid w:val="00590725"/>
    <w:rsid w:val="00590C5F"/>
    <w:rsid w:val="00590E06"/>
    <w:rsid w:val="00590E2F"/>
    <w:rsid w:val="005910BF"/>
    <w:rsid w:val="00591131"/>
    <w:rsid w:val="00591609"/>
    <w:rsid w:val="005917BA"/>
    <w:rsid w:val="0059197A"/>
    <w:rsid w:val="00591CDE"/>
    <w:rsid w:val="00592008"/>
    <w:rsid w:val="00592307"/>
    <w:rsid w:val="0059244C"/>
    <w:rsid w:val="00592636"/>
    <w:rsid w:val="00592687"/>
    <w:rsid w:val="0059283E"/>
    <w:rsid w:val="0059291E"/>
    <w:rsid w:val="00592BA5"/>
    <w:rsid w:val="00592F33"/>
    <w:rsid w:val="005931E4"/>
    <w:rsid w:val="0059320A"/>
    <w:rsid w:val="0059335B"/>
    <w:rsid w:val="00593559"/>
    <w:rsid w:val="00593B30"/>
    <w:rsid w:val="00593C1C"/>
    <w:rsid w:val="00593C8F"/>
    <w:rsid w:val="00593E73"/>
    <w:rsid w:val="005943E1"/>
    <w:rsid w:val="0059464F"/>
    <w:rsid w:val="0059465D"/>
    <w:rsid w:val="00594701"/>
    <w:rsid w:val="005947FA"/>
    <w:rsid w:val="00594AC1"/>
    <w:rsid w:val="00594D4D"/>
    <w:rsid w:val="005950C9"/>
    <w:rsid w:val="0059519B"/>
    <w:rsid w:val="005951EE"/>
    <w:rsid w:val="005955C4"/>
    <w:rsid w:val="00595A89"/>
    <w:rsid w:val="00595C62"/>
    <w:rsid w:val="00595EF1"/>
    <w:rsid w:val="00595F4E"/>
    <w:rsid w:val="0059631F"/>
    <w:rsid w:val="00596332"/>
    <w:rsid w:val="005963E3"/>
    <w:rsid w:val="005963F3"/>
    <w:rsid w:val="005965C9"/>
    <w:rsid w:val="00596729"/>
    <w:rsid w:val="00596853"/>
    <w:rsid w:val="00596953"/>
    <w:rsid w:val="00596CAE"/>
    <w:rsid w:val="00596E4A"/>
    <w:rsid w:val="00596EAE"/>
    <w:rsid w:val="00596F3B"/>
    <w:rsid w:val="005970FF"/>
    <w:rsid w:val="0059713C"/>
    <w:rsid w:val="00597246"/>
    <w:rsid w:val="0059749F"/>
    <w:rsid w:val="005974A6"/>
    <w:rsid w:val="0059790F"/>
    <w:rsid w:val="00597B44"/>
    <w:rsid w:val="00597D5F"/>
    <w:rsid w:val="00597F8B"/>
    <w:rsid w:val="00597FBD"/>
    <w:rsid w:val="005A0285"/>
    <w:rsid w:val="005A03CA"/>
    <w:rsid w:val="005A0710"/>
    <w:rsid w:val="005A0736"/>
    <w:rsid w:val="005A085F"/>
    <w:rsid w:val="005A0CFF"/>
    <w:rsid w:val="005A0EDF"/>
    <w:rsid w:val="005A10AA"/>
    <w:rsid w:val="005A112D"/>
    <w:rsid w:val="005A12EF"/>
    <w:rsid w:val="005A158C"/>
    <w:rsid w:val="005A1631"/>
    <w:rsid w:val="005A165E"/>
    <w:rsid w:val="005A175A"/>
    <w:rsid w:val="005A1B13"/>
    <w:rsid w:val="005A1B2F"/>
    <w:rsid w:val="005A1F19"/>
    <w:rsid w:val="005A25EC"/>
    <w:rsid w:val="005A29B0"/>
    <w:rsid w:val="005A2AAD"/>
    <w:rsid w:val="005A2BE2"/>
    <w:rsid w:val="005A2E00"/>
    <w:rsid w:val="005A2E6C"/>
    <w:rsid w:val="005A2E70"/>
    <w:rsid w:val="005A2F1B"/>
    <w:rsid w:val="005A2F1D"/>
    <w:rsid w:val="005A303D"/>
    <w:rsid w:val="005A311B"/>
    <w:rsid w:val="005A32F9"/>
    <w:rsid w:val="005A35A9"/>
    <w:rsid w:val="005A35CE"/>
    <w:rsid w:val="005A381F"/>
    <w:rsid w:val="005A3F75"/>
    <w:rsid w:val="005A400A"/>
    <w:rsid w:val="005A426A"/>
    <w:rsid w:val="005A4315"/>
    <w:rsid w:val="005A4336"/>
    <w:rsid w:val="005A43D2"/>
    <w:rsid w:val="005A475F"/>
    <w:rsid w:val="005A4931"/>
    <w:rsid w:val="005A4B80"/>
    <w:rsid w:val="005A4C09"/>
    <w:rsid w:val="005A4E75"/>
    <w:rsid w:val="005A5092"/>
    <w:rsid w:val="005A50DE"/>
    <w:rsid w:val="005A51B6"/>
    <w:rsid w:val="005A5318"/>
    <w:rsid w:val="005A5479"/>
    <w:rsid w:val="005A5678"/>
    <w:rsid w:val="005A582B"/>
    <w:rsid w:val="005A594B"/>
    <w:rsid w:val="005A598D"/>
    <w:rsid w:val="005A605C"/>
    <w:rsid w:val="005A62B3"/>
    <w:rsid w:val="005A6472"/>
    <w:rsid w:val="005A665F"/>
    <w:rsid w:val="005A6CE1"/>
    <w:rsid w:val="005A6FC0"/>
    <w:rsid w:val="005A70A8"/>
    <w:rsid w:val="005A714C"/>
    <w:rsid w:val="005A728E"/>
    <w:rsid w:val="005A73E9"/>
    <w:rsid w:val="005A7808"/>
    <w:rsid w:val="005A7842"/>
    <w:rsid w:val="005A7C02"/>
    <w:rsid w:val="005A7FFC"/>
    <w:rsid w:val="005B0306"/>
    <w:rsid w:val="005B0591"/>
    <w:rsid w:val="005B0677"/>
    <w:rsid w:val="005B09E7"/>
    <w:rsid w:val="005B0A89"/>
    <w:rsid w:val="005B0ACE"/>
    <w:rsid w:val="005B0AD8"/>
    <w:rsid w:val="005B0E57"/>
    <w:rsid w:val="005B104E"/>
    <w:rsid w:val="005B10E5"/>
    <w:rsid w:val="005B12F5"/>
    <w:rsid w:val="005B19D6"/>
    <w:rsid w:val="005B19DF"/>
    <w:rsid w:val="005B1BCF"/>
    <w:rsid w:val="005B2349"/>
    <w:rsid w:val="005B2442"/>
    <w:rsid w:val="005B259C"/>
    <w:rsid w:val="005B2827"/>
    <w:rsid w:val="005B2926"/>
    <w:rsid w:val="005B2A03"/>
    <w:rsid w:val="005B2A72"/>
    <w:rsid w:val="005B2A92"/>
    <w:rsid w:val="005B2C2C"/>
    <w:rsid w:val="005B3180"/>
    <w:rsid w:val="005B33F0"/>
    <w:rsid w:val="005B3417"/>
    <w:rsid w:val="005B3512"/>
    <w:rsid w:val="005B3750"/>
    <w:rsid w:val="005B3AF9"/>
    <w:rsid w:val="005B41E9"/>
    <w:rsid w:val="005B421F"/>
    <w:rsid w:val="005B44CD"/>
    <w:rsid w:val="005B47C1"/>
    <w:rsid w:val="005B4809"/>
    <w:rsid w:val="005B5220"/>
    <w:rsid w:val="005B57B2"/>
    <w:rsid w:val="005B5A5C"/>
    <w:rsid w:val="005B5A73"/>
    <w:rsid w:val="005B5F17"/>
    <w:rsid w:val="005B6015"/>
    <w:rsid w:val="005B612F"/>
    <w:rsid w:val="005B65B2"/>
    <w:rsid w:val="005B67E0"/>
    <w:rsid w:val="005B69BA"/>
    <w:rsid w:val="005B6AEB"/>
    <w:rsid w:val="005B6BB7"/>
    <w:rsid w:val="005B6CA7"/>
    <w:rsid w:val="005B6DC6"/>
    <w:rsid w:val="005B6F09"/>
    <w:rsid w:val="005B7138"/>
    <w:rsid w:val="005B717B"/>
    <w:rsid w:val="005B71B1"/>
    <w:rsid w:val="005B7247"/>
    <w:rsid w:val="005B725B"/>
    <w:rsid w:val="005B7A3E"/>
    <w:rsid w:val="005C01A6"/>
    <w:rsid w:val="005C024C"/>
    <w:rsid w:val="005C02C5"/>
    <w:rsid w:val="005C0302"/>
    <w:rsid w:val="005C04F8"/>
    <w:rsid w:val="005C05C6"/>
    <w:rsid w:val="005C06FE"/>
    <w:rsid w:val="005C0E14"/>
    <w:rsid w:val="005C17BE"/>
    <w:rsid w:val="005C1A5E"/>
    <w:rsid w:val="005C1BAB"/>
    <w:rsid w:val="005C1EFB"/>
    <w:rsid w:val="005C24A9"/>
    <w:rsid w:val="005C2710"/>
    <w:rsid w:val="005C275F"/>
    <w:rsid w:val="005C28F1"/>
    <w:rsid w:val="005C295D"/>
    <w:rsid w:val="005C2B8C"/>
    <w:rsid w:val="005C2DE0"/>
    <w:rsid w:val="005C2E5D"/>
    <w:rsid w:val="005C2FFF"/>
    <w:rsid w:val="005C323E"/>
    <w:rsid w:val="005C3555"/>
    <w:rsid w:val="005C35BA"/>
    <w:rsid w:val="005C392C"/>
    <w:rsid w:val="005C3AA9"/>
    <w:rsid w:val="005C3CDF"/>
    <w:rsid w:val="005C3F69"/>
    <w:rsid w:val="005C4236"/>
    <w:rsid w:val="005C4771"/>
    <w:rsid w:val="005C4AD3"/>
    <w:rsid w:val="005C5115"/>
    <w:rsid w:val="005C5144"/>
    <w:rsid w:val="005C5369"/>
    <w:rsid w:val="005C5408"/>
    <w:rsid w:val="005C545A"/>
    <w:rsid w:val="005C56B2"/>
    <w:rsid w:val="005C5781"/>
    <w:rsid w:val="005C5793"/>
    <w:rsid w:val="005C5877"/>
    <w:rsid w:val="005C5C0F"/>
    <w:rsid w:val="005C5D2A"/>
    <w:rsid w:val="005C626D"/>
    <w:rsid w:val="005C63CC"/>
    <w:rsid w:val="005C6984"/>
    <w:rsid w:val="005C6CB3"/>
    <w:rsid w:val="005C6D65"/>
    <w:rsid w:val="005C6DFA"/>
    <w:rsid w:val="005C6F64"/>
    <w:rsid w:val="005C7123"/>
    <w:rsid w:val="005C7255"/>
    <w:rsid w:val="005C73CC"/>
    <w:rsid w:val="005C7798"/>
    <w:rsid w:val="005C7CEC"/>
    <w:rsid w:val="005C7E7C"/>
    <w:rsid w:val="005D03EA"/>
    <w:rsid w:val="005D06AC"/>
    <w:rsid w:val="005D082B"/>
    <w:rsid w:val="005D0A91"/>
    <w:rsid w:val="005D0BE0"/>
    <w:rsid w:val="005D0C7F"/>
    <w:rsid w:val="005D0D90"/>
    <w:rsid w:val="005D0EA8"/>
    <w:rsid w:val="005D0FA4"/>
    <w:rsid w:val="005D101A"/>
    <w:rsid w:val="005D1395"/>
    <w:rsid w:val="005D14D9"/>
    <w:rsid w:val="005D169D"/>
    <w:rsid w:val="005D17CC"/>
    <w:rsid w:val="005D1A0C"/>
    <w:rsid w:val="005D1B4C"/>
    <w:rsid w:val="005D1BEC"/>
    <w:rsid w:val="005D1C92"/>
    <w:rsid w:val="005D1CB5"/>
    <w:rsid w:val="005D21ED"/>
    <w:rsid w:val="005D2558"/>
    <w:rsid w:val="005D2701"/>
    <w:rsid w:val="005D2AE7"/>
    <w:rsid w:val="005D2B67"/>
    <w:rsid w:val="005D2C6C"/>
    <w:rsid w:val="005D2D69"/>
    <w:rsid w:val="005D2DAA"/>
    <w:rsid w:val="005D333D"/>
    <w:rsid w:val="005D341F"/>
    <w:rsid w:val="005D35BC"/>
    <w:rsid w:val="005D361C"/>
    <w:rsid w:val="005D38F7"/>
    <w:rsid w:val="005D3B42"/>
    <w:rsid w:val="005D3D9D"/>
    <w:rsid w:val="005D3F38"/>
    <w:rsid w:val="005D4201"/>
    <w:rsid w:val="005D4220"/>
    <w:rsid w:val="005D4643"/>
    <w:rsid w:val="005D46C6"/>
    <w:rsid w:val="005D4811"/>
    <w:rsid w:val="005D4963"/>
    <w:rsid w:val="005D4A18"/>
    <w:rsid w:val="005D4AFC"/>
    <w:rsid w:val="005D4B61"/>
    <w:rsid w:val="005D4C31"/>
    <w:rsid w:val="005D4DFE"/>
    <w:rsid w:val="005D50C4"/>
    <w:rsid w:val="005D52A4"/>
    <w:rsid w:val="005D538F"/>
    <w:rsid w:val="005D53AD"/>
    <w:rsid w:val="005D54AC"/>
    <w:rsid w:val="005D57C3"/>
    <w:rsid w:val="005D57E6"/>
    <w:rsid w:val="005D584D"/>
    <w:rsid w:val="005D5C48"/>
    <w:rsid w:val="005D5D6D"/>
    <w:rsid w:val="005D5EF9"/>
    <w:rsid w:val="005D5EFC"/>
    <w:rsid w:val="005D5FE9"/>
    <w:rsid w:val="005D6528"/>
    <w:rsid w:val="005D66C2"/>
    <w:rsid w:val="005D6814"/>
    <w:rsid w:val="005D6827"/>
    <w:rsid w:val="005D6B64"/>
    <w:rsid w:val="005D6BF5"/>
    <w:rsid w:val="005D6C99"/>
    <w:rsid w:val="005D705E"/>
    <w:rsid w:val="005D7701"/>
    <w:rsid w:val="005D7804"/>
    <w:rsid w:val="005D7CBC"/>
    <w:rsid w:val="005E0241"/>
    <w:rsid w:val="005E040A"/>
    <w:rsid w:val="005E043E"/>
    <w:rsid w:val="005E0775"/>
    <w:rsid w:val="005E07AC"/>
    <w:rsid w:val="005E07EE"/>
    <w:rsid w:val="005E0872"/>
    <w:rsid w:val="005E0883"/>
    <w:rsid w:val="005E0C36"/>
    <w:rsid w:val="005E1008"/>
    <w:rsid w:val="005E1113"/>
    <w:rsid w:val="005E178B"/>
    <w:rsid w:val="005E1924"/>
    <w:rsid w:val="005E1BE9"/>
    <w:rsid w:val="005E1FF5"/>
    <w:rsid w:val="005E2115"/>
    <w:rsid w:val="005E21C0"/>
    <w:rsid w:val="005E24D1"/>
    <w:rsid w:val="005E2788"/>
    <w:rsid w:val="005E2891"/>
    <w:rsid w:val="005E2A0D"/>
    <w:rsid w:val="005E2D7D"/>
    <w:rsid w:val="005E3078"/>
    <w:rsid w:val="005E3435"/>
    <w:rsid w:val="005E35B3"/>
    <w:rsid w:val="005E35D7"/>
    <w:rsid w:val="005E36A0"/>
    <w:rsid w:val="005E3723"/>
    <w:rsid w:val="005E3B0D"/>
    <w:rsid w:val="005E3B7C"/>
    <w:rsid w:val="005E3C6B"/>
    <w:rsid w:val="005E3D4E"/>
    <w:rsid w:val="005E4027"/>
    <w:rsid w:val="005E40B0"/>
    <w:rsid w:val="005E451B"/>
    <w:rsid w:val="005E45AA"/>
    <w:rsid w:val="005E473F"/>
    <w:rsid w:val="005E4C3E"/>
    <w:rsid w:val="005E4C4E"/>
    <w:rsid w:val="005E4C65"/>
    <w:rsid w:val="005E4F4D"/>
    <w:rsid w:val="005E511F"/>
    <w:rsid w:val="005E528F"/>
    <w:rsid w:val="005E52AA"/>
    <w:rsid w:val="005E5348"/>
    <w:rsid w:val="005E543D"/>
    <w:rsid w:val="005E545A"/>
    <w:rsid w:val="005E548B"/>
    <w:rsid w:val="005E5574"/>
    <w:rsid w:val="005E5981"/>
    <w:rsid w:val="005E5A53"/>
    <w:rsid w:val="005E5B32"/>
    <w:rsid w:val="005E5CD2"/>
    <w:rsid w:val="005E5D54"/>
    <w:rsid w:val="005E5D9E"/>
    <w:rsid w:val="005E60F5"/>
    <w:rsid w:val="005E60F9"/>
    <w:rsid w:val="005E6447"/>
    <w:rsid w:val="005E6583"/>
    <w:rsid w:val="005E6849"/>
    <w:rsid w:val="005E6CFC"/>
    <w:rsid w:val="005E6DCE"/>
    <w:rsid w:val="005E6EBF"/>
    <w:rsid w:val="005E6F34"/>
    <w:rsid w:val="005E6FF2"/>
    <w:rsid w:val="005E739C"/>
    <w:rsid w:val="005E770E"/>
    <w:rsid w:val="005E77A5"/>
    <w:rsid w:val="005E7911"/>
    <w:rsid w:val="005E79DE"/>
    <w:rsid w:val="005E7A90"/>
    <w:rsid w:val="005E7C12"/>
    <w:rsid w:val="005E7C17"/>
    <w:rsid w:val="005E7E32"/>
    <w:rsid w:val="005F00A0"/>
    <w:rsid w:val="005F0126"/>
    <w:rsid w:val="005F02EB"/>
    <w:rsid w:val="005F0334"/>
    <w:rsid w:val="005F04A3"/>
    <w:rsid w:val="005F05E4"/>
    <w:rsid w:val="005F09A2"/>
    <w:rsid w:val="005F0AB3"/>
    <w:rsid w:val="005F0D7A"/>
    <w:rsid w:val="005F0E74"/>
    <w:rsid w:val="005F0E7B"/>
    <w:rsid w:val="005F0F1E"/>
    <w:rsid w:val="005F0F9B"/>
    <w:rsid w:val="005F0FF8"/>
    <w:rsid w:val="005F1732"/>
    <w:rsid w:val="005F179A"/>
    <w:rsid w:val="005F1A39"/>
    <w:rsid w:val="005F1DFC"/>
    <w:rsid w:val="005F20F0"/>
    <w:rsid w:val="005F26FD"/>
    <w:rsid w:val="005F297E"/>
    <w:rsid w:val="005F2B9E"/>
    <w:rsid w:val="005F2E02"/>
    <w:rsid w:val="005F2ECD"/>
    <w:rsid w:val="005F30CA"/>
    <w:rsid w:val="005F30DD"/>
    <w:rsid w:val="005F3118"/>
    <w:rsid w:val="005F31BB"/>
    <w:rsid w:val="005F330A"/>
    <w:rsid w:val="005F362C"/>
    <w:rsid w:val="005F3B85"/>
    <w:rsid w:val="005F3B92"/>
    <w:rsid w:val="005F3CBE"/>
    <w:rsid w:val="005F3CE9"/>
    <w:rsid w:val="005F4ADF"/>
    <w:rsid w:val="005F4B7C"/>
    <w:rsid w:val="005F4BC6"/>
    <w:rsid w:val="005F4BE5"/>
    <w:rsid w:val="005F4C1C"/>
    <w:rsid w:val="005F4D52"/>
    <w:rsid w:val="005F4E49"/>
    <w:rsid w:val="005F4F71"/>
    <w:rsid w:val="005F4FE3"/>
    <w:rsid w:val="005F4FFC"/>
    <w:rsid w:val="005F505E"/>
    <w:rsid w:val="005F55B7"/>
    <w:rsid w:val="005F55E8"/>
    <w:rsid w:val="005F57E2"/>
    <w:rsid w:val="005F58C7"/>
    <w:rsid w:val="005F5AAD"/>
    <w:rsid w:val="005F5CB8"/>
    <w:rsid w:val="005F606E"/>
    <w:rsid w:val="005F606F"/>
    <w:rsid w:val="005F6485"/>
    <w:rsid w:val="005F6681"/>
    <w:rsid w:val="005F6C0A"/>
    <w:rsid w:val="005F6C0D"/>
    <w:rsid w:val="005F6C8A"/>
    <w:rsid w:val="005F6EE2"/>
    <w:rsid w:val="005F7001"/>
    <w:rsid w:val="005F7135"/>
    <w:rsid w:val="005F715E"/>
    <w:rsid w:val="005F71F8"/>
    <w:rsid w:val="005F7244"/>
    <w:rsid w:val="005F7246"/>
    <w:rsid w:val="005F73EC"/>
    <w:rsid w:val="005F7B26"/>
    <w:rsid w:val="00600217"/>
    <w:rsid w:val="0060021D"/>
    <w:rsid w:val="0060037E"/>
    <w:rsid w:val="006004CF"/>
    <w:rsid w:val="006006C7"/>
    <w:rsid w:val="00600721"/>
    <w:rsid w:val="00600C74"/>
    <w:rsid w:val="00600EC0"/>
    <w:rsid w:val="00601323"/>
    <w:rsid w:val="006015A2"/>
    <w:rsid w:val="006015C5"/>
    <w:rsid w:val="006015E4"/>
    <w:rsid w:val="00601A17"/>
    <w:rsid w:val="00601AD5"/>
    <w:rsid w:val="00601D5B"/>
    <w:rsid w:val="00601D71"/>
    <w:rsid w:val="00601DD8"/>
    <w:rsid w:val="00601F1F"/>
    <w:rsid w:val="0060202E"/>
    <w:rsid w:val="006021A9"/>
    <w:rsid w:val="0060264E"/>
    <w:rsid w:val="006027B4"/>
    <w:rsid w:val="00602A91"/>
    <w:rsid w:val="00602B8D"/>
    <w:rsid w:val="00602BDE"/>
    <w:rsid w:val="0060316E"/>
    <w:rsid w:val="00603352"/>
    <w:rsid w:val="006033F0"/>
    <w:rsid w:val="00603418"/>
    <w:rsid w:val="00603565"/>
    <w:rsid w:val="006037E5"/>
    <w:rsid w:val="00603984"/>
    <w:rsid w:val="006039A8"/>
    <w:rsid w:val="00603A8A"/>
    <w:rsid w:val="00603AC2"/>
    <w:rsid w:val="00603AEB"/>
    <w:rsid w:val="00603B59"/>
    <w:rsid w:val="00603B8A"/>
    <w:rsid w:val="00603E00"/>
    <w:rsid w:val="006041A7"/>
    <w:rsid w:val="00604526"/>
    <w:rsid w:val="00604597"/>
    <w:rsid w:val="00604668"/>
    <w:rsid w:val="006046AE"/>
    <w:rsid w:val="006046B2"/>
    <w:rsid w:val="006046ED"/>
    <w:rsid w:val="00604750"/>
    <w:rsid w:val="00604865"/>
    <w:rsid w:val="00605005"/>
    <w:rsid w:val="0060533A"/>
    <w:rsid w:val="006055BA"/>
    <w:rsid w:val="00605790"/>
    <w:rsid w:val="006059F9"/>
    <w:rsid w:val="00605B04"/>
    <w:rsid w:val="00605B66"/>
    <w:rsid w:val="00605CF3"/>
    <w:rsid w:val="00605E6F"/>
    <w:rsid w:val="00605F2A"/>
    <w:rsid w:val="00605F3A"/>
    <w:rsid w:val="006060B3"/>
    <w:rsid w:val="00606180"/>
    <w:rsid w:val="006061A5"/>
    <w:rsid w:val="006061EF"/>
    <w:rsid w:val="00606242"/>
    <w:rsid w:val="00606352"/>
    <w:rsid w:val="00606888"/>
    <w:rsid w:val="006068B9"/>
    <w:rsid w:val="00606A15"/>
    <w:rsid w:val="00606BA5"/>
    <w:rsid w:val="00606C07"/>
    <w:rsid w:val="00606D06"/>
    <w:rsid w:val="006070F7"/>
    <w:rsid w:val="00607461"/>
    <w:rsid w:val="0060766A"/>
    <w:rsid w:val="0060768C"/>
    <w:rsid w:val="00607F3B"/>
    <w:rsid w:val="00610011"/>
    <w:rsid w:val="0061016D"/>
    <w:rsid w:val="00610368"/>
    <w:rsid w:val="00610394"/>
    <w:rsid w:val="0061048D"/>
    <w:rsid w:val="006105DB"/>
    <w:rsid w:val="006107FC"/>
    <w:rsid w:val="00610A36"/>
    <w:rsid w:val="00610BA5"/>
    <w:rsid w:val="00610CE8"/>
    <w:rsid w:val="00610DA6"/>
    <w:rsid w:val="00610FAA"/>
    <w:rsid w:val="00611545"/>
    <w:rsid w:val="00611C0B"/>
    <w:rsid w:val="00611CA5"/>
    <w:rsid w:val="00611DB6"/>
    <w:rsid w:val="00611E45"/>
    <w:rsid w:val="00611EB7"/>
    <w:rsid w:val="00611EC9"/>
    <w:rsid w:val="006120F7"/>
    <w:rsid w:val="006122BF"/>
    <w:rsid w:val="006122E1"/>
    <w:rsid w:val="006123DB"/>
    <w:rsid w:val="0061240D"/>
    <w:rsid w:val="00612569"/>
    <w:rsid w:val="00612752"/>
    <w:rsid w:val="00612770"/>
    <w:rsid w:val="00612A1F"/>
    <w:rsid w:val="00612C5F"/>
    <w:rsid w:val="00612D01"/>
    <w:rsid w:val="00612DD5"/>
    <w:rsid w:val="00612F06"/>
    <w:rsid w:val="00612F0E"/>
    <w:rsid w:val="00613035"/>
    <w:rsid w:val="006132CA"/>
    <w:rsid w:val="006132DE"/>
    <w:rsid w:val="006134DC"/>
    <w:rsid w:val="006138D4"/>
    <w:rsid w:val="00613EAB"/>
    <w:rsid w:val="0061403C"/>
    <w:rsid w:val="0061449F"/>
    <w:rsid w:val="006144F6"/>
    <w:rsid w:val="00614653"/>
    <w:rsid w:val="00614855"/>
    <w:rsid w:val="0061485F"/>
    <w:rsid w:val="006148F2"/>
    <w:rsid w:val="00614A68"/>
    <w:rsid w:val="00614C79"/>
    <w:rsid w:val="00614CA6"/>
    <w:rsid w:val="00614F1E"/>
    <w:rsid w:val="00614FFD"/>
    <w:rsid w:val="00615135"/>
    <w:rsid w:val="0061521E"/>
    <w:rsid w:val="00615398"/>
    <w:rsid w:val="00615847"/>
    <w:rsid w:val="00615CDA"/>
    <w:rsid w:val="0061685D"/>
    <w:rsid w:val="00616953"/>
    <w:rsid w:val="00616B26"/>
    <w:rsid w:val="00616B49"/>
    <w:rsid w:val="00616C96"/>
    <w:rsid w:val="00616D58"/>
    <w:rsid w:val="00616D6F"/>
    <w:rsid w:val="00616DD0"/>
    <w:rsid w:val="00617624"/>
    <w:rsid w:val="006177B3"/>
    <w:rsid w:val="00617A37"/>
    <w:rsid w:val="00617BCB"/>
    <w:rsid w:val="00617C60"/>
    <w:rsid w:val="00617D1D"/>
    <w:rsid w:val="00617DA8"/>
    <w:rsid w:val="0062005C"/>
    <w:rsid w:val="00620689"/>
    <w:rsid w:val="00620877"/>
    <w:rsid w:val="00620929"/>
    <w:rsid w:val="00620C36"/>
    <w:rsid w:val="0062121D"/>
    <w:rsid w:val="006212B6"/>
    <w:rsid w:val="00621583"/>
    <w:rsid w:val="006215A8"/>
    <w:rsid w:val="0062178A"/>
    <w:rsid w:val="0062182C"/>
    <w:rsid w:val="00621A57"/>
    <w:rsid w:val="00621AE7"/>
    <w:rsid w:val="00622470"/>
    <w:rsid w:val="00622644"/>
    <w:rsid w:val="006226D0"/>
    <w:rsid w:val="0062327C"/>
    <w:rsid w:val="0062331A"/>
    <w:rsid w:val="00623382"/>
    <w:rsid w:val="00623480"/>
    <w:rsid w:val="00623563"/>
    <w:rsid w:val="00623C05"/>
    <w:rsid w:val="00623C8F"/>
    <w:rsid w:val="00623EA5"/>
    <w:rsid w:val="00624B4C"/>
    <w:rsid w:val="00624D54"/>
    <w:rsid w:val="0062503B"/>
    <w:rsid w:val="00625106"/>
    <w:rsid w:val="006259CC"/>
    <w:rsid w:val="00625A6B"/>
    <w:rsid w:val="00625D2F"/>
    <w:rsid w:val="00625D7C"/>
    <w:rsid w:val="00625DE7"/>
    <w:rsid w:val="00625E03"/>
    <w:rsid w:val="00625ED6"/>
    <w:rsid w:val="006261A2"/>
    <w:rsid w:val="006261BA"/>
    <w:rsid w:val="006261BB"/>
    <w:rsid w:val="006262B8"/>
    <w:rsid w:val="006269E9"/>
    <w:rsid w:val="00626CBD"/>
    <w:rsid w:val="00626E2C"/>
    <w:rsid w:val="006276E6"/>
    <w:rsid w:val="00627BDA"/>
    <w:rsid w:val="00627D78"/>
    <w:rsid w:val="00627E0E"/>
    <w:rsid w:val="0063030B"/>
    <w:rsid w:val="006306CC"/>
    <w:rsid w:val="00630A57"/>
    <w:rsid w:val="00630AFE"/>
    <w:rsid w:val="00630B96"/>
    <w:rsid w:val="00630C47"/>
    <w:rsid w:val="00630CD0"/>
    <w:rsid w:val="00630CF8"/>
    <w:rsid w:val="00630D14"/>
    <w:rsid w:val="00630FE4"/>
    <w:rsid w:val="00631127"/>
    <w:rsid w:val="00631818"/>
    <w:rsid w:val="00631A89"/>
    <w:rsid w:val="00631C60"/>
    <w:rsid w:val="00631E50"/>
    <w:rsid w:val="00631FDA"/>
    <w:rsid w:val="0063200E"/>
    <w:rsid w:val="006325AD"/>
    <w:rsid w:val="00632840"/>
    <w:rsid w:val="0063291B"/>
    <w:rsid w:val="00632ED1"/>
    <w:rsid w:val="00632F1C"/>
    <w:rsid w:val="00632F2A"/>
    <w:rsid w:val="0063314F"/>
    <w:rsid w:val="006331BD"/>
    <w:rsid w:val="006333B7"/>
    <w:rsid w:val="00633903"/>
    <w:rsid w:val="0063394C"/>
    <w:rsid w:val="00633B88"/>
    <w:rsid w:val="00633D68"/>
    <w:rsid w:val="00633E50"/>
    <w:rsid w:val="0063418F"/>
    <w:rsid w:val="006341E7"/>
    <w:rsid w:val="00634242"/>
    <w:rsid w:val="00634582"/>
    <w:rsid w:val="0063482D"/>
    <w:rsid w:val="00634BCD"/>
    <w:rsid w:val="00634F60"/>
    <w:rsid w:val="00634F93"/>
    <w:rsid w:val="0063529C"/>
    <w:rsid w:val="006352FA"/>
    <w:rsid w:val="00635477"/>
    <w:rsid w:val="0063550B"/>
    <w:rsid w:val="00635670"/>
    <w:rsid w:val="006356F5"/>
    <w:rsid w:val="00635939"/>
    <w:rsid w:val="00635CF5"/>
    <w:rsid w:val="00635D7A"/>
    <w:rsid w:val="00635DF5"/>
    <w:rsid w:val="00635EC6"/>
    <w:rsid w:val="00636024"/>
    <w:rsid w:val="006361E1"/>
    <w:rsid w:val="00636479"/>
    <w:rsid w:val="006366C7"/>
    <w:rsid w:val="0063691C"/>
    <w:rsid w:val="00636A8A"/>
    <w:rsid w:val="00636B38"/>
    <w:rsid w:val="00636C55"/>
    <w:rsid w:val="00636D9C"/>
    <w:rsid w:val="00636DF5"/>
    <w:rsid w:val="006372B2"/>
    <w:rsid w:val="0063758B"/>
    <w:rsid w:val="00637843"/>
    <w:rsid w:val="0063784F"/>
    <w:rsid w:val="006378C7"/>
    <w:rsid w:val="00637AED"/>
    <w:rsid w:val="00637B5C"/>
    <w:rsid w:val="00637BCB"/>
    <w:rsid w:val="00637CCE"/>
    <w:rsid w:val="00637F9C"/>
    <w:rsid w:val="00640197"/>
    <w:rsid w:val="006401B7"/>
    <w:rsid w:val="0064028B"/>
    <w:rsid w:val="00640C00"/>
    <w:rsid w:val="00641124"/>
    <w:rsid w:val="006411B8"/>
    <w:rsid w:val="006415AF"/>
    <w:rsid w:val="0064160A"/>
    <w:rsid w:val="006417DE"/>
    <w:rsid w:val="006418EA"/>
    <w:rsid w:val="00641A6C"/>
    <w:rsid w:val="00641AA2"/>
    <w:rsid w:val="00641AF0"/>
    <w:rsid w:val="00641C5E"/>
    <w:rsid w:val="00641D23"/>
    <w:rsid w:val="00642373"/>
    <w:rsid w:val="006429B9"/>
    <w:rsid w:val="00642DD6"/>
    <w:rsid w:val="00642F27"/>
    <w:rsid w:val="0064302A"/>
    <w:rsid w:val="00643065"/>
    <w:rsid w:val="006430DB"/>
    <w:rsid w:val="006431FD"/>
    <w:rsid w:val="006434C3"/>
    <w:rsid w:val="0064367C"/>
    <w:rsid w:val="006436BF"/>
    <w:rsid w:val="006437F8"/>
    <w:rsid w:val="00643885"/>
    <w:rsid w:val="00643E42"/>
    <w:rsid w:val="00643F6A"/>
    <w:rsid w:val="00643FA3"/>
    <w:rsid w:val="00644217"/>
    <w:rsid w:val="0064425B"/>
    <w:rsid w:val="006442E7"/>
    <w:rsid w:val="0064446C"/>
    <w:rsid w:val="00644545"/>
    <w:rsid w:val="00644B62"/>
    <w:rsid w:val="00644C5B"/>
    <w:rsid w:val="00644C68"/>
    <w:rsid w:val="00645251"/>
    <w:rsid w:val="006452A2"/>
    <w:rsid w:val="006452E4"/>
    <w:rsid w:val="006458D5"/>
    <w:rsid w:val="00645AE6"/>
    <w:rsid w:val="00645AF1"/>
    <w:rsid w:val="00645F45"/>
    <w:rsid w:val="00645FFE"/>
    <w:rsid w:val="0064627A"/>
    <w:rsid w:val="006464EE"/>
    <w:rsid w:val="006468DF"/>
    <w:rsid w:val="00646940"/>
    <w:rsid w:val="0064694B"/>
    <w:rsid w:val="00646A05"/>
    <w:rsid w:val="00646C5B"/>
    <w:rsid w:val="0064730D"/>
    <w:rsid w:val="0064735E"/>
    <w:rsid w:val="00647432"/>
    <w:rsid w:val="00647856"/>
    <w:rsid w:val="006479F3"/>
    <w:rsid w:val="00647B81"/>
    <w:rsid w:val="006500F5"/>
    <w:rsid w:val="0065036B"/>
    <w:rsid w:val="006507CD"/>
    <w:rsid w:val="00650AD7"/>
    <w:rsid w:val="00650C95"/>
    <w:rsid w:val="00650CC0"/>
    <w:rsid w:val="00650E0F"/>
    <w:rsid w:val="00650EAE"/>
    <w:rsid w:val="00650F13"/>
    <w:rsid w:val="00651025"/>
    <w:rsid w:val="00651065"/>
    <w:rsid w:val="00651092"/>
    <w:rsid w:val="006511F9"/>
    <w:rsid w:val="00651465"/>
    <w:rsid w:val="00651740"/>
    <w:rsid w:val="006519AC"/>
    <w:rsid w:val="00651A8C"/>
    <w:rsid w:val="00651AB3"/>
    <w:rsid w:val="00651C7E"/>
    <w:rsid w:val="00651F44"/>
    <w:rsid w:val="00651FF7"/>
    <w:rsid w:val="0065222C"/>
    <w:rsid w:val="006523E4"/>
    <w:rsid w:val="0065240C"/>
    <w:rsid w:val="00652486"/>
    <w:rsid w:val="0065260E"/>
    <w:rsid w:val="00653050"/>
    <w:rsid w:val="006535FE"/>
    <w:rsid w:val="00653729"/>
    <w:rsid w:val="00653833"/>
    <w:rsid w:val="00653B0C"/>
    <w:rsid w:val="00653D2A"/>
    <w:rsid w:val="00653E89"/>
    <w:rsid w:val="00654282"/>
    <w:rsid w:val="00654377"/>
    <w:rsid w:val="0065476A"/>
    <w:rsid w:val="00654932"/>
    <w:rsid w:val="00654944"/>
    <w:rsid w:val="00654FC5"/>
    <w:rsid w:val="00654FC8"/>
    <w:rsid w:val="0065516C"/>
    <w:rsid w:val="006557ED"/>
    <w:rsid w:val="00655C47"/>
    <w:rsid w:val="00655D91"/>
    <w:rsid w:val="00655EE9"/>
    <w:rsid w:val="006561B9"/>
    <w:rsid w:val="00656456"/>
    <w:rsid w:val="00656729"/>
    <w:rsid w:val="00656B24"/>
    <w:rsid w:val="00656B5D"/>
    <w:rsid w:val="00656BCC"/>
    <w:rsid w:val="00656C58"/>
    <w:rsid w:val="00656D31"/>
    <w:rsid w:val="00656FF2"/>
    <w:rsid w:val="0065725A"/>
    <w:rsid w:val="00657357"/>
    <w:rsid w:val="006575EC"/>
    <w:rsid w:val="00657710"/>
    <w:rsid w:val="00657D44"/>
    <w:rsid w:val="00660011"/>
    <w:rsid w:val="006600AC"/>
    <w:rsid w:val="0066019C"/>
    <w:rsid w:val="00660324"/>
    <w:rsid w:val="00660364"/>
    <w:rsid w:val="0066046F"/>
    <w:rsid w:val="006605F2"/>
    <w:rsid w:val="006607E8"/>
    <w:rsid w:val="006607EE"/>
    <w:rsid w:val="0066097E"/>
    <w:rsid w:val="00660BA1"/>
    <w:rsid w:val="00660BF5"/>
    <w:rsid w:val="00660CE3"/>
    <w:rsid w:val="00661276"/>
    <w:rsid w:val="0066134F"/>
    <w:rsid w:val="00661D26"/>
    <w:rsid w:val="00661E0C"/>
    <w:rsid w:val="00661EEC"/>
    <w:rsid w:val="00661F43"/>
    <w:rsid w:val="0066207E"/>
    <w:rsid w:val="00662120"/>
    <w:rsid w:val="006624E2"/>
    <w:rsid w:val="00662895"/>
    <w:rsid w:val="0066299F"/>
    <w:rsid w:val="00662BC3"/>
    <w:rsid w:val="006631FF"/>
    <w:rsid w:val="00663553"/>
    <w:rsid w:val="006639A7"/>
    <w:rsid w:val="00663B41"/>
    <w:rsid w:val="00663B5D"/>
    <w:rsid w:val="00664111"/>
    <w:rsid w:val="00664740"/>
    <w:rsid w:val="00664942"/>
    <w:rsid w:val="00664A90"/>
    <w:rsid w:val="00664AC5"/>
    <w:rsid w:val="00664C6F"/>
    <w:rsid w:val="00664CE9"/>
    <w:rsid w:val="00664F6B"/>
    <w:rsid w:val="00665215"/>
    <w:rsid w:val="00665309"/>
    <w:rsid w:val="006654D2"/>
    <w:rsid w:val="0066554D"/>
    <w:rsid w:val="00665560"/>
    <w:rsid w:val="00665627"/>
    <w:rsid w:val="0066573C"/>
    <w:rsid w:val="00665909"/>
    <w:rsid w:val="006659FA"/>
    <w:rsid w:val="00665A8B"/>
    <w:rsid w:val="00665EF9"/>
    <w:rsid w:val="00665FCD"/>
    <w:rsid w:val="0066660A"/>
    <w:rsid w:val="006667A8"/>
    <w:rsid w:val="006667A9"/>
    <w:rsid w:val="00666CE2"/>
    <w:rsid w:val="00666F65"/>
    <w:rsid w:val="00666FD5"/>
    <w:rsid w:val="0066702C"/>
    <w:rsid w:val="0066745C"/>
    <w:rsid w:val="0066747A"/>
    <w:rsid w:val="006675D3"/>
    <w:rsid w:val="00667702"/>
    <w:rsid w:val="00667C7E"/>
    <w:rsid w:val="00667D29"/>
    <w:rsid w:val="00667DAB"/>
    <w:rsid w:val="006700BE"/>
    <w:rsid w:val="00670115"/>
    <w:rsid w:val="0067027F"/>
    <w:rsid w:val="0067040E"/>
    <w:rsid w:val="0067047A"/>
    <w:rsid w:val="00670AFE"/>
    <w:rsid w:val="00670C8B"/>
    <w:rsid w:val="00670D8A"/>
    <w:rsid w:val="00670EEB"/>
    <w:rsid w:val="00671491"/>
    <w:rsid w:val="00671601"/>
    <w:rsid w:val="00671660"/>
    <w:rsid w:val="006719FD"/>
    <w:rsid w:val="00671A67"/>
    <w:rsid w:val="00671B16"/>
    <w:rsid w:val="00671CFC"/>
    <w:rsid w:val="00671F4D"/>
    <w:rsid w:val="006720A1"/>
    <w:rsid w:val="006721DA"/>
    <w:rsid w:val="00672353"/>
    <w:rsid w:val="006728AB"/>
    <w:rsid w:val="00672CE6"/>
    <w:rsid w:val="00673792"/>
    <w:rsid w:val="006739A0"/>
    <w:rsid w:val="00673A53"/>
    <w:rsid w:val="00673B0E"/>
    <w:rsid w:val="00673DBE"/>
    <w:rsid w:val="0067425D"/>
    <w:rsid w:val="00674305"/>
    <w:rsid w:val="00674345"/>
    <w:rsid w:val="006746EA"/>
    <w:rsid w:val="0067476B"/>
    <w:rsid w:val="006748C8"/>
    <w:rsid w:val="00674AB2"/>
    <w:rsid w:val="00674C01"/>
    <w:rsid w:val="00674D0B"/>
    <w:rsid w:val="00675015"/>
    <w:rsid w:val="006750D6"/>
    <w:rsid w:val="006752A4"/>
    <w:rsid w:val="006752DD"/>
    <w:rsid w:val="0067555F"/>
    <w:rsid w:val="006755BC"/>
    <w:rsid w:val="006755EC"/>
    <w:rsid w:val="00675603"/>
    <w:rsid w:val="0067588E"/>
    <w:rsid w:val="00675C0E"/>
    <w:rsid w:val="00675FF9"/>
    <w:rsid w:val="006764CE"/>
    <w:rsid w:val="00676521"/>
    <w:rsid w:val="0067655B"/>
    <w:rsid w:val="006766E6"/>
    <w:rsid w:val="00676708"/>
    <w:rsid w:val="00676845"/>
    <w:rsid w:val="00676AC2"/>
    <w:rsid w:val="00676B0E"/>
    <w:rsid w:val="00676E42"/>
    <w:rsid w:val="00676FB7"/>
    <w:rsid w:val="00676FC1"/>
    <w:rsid w:val="00677208"/>
    <w:rsid w:val="006776EF"/>
    <w:rsid w:val="006779E9"/>
    <w:rsid w:val="00677C5E"/>
    <w:rsid w:val="00677DE7"/>
    <w:rsid w:val="00677DF9"/>
    <w:rsid w:val="00677F1F"/>
    <w:rsid w:val="00677F4E"/>
    <w:rsid w:val="006802B7"/>
    <w:rsid w:val="00680475"/>
    <w:rsid w:val="0068058D"/>
    <w:rsid w:val="006806E5"/>
    <w:rsid w:val="0068083B"/>
    <w:rsid w:val="00680901"/>
    <w:rsid w:val="0068100F"/>
    <w:rsid w:val="006811D8"/>
    <w:rsid w:val="0068121C"/>
    <w:rsid w:val="006812AB"/>
    <w:rsid w:val="006814F6"/>
    <w:rsid w:val="006816DA"/>
    <w:rsid w:val="0068194C"/>
    <w:rsid w:val="0068197E"/>
    <w:rsid w:val="00681ABE"/>
    <w:rsid w:val="00681B11"/>
    <w:rsid w:val="00681B27"/>
    <w:rsid w:val="00681B56"/>
    <w:rsid w:val="00682133"/>
    <w:rsid w:val="00682773"/>
    <w:rsid w:val="00682895"/>
    <w:rsid w:val="00682994"/>
    <w:rsid w:val="00682A3C"/>
    <w:rsid w:val="00682D65"/>
    <w:rsid w:val="00682DE4"/>
    <w:rsid w:val="00682E82"/>
    <w:rsid w:val="00682F94"/>
    <w:rsid w:val="00683040"/>
    <w:rsid w:val="00683351"/>
    <w:rsid w:val="00683555"/>
    <w:rsid w:val="00683AA1"/>
    <w:rsid w:val="00683AFF"/>
    <w:rsid w:val="00683DFF"/>
    <w:rsid w:val="00683E5B"/>
    <w:rsid w:val="00684014"/>
    <w:rsid w:val="006840A1"/>
    <w:rsid w:val="006840E7"/>
    <w:rsid w:val="00684103"/>
    <w:rsid w:val="00684372"/>
    <w:rsid w:val="006843E5"/>
    <w:rsid w:val="0068445B"/>
    <w:rsid w:val="006844DA"/>
    <w:rsid w:val="00684A41"/>
    <w:rsid w:val="00684B4F"/>
    <w:rsid w:val="00684CBA"/>
    <w:rsid w:val="00684CBC"/>
    <w:rsid w:val="00684D2A"/>
    <w:rsid w:val="00684DBF"/>
    <w:rsid w:val="00684F06"/>
    <w:rsid w:val="00684FB4"/>
    <w:rsid w:val="0068528F"/>
    <w:rsid w:val="00685347"/>
    <w:rsid w:val="0068534A"/>
    <w:rsid w:val="00685599"/>
    <w:rsid w:val="00685617"/>
    <w:rsid w:val="00685761"/>
    <w:rsid w:val="00685780"/>
    <w:rsid w:val="00685A25"/>
    <w:rsid w:val="00685A74"/>
    <w:rsid w:val="00685B1D"/>
    <w:rsid w:val="00685DB0"/>
    <w:rsid w:val="00685E48"/>
    <w:rsid w:val="00686200"/>
    <w:rsid w:val="006862CA"/>
    <w:rsid w:val="006862FE"/>
    <w:rsid w:val="00686473"/>
    <w:rsid w:val="0068648D"/>
    <w:rsid w:val="006864D8"/>
    <w:rsid w:val="006865BC"/>
    <w:rsid w:val="006865FE"/>
    <w:rsid w:val="00686B53"/>
    <w:rsid w:val="00686CAA"/>
    <w:rsid w:val="00686E65"/>
    <w:rsid w:val="00686F73"/>
    <w:rsid w:val="0068702C"/>
    <w:rsid w:val="00687148"/>
    <w:rsid w:val="006871DA"/>
    <w:rsid w:val="00687341"/>
    <w:rsid w:val="006873CC"/>
    <w:rsid w:val="006873F2"/>
    <w:rsid w:val="00687B39"/>
    <w:rsid w:val="00687B4C"/>
    <w:rsid w:val="00687B74"/>
    <w:rsid w:val="00687B98"/>
    <w:rsid w:val="00687C16"/>
    <w:rsid w:val="0069035A"/>
    <w:rsid w:val="006903C7"/>
    <w:rsid w:val="006903D7"/>
    <w:rsid w:val="00690472"/>
    <w:rsid w:val="006904F9"/>
    <w:rsid w:val="0069061B"/>
    <w:rsid w:val="0069087D"/>
    <w:rsid w:val="006908BB"/>
    <w:rsid w:val="00690C60"/>
    <w:rsid w:val="00690C6F"/>
    <w:rsid w:val="00690D24"/>
    <w:rsid w:val="00690E6A"/>
    <w:rsid w:val="00690F67"/>
    <w:rsid w:val="00691091"/>
    <w:rsid w:val="006913C4"/>
    <w:rsid w:val="00691618"/>
    <w:rsid w:val="0069175A"/>
    <w:rsid w:val="00691AFE"/>
    <w:rsid w:val="00691B4C"/>
    <w:rsid w:val="00691CFC"/>
    <w:rsid w:val="00691D31"/>
    <w:rsid w:val="00691E15"/>
    <w:rsid w:val="00691F9F"/>
    <w:rsid w:val="00692060"/>
    <w:rsid w:val="006920DA"/>
    <w:rsid w:val="00692385"/>
    <w:rsid w:val="006925C7"/>
    <w:rsid w:val="00692626"/>
    <w:rsid w:val="0069287F"/>
    <w:rsid w:val="0069297C"/>
    <w:rsid w:val="00692C30"/>
    <w:rsid w:val="00692C38"/>
    <w:rsid w:val="00692CD6"/>
    <w:rsid w:val="00693361"/>
    <w:rsid w:val="006933AA"/>
    <w:rsid w:val="006934FE"/>
    <w:rsid w:val="00693676"/>
    <w:rsid w:val="00693878"/>
    <w:rsid w:val="00693AA0"/>
    <w:rsid w:val="00693AFE"/>
    <w:rsid w:val="00693B53"/>
    <w:rsid w:val="00693DE0"/>
    <w:rsid w:val="0069409B"/>
    <w:rsid w:val="00694452"/>
    <w:rsid w:val="00694861"/>
    <w:rsid w:val="00694876"/>
    <w:rsid w:val="0069488F"/>
    <w:rsid w:val="00695085"/>
    <w:rsid w:val="00695325"/>
    <w:rsid w:val="00695565"/>
    <w:rsid w:val="00695A46"/>
    <w:rsid w:val="00695BA0"/>
    <w:rsid w:val="00695BF0"/>
    <w:rsid w:val="00695C26"/>
    <w:rsid w:val="00695E30"/>
    <w:rsid w:val="006961B7"/>
    <w:rsid w:val="0069621F"/>
    <w:rsid w:val="006962AF"/>
    <w:rsid w:val="00696365"/>
    <w:rsid w:val="006963E9"/>
    <w:rsid w:val="006966EB"/>
    <w:rsid w:val="00696C60"/>
    <w:rsid w:val="00696C8C"/>
    <w:rsid w:val="00696D75"/>
    <w:rsid w:val="00696F44"/>
    <w:rsid w:val="00697233"/>
    <w:rsid w:val="00697526"/>
    <w:rsid w:val="00697974"/>
    <w:rsid w:val="006979BF"/>
    <w:rsid w:val="00697B33"/>
    <w:rsid w:val="00697B4E"/>
    <w:rsid w:val="00697B6B"/>
    <w:rsid w:val="006A01A6"/>
    <w:rsid w:val="006A0503"/>
    <w:rsid w:val="006A06F8"/>
    <w:rsid w:val="006A0899"/>
    <w:rsid w:val="006A08EA"/>
    <w:rsid w:val="006A0AAC"/>
    <w:rsid w:val="006A0C00"/>
    <w:rsid w:val="006A0C04"/>
    <w:rsid w:val="006A1110"/>
    <w:rsid w:val="006A1232"/>
    <w:rsid w:val="006A12E9"/>
    <w:rsid w:val="006A13F6"/>
    <w:rsid w:val="006A147F"/>
    <w:rsid w:val="006A153E"/>
    <w:rsid w:val="006A1898"/>
    <w:rsid w:val="006A1A4F"/>
    <w:rsid w:val="006A1E49"/>
    <w:rsid w:val="006A2181"/>
    <w:rsid w:val="006A23FD"/>
    <w:rsid w:val="006A24A6"/>
    <w:rsid w:val="006A251C"/>
    <w:rsid w:val="006A27AA"/>
    <w:rsid w:val="006A2A6A"/>
    <w:rsid w:val="006A2BF6"/>
    <w:rsid w:val="006A2DBA"/>
    <w:rsid w:val="006A2E50"/>
    <w:rsid w:val="006A3074"/>
    <w:rsid w:val="006A3147"/>
    <w:rsid w:val="006A378A"/>
    <w:rsid w:val="006A37B3"/>
    <w:rsid w:val="006A39AE"/>
    <w:rsid w:val="006A3A32"/>
    <w:rsid w:val="006A3C32"/>
    <w:rsid w:val="006A3C37"/>
    <w:rsid w:val="006A3D60"/>
    <w:rsid w:val="006A3E14"/>
    <w:rsid w:val="006A40A5"/>
    <w:rsid w:val="006A450B"/>
    <w:rsid w:val="006A4D01"/>
    <w:rsid w:val="006A4F86"/>
    <w:rsid w:val="006A52A3"/>
    <w:rsid w:val="006A52E5"/>
    <w:rsid w:val="006A546E"/>
    <w:rsid w:val="006A55EC"/>
    <w:rsid w:val="006A56BD"/>
    <w:rsid w:val="006A5924"/>
    <w:rsid w:val="006A5A03"/>
    <w:rsid w:val="006A5AA0"/>
    <w:rsid w:val="006A5BE5"/>
    <w:rsid w:val="006A5D01"/>
    <w:rsid w:val="006A5EC9"/>
    <w:rsid w:val="006A5FC2"/>
    <w:rsid w:val="006A630A"/>
    <w:rsid w:val="006A66C4"/>
    <w:rsid w:val="006A6715"/>
    <w:rsid w:val="006A6B2C"/>
    <w:rsid w:val="006A6C31"/>
    <w:rsid w:val="006A6DBB"/>
    <w:rsid w:val="006A6F4D"/>
    <w:rsid w:val="006A73BD"/>
    <w:rsid w:val="006A762A"/>
    <w:rsid w:val="006A779B"/>
    <w:rsid w:val="006A7A42"/>
    <w:rsid w:val="006A7A5A"/>
    <w:rsid w:val="006A7B09"/>
    <w:rsid w:val="006A7BAF"/>
    <w:rsid w:val="006A7BE6"/>
    <w:rsid w:val="006A7D07"/>
    <w:rsid w:val="006A7F8E"/>
    <w:rsid w:val="006B013C"/>
    <w:rsid w:val="006B040E"/>
    <w:rsid w:val="006B04E4"/>
    <w:rsid w:val="006B0642"/>
    <w:rsid w:val="006B064D"/>
    <w:rsid w:val="006B06EE"/>
    <w:rsid w:val="006B0787"/>
    <w:rsid w:val="006B07C8"/>
    <w:rsid w:val="006B0931"/>
    <w:rsid w:val="006B0DB9"/>
    <w:rsid w:val="006B0E95"/>
    <w:rsid w:val="006B0F71"/>
    <w:rsid w:val="006B0FF1"/>
    <w:rsid w:val="006B10FB"/>
    <w:rsid w:val="006B1255"/>
    <w:rsid w:val="006B1262"/>
    <w:rsid w:val="006B1386"/>
    <w:rsid w:val="006B1410"/>
    <w:rsid w:val="006B14EA"/>
    <w:rsid w:val="006B1617"/>
    <w:rsid w:val="006B192A"/>
    <w:rsid w:val="006B1974"/>
    <w:rsid w:val="006B2063"/>
    <w:rsid w:val="006B2362"/>
    <w:rsid w:val="006B267F"/>
    <w:rsid w:val="006B26DA"/>
    <w:rsid w:val="006B2887"/>
    <w:rsid w:val="006B2982"/>
    <w:rsid w:val="006B29CC"/>
    <w:rsid w:val="006B2EF0"/>
    <w:rsid w:val="006B31AE"/>
    <w:rsid w:val="006B3623"/>
    <w:rsid w:val="006B3685"/>
    <w:rsid w:val="006B3A8E"/>
    <w:rsid w:val="006B3C6A"/>
    <w:rsid w:val="006B3CD9"/>
    <w:rsid w:val="006B3E00"/>
    <w:rsid w:val="006B3F08"/>
    <w:rsid w:val="006B40C0"/>
    <w:rsid w:val="006B4152"/>
    <w:rsid w:val="006B41C2"/>
    <w:rsid w:val="006B41C9"/>
    <w:rsid w:val="006B4213"/>
    <w:rsid w:val="006B428A"/>
    <w:rsid w:val="006B4389"/>
    <w:rsid w:val="006B463B"/>
    <w:rsid w:val="006B4ACE"/>
    <w:rsid w:val="006B4CBC"/>
    <w:rsid w:val="006B4D6B"/>
    <w:rsid w:val="006B4E5F"/>
    <w:rsid w:val="006B55A6"/>
    <w:rsid w:val="006B5A1B"/>
    <w:rsid w:val="006B5ADD"/>
    <w:rsid w:val="006B5B87"/>
    <w:rsid w:val="006B5FE6"/>
    <w:rsid w:val="006B60DC"/>
    <w:rsid w:val="006B6223"/>
    <w:rsid w:val="006B6345"/>
    <w:rsid w:val="006B6606"/>
    <w:rsid w:val="006B6877"/>
    <w:rsid w:val="006B6DB1"/>
    <w:rsid w:val="006B73D3"/>
    <w:rsid w:val="006B73D9"/>
    <w:rsid w:val="006B74C4"/>
    <w:rsid w:val="006B7587"/>
    <w:rsid w:val="006B759B"/>
    <w:rsid w:val="006B76FE"/>
    <w:rsid w:val="006B7786"/>
    <w:rsid w:val="006B78EC"/>
    <w:rsid w:val="006B7D11"/>
    <w:rsid w:val="006B7FD2"/>
    <w:rsid w:val="006C000A"/>
    <w:rsid w:val="006C023D"/>
    <w:rsid w:val="006C04F4"/>
    <w:rsid w:val="006C0633"/>
    <w:rsid w:val="006C098C"/>
    <w:rsid w:val="006C09E1"/>
    <w:rsid w:val="006C09FB"/>
    <w:rsid w:val="006C0AF8"/>
    <w:rsid w:val="006C0BD5"/>
    <w:rsid w:val="006C0EE5"/>
    <w:rsid w:val="006C0F31"/>
    <w:rsid w:val="006C101F"/>
    <w:rsid w:val="006C1021"/>
    <w:rsid w:val="006C10DB"/>
    <w:rsid w:val="006C1652"/>
    <w:rsid w:val="006C169C"/>
    <w:rsid w:val="006C1776"/>
    <w:rsid w:val="006C1EB6"/>
    <w:rsid w:val="006C1F53"/>
    <w:rsid w:val="006C2047"/>
    <w:rsid w:val="006C23D0"/>
    <w:rsid w:val="006C275F"/>
    <w:rsid w:val="006C27C7"/>
    <w:rsid w:val="006C2811"/>
    <w:rsid w:val="006C2979"/>
    <w:rsid w:val="006C2C6C"/>
    <w:rsid w:val="006C2CD4"/>
    <w:rsid w:val="006C302E"/>
    <w:rsid w:val="006C31C6"/>
    <w:rsid w:val="006C3295"/>
    <w:rsid w:val="006C32AC"/>
    <w:rsid w:val="006C366B"/>
    <w:rsid w:val="006C3923"/>
    <w:rsid w:val="006C392C"/>
    <w:rsid w:val="006C39FC"/>
    <w:rsid w:val="006C3AC5"/>
    <w:rsid w:val="006C3B57"/>
    <w:rsid w:val="006C3D9E"/>
    <w:rsid w:val="006C3FB6"/>
    <w:rsid w:val="006C3FDB"/>
    <w:rsid w:val="006C439D"/>
    <w:rsid w:val="006C4787"/>
    <w:rsid w:val="006C48DE"/>
    <w:rsid w:val="006C49AA"/>
    <w:rsid w:val="006C4A22"/>
    <w:rsid w:val="006C4F9E"/>
    <w:rsid w:val="006C5266"/>
    <w:rsid w:val="006C54AD"/>
    <w:rsid w:val="006C54E9"/>
    <w:rsid w:val="006C554B"/>
    <w:rsid w:val="006C5CD5"/>
    <w:rsid w:val="006C61D0"/>
    <w:rsid w:val="006C6350"/>
    <w:rsid w:val="006C6462"/>
    <w:rsid w:val="006C64B3"/>
    <w:rsid w:val="006C6660"/>
    <w:rsid w:val="006C6667"/>
    <w:rsid w:val="006C698C"/>
    <w:rsid w:val="006C6D58"/>
    <w:rsid w:val="006C6DF8"/>
    <w:rsid w:val="006C6F47"/>
    <w:rsid w:val="006C70B7"/>
    <w:rsid w:val="006C71D1"/>
    <w:rsid w:val="006C7354"/>
    <w:rsid w:val="006C7398"/>
    <w:rsid w:val="006C7BD2"/>
    <w:rsid w:val="006C7D22"/>
    <w:rsid w:val="006D063F"/>
    <w:rsid w:val="006D09AB"/>
    <w:rsid w:val="006D0AFD"/>
    <w:rsid w:val="006D0ECB"/>
    <w:rsid w:val="006D11DE"/>
    <w:rsid w:val="006D12BD"/>
    <w:rsid w:val="006D14FD"/>
    <w:rsid w:val="006D152B"/>
    <w:rsid w:val="006D1731"/>
    <w:rsid w:val="006D192C"/>
    <w:rsid w:val="006D1983"/>
    <w:rsid w:val="006D1DE9"/>
    <w:rsid w:val="006D1E40"/>
    <w:rsid w:val="006D1F22"/>
    <w:rsid w:val="006D2607"/>
    <w:rsid w:val="006D28A7"/>
    <w:rsid w:val="006D2A09"/>
    <w:rsid w:val="006D2A1E"/>
    <w:rsid w:val="006D2A5C"/>
    <w:rsid w:val="006D2C70"/>
    <w:rsid w:val="006D2D81"/>
    <w:rsid w:val="006D2EAD"/>
    <w:rsid w:val="006D2F28"/>
    <w:rsid w:val="006D30A3"/>
    <w:rsid w:val="006D3253"/>
    <w:rsid w:val="006D3305"/>
    <w:rsid w:val="006D33E7"/>
    <w:rsid w:val="006D37D6"/>
    <w:rsid w:val="006D39AC"/>
    <w:rsid w:val="006D3C3B"/>
    <w:rsid w:val="006D4120"/>
    <w:rsid w:val="006D4156"/>
    <w:rsid w:val="006D4226"/>
    <w:rsid w:val="006D454C"/>
    <w:rsid w:val="006D4568"/>
    <w:rsid w:val="006D4590"/>
    <w:rsid w:val="006D475B"/>
    <w:rsid w:val="006D48B4"/>
    <w:rsid w:val="006D4AFF"/>
    <w:rsid w:val="006D4D66"/>
    <w:rsid w:val="006D4D7F"/>
    <w:rsid w:val="006D4EF8"/>
    <w:rsid w:val="006D4F5F"/>
    <w:rsid w:val="006D4F73"/>
    <w:rsid w:val="006D4FA7"/>
    <w:rsid w:val="006D4FBF"/>
    <w:rsid w:val="006D59BA"/>
    <w:rsid w:val="006D5AC5"/>
    <w:rsid w:val="006D5C8B"/>
    <w:rsid w:val="006D5CF0"/>
    <w:rsid w:val="006D5DE1"/>
    <w:rsid w:val="006D5E00"/>
    <w:rsid w:val="006D65C8"/>
    <w:rsid w:val="006D674B"/>
    <w:rsid w:val="006D675F"/>
    <w:rsid w:val="006D6D04"/>
    <w:rsid w:val="006D6D34"/>
    <w:rsid w:val="006D6FE4"/>
    <w:rsid w:val="006D7055"/>
    <w:rsid w:val="006D7458"/>
    <w:rsid w:val="006D745A"/>
    <w:rsid w:val="006D758A"/>
    <w:rsid w:val="006D7F79"/>
    <w:rsid w:val="006E0010"/>
    <w:rsid w:val="006E062E"/>
    <w:rsid w:val="006E0A7B"/>
    <w:rsid w:val="006E0B28"/>
    <w:rsid w:val="006E0BDA"/>
    <w:rsid w:val="006E0C6B"/>
    <w:rsid w:val="006E0E60"/>
    <w:rsid w:val="006E0EB9"/>
    <w:rsid w:val="006E1166"/>
    <w:rsid w:val="006E11F8"/>
    <w:rsid w:val="006E1704"/>
    <w:rsid w:val="006E1B07"/>
    <w:rsid w:val="006E1D2E"/>
    <w:rsid w:val="006E1EF5"/>
    <w:rsid w:val="006E22BA"/>
    <w:rsid w:val="006E2380"/>
    <w:rsid w:val="006E2458"/>
    <w:rsid w:val="006E245E"/>
    <w:rsid w:val="006E25CA"/>
    <w:rsid w:val="006E270F"/>
    <w:rsid w:val="006E29E9"/>
    <w:rsid w:val="006E2ACE"/>
    <w:rsid w:val="006E2CE7"/>
    <w:rsid w:val="006E2CF5"/>
    <w:rsid w:val="006E2F01"/>
    <w:rsid w:val="006E2F09"/>
    <w:rsid w:val="006E2F47"/>
    <w:rsid w:val="006E2FA1"/>
    <w:rsid w:val="006E2FDB"/>
    <w:rsid w:val="006E3026"/>
    <w:rsid w:val="006E3151"/>
    <w:rsid w:val="006E32BC"/>
    <w:rsid w:val="006E34BF"/>
    <w:rsid w:val="006E3804"/>
    <w:rsid w:val="006E38CE"/>
    <w:rsid w:val="006E398F"/>
    <w:rsid w:val="006E39E1"/>
    <w:rsid w:val="006E3E8F"/>
    <w:rsid w:val="006E3F8A"/>
    <w:rsid w:val="006E40AE"/>
    <w:rsid w:val="006E42E2"/>
    <w:rsid w:val="006E449D"/>
    <w:rsid w:val="006E480A"/>
    <w:rsid w:val="006E4948"/>
    <w:rsid w:val="006E4F02"/>
    <w:rsid w:val="006E5078"/>
    <w:rsid w:val="006E518A"/>
    <w:rsid w:val="006E574A"/>
    <w:rsid w:val="006E57E5"/>
    <w:rsid w:val="006E5863"/>
    <w:rsid w:val="006E5AF4"/>
    <w:rsid w:val="006E5BDD"/>
    <w:rsid w:val="006E5E5F"/>
    <w:rsid w:val="006E5F87"/>
    <w:rsid w:val="006E609E"/>
    <w:rsid w:val="006E6127"/>
    <w:rsid w:val="006E63B4"/>
    <w:rsid w:val="006E642A"/>
    <w:rsid w:val="006E6BD8"/>
    <w:rsid w:val="006E6C7E"/>
    <w:rsid w:val="006E6DEF"/>
    <w:rsid w:val="006E71AF"/>
    <w:rsid w:val="006E71BB"/>
    <w:rsid w:val="006E7527"/>
    <w:rsid w:val="006E7604"/>
    <w:rsid w:val="006E780B"/>
    <w:rsid w:val="006E7C67"/>
    <w:rsid w:val="006E7E74"/>
    <w:rsid w:val="006F0066"/>
    <w:rsid w:val="006F030E"/>
    <w:rsid w:val="006F03BA"/>
    <w:rsid w:val="006F08F8"/>
    <w:rsid w:val="006F0A2C"/>
    <w:rsid w:val="006F0A74"/>
    <w:rsid w:val="006F0A87"/>
    <w:rsid w:val="006F0B08"/>
    <w:rsid w:val="006F0D5C"/>
    <w:rsid w:val="006F0DBD"/>
    <w:rsid w:val="006F10BD"/>
    <w:rsid w:val="006F150A"/>
    <w:rsid w:val="006F1528"/>
    <w:rsid w:val="006F15C4"/>
    <w:rsid w:val="006F18BE"/>
    <w:rsid w:val="006F1903"/>
    <w:rsid w:val="006F19A3"/>
    <w:rsid w:val="006F1A09"/>
    <w:rsid w:val="006F1A61"/>
    <w:rsid w:val="006F1AA5"/>
    <w:rsid w:val="006F1D2A"/>
    <w:rsid w:val="006F1D57"/>
    <w:rsid w:val="006F1EE0"/>
    <w:rsid w:val="006F209E"/>
    <w:rsid w:val="006F2136"/>
    <w:rsid w:val="006F2401"/>
    <w:rsid w:val="006F2511"/>
    <w:rsid w:val="006F2BA7"/>
    <w:rsid w:val="006F2D27"/>
    <w:rsid w:val="006F2DFA"/>
    <w:rsid w:val="006F2E86"/>
    <w:rsid w:val="006F2FA8"/>
    <w:rsid w:val="006F36A4"/>
    <w:rsid w:val="006F3A9E"/>
    <w:rsid w:val="006F3B85"/>
    <w:rsid w:val="006F3DB9"/>
    <w:rsid w:val="006F3DFD"/>
    <w:rsid w:val="006F40BB"/>
    <w:rsid w:val="006F41B6"/>
    <w:rsid w:val="006F450C"/>
    <w:rsid w:val="006F46A6"/>
    <w:rsid w:val="006F4819"/>
    <w:rsid w:val="006F4AA4"/>
    <w:rsid w:val="006F4C32"/>
    <w:rsid w:val="006F4C5F"/>
    <w:rsid w:val="006F4DEB"/>
    <w:rsid w:val="006F4E27"/>
    <w:rsid w:val="006F4F16"/>
    <w:rsid w:val="006F4FDF"/>
    <w:rsid w:val="006F554E"/>
    <w:rsid w:val="006F5577"/>
    <w:rsid w:val="006F56D5"/>
    <w:rsid w:val="006F5919"/>
    <w:rsid w:val="006F59B1"/>
    <w:rsid w:val="006F618A"/>
    <w:rsid w:val="006F619E"/>
    <w:rsid w:val="006F6203"/>
    <w:rsid w:val="006F62DF"/>
    <w:rsid w:val="006F6390"/>
    <w:rsid w:val="006F63DF"/>
    <w:rsid w:val="006F6863"/>
    <w:rsid w:val="006F68EA"/>
    <w:rsid w:val="006F6920"/>
    <w:rsid w:val="006F6D64"/>
    <w:rsid w:val="006F7497"/>
    <w:rsid w:val="006F766D"/>
    <w:rsid w:val="006F77E7"/>
    <w:rsid w:val="006F78AC"/>
    <w:rsid w:val="006F7B76"/>
    <w:rsid w:val="006F7B92"/>
    <w:rsid w:val="006F7D77"/>
    <w:rsid w:val="0070015B"/>
    <w:rsid w:val="007001F0"/>
    <w:rsid w:val="007007E1"/>
    <w:rsid w:val="00700820"/>
    <w:rsid w:val="0070084D"/>
    <w:rsid w:val="00700E5D"/>
    <w:rsid w:val="00700E67"/>
    <w:rsid w:val="00700EF6"/>
    <w:rsid w:val="007010A1"/>
    <w:rsid w:val="00701101"/>
    <w:rsid w:val="0070117D"/>
    <w:rsid w:val="00701799"/>
    <w:rsid w:val="00701801"/>
    <w:rsid w:val="00701A03"/>
    <w:rsid w:val="00701B69"/>
    <w:rsid w:val="00701CC5"/>
    <w:rsid w:val="00701DBE"/>
    <w:rsid w:val="00701F53"/>
    <w:rsid w:val="00702233"/>
    <w:rsid w:val="00702291"/>
    <w:rsid w:val="00702353"/>
    <w:rsid w:val="007023EA"/>
    <w:rsid w:val="0070278B"/>
    <w:rsid w:val="0070290B"/>
    <w:rsid w:val="00702917"/>
    <w:rsid w:val="00702A46"/>
    <w:rsid w:val="00702D27"/>
    <w:rsid w:val="00702D2C"/>
    <w:rsid w:val="00702D60"/>
    <w:rsid w:val="00702DD7"/>
    <w:rsid w:val="007032AB"/>
    <w:rsid w:val="007033A3"/>
    <w:rsid w:val="00703417"/>
    <w:rsid w:val="007036DB"/>
    <w:rsid w:val="00703A94"/>
    <w:rsid w:val="00704044"/>
    <w:rsid w:val="00704278"/>
    <w:rsid w:val="00704327"/>
    <w:rsid w:val="00704437"/>
    <w:rsid w:val="0070447F"/>
    <w:rsid w:val="00704527"/>
    <w:rsid w:val="00704652"/>
    <w:rsid w:val="007046B3"/>
    <w:rsid w:val="00704895"/>
    <w:rsid w:val="007048F3"/>
    <w:rsid w:val="00704CA0"/>
    <w:rsid w:val="00704DED"/>
    <w:rsid w:val="00704FBC"/>
    <w:rsid w:val="0070507D"/>
    <w:rsid w:val="00705095"/>
    <w:rsid w:val="007051BD"/>
    <w:rsid w:val="0070565F"/>
    <w:rsid w:val="0070598A"/>
    <w:rsid w:val="00705C2F"/>
    <w:rsid w:val="00705F0F"/>
    <w:rsid w:val="007065C5"/>
    <w:rsid w:val="00706785"/>
    <w:rsid w:val="00706E0D"/>
    <w:rsid w:val="007070F0"/>
    <w:rsid w:val="0070798C"/>
    <w:rsid w:val="00707ABF"/>
    <w:rsid w:val="00707B8F"/>
    <w:rsid w:val="00707CAD"/>
    <w:rsid w:val="00707CF4"/>
    <w:rsid w:val="00707D1D"/>
    <w:rsid w:val="00707D2B"/>
    <w:rsid w:val="00707E6B"/>
    <w:rsid w:val="00710078"/>
    <w:rsid w:val="0071015E"/>
    <w:rsid w:val="007101B5"/>
    <w:rsid w:val="007103F6"/>
    <w:rsid w:val="007104B2"/>
    <w:rsid w:val="00710583"/>
    <w:rsid w:val="007105A8"/>
    <w:rsid w:val="0071068A"/>
    <w:rsid w:val="007106D7"/>
    <w:rsid w:val="00710B94"/>
    <w:rsid w:val="00710C20"/>
    <w:rsid w:val="00710C55"/>
    <w:rsid w:val="00710D8E"/>
    <w:rsid w:val="00711004"/>
    <w:rsid w:val="00711007"/>
    <w:rsid w:val="007110FF"/>
    <w:rsid w:val="00711592"/>
    <w:rsid w:val="007115B5"/>
    <w:rsid w:val="007116AA"/>
    <w:rsid w:val="007116CE"/>
    <w:rsid w:val="00711B03"/>
    <w:rsid w:val="00711B7A"/>
    <w:rsid w:val="00711DD7"/>
    <w:rsid w:val="00711E41"/>
    <w:rsid w:val="00711FAC"/>
    <w:rsid w:val="007121A2"/>
    <w:rsid w:val="00712403"/>
    <w:rsid w:val="007124D0"/>
    <w:rsid w:val="007124DD"/>
    <w:rsid w:val="007125CB"/>
    <w:rsid w:val="0071263E"/>
    <w:rsid w:val="00712660"/>
    <w:rsid w:val="00712680"/>
    <w:rsid w:val="00712885"/>
    <w:rsid w:val="00712CB2"/>
    <w:rsid w:val="00712CF3"/>
    <w:rsid w:val="00712E10"/>
    <w:rsid w:val="0071306A"/>
    <w:rsid w:val="007135A8"/>
    <w:rsid w:val="00713775"/>
    <w:rsid w:val="007137B5"/>
    <w:rsid w:val="007139D9"/>
    <w:rsid w:val="00713B73"/>
    <w:rsid w:val="00713B81"/>
    <w:rsid w:val="00713CF5"/>
    <w:rsid w:val="007141D0"/>
    <w:rsid w:val="0071427D"/>
    <w:rsid w:val="00714334"/>
    <w:rsid w:val="00714362"/>
    <w:rsid w:val="007144A4"/>
    <w:rsid w:val="007149BA"/>
    <w:rsid w:val="00714AA1"/>
    <w:rsid w:val="00714BEA"/>
    <w:rsid w:val="0071512A"/>
    <w:rsid w:val="00715139"/>
    <w:rsid w:val="0071567D"/>
    <w:rsid w:val="00715860"/>
    <w:rsid w:val="0071587F"/>
    <w:rsid w:val="00715A9B"/>
    <w:rsid w:val="00715E19"/>
    <w:rsid w:val="00715E1E"/>
    <w:rsid w:val="00716AEB"/>
    <w:rsid w:val="00716B38"/>
    <w:rsid w:val="00716C35"/>
    <w:rsid w:val="00716D0E"/>
    <w:rsid w:val="00716D9C"/>
    <w:rsid w:val="00716F1C"/>
    <w:rsid w:val="00717128"/>
    <w:rsid w:val="0071713A"/>
    <w:rsid w:val="007173AD"/>
    <w:rsid w:val="007176A1"/>
    <w:rsid w:val="007176F0"/>
    <w:rsid w:val="007177C3"/>
    <w:rsid w:val="00717942"/>
    <w:rsid w:val="00717A1B"/>
    <w:rsid w:val="00717D7B"/>
    <w:rsid w:val="0072007C"/>
    <w:rsid w:val="007204BE"/>
    <w:rsid w:val="00720897"/>
    <w:rsid w:val="007208C2"/>
    <w:rsid w:val="00720A77"/>
    <w:rsid w:val="00720D81"/>
    <w:rsid w:val="00720E51"/>
    <w:rsid w:val="00720EC4"/>
    <w:rsid w:val="00720F5C"/>
    <w:rsid w:val="00721186"/>
    <w:rsid w:val="007211C7"/>
    <w:rsid w:val="007213E0"/>
    <w:rsid w:val="007214A6"/>
    <w:rsid w:val="007215D9"/>
    <w:rsid w:val="007221FD"/>
    <w:rsid w:val="00722250"/>
    <w:rsid w:val="00722580"/>
    <w:rsid w:val="0072299E"/>
    <w:rsid w:val="00722A31"/>
    <w:rsid w:val="00723170"/>
    <w:rsid w:val="007232D9"/>
    <w:rsid w:val="007237A5"/>
    <w:rsid w:val="007237BB"/>
    <w:rsid w:val="00723827"/>
    <w:rsid w:val="0072397C"/>
    <w:rsid w:val="007239A6"/>
    <w:rsid w:val="007239CE"/>
    <w:rsid w:val="00723B67"/>
    <w:rsid w:val="00723C95"/>
    <w:rsid w:val="00724065"/>
    <w:rsid w:val="007241AE"/>
    <w:rsid w:val="007246F0"/>
    <w:rsid w:val="00724A04"/>
    <w:rsid w:val="00724A4D"/>
    <w:rsid w:val="00724DEB"/>
    <w:rsid w:val="00724F1A"/>
    <w:rsid w:val="007253D2"/>
    <w:rsid w:val="00725494"/>
    <w:rsid w:val="00725663"/>
    <w:rsid w:val="007256E4"/>
    <w:rsid w:val="00725B94"/>
    <w:rsid w:val="00725DE4"/>
    <w:rsid w:val="007263E6"/>
    <w:rsid w:val="007266BC"/>
    <w:rsid w:val="00726A4A"/>
    <w:rsid w:val="00726D6C"/>
    <w:rsid w:val="00727452"/>
    <w:rsid w:val="007274E0"/>
    <w:rsid w:val="0072754B"/>
    <w:rsid w:val="0072769C"/>
    <w:rsid w:val="007276C2"/>
    <w:rsid w:val="00727A63"/>
    <w:rsid w:val="00727AF5"/>
    <w:rsid w:val="00727D82"/>
    <w:rsid w:val="00727FD1"/>
    <w:rsid w:val="0073005D"/>
    <w:rsid w:val="0073005E"/>
    <w:rsid w:val="007302C7"/>
    <w:rsid w:val="00730580"/>
    <w:rsid w:val="00730581"/>
    <w:rsid w:val="0073097A"/>
    <w:rsid w:val="00730AB5"/>
    <w:rsid w:val="00730CD2"/>
    <w:rsid w:val="007312A5"/>
    <w:rsid w:val="00731432"/>
    <w:rsid w:val="007315CB"/>
    <w:rsid w:val="007318D5"/>
    <w:rsid w:val="0073193C"/>
    <w:rsid w:val="00731BBB"/>
    <w:rsid w:val="00731C8D"/>
    <w:rsid w:val="00731FC2"/>
    <w:rsid w:val="0073210C"/>
    <w:rsid w:val="007321AB"/>
    <w:rsid w:val="007321D1"/>
    <w:rsid w:val="00732210"/>
    <w:rsid w:val="00732231"/>
    <w:rsid w:val="00732348"/>
    <w:rsid w:val="0073268B"/>
    <w:rsid w:val="00732747"/>
    <w:rsid w:val="007327DB"/>
    <w:rsid w:val="00732A9D"/>
    <w:rsid w:val="007331F7"/>
    <w:rsid w:val="00733361"/>
    <w:rsid w:val="0073337B"/>
    <w:rsid w:val="00733778"/>
    <w:rsid w:val="0073390C"/>
    <w:rsid w:val="00733AA3"/>
    <w:rsid w:val="00733C78"/>
    <w:rsid w:val="00733D5B"/>
    <w:rsid w:val="0073402E"/>
    <w:rsid w:val="007342B9"/>
    <w:rsid w:val="007343EA"/>
    <w:rsid w:val="0073453A"/>
    <w:rsid w:val="007347BA"/>
    <w:rsid w:val="00734807"/>
    <w:rsid w:val="00734839"/>
    <w:rsid w:val="007349C1"/>
    <w:rsid w:val="007349C8"/>
    <w:rsid w:val="007349EC"/>
    <w:rsid w:val="00734B01"/>
    <w:rsid w:val="00735006"/>
    <w:rsid w:val="0073508F"/>
    <w:rsid w:val="00735189"/>
    <w:rsid w:val="0073536F"/>
    <w:rsid w:val="00735652"/>
    <w:rsid w:val="007356F9"/>
    <w:rsid w:val="00735877"/>
    <w:rsid w:val="00735992"/>
    <w:rsid w:val="00735BD7"/>
    <w:rsid w:val="00735CE1"/>
    <w:rsid w:val="0073635E"/>
    <w:rsid w:val="007365C8"/>
    <w:rsid w:val="007367E3"/>
    <w:rsid w:val="0073685D"/>
    <w:rsid w:val="00736B09"/>
    <w:rsid w:val="00736C39"/>
    <w:rsid w:val="00736CD5"/>
    <w:rsid w:val="00736DAC"/>
    <w:rsid w:val="00736E83"/>
    <w:rsid w:val="00736EF4"/>
    <w:rsid w:val="00737399"/>
    <w:rsid w:val="007374FB"/>
    <w:rsid w:val="0073761D"/>
    <w:rsid w:val="00737685"/>
    <w:rsid w:val="007377AA"/>
    <w:rsid w:val="00737B68"/>
    <w:rsid w:val="00737C00"/>
    <w:rsid w:val="00737CAB"/>
    <w:rsid w:val="00737DF4"/>
    <w:rsid w:val="007402FB"/>
    <w:rsid w:val="007404B1"/>
    <w:rsid w:val="0074054D"/>
    <w:rsid w:val="00740734"/>
    <w:rsid w:val="007407FF"/>
    <w:rsid w:val="00741327"/>
    <w:rsid w:val="007413C2"/>
    <w:rsid w:val="007416D6"/>
    <w:rsid w:val="00741AB8"/>
    <w:rsid w:val="00741B80"/>
    <w:rsid w:val="00741C47"/>
    <w:rsid w:val="00741DBC"/>
    <w:rsid w:val="00741DC3"/>
    <w:rsid w:val="00741FA6"/>
    <w:rsid w:val="00741FEE"/>
    <w:rsid w:val="0074203F"/>
    <w:rsid w:val="0074215B"/>
    <w:rsid w:val="00742484"/>
    <w:rsid w:val="007425CC"/>
    <w:rsid w:val="007425EE"/>
    <w:rsid w:val="00742713"/>
    <w:rsid w:val="00742AF1"/>
    <w:rsid w:val="00742D73"/>
    <w:rsid w:val="00743150"/>
    <w:rsid w:val="007432EC"/>
    <w:rsid w:val="0074350E"/>
    <w:rsid w:val="007437DB"/>
    <w:rsid w:val="00743815"/>
    <w:rsid w:val="0074382F"/>
    <w:rsid w:val="00743A31"/>
    <w:rsid w:val="00743B95"/>
    <w:rsid w:val="00743DC9"/>
    <w:rsid w:val="00743E30"/>
    <w:rsid w:val="007441B8"/>
    <w:rsid w:val="007441E8"/>
    <w:rsid w:val="007441F5"/>
    <w:rsid w:val="007443FE"/>
    <w:rsid w:val="0074453A"/>
    <w:rsid w:val="007446E8"/>
    <w:rsid w:val="00744908"/>
    <w:rsid w:val="00744D26"/>
    <w:rsid w:val="00744DF0"/>
    <w:rsid w:val="007450B2"/>
    <w:rsid w:val="0074534D"/>
    <w:rsid w:val="0074543A"/>
    <w:rsid w:val="00745599"/>
    <w:rsid w:val="007456AF"/>
    <w:rsid w:val="0074583E"/>
    <w:rsid w:val="00745855"/>
    <w:rsid w:val="00745963"/>
    <w:rsid w:val="00745D99"/>
    <w:rsid w:val="0074608A"/>
    <w:rsid w:val="007461FE"/>
    <w:rsid w:val="00746286"/>
    <w:rsid w:val="00746405"/>
    <w:rsid w:val="0074644C"/>
    <w:rsid w:val="007465E1"/>
    <w:rsid w:val="00746618"/>
    <w:rsid w:val="0074679D"/>
    <w:rsid w:val="007467F7"/>
    <w:rsid w:val="007471C3"/>
    <w:rsid w:val="00747580"/>
    <w:rsid w:val="007477CE"/>
    <w:rsid w:val="007477EF"/>
    <w:rsid w:val="00747ACF"/>
    <w:rsid w:val="00747B69"/>
    <w:rsid w:val="00747BCA"/>
    <w:rsid w:val="00747C20"/>
    <w:rsid w:val="00747C57"/>
    <w:rsid w:val="00747CF9"/>
    <w:rsid w:val="00747D97"/>
    <w:rsid w:val="00747D9A"/>
    <w:rsid w:val="00747FBD"/>
    <w:rsid w:val="007501C3"/>
    <w:rsid w:val="007503B0"/>
    <w:rsid w:val="0075061C"/>
    <w:rsid w:val="007508BF"/>
    <w:rsid w:val="00750A24"/>
    <w:rsid w:val="00750BA2"/>
    <w:rsid w:val="00750D23"/>
    <w:rsid w:val="00750D5F"/>
    <w:rsid w:val="00751088"/>
    <w:rsid w:val="007510ED"/>
    <w:rsid w:val="00751572"/>
    <w:rsid w:val="007515A4"/>
    <w:rsid w:val="0075189F"/>
    <w:rsid w:val="0075190B"/>
    <w:rsid w:val="0075193D"/>
    <w:rsid w:val="00751B0E"/>
    <w:rsid w:val="00751FC5"/>
    <w:rsid w:val="00752054"/>
    <w:rsid w:val="0075232C"/>
    <w:rsid w:val="00752419"/>
    <w:rsid w:val="007527B8"/>
    <w:rsid w:val="007528EF"/>
    <w:rsid w:val="00752BF3"/>
    <w:rsid w:val="00752D75"/>
    <w:rsid w:val="0075318C"/>
    <w:rsid w:val="00753217"/>
    <w:rsid w:val="00753389"/>
    <w:rsid w:val="00753888"/>
    <w:rsid w:val="007538E4"/>
    <w:rsid w:val="007538FF"/>
    <w:rsid w:val="00753AFC"/>
    <w:rsid w:val="00753D25"/>
    <w:rsid w:val="00753E0F"/>
    <w:rsid w:val="00754127"/>
    <w:rsid w:val="0075443B"/>
    <w:rsid w:val="00754635"/>
    <w:rsid w:val="0075473D"/>
    <w:rsid w:val="00754759"/>
    <w:rsid w:val="0075486E"/>
    <w:rsid w:val="007548E7"/>
    <w:rsid w:val="00754948"/>
    <w:rsid w:val="007549D4"/>
    <w:rsid w:val="00754A6E"/>
    <w:rsid w:val="00754B9A"/>
    <w:rsid w:val="00754CF9"/>
    <w:rsid w:val="00754FFB"/>
    <w:rsid w:val="00755119"/>
    <w:rsid w:val="00755123"/>
    <w:rsid w:val="007553D6"/>
    <w:rsid w:val="00755439"/>
    <w:rsid w:val="007554FA"/>
    <w:rsid w:val="007556C7"/>
    <w:rsid w:val="007559CA"/>
    <w:rsid w:val="007559D2"/>
    <w:rsid w:val="00755B24"/>
    <w:rsid w:val="0075604E"/>
    <w:rsid w:val="00756253"/>
    <w:rsid w:val="0075672D"/>
    <w:rsid w:val="00756754"/>
    <w:rsid w:val="00756942"/>
    <w:rsid w:val="00756B31"/>
    <w:rsid w:val="00756C26"/>
    <w:rsid w:val="00756D78"/>
    <w:rsid w:val="00756EEF"/>
    <w:rsid w:val="00756F98"/>
    <w:rsid w:val="0075711F"/>
    <w:rsid w:val="00757213"/>
    <w:rsid w:val="0075756B"/>
    <w:rsid w:val="00757ADA"/>
    <w:rsid w:val="00757ADC"/>
    <w:rsid w:val="00757BAB"/>
    <w:rsid w:val="00757E1B"/>
    <w:rsid w:val="0076031E"/>
    <w:rsid w:val="0076038E"/>
    <w:rsid w:val="007609A2"/>
    <w:rsid w:val="00760A73"/>
    <w:rsid w:val="00760A88"/>
    <w:rsid w:val="00760B04"/>
    <w:rsid w:val="00760C3A"/>
    <w:rsid w:val="00760C6E"/>
    <w:rsid w:val="0076105D"/>
    <w:rsid w:val="00761073"/>
    <w:rsid w:val="007614C7"/>
    <w:rsid w:val="007616A1"/>
    <w:rsid w:val="00761FC9"/>
    <w:rsid w:val="007620EE"/>
    <w:rsid w:val="007620F0"/>
    <w:rsid w:val="00762294"/>
    <w:rsid w:val="0076232E"/>
    <w:rsid w:val="0076257E"/>
    <w:rsid w:val="0076271B"/>
    <w:rsid w:val="00762B31"/>
    <w:rsid w:val="00762B59"/>
    <w:rsid w:val="00762B5F"/>
    <w:rsid w:val="00762BAD"/>
    <w:rsid w:val="00762F89"/>
    <w:rsid w:val="00762FED"/>
    <w:rsid w:val="00763007"/>
    <w:rsid w:val="00763039"/>
    <w:rsid w:val="00763204"/>
    <w:rsid w:val="0076327F"/>
    <w:rsid w:val="007634FB"/>
    <w:rsid w:val="00763599"/>
    <w:rsid w:val="007636CC"/>
    <w:rsid w:val="007637E8"/>
    <w:rsid w:val="007638A8"/>
    <w:rsid w:val="00763927"/>
    <w:rsid w:val="00763AE5"/>
    <w:rsid w:val="00764050"/>
    <w:rsid w:val="00764225"/>
    <w:rsid w:val="0076463A"/>
    <w:rsid w:val="007648E1"/>
    <w:rsid w:val="00764CB8"/>
    <w:rsid w:val="00764F83"/>
    <w:rsid w:val="0076530E"/>
    <w:rsid w:val="0076570B"/>
    <w:rsid w:val="00765737"/>
    <w:rsid w:val="00765B40"/>
    <w:rsid w:val="00765D01"/>
    <w:rsid w:val="00765DCD"/>
    <w:rsid w:val="00765DDA"/>
    <w:rsid w:val="00765F44"/>
    <w:rsid w:val="00766007"/>
    <w:rsid w:val="007662E9"/>
    <w:rsid w:val="00766381"/>
    <w:rsid w:val="007663C2"/>
    <w:rsid w:val="00766465"/>
    <w:rsid w:val="0076659B"/>
    <w:rsid w:val="00766953"/>
    <w:rsid w:val="00766B20"/>
    <w:rsid w:val="00766C4D"/>
    <w:rsid w:val="00766D15"/>
    <w:rsid w:val="00766D63"/>
    <w:rsid w:val="00766F7D"/>
    <w:rsid w:val="0076743E"/>
    <w:rsid w:val="007679B3"/>
    <w:rsid w:val="007679FB"/>
    <w:rsid w:val="00767A87"/>
    <w:rsid w:val="00767D1B"/>
    <w:rsid w:val="00767D1F"/>
    <w:rsid w:val="00767D3F"/>
    <w:rsid w:val="00770038"/>
    <w:rsid w:val="00770160"/>
    <w:rsid w:val="0077019A"/>
    <w:rsid w:val="007701A4"/>
    <w:rsid w:val="0077028F"/>
    <w:rsid w:val="00770381"/>
    <w:rsid w:val="007704DD"/>
    <w:rsid w:val="00770564"/>
    <w:rsid w:val="00770814"/>
    <w:rsid w:val="007708DC"/>
    <w:rsid w:val="0077093B"/>
    <w:rsid w:val="00770AD2"/>
    <w:rsid w:val="00770B2C"/>
    <w:rsid w:val="00770F1B"/>
    <w:rsid w:val="00770F6B"/>
    <w:rsid w:val="007710B6"/>
    <w:rsid w:val="0077112F"/>
    <w:rsid w:val="0077120C"/>
    <w:rsid w:val="007716F4"/>
    <w:rsid w:val="0077180B"/>
    <w:rsid w:val="007718ED"/>
    <w:rsid w:val="00771B28"/>
    <w:rsid w:val="00771B76"/>
    <w:rsid w:val="00772095"/>
    <w:rsid w:val="00772120"/>
    <w:rsid w:val="0077217F"/>
    <w:rsid w:val="00772184"/>
    <w:rsid w:val="00772344"/>
    <w:rsid w:val="007723E0"/>
    <w:rsid w:val="00772409"/>
    <w:rsid w:val="007724F6"/>
    <w:rsid w:val="00772537"/>
    <w:rsid w:val="007725BE"/>
    <w:rsid w:val="00772A7D"/>
    <w:rsid w:val="00772C83"/>
    <w:rsid w:val="00772E7B"/>
    <w:rsid w:val="007730C0"/>
    <w:rsid w:val="0077357C"/>
    <w:rsid w:val="00773A97"/>
    <w:rsid w:val="007740B0"/>
    <w:rsid w:val="007741A8"/>
    <w:rsid w:val="007741DC"/>
    <w:rsid w:val="007741F0"/>
    <w:rsid w:val="007746BA"/>
    <w:rsid w:val="007746EE"/>
    <w:rsid w:val="00774941"/>
    <w:rsid w:val="00774AEE"/>
    <w:rsid w:val="0077500D"/>
    <w:rsid w:val="007751F0"/>
    <w:rsid w:val="0077527C"/>
    <w:rsid w:val="00775598"/>
    <w:rsid w:val="00775884"/>
    <w:rsid w:val="00775B0F"/>
    <w:rsid w:val="00775E5C"/>
    <w:rsid w:val="00775F6D"/>
    <w:rsid w:val="0077603F"/>
    <w:rsid w:val="0077620D"/>
    <w:rsid w:val="00776513"/>
    <w:rsid w:val="007767B0"/>
    <w:rsid w:val="007772D9"/>
    <w:rsid w:val="00777337"/>
    <w:rsid w:val="0077736B"/>
    <w:rsid w:val="007774C9"/>
    <w:rsid w:val="007776CD"/>
    <w:rsid w:val="00777D98"/>
    <w:rsid w:val="00777DD2"/>
    <w:rsid w:val="0078008C"/>
    <w:rsid w:val="00780171"/>
    <w:rsid w:val="007803C6"/>
    <w:rsid w:val="00780414"/>
    <w:rsid w:val="007805EC"/>
    <w:rsid w:val="007805F5"/>
    <w:rsid w:val="00780F2C"/>
    <w:rsid w:val="00780F4B"/>
    <w:rsid w:val="00780F8D"/>
    <w:rsid w:val="0078131B"/>
    <w:rsid w:val="007815E4"/>
    <w:rsid w:val="0078185C"/>
    <w:rsid w:val="007819CE"/>
    <w:rsid w:val="007819F2"/>
    <w:rsid w:val="00781AE6"/>
    <w:rsid w:val="00781B09"/>
    <w:rsid w:val="00781B0F"/>
    <w:rsid w:val="00781C00"/>
    <w:rsid w:val="00781C5B"/>
    <w:rsid w:val="00781C7C"/>
    <w:rsid w:val="00781CB5"/>
    <w:rsid w:val="00781E92"/>
    <w:rsid w:val="00781F7B"/>
    <w:rsid w:val="0078207A"/>
    <w:rsid w:val="007820A8"/>
    <w:rsid w:val="00782184"/>
    <w:rsid w:val="007821D1"/>
    <w:rsid w:val="00782324"/>
    <w:rsid w:val="00782350"/>
    <w:rsid w:val="00782374"/>
    <w:rsid w:val="007823C3"/>
    <w:rsid w:val="0078246A"/>
    <w:rsid w:val="007828E6"/>
    <w:rsid w:val="00782B5A"/>
    <w:rsid w:val="00782C8F"/>
    <w:rsid w:val="00782CB6"/>
    <w:rsid w:val="00782D32"/>
    <w:rsid w:val="00782E57"/>
    <w:rsid w:val="00782FCA"/>
    <w:rsid w:val="007830B4"/>
    <w:rsid w:val="00783106"/>
    <w:rsid w:val="00783587"/>
    <w:rsid w:val="007837E6"/>
    <w:rsid w:val="00783897"/>
    <w:rsid w:val="00783A0B"/>
    <w:rsid w:val="007846AA"/>
    <w:rsid w:val="00784858"/>
    <w:rsid w:val="00784CFC"/>
    <w:rsid w:val="00784F83"/>
    <w:rsid w:val="00785146"/>
    <w:rsid w:val="007854BE"/>
    <w:rsid w:val="0078573E"/>
    <w:rsid w:val="0078573F"/>
    <w:rsid w:val="00785825"/>
    <w:rsid w:val="007859E1"/>
    <w:rsid w:val="00785EEC"/>
    <w:rsid w:val="00786073"/>
    <w:rsid w:val="00786384"/>
    <w:rsid w:val="00786C96"/>
    <w:rsid w:val="00786D53"/>
    <w:rsid w:val="00786D60"/>
    <w:rsid w:val="00786EB9"/>
    <w:rsid w:val="00787463"/>
    <w:rsid w:val="00787737"/>
    <w:rsid w:val="007877BE"/>
    <w:rsid w:val="00787805"/>
    <w:rsid w:val="0078787C"/>
    <w:rsid w:val="007878CC"/>
    <w:rsid w:val="00787ACF"/>
    <w:rsid w:val="00787AD1"/>
    <w:rsid w:val="00787C06"/>
    <w:rsid w:val="00787F28"/>
    <w:rsid w:val="0079009F"/>
    <w:rsid w:val="007902CE"/>
    <w:rsid w:val="00790303"/>
    <w:rsid w:val="007905C4"/>
    <w:rsid w:val="007905E5"/>
    <w:rsid w:val="0079067B"/>
    <w:rsid w:val="00790D9B"/>
    <w:rsid w:val="00790FCC"/>
    <w:rsid w:val="007911F5"/>
    <w:rsid w:val="00791250"/>
    <w:rsid w:val="00791265"/>
    <w:rsid w:val="007912CF"/>
    <w:rsid w:val="0079165D"/>
    <w:rsid w:val="00791661"/>
    <w:rsid w:val="007918A4"/>
    <w:rsid w:val="007919F8"/>
    <w:rsid w:val="00791AFC"/>
    <w:rsid w:val="00791CDB"/>
    <w:rsid w:val="00791E1D"/>
    <w:rsid w:val="00791FED"/>
    <w:rsid w:val="00792196"/>
    <w:rsid w:val="0079271E"/>
    <w:rsid w:val="007927BB"/>
    <w:rsid w:val="007929FA"/>
    <w:rsid w:val="00792A58"/>
    <w:rsid w:val="00792B6A"/>
    <w:rsid w:val="00792B83"/>
    <w:rsid w:val="00792F2C"/>
    <w:rsid w:val="0079314B"/>
    <w:rsid w:val="00793318"/>
    <w:rsid w:val="0079344B"/>
    <w:rsid w:val="00793677"/>
    <w:rsid w:val="00793A25"/>
    <w:rsid w:val="00793C05"/>
    <w:rsid w:val="00793F0E"/>
    <w:rsid w:val="00793F22"/>
    <w:rsid w:val="007946A0"/>
    <w:rsid w:val="00794833"/>
    <w:rsid w:val="007948DE"/>
    <w:rsid w:val="007948E8"/>
    <w:rsid w:val="007949D0"/>
    <w:rsid w:val="00794D8A"/>
    <w:rsid w:val="00794E34"/>
    <w:rsid w:val="00794E67"/>
    <w:rsid w:val="00795201"/>
    <w:rsid w:val="0079526D"/>
    <w:rsid w:val="00795360"/>
    <w:rsid w:val="00795568"/>
    <w:rsid w:val="0079565F"/>
    <w:rsid w:val="0079570C"/>
    <w:rsid w:val="0079578D"/>
    <w:rsid w:val="00795804"/>
    <w:rsid w:val="0079581D"/>
    <w:rsid w:val="0079591B"/>
    <w:rsid w:val="007959FA"/>
    <w:rsid w:val="00795A43"/>
    <w:rsid w:val="00795ADD"/>
    <w:rsid w:val="00795DED"/>
    <w:rsid w:val="007963FA"/>
    <w:rsid w:val="007966F4"/>
    <w:rsid w:val="007967E7"/>
    <w:rsid w:val="0079695D"/>
    <w:rsid w:val="00796BF7"/>
    <w:rsid w:val="007970AC"/>
    <w:rsid w:val="00797311"/>
    <w:rsid w:val="0079737D"/>
    <w:rsid w:val="007973BC"/>
    <w:rsid w:val="00797577"/>
    <w:rsid w:val="00797F2B"/>
    <w:rsid w:val="007A027E"/>
    <w:rsid w:val="007A0351"/>
    <w:rsid w:val="007A0435"/>
    <w:rsid w:val="007A0729"/>
    <w:rsid w:val="007A0829"/>
    <w:rsid w:val="007A0895"/>
    <w:rsid w:val="007A0916"/>
    <w:rsid w:val="007A0984"/>
    <w:rsid w:val="007A09AB"/>
    <w:rsid w:val="007A0A0F"/>
    <w:rsid w:val="007A0C1C"/>
    <w:rsid w:val="007A0D01"/>
    <w:rsid w:val="007A101D"/>
    <w:rsid w:val="007A10A7"/>
    <w:rsid w:val="007A13F1"/>
    <w:rsid w:val="007A146E"/>
    <w:rsid w:val="007A1484"/>
    <w:rsid w:val="007A1488"/>
    <w:rsid w:val="007A14F8"/>
    <w:rsid w:val="007A1543"/>
    <w:rsid w:val="007A1687"/>
    <w:rsid w:val="007A1A5D"/>
    <w:rsid w:val="007A1B5B"/>
    <w:rsid w:val="007A1F10"/>
    <w:rsid w:val="007A207E"/>
    <w:rsid w:val="007A2081"/>
    <w:rsid w:val="007A2198"/>
    <w:rsid w:val="007A228D"/>
    <w:rsid w:val="007A22F4"/>
    <w:rsid w:val="007A2576"/>
    <w:rsid w:val="007A2966"/>
    <w:rsid w:val="007A296C"/>
    <w:rsid w:val="007A2999"/>
    <w:rsid w:val="007A2C5D"/>
    <w:rsid w:val="007A2C95"/>
    <w:rsid w:val="007A2D29"/>
    <w:rsid w:val="007A2ED7"/>
    <w:rsid w:val="007A35E4"/>
    <w:rsid w:val="007A369B"/>
    <w:rsid w:val="007A3A14"/>
    <w:rsid w:val="007A3FB8"/>
    <w:rsid w:val="007A4105"/>
    <w:rsid w:val="007A4271"/>
    <w:rsid w:val="007A42A8"/>
    <w:rsid w:val="007A42C5"/>
    <w:rsid w:val="007A42DC"/>
    <w:rsid w:val="007A4506"/>
    <w:rsid w:val="007A451E"/>
    <w:rsid w:val="007A4705"/>
    <w:rsid w:val="007A473A"/>
    <w:rsid w:val="007A4896"/>
    <w:rsid w:val="007A4914"/>
    <w:rsid w:val="007A49DF"/>
    <w:rsid w:val="007A4B85"/>
    <w:rsid w:val="007A4BCC"/>
    <w:rsid w:val="007A4BD7"/>
    <w:rsid w:val="007A4BEA"/>
    <w:rsid w:val="007A4EF2"/>
    <w:rsid w:val="007A52AB"/>
    <w:rsid w:val="007A52B9"/>
    <w:rsid w:val="007A52C5"/>
    <w:rsid w:val="007A537E"/>
    <w:rsid w:val="007A5465"/>
    <w:rsid w:val="007A54E5"/>
    <w:rsid w:val="007A576F"/>
    <w:rsid w:val="007A579B"/>
    <w:rsid w:val="007A5956"/>
    <w:rsid w:val="007A5DB0"/>
    <w:rsid w:val="007A5E02"/>
    <w:rsid w:val="007A5E54"/>
    <w:rsid w:val="007A6843"/>
    <w:rsid w:val="007A6AF2"/>
    <w:rsid w:val="007A6B76"/>
    <w:rsid w:val="007A6B80"/>
    <w:rsid w:val="007A6B81"/>
    <w:rsid w:val="007A6D6C"/>
    <w:rsid w:val="007A6DD7"/>
    <w:rsid w:val="007A7469"/>
    <w:rsid w:val="007A763C"/>
    <w:rsid w:val="007A76F8"/>
    <w:rsid w:val="007A77FE"/>
    <w:rsid w:val="007A7EF3"/>
    <w:rsid w:val="007B0022"/>
    <w:rsid w:val="007B0701"/>
    <w:rsid w:val="007B07E2"/>
    <w:rsid w:val="007B0A2D"/>
    <w:rsid w:val="007B0F1F"/>
    <w:rsid w:val="007B1037"/>
    <w:rsid w:val="007B1159"/>
    <w:rsid w:val="007B137C"/>
    <w:rsid w:val="007B144E"/>
    <w:rsid w:val="007B18AE"/>
    <w:rsid w:val="007B193F"/>
    <w:rsid w:val="007B1C51"/>
    <w:rsid w:val="007B219F"/>
    <w:rsid w:val="007B22B1"/>
    <w:rsid w:val="007B2452"/>
    <w:rsid w:val="007B25A9"/>
    <w:rsid w:val="007B2919"/>
    <w:rsid w:val="007B2AA5"/>
    <w:rsid w:val="007B2B4A"/>
    <w:rsid w:val="007B2BD7"/>
    <w:rsid w:val="007B2DE2"/>
    <w:rsid w:val="007B2E15"/>
    <w:rsid w:val="007B3056"/>
    <w:rsid w:val="007B31B4"/>
    <w:rsid w:val="007B331F"/>
    <w:rsid w:val="007B3540"/>
    <w:rsid w:val="007B3ADD"/>
    <w:rsid w:val="007B3C82"/>
    <w:rsid w:val="007B3FAB"/>
    <w:rsid w:val="007B45A1"/>
    <w:rsid w:val="007B45CE"/>
    <w:rsid w:val="007B4704"/>
    <w:rsid w:val="007B47DD"/>
    <w:rsid w:val="007B47E1"/>
    <w:rsid w:val="007B4C92"/>
    <w:rsid w:val="007B4DE6"/>
    <w:rsid w:val="007B507A"/>
    <w:rsid w:val="007B5107"/>
    <w:rsid w:val="007B53E7"/>
    <w:rsid w:val="007B5450"/>
    <w:rsid w:val="007B548E"/>
    <w:rsid w:val="007B5AAB"/>
    <w:rsid w:val="007B5D61"/>
    <w:rsid w:val="007B5FF9"/>
    <w:rsid w:val="007B6314"/>
    <w:rsid w:val="007B6503"/>
    <w:rsid w:val="007B6552"/>
    <w:rsid w:val="007B66AC"/>
    <w:rsid w:val="007B66B8"/>
    <w:rsid w:val="007B680B"/>
    <w:rsid w:val="007B6C11"/>
    <w:rsid w:val="007B6DC1"/>
    <w:rsid w:val="007B6F5F"/>
    <w:rsid w:val="007B723F"/>
    <w:rsid w:val="007B75E0"/>
    <w:rsid w:val="007B7715"/>
    <w:rsid w:val="007B790E"/>
    <w:rsid w:val="007B791C"/>
    <w:rsid w:val="007B7A87"/>
    <w:rsid w:val="007B7AB4"/>
    <w:rsid w:val="007B7B0D"/>
    <w:rsid w:val="007B7BBC"/>
    <w:rsid w:val="007B7CEB"/>
    <w:rsid w:val="007B7EA6"/>
    <w:rsid w:val="007C01C4"/>
    <w:rsid w:val="007C0798"/>
    <w:rsid w:val="007C0D8F"/>
    <w:rsid w:val="007C0EE8"/>
    <w:rsid w:val="007C102C"/>
    <w:rsid w:val="007C16D3"/>
    <w:rsid w:val="007C1731"/>
    <w:rsid w:val="007C1791"/>
    <w:rsid w:val="007C18C8"/>
    <w:rsid w:val="007C1CB4"/>
    <w:rsid w:val="007C1DF7"/>
    <w:rsid w:val="007C205B"/>
    <w:rsid w:val="007C207C"/>
    <w:rsid w:val="007C21EC"/>
    <w:rsid w:val="007C222D"/>
    <w:rsid w:val="007C2302"/>
    <w:rsid w:val="007C23B1"/>
    <w:rsid w:val="007C2612"/>
    <w:rsid w:val="007C281D"/>
    <w:rsid w:val="007C3155"/>
    <w:rsid w:val="007C33F1"/>
    <w:rsid w:val="007C344F"/>
    <w:rsid w:val="007C374D"/>
    <w:rsid w:val="007C3889"/>
    <w:rsid w:val="007C3E10"/>
    <w:rsid w:val="007C3EB5"/>
    <w:rsid w:val="007C3F3C"/>
    <w:rsid w:val="007C3FE5"/>
    <w:rsid w:val="007C401E"/>
    <w:rsid w:val="007C402F"/>
    <w:rsid w:val="007C4177"/>
    <w:rsid w:val="007C431B"/>
    <w:rsid w:val="007C4571"/>
    <w:rsid w:val="007C4760"/>
    <w:rsid w:val="007C49E4"/>
    <w:rsid w:val="007C4C90"/>
    <w:rsid w:val="007C4D81"/>
    <w:rsid w:val="007C4FB7"/>
    <w:rsid w:val="007C5626"/>
    <w:rsid w:val="007C588B"/>
    <w:rsid w:val="007C59B1"/>
    <w:rsid w:val="007C5A95"/>
    <w:rsid w:val="007C5BEA"/>
    <w:rsid w:val="007C5C26"/>
    <w:rsid w:val="007C5C8D"/>
    <w:rsid w:val="007C5D25"/>
    <w:rsid w:val="007C5E6C"/>
    <w:rsid w:val="007C6354"/>
    <w:rsid w:val="007C6645"/>
    <w:rsid w:val="007C699D"/>
    <w:rsid w:val="007C6AAF"/>
    <w:rsid w:val="007C6D22"/>
    <w:rsid w:val="007C6EAC"/>
    <w:rsid w:val="007C6F69"/>
    <w:rsid w:val="007C71ED"/>
    <w:rsid w:val="007C7377"/>
    <w:rsid w:val="007C7456"/>
    <w:rsid w:val="007C7577"/>
    <w:rsid w:val="007C7968"/>
    <w:rsid w:val="007C7BED"/>
    <w:rsid w:val="007C7D7B"/>
    <w:rsid w:val="007D0205"/>
    <w:rsid w:val="007D037E"/>
    <w:rsid w:val="007D0589"/>
    <w:rsid w:val="007D070D"/>
    <w:rsid w:val="007D07D2"/>
    <w:rsid w:val="007D085A"/>
    <w:rsid w:val="007D08BF"/>
    <w:rsid w:val="007D091F"/>
    <w:rsid w:val="007D0996"/>
    <w:rsid w:val="007D0D80"/>
    <w:rsid w:val="007D0EBD"/>
    <w:rsid w:val="007D0F33"/>
    <w:rsid w:val="007D149C"/>
    <w:rsid w:val="007D153A"/>
    <w:rsid w:val="007D15BE"/>
    <w:rsid w:val="007D172B"/>
    <w:rsid w:val="007D1841"/>
    <w:rsid w:val="007D1919"/>
    <w:rsid w:val="007D1958"/>
    <w:rsid w:val="007D1A40"/>
    <w:rsid w:val="007D1EBB"/>
    <w:rsid w:val="007D1F6C"/>
    <w:rsid w:val="007D2035"/>
    <w:rsid w:val="007D22C1"/>
    <w:rsid w:val="007D24D0"/>
    <w:rsid w:val="007D291F"/>
    <w:rsid w:val="007D2D78"/>
    <w:rsid w:val="007D2DCB"/>
    <w:rsid w:val="007D2E79"/>
    <w:rsid w:val="007D2F97"/>
    <w:rsid w:val="007D2FD0"/>
    <w:rsid w:val="007D30FC"/>
    <w:rsid w:val="007D3258"/>
    <w:rsid w:val="007D3260"/>
    <w:rsid w:val="007D340E"/>
    <w:rsid w:val="007D344A"/>
    <w:rsid w:val="007D35B3"/>
    <w:rsid w:val="007D3705"/>
    <w:rsid w:val="007D3DA5"/>
    <w:rsid w:val="007D3E96"/>
    <w:rsid w:val="007D4191"/>
    <w:rsid w:val="007D4265"/>
    <w:rsid w:val="007D4568"/>
    <w:rsid w:val="007D4620"/>
    <w:rsid w:val="007D4866"/>
    <w:rsid w:val="007D4905"/>
    <w:rsid w:val="007D4B60"/>
    <w:rsid w:val="007D4BE4"/>
    <w:rsid w:val="007D4F86"/>
    <w:rsid w:val="007D4FB5"/>
    <w:rsid w:val="007D512C"/>
    <w:rsid w:val="007D5359"/>
    <w:rsid w:val="007D5435"/>
    <w:rsid w:val="007D56F3"/>
    <w:rsid w:val="007D5886"/>
    <w:rsid w:val="007D5E4D"/>
    <w:rsid w:val="007D60F6"/>
    <w:rsid w:val="007D62E7"/>
    <w:rsid w:val="007D6438"/>
    <w:rsid w:val="007D6478"/>
    <w:rsid w:val="007D6D78"/>
    <w:rsid w:val="007D71A8"/>
    <w:rsid w:val="007D71EF"/>
    <w:rsid w:val="007D7262"/>
    <w:rsid w:val="007D7640"/>
    <w:rsid w:val="007D77DE"/>
    <w:rsid w:val="007D7891"/>
    <w:rsid w:val="007D7894"/>
    <w:rsid w:val="007D7A07"/>
    <w:rsid w:val="007D7A2C"/>
    <w:rsid w:val="007D7E0A"/>
    <w:rsid w:val="007D7E9F"/>
    <w:rsid w:val="007D7F0B"/>
    <w:rsid w:val="007D7F17"/>
    <w:rsid w:val="007E015A"/>
    <w:rsid w:val="007E0160"/>
    <w:rsid w:val="007E04D6"/>
    <w:rsid w:val="007E052D"/>
    <w:rsid w:val="007E0636"/>
    <w:rsid w:val="007E0726"/>
    <w:rsid w:val="007E0AE8"/>
    <w:rsid w:val="007E0DCA"/>
    <w:rsid w:val="007E0FCA"/>
    <w:rsid w:val="007E1013"/>
    <w:rsid w:val="007E192E"/>
    <w:rsid w:val="007E1935"/>
    <w:rsid w:val="007E195B"/>
    <w:rsid w:val="007E1A50"/>
    <w:rsid w:val="007E1B0C"/>
    <w:rsid w:val="007E1F04"/>
    <w:rsid w:val="007E1F65"/>
    <w:rsid w:val="007E1FDD"/>
    <w:rsid w:val="007E217D"/>
    <w:rsid w:val="007E21C9"/>
    <w:rsid w:val="007E23EF"/>
    <w:rsid w:val="007E2467"/>
    <w:rsid w:val="007E251E"/>
    <w:rsid w:val="007E259C"/>
    <w:rsid w:val="007E279B"/>
    <w:rsid w:val="007E27AD"/>
    <w:rsid w:val="007E27EF"/>
    <w:rsid w:val="007E2A8C"/>
    <w:rsid w:val="007E2AFF"/>
    <w:rsid w:val="007E2B39"/>
    <w:rsid w:val="007E2B89"/>
    <w:rsid w:val="007E2BD3"/>
    <w:rsid w:val="007E2CE6"/>
    <w:rsid w:val="007E2E42"/>
    <w:rsid w:val="007E2EBE"/>
    <w:rsid w:val="007E2EBF"/>
    <w:rsid w:val="007E3196"/>
    <w:rsid w:val="007E319D"/>
    <w:rsid w:val="007E350E"/>
    <w:rsid w:val="007E365F"/>
    <w:rsid w:val="007E3AD1"/>
    <w:rsid w:val="007E3BAF"/>
    <w:rsid w:val="007E3C67"/>
    <w:rsid w:val="007E3D08"/>
    <w:rsid w:val="007E3EBC"/>
    <w:rsid w:val="007E3EF5"/>
    <w:rsid w:val="007E419A"/>
    <w:rsid w:val="007E4479"/>
    <w:rsid w:val="007E4528"/>
    <w:rsid w:val="007E46CD"/>
    <w:rsid w:val="007E4711"/>
    <w:rsid w:val="007E4893"/>
    <w:rsid w:val="007E4AA9"/>
    <w:rsid w:val="007E4E44"/>
    <w:rsid w:val="007E4F43"/>
    <w:rsid w:val="007E549A"/>
    <w:rsid w:val="007E58BF"/>
    <w:rsid w:val="007E5A02"/>
    <w:rsid w:val="007E5AEB"/>
    <w:rsid w:val="007E5B21"/>
    <w:rsid w:val="007E5CCC"/>
    <w:rsid w:val="007E5CE8"/>
    <w:rsid w:val="007E5E77"/>
    <w:rsid w:val="007E5EF2"/>
    <w:rsid w:val="007E601E"/>
    <w:rsid w:val="007E6348"/>
    <w:rsid w:val="007E6429"/>
    <w:rsid w:val="007E671E"/>
    <w:rsid w:val="007E6741"/>
    <w:rsid w:val="007E6AB3"/>
    <w:rsid w:val="007E6C00"/>
    <w:rsid w:val="007E6C23"/>
    <w:rsid w:val="007E6E7B"/>
    <w:rsid w:val="007E6FF3"/>
    <w:rsid w:val="007E75B7"/>
    <w:rsid w:val="007E7616"/>
    <w:rsid w:val="007E7BA4"/>
    <w:rsid w:val="007E7DAD"/>
    <w:rsid w:val="007E7DCE"/>
    <w:rsid w:val="007F0090"/>
    <w:rsid w:val="007F042E"/>
    <w:rsid w:val="007F059C"/>
    <w:rsid w:val="007F07F1"/>
    <w:rsid w:val="007F0AF3"/>
    <w:rsid w:val="007F0B0B"/>
    <w:rsid w:val="007F0CB3"/>
    <w:rsid w:val="007F0D90"/>
    <w:rsid w:val="007F0E76"/>
    <w:rsid w:val="007F10B2"/>
    <w:rsid w:val="007F13D8"/>
    <w:rsid w:val="007F1441"/>
    <w:rsid w:val="007F156C"/>
    <w:rsid w:val="007F1864"/>
    <w:rsid w:val="007F18C6"/>
    <w:rsid w:val="007F1913"/>
    <w:rsid w:val="007F1AAF"/>
    <w:rsid w:val="007F1EF0"/>
    <w:rsid w:val="007F1FD1"/>
    <w:rsid w:val="007F1FDF"/>
    <w:rsid w:val="007F1FF8"/>
    <w:rsid w:val="007F213F"/>
    <w:rsid w:val="007F2353"/>
    <w:rsid w:val="007F2498"/>
    <w:rsid w:val="007F2595"/>
    <w:rsid w:val="007F2811"/>
    <w:rsid w:val="007F282D"/>
    <w:rsid w:val="007F2A75"/>
    <w:rsid w:val="007F2AA9"/>
    <w:rsid w:val="007F2B13"/>
    <w:rsid w:val="007F2B46"/>
    <w:rsid w:val="007F2B7E"/>
    <w:rsid w:val="007F2BC9"/>
    <w:rsid w:val="007F2DDA"/>
    <w:rsid w:val="007F2FD1"/>
    <w:rsid w:val="007F316C"/>
    <w:rsid w:val="007F337C"/>
    <w:rsid w:val="007F3642"/>
    <w:rsid w:val="007F371C"/>
    <w:rsid w:val="007F37D2"/>
    <w:rsid w:val="007F38A1"/>
    <w:rsid w:val="007F39A2"/>
    <w:rsid w:val="007F39F1"/>
    <w:rsid w:val="007F3CD9"/>
    <w:rsid w:val="007F3D7C"/>
    <w:rsid w:val="007F3E34"/>
    <w:rsid w:val="007F3F55"/>
    <w:rsid w:val="007F3F7F"/>
    <w:rsid w:val="007F3FE3"/>
    <w:rsid w:val="007F4154"/>
    <w:rsid w:val="007F42B1"/>
    <w:rsid w:val="007F4377"/>
    <w:rsid w:val="007F442C"/>
    <w:rsid w:val="007F4497"/>
    <w:rsid w:val="007F451A"/>
    <w:rsid w:val="007F45CF"/>
    <w:rsid w:val="007F48EC"/>
    <w:rsid w:val="007F4A13"/>
    <w:rsid w:val="007F4C33"/>
    <w:rsid w:val="007F4DBC"/>
    <w:rsid w:val="007F4E7D"/>
    <w:rsid w:val="007F5317"/>
    <w:rsid w:val="007F537F"/>
    <w:rsid w:val="007F584E"/>
    <w:rsid w:val="007F59EA"/>
    <w:rsid w:val="007F5AD2"/>
    <w:rsid w:val="007F5F77"/>
    <w:rsid w:val="007F5FF5"/>
    <w:rsid w:val="007F66FA"/>
    <w:rsid w:val="007F6A69"/>
    <w:rsid w:val="007F6B9D"/>
    <w:rsid w:val="007F6BF3"/>
    <w:rsid w:val="007F6C50"/>
    <w:rsid w:val="007F7307"/>
    <w:rsid w:val="007F7656"/>
    <w:rsid w:val="007F76A2"/>
    <w:rsid w:val="007F7972"/>
    <w:rsid w:val="007F7A38"/>
    <w:rsid w:val="007F7A9C"/>
    <w:rsid w:val="007F7C4D"/>
    <w:rsid w:val="007F7C5D"/>
    <w:rsid w:val="007F7FA8"/>
    <w:rsid w:val="00800450"/>
    <w:rsid w:val="008007BE"/>
    <w:rsid w:val="00800C1D"/>
    <w:rsid w:val="00800E42"/>
    <w:rsid w:val="00800E4A"/>
    <w:rsid w:val="0080123E"/>
    <w:rsid w:val="00801285"/>
    <w:rsid w:val="0080133A"/>
    <w:rsid w:val="008015BB"/>
    <w:rsid w:val="008015CE"/>
    <w:rsid w:val="00801A4F"/>
    <w:rsid w:val="00801B86"/>
    <w:rsid w:val="00801F11"/>
    <w:rsid w:val="00801FE2"/>
    <w:rsid w:val="008020AE"/>
    <w:rsid w:val="008020D1"/>
    <w:rsid w:val="00802142"/>
    <w:rsid w:val="008024B5"/>
    <w:rsid w:val="008026E7"/>
    <w:rsid w:val="00802733"/>
    <w:rsid w:val="00802801"/>
    <w:rsid w:val="00802E4A"/>
    <w:rsid w:val="008030D5"/>
    <w:rsid w:val="0080316D"/>
    <w:rsid w:val="00803201"/>
    <w:rsid w:val="008032B8"/>
    <w:rsid w:val="00803497"/>
    <w:rsid w:val="0080349C"/>
    <w:rsid w:val="008035B6"/>
    <w:rsid w:val="0080366F"/>
    <w:rsid w:val="00803D15"/>
    <w:rsid w:val="0080406D"/>
    <w:rsid w:val="00804512"/>
    <w:rsid w:val="0080470B"/>
    <w:rsid w:val="008047A2"/>
    <w:rsid w:val="008048FA"/>
    <w:rsid w:val="008049A9"/>
    <w:rsid w:val="008052D3"/>
    <w:rsid w:val="008054DC"/>
    <w:rsid w:val="0080571D"/>
    <w:rsid w:val="00805C81"/>
    <w:rsid w:val="00805C97"/>
    <w:rsid w:val="00805CE8"/>
    <w:rsid w:val="008061E1"/>
    <w:rsid w:val="00806471"/>
    <w:rsid w:val="008064A7"/>
    <w:rsid w:val="0080660F"/>
    <w:rsid w:val="0080667E"/>
    <w:rsid w:val="00806854"/>
    <w:rsid w:val="00806918"/>
    <w:rsid w:val="00806E17"/>
    <w:rsid w:val="00806E76"/>
    <w:rsid w:val="0080713B"/>
    <w:rsid w:val="0080717E"/>
    <w:rsid w:val="00807277"/>
    <w:rsid w:val="00807286"/>
    <w:rsid w:val="008072A2"/>
    <w:rsid w:val="00807476"/>
    <w:rsid w:val="00807584"/>
    <w:rsid w:val="00807A36"/>
    <w:rsid w:val="00807D2E"/>
    <w:rsid w:val="00807E1E"/>
    <w:rsid w:val="00807EDE"/>
    <w:rsid w:val="00807FD9"/>
    <w:rsid w:val="00807FDB"/>
    <w:rsid w:val="0081000E"/>
    <w:rsid w:val="00810099"/>
    <w:rsid w:val="00810524"/>
    <w:rsid w:val="0081067A"/>
    <w:rsid w:val="00810D87"/>
    <w:rsid w:val="00810E3E"/>
    <w:rsid w:val="00810E52"/>
    <w:rsid w:val="00810FA4"/>
    <w:rsid w:val="0081108D"/>
    <w:rsid w:val="008110A5"/>
    <w:rsid w:val="008114AB"/>
    <w:rsid w:val="008116AF"/>
    <w:rsid w:val="008116B8"/>
    <w:rsid w:val="00811751"/>
    <w:rsid w:val="00811761"/>
    <w:rsid w:val="008119F9"/>
    <w:rsid w:val="00812578"/>
    <w:rsid w:val="00812AA5"/>
    <w:rsid w:val="00813200"/>
    <w:rsid w:val="008132D8"/>
    <w:rsid w:val="0081332D"/>
    <w:rsid w:val="008136B0"/>
    <w:rsid w:val="008136DC"/>
    <w:rsid w:val="008137E9"/>
    <w:rsid w:val="00813C2D"/>
    <w:rsid w:val="00813E19"/>
    <w:rsid w:val="00813F1D"/>
    <w:rsid w:val="0081401B"/>
    <w:rsid w:val="0081440E"/>
    <w:rsid w:val="00814667"/>
    <w:rsid w:val="00814859"/>
    <w:rsid w:val="008148A2"/>
    <w:rsid w:val="0081499E"/>
    <w:rsid w:val="00814CB9"/>
    <w:rsid w:val="00814CF7"/>
    <w:rsid w:val="00814DA8"/>
    <w:rsid w:val="0081579E"/>
    <w:rsid w:val="0081587D"/>
    <w:rsid w:val="00815A03"/>
    <w:rsid w:val="00815ADD"/>
    <w:rsid w:val="00815EB3"/>
    <w:rsid w:val="008161C3"/>
    <w:rsid w:val="0081629A"/>
    <w:rsid w:val="008163FF"/>
    <w:rsid w:val="008164D7"/>
    <w:rsid w:val="00816635"/>
    <w:rsid w:val="0081666D"/>
    <w:rsid w:val="00816A7F"/>
    <w:rsid w:val="00816CF1"/>
    <w:rsid w:val="00816D6D"/>
    <w:rsid w:val="00816DA7"/>
    <w:rsid w:val="00816E55"/>
    <w:rsid w:val="008172C2"/>
    <w:rsid w:val="00817393"/>
    <w:rsid w:val="00817528"/>
    <w:rsid w:val="00817694"/>
    <w:rsid w:val="008176B4"/>
    <w:rsid w:val="00817935"/>
    <w:rsid w:val="00817A8A"/>
    <w:rsid w:val="00817B2D"/>
    <w:rsid w:val="00817D3A"/>
    <w:rsid w:val="00817FA4"/>
    <w:rsid w:val="00820097"/>
    <w:rsid w:val="008202DD"/>
    <w:rsid w:val="00820370"/>
    <w:rsid w:val="008203CD"/>
    <w:rsid w:val="00820400"/>
    <w:rsid w:val="00820410"/>
    <w:rsid w:val="0082066B"/>
    <w:rsid w:val="0082074C"/>
    <w:rsid w:val="00820787"/>
    <w:rsid w:val="00820893"/>
    <w:rsid w:val="008208E7"/>
    <w:rsid w:val="00820AAA"/>
    <w:rsid w:val="00820AC8"/>
    <w:rsid w:val="00820D50"/>
    <w:rsid w:val="008213FC"/>
    <w:rsid w:val="008215F3"/>
    <w:rsid w:val="008217DD"/>
    <w:rsid w:val="00821A1C"/>
    <w:rsid w:val="00821A9C"/>
    <w:rsid w:val="00821B44"/>
    <w:rsid w:val="00821B4C"/>
    <w:rsid w:val="00821C6B"/>
    <w:rsid w:val="00821D46"/>
    <w:rsid w:val="00821E4B"/>
    <w:rsid w:val="00821ED6"/>
    <w:rsid w:val="00822129"/>
    <w:rsid w:val="00822133"/>
    <w:rsid w:val="0082230E"/>
    <w:rsid w:val="00822504"/>
    <w:rsid w:val="00822551"/>
    <w:rsid w:val="00822665"/>
    <w:rsid w:val="008226A0"/>
    <w:rsid w:val="00822894"/>
    <w:rsid w:val="008229AC"/>
    <w:rsid w:val="00822A11"/>
    <w:rsid w:val="00822A92"/>
    <w:rsid w:val="00822B73"/>
    <w:rsid w:val="00822CFE"/>
    <w:rsid w:val="00822FE9"/>
    <w:rsid w:val="00823031"/>
    <w:rsid w:val="008230C7"/>
    <w:rsid w:val="00823229"/>
    <w:rsid w:val="008232CB"/>
    <w:rsid w:val="008235D7"/>
    <w:rsid w:val="0082369E"/>
    <w:rsid w:val="0082371E"/>
    <w:rsid w:val="0082385D"/>
    <w:rsid w:val="00823876"/>
    <w:rsid w:val="00823937"/>
    <w:rsid w:val="0082398D"/>
    <w:rsid w:val="008239D4"/>
    <w:rsid w:val="008239F8"/>
    <w:rsid w:val="00823A58"/>
    <w:rsid w:val="00823A85"/>
    <w:rsid w:val="00823AB1"/>
    <w:rsid w:val="00823AEA"/>
    <w:rsid w:val="00823DB0"/>
    <w:rsid w:val="00823EA5"/>
    <w:rsid w:val="0082448D"/>
    <w:rsid w:val="00824595"/>
    <w:rsid w:val="0082462C"/>
    <w:rsid w:val="00824958"/>
    <w:rsid w:val="008249B6"/>
    <w:rsid w:val="00824B17"/>
    <w:rsid w:val="00824C03"/>
    <w:rsid w:val="008252E6"/>
    <w:rsid w:val="00825365"/>
    <w:rsid w:val="00825665"/>
    <w:rsid w:val="008256C7"/>
    <w:rsid w:val="0082598C"/>
    <w:rsid w:val="0082611C"/>
    <w:rsid w:val="00826690"/>
    <w:rsid w:val="008266B9"/>
    <w:rsid w:val="00826A06"/>
    <w:rsid w:val="00826A4F"/>
    <w:rsid w:val="00826D3A"/>
    <w:rsid w:val="00826D45"/>
    <w:rsid w:val="008270BA"/>
    <w:rsid w:val="008271A6"/>
    <w:rsid w:val="0082728B"/>
    <w:rsid w:val="00827429"/>
    <w:rsid w:val="008277ED"/>
    <w:rsid w:val="00827CA8"/>
    <w:rsid w:val="00827CEC"/>
    <w:rsid w:val="00827CFE"/>
    <w:rsid w:val="00827DCD"/>
    <w:rsid w:val="00827E14"/>
    <w:rsid w:val="00827E78"/>
    <w:rsid w:val="00830281"/>
    <w:rsid w:val="008303EB"/>
    <w:rsid w:val="0083046F"/>
    <w:rsid w:val="00830753"/>
    <w:rsid w:val="00830C01"/>
    <w:rsid w:val="00830D53"/>
    <w:rsid w:val="00830DE7"/>
    <w:rsid w:val="00830EBD"/>
    <w:rsid w:val="00830FE8"/>
    <w:rsid w:val="00831013"/>
    <w:rsid w:val="00831134"/>
    <w:rsid w:val="008312B7"/>
    <w:rsid w:val="0083179B"/>
    <w:rsid w:val="008317C7"/>
    <w:rsid w:val="008318C3"/>
    <w:rsid w:val="00831A00"/>
    <w:rsid w:val="00831A46"/>
    <w:rsid w:val="00831BB0"/>
    <w:rsid w:val="00831C8E"/>
    <w:rsid w:val="00831D29"/>
    <w:rsid w:val="00831D4E"/>
    <w:rsid w:val="008320FF"/>
    <w:rsid w:val="0083221D"/>
    <w:rsid w:val="00832415"/>
    <w:rsid w:val="00832ADF"/>
    <w:rsid w:val="00832AFF"/>
    <w:rsid w:val="00832BF6"/>
    <w:rsid w:val="00832C6D"/>
    <w:rsid w:val="00832EE3"/>
    <w:rsid w:val="00832F68"/>
    <w:rsid w:val="00833073"/>
    <w:rsid w:val="008330AD"/>
    <w:rsid w:val="008330F5"/>
    <w:rsid w:val="00833126"/>
    <w:rsid w:val="0083336C"/>
    <w:rsid w:val="00833731"/>
    <w:rsid w:val="008338EE"/>
    <w:rsid w:val="0083391C"/>
    <w:rsid w:val="00833ABA"/>
    <w:rsid w:val="00833B04"/>
    <w:rsid w:val="00833D91"/>
    <w:rsid w:val="00833EE0"/>
    <w:rsid w:val="0083407F"/>
    <w:rsid w:val="008340E5"/>
    <w:rsid w:val="00834136"/>
    <w:rsid w:val="00834153"/>
    <w:rsid w:val="00834306"/>
    <w:rsid w:val="008344C5"/>
    <w:rsid w:val="008345E3"/>
    <w:rsid w:val="00834647"/>
    <w:rsid w:val="0083472A"/>
    <w:rsid w:val="008348CF"/>
    <w:rsid w:val="00834A39"/>
    <w:rsid w:val="00834B44"/>
    <w:rsid w:val="00834C58"/>
    <w:rsid w:val="00834CFE"/>
    <w:rsid w:val="00834E05"/>
    <w:rsid w:val="008358A9"/>
    <w:rsid w:val="00835BA2"/>
    <w:rsid w:val="00835F47"/>
    <w:rsid w:val="008360A8"/>
    <w:rsid w:val="0083640A"/>
    <w:rsid w:val="00836730"/>
    <w:rsid w:val="00836A6E"/>
    <w:rsid w:val="00836C50"/>
    <w:rsid w:val="00836D5C"/>
    <w:rsid w:val="00836D9B"/>
    <w:rsid w:val="00836EDD"/>
    <w:rsid w:val="00837105"/>
    <w:rsid w:val="00837578"/>
    <w:rsid w:val="008377F1"/>
    <w:rsid w:val="00837A9B"/>
    <w:rsid w:val="00837F70"/>
    <w:rsid w:val="00840108"/>
    <w:rsid w:val="008402A1"/>
    <w:rsid w:val="00840528"/>
    <w:rsid w:val="00840800"/>
    <w:rsid w:val="00840995"/>
    <w:rsid w:val="008409A8"/>
    <w:rsid w:val="00841024"/>
    <w:rsid w:val="0084111F"/>
    <w:rsid w:val="008413C0"/>
    <w:rsid w:val="008413E3"/>
    <w:rsid w:val="008414C2"/>
    <w:rsid w:val="008414E0"/>
    <w:rsid w:val="008417E5"/>
    <w:rsid w:val="00841B0A"/>
    <w:rsid w:val="00841E13"/>
    <w:rsid w:val="00842071"/>
    <w:rsid w:val="008423C4"/>
    <w:rsid w:val="0084280A"/>
    <w:rsid w:val="00842DC7"/>
    <w:rsid w:val="00843051"/>
    <w:rsid w:val="00843229"/>
    <w:rsid w:val="00843477"/>
    <w:rsid w:val="008434AF"/>
    <w:rsid w:val="008434C7"/>
    <w:rsid w:val="0084357C"/>
    <w:rsid w:val="00843819"/>
    <w:rsid w:val="00843956"/>
    <w:rsid w:val="0084400D"/>
    <w:rsid w:val="0084409A"/>
    <w:rsid w:val="00844186"/>
    <w:rsid w:val="0084487E"/>
    <w:rsid w:val="00844A5B"/>
    <w:rsid w:val="00844AB7"/>
    <w:rsid w:val="008451A1"/>
    <w:rsid w:val="008454C8"/>
    <w:rsid w:val="00845638"/>
    <w:rsid w:val="008457C2"/>
    <w:rsid w:val="00845924"/>
    <w:rsid w:val="00845997"/>
    <w:rsid w:val="00845A09"/>
    <w:rsid w:val="00845CA6"/>
    <w:rsid w:val="00845F7B"/>
    <w:rsid w:val="00846085"/>
    <w:rsid w:val="008469B5"/>
    <w:rsid w:val="00846C3D"/>
    <w:rsid w:val="0084736E"/>
    <w:rsid w:val="0084745C"/>
    <w:rsid w:val="008474F0"/>
    <w:rsid w:val="00847602"/>
    <w:rsid w:val="00847620"/>
    <w:rsid w:val="008478F1"/>
    <w:rsid w:val="00847CBE"/>
    <w:rsid w:val="0085012C"/>
    <w:rsid w:val="008501D1"/>
    <w:rsid w:val="00850204"/>
    <w:rsid w:val="00850356"/>
    <w:rsid w:val="0085042E"/>
    <w:rsid w:val="00850524"/>
    <w:rsid w:val="00850983"/>
    <w:rsid w:val="00850B53"/>
    <w:rsid w:val="00850DD5"/>
    <w:rsid w:val="00850DE8"/>
    <w:rsid w:val="00850F04"/>
    <w:rsid w:val="0085104D"/>
    <w:rsid w:val="0085105A"/>
    <w:rsid w:val="008511D3"/>
    <w:rsid w:val="00851795"/>
    <w:rsid w:val="0085185E"/>
    <w:rsid w:val="008518C7"/>
    <w:rsid w:val="00851A61"/>
    <w:rsid w:val="00851B2D"/>
    <w:rsid w:val="00851D61"/>
    <w:rsid w:val="00851D76"/>
    <w:rsid w:val="0085241D"/>
    <w:rsid w:val="008524BC"/>
    <w:rsid w:val="00852567"/>
    <w:rsid w:val="00852597"/>
    <w:rsid w:val="008525CF"/>
    <w:rsid w:val="00852661"/>
    <w:rsid w:val="0085274E"/>
    <w:rsid w:val="00852B1F"/>
    <w:rsid w:val="00852B78"/>
    <w:rsid w:val="00852CE6"/>
    <w:rsid w:val="00852DEA"/>
    <w:rsid w:val="00852E36"/>
    <w:rsid w:val="00853286"/>
    <w:rsid w:val="0085352D"/>
    <w:rsid w:val="00853892"/>
    <w:rsid w:val="00853A54"/>
    <w:rsid w:val="00853E19"/>
    <w:rsid w:val="00854033"/>
    <w:rsid w:val="00854182"/>
    <w:rsid w:val="008541F9"/>
    <w:rsid w:val="00854321"/>
    <w:rsid w:val="00854337"/>
    <w:rsid w:val="008548DF"/>
    <w:rsid w:val="008548F8"/>
    <w:rsid w:val="00854C14"/>
    <w:rsid w:val="00854FA5"/>
    <w:rsid w:val="00854FFF"/>
    <w:rsid w:val="008553BE"/>
    <w:rsid w:val="00855458"/>
    <w:rsid w:val="00855490"/>
    <w:rsid w:val="008554CF"/>
    <w:rsid w:val="008554EA"/>
    <w:rsid w:val="00855767"/>
    <w:rsid w:val="00855865"/>
    <w:rsid w:val="00855B76"/>
    <w:rsid w:val="00855B99"/>
    <w:rsid w:val="00855C71"/>
    <w:rsid w:val="00855C81"/>
    <w:rsid w:val="00855D2B"/>
    <w:rsid w:val="00856072"/>
    <w:rsid w:val="0085611B"/>
    <w:rsid w:val="00856149"/>
    <w:rsid w:val="008561BC"/>
    <w:rsid w:val="00856234"/>
    <w:rsid w:val="00856299"/>
    <w:rsid w:val="00856386"/>
    <w:rsid w:val="008564D6"/>
    <w:rsid w:val="008568A4"/>
    <w:rsid w:val="00856A72"/>
    <w:rsid w:val="00856C2A"/>
    <w:rsid w:val="00856DEC"/>
    <w:rsid w:val="00856E35"/>
    <w:rsid w:val="00856EF9"/>
    <w:rsid w:val="00856FF3"/>
    <w:rsid w:val="0085713D"/>
    <w:rsid w:val="008572AA"/>
    <w:rsid w:val="008573C1"/>
    <w:rsid w:val="00857537"/>
    <w:rsid w:val="00857756"/>
    <w:rsid w:val="00857852"/>
    <w:rsid w:val="008579D6"/>
    <w:rsid w:val="00857D7E"/>
    <w:rsid w:val="00857D9C"/>
    <w:rsid w:val="00857DA9"/>
    <w:rsid w:val="00857FBF"/>
    <w:rsid w:val="008601A4"/>
    <w:rsid w:val="008602FE"/>
    <w:rsid w:val="0086057A"/>
    <w:rsid w:val="008608AD"/>
    <w:rsid w:val="00860A56"/>
    <w:rsid w:val="00860B4A"/>
    <w:rsid w:val="00860C75"/>
    <w:rsid w:val="00860EA6"/>
    <w:rsid w:val="008611A2"/>
    <w:rsid w:val="0086148B"/>
    <w:rsid w:val="008615D5"/>
    <w:rsid w:val="00861A4A"/>
    <w:rsid w:val="00861C50"/>
    <w:rsid w:val="00861CB5"/>
    <w:rsid w:val="00861F8A"/>
    <w:rsid w:val="00861FEB"/>
    <w:rsid w:val="008623FB"/>
    <w:rsid w:val="0086240B"/>
    <w:rsid w:val="008624FD"/>
    <w:rsid w:val="008628DC"/>
    <w:rsid w:val="00862E5D"/>
    <w:rsid w:val="00862F00"/>
    <w:rsid w:val="008630C9"/>
    <w:rsid w:val="008630DF"/>
    <w:rsid w:val="00863648"/>
    <w:rsid w:val="008636B3"/>
    <w:rsid w:val="00863812"/>
    <w:rsid w:val="008639B0"/>
    <w:rsid w:val="008639D9"/>
    <w:rsid w:val="00863A0F"/>
    <w:rsid w:val="00863C7C"/>
    <w:rsid w:val="00864002"/>
    <w:rsid w:val="00864186"/>
    <w:rsid w:val="00864221"/>
    <w:rsid w:val="0086447C"/>
    <w:rsid w:val="00864C87"/>
    <w:rsid w:val="00864DEF"/>
    <w:rsid w:val="00864FD3"/>
    <w:rsid w:val="00865186"/>
    <w:rsid w:val="008655FB"/>
    <w:rsid w:val="0086580C"/>
    <w:rsid w:val="008658EE"/>
    <w:rsid w:val="00865913"/>
    <w:rsid w:val="00865B0B"/>
    <w:rsid w:val="00865EFB"/>
    <w:rsid w:val="0086616A"/>
    <w:rsid w:val="0086635C"/>
    <w:rsid w:val="00866479"/>
    <w:rsid w:val="008664E8"/>
    <w:rsid w:val="0086650D"/>
    <w:rsid w:val="0086655E"/>
    <w:rsid w:val="00866643"/>
    <w:rsid w:val="00866675"/>
    <w:rsid w:val="0086686A"/>
    <w:rsid w:val="00866BB5"/>
    <w:rsid w:val="00866C51"/>
    <w:rsid w:val="00866C56"/>
    <w:rsid w:val="00866FC0"/>
    <w:rsid w:val="008674CC"/>
    <w:rsid w:val="008675B9"/>
    <w:rsid w:val="00867803"/>
    <w:rsid w:val="00867866"/>
    <w:rsid w:val="008678E5"/>
    <w:rsid w:val="00867ED8"/>
    <w:rsid w:val="008701A5"/>
    <w:rsid w:val="008703C6"/>
    <w:rsid w:val="00870553"/>
    <w:rsid w:val="00870876"/>
    <w:rsid w:val="008708FF"/>
    <w:rsid w:val="00870B86"/>
    <w:rsid w:val="00870EBC"/>
    <w:rsid w:val="00870FB9"/>
    <w:rsid w:val="00870FC2"/>
    <w:rsid w:val="00870FEB"/>
    <w:rsid w:val="0087128C"/>
    <w:rsid w:val="00871388"/>
    <w:rsid w:val="008714A7"/>
    <w:rsid w:val="00871644"/>
    <w:rsid w:val="008716CC"/>
    <w:rsid w:val="008717B7"/>
    <w:rsid w:val="00871AA7"/>
    <w:rsid w:val="00871BF8"/>
    <w:rsid w:val="008720EA"/>
    <w:rsid w:val="0087219D"/>
    <w:rsid w:val="0087223D"/>
    <w:rsid w:val="0087227F"/>
    <w:rsid w:val="0087235A"/>
    <w:rsid w:val="0087275A"/>
    <w:rsid w:val="008728FD"/>
    <w:rsid w:val="00872B25"/>
    <w:rsid w:val="00872D01"/>
    <w:rsid w:val="00872D9F"/>
    <w:rsid w:val="00872DBB"/>
    <w:rsid w:val="00872EE5"/>
    <w:rsid w:val="00872EF2"/>
    <w:rsid w:val="00872F84"/>
    <w:rsid w:val="00873991"/>
    <w:rsid w:val="008739E2"/>
    <w:rsid w:val="00873C27"/>
    <w:rsid w:val="00874098"/>
    <w:rsid w:val="008740C7"/>
    <w:rsid w:val="0087416A"/>
    <w:rsid w:val="0087431C"/>
    <w:rsid w:val="008747E8"/>
    <w:rsid w:val="00874886"/>
    <w:rsid w:val="00874999"/>
    <w:rsid w:val="00874A55"/>
    <w:rsid w:val="008750B9"/>
    <w:rsid w:val="00875505"/>
    <w:rsid w:val="0087561B"/>
    <w:rsid w:val="008756A6"/>
    <w:rsid w:val="008756D9"/>
    <w:rsid w:val="008757B9"/>
    <w:rsid w:val="008757F3"/>
    <w:rsid w:val="00875953"/>
    <w:rsid w:val="00875A14"/>
    <w:rsid w:val="00875AB7"/>
    <w:rsid w:val="00875C6E"/>
    <w:rsid w:val="00875D6E"/>
    <w:rsid w:val="00875D9C"/>
    <w:rsid w:val="00875E4F"/>
    <w:rsid w:val="00876053"/>
    <w:rsid w:val="008761AC"/>
    <w:rsid w:val="00876429"/>
    <w:rsid w:val="0087666D"/>
    <w:rsid w:val="0087667B"/>
    <w:rsid w:val="008769AF"/>
    <w:rsid w:val="00876B52"/>
    <w:rsid w:val="00876B76"/>
    <w:rsid w:val="00876D57"/>
    <w:rsid w:val="00876D6C"/>
    <w:rsid w:val="00877044"/>
    <w:rsid w:val="00877276"/>
    <w:rsid w:val="00877329"/>
    <w:rsid w:val="008777CE"/>
    <w:rsid w:val="00877C16"/>
    <w:rsid w:val="00877CA6"/>
    <w:rsid w:val="00880462"/>
    <w:rsid w:val="00880565"/>
    <w:rsid w:val="008807BC"/>
    <w:rsid w:val="00880A29"/>
    <w:rsid w:val="00880AFC"/>
    <w:rsid w:val="00881501"/>
    <w:rsid w:val="00881542"/>
    <w:rsid w:val="00881794"/>
    <w:rsid w:val="00881B74"/>
    <w:rsid w:val="00881D30"/>
    <w:rsid w:val="00881EA4"/>
    <w:rsid w:val="00881F74"/>
    <w:rsid w:val="00882239"/>
    <w:rsid w:val="008824BF"/>
    <w:rsid w:val="008824C8"/>
    <w:rsid w:val="008824CB"/>
    <w:rsid w:val="00882520"/>
    <w:rsid w:val="00882647"/>
    <w:rsid w:val="00882698"/>
    <w:rsid w:val="0088273C"/>
    <w:rsid w:val="00882816"/>
    <w:rsid w:val="008828F4"/>
    <w:rsid w:val="00883159"/>
    <w:rsid w:val="00883197"/>
    <w:rsid w:val="00883343"/>
    <w:rsid w:val="008835D0"/>
    <w:rsid w:val="00883844"/>
    <w:rsid w:val="00883978"/>
    <w:rsid w:val="00883A7F"/>
    <w:rsid w:val="00883C2C"/>
    <w:rsid w:val="00883D4B"/>
    <w:rsid w:val="00884072"/>
    <w:rsid w:val="0088415D"/>
    <w:rsid w:val="0088419C"/>
    <w:rsid w:val="00884279"/>
    <w:rsid w:val="008842B7"/>
    <w:rsid w:val="008846EA"/>
    <w:rsid w:val="00884798"/>
    <w:rsid w:val="008847F2"/>
    <w:rsid w:val="00884973"/>
    <w:rsid w:val="00884981"/>
    <w:rsid w:val="00884B5F"/>
    <w:rsid w:val="00884C13"/>
    <w:rsid w:val="008851EC"/>
    <w:rsid w:val="0088532D"/>
    <w:rsid w:val="00885436"/>
    <w:rsid w:val="00885488"/>
    <w:rsid w:val="008855A1"/>
    <w:rsid w:val="00885713"/>
    <w:rsid w:val="0088581E"/>
    <w:rsid w:val="0088585F"/>
    <w:rsid w:val="00885BDB"/>
    <w:rsid w:val="00885FA0"/>
    <w:rsid w:val="00885FF5"/>
    <w:rsid w:val="0088603F"/>
    <w:rsid w:val="00886145"/>
    <w:rsid w:val="008862E6"/>
    <w:rsid w:val="0088669E"/>
    <w:rsid w:val="008866B0"/>
    <w:rsid w:val="0088689B"/>
    <w:rsid w:val="008869B0"/>
    <w:rsid w:val="00886A7C"/>
    <w:rsid w:val="00886A8B"/>
    <w:rsid w:val="00886BE0"/>
    <w:rsid w:val="00886BEC"/>
    <w:rsid w:val="00887065"/>
    <w:rsid w:val="00887113"/>
    <w:rsid w:val="008871B6"/>
    <w:rsid w:val="008872AC"/>
    <w:rsid w:val="00887802"/>
    <w:rsid w:val="00887C1B"/>
    <w:rsid w:val="00887D18"/>
    <w:rsid w:val="0089017B"/>
    <w:rsid w:val="00890406"/>
    <w:rsid w:val="0089068F"/>
    <w:rsid w:val="00890746"/>
    <w:rsid w:val="00890AC6"/>
    <w:rsid w:val="00890CBC"/>
    <w:rsid w:val="008911F2"/>
    <w:rsid w:val="00891615"/>
    <w:rsid w:val="00891CDE"/>
    <w:rsid w:val="00891FD8"/>
    <w:rsid w:val="0089256C"/>
    <w:rsid w:val="0089260B"/>
    <w:rsid w:val="00892674"/>
    <w:rsid w:val="00892773"/>
    <w:rsid w:val="008927A6"/>
    <w:rsid w:val="008928CD"/>
    <w:rsid w:val="00892989"/>
    <w:rsid w:val="00892B4A"/>
    <w:rsid w:val="00892C34"/>
    <w:rsid w:val="00892DC1"/>
    <w:rsid w:val="00892F05"/>
    <w:rsid w:val="00893011"/>
    <w:rsid w:val="0089319F"/>
    <w:rsid w:val="00893741"/>
    <w:rsid w:val="008937C0"/>
    <w:rsid w:val="008937C6"/>
    <w:rsid w:val="0089382F"/>
    <w:rsid w:val="00893BFB"/>
    <w:rsid w:val="00893EA5"/>
    <w:rsid w:val="0089434B"/>
    <w:rsid w:val="008943DD"/>
    <w:rsid w:val="008944FB"/>
    <w:rsid w:val="008945C7"/>
    <w:rsid w:val="00894997"/>
    <w:rsid w:val="00894BCD"/>
    <w:rsid w:val="00894CBC"/>
    <w:rsid w:val="00894EBC"/>
    <w:rsid w:val="00894EE0"/>
    <w:rsid w:val="00895045"/>
    <w:rsid w:val="008951F5"/>
    <w:rsid w:val="00895580"/>
    <w:rsid w:val="008956AF"/>
    <w:rsid w:val="008956D6"/>
    <w:rsid w:val="00895804"/>
    <w:rsid w:val="00895920"/>
    <w:rsid w:val="00895A8D"/>
    <w:rsid w:val="00895AFA"/>
    <w:rsid w:val="00895B16"/>
    <w:rsid w:val="00895C87"/>
    <w:rsid w:val="00895D02"/>
    <w:rsid w:val="0089605C"/>
    <w:rsid w:val="008960D8"/>
    <w:rsid w:val="00896113"/>
    <w:rsid w:val="00896118"/>
    <w:rsid w:val="00896263"/>
    <w:rsid w:val="008962F6"/>
    <w:rsid w:val="00896558"/>
    <w:rsid w:val="00896590"/>
    <w:rsid w:val="0089666D"/>
    <w:rsid w:val="008966A0"/>
    <w:rsid w:val="00896B2C"/>
    <w:rsid w:val="00896C2C"/>
    <w:rsid w:val="00896EA4"/>
    <w:rsid w:val="0089747E"/>
    <w:rsid w:val="0089789E"/>
    <w:rsid w:val="008978CF"/>
    <w:rsid w:val="00897A71"/>
    <w:rsid w:val="00897B50"/>
    <w:rsid w:val="00897F8D"/>
    <w:rsid w:val="008A0729"/>
    <w:rsid w:val="008A09FC"/>
    <w:rsid w:val="008A0BD2"/>
    <w:rsid w:val="008A0C90"/>
    <w:rsid w:val="008A0E8A"/>
    <w:rsid w:val="008A104D"/>
    <w:rsid w:val="008A11FC"/>
    <w:rsid w:val="008A13E3"/>
    <w:rsid w:val="008A156D"/>
    <w:rsid w:val="008A15B6"/>
    <w:rsid w:val="008A1708"/>
    <w:rsid w:val="008A1A1C"/>
    <w:rsid w:val="008A1DCC"/>
    <w:rsid w:val="008A1E3F"/>
    <w:rsid w:val="008A1FE6"/>
    <w:rsid w:val="008A2261"/>
    <w:rsid w:val="008A246F"/>
    <w:rsid w:val="008A2576"/>
    <w:rsid w:val="008A2860"/>
    <w:rsid w:val="008A2CBD"/>
    <w:rsid w:val="008A2CED"/>
    <w:rsid w:val="008A2E65"/>
    <w:rsid w:val="008A2FC4"/>
    <w:rsid w:val="008A2FF8"/>
    <w:rsid w:val="008A30AD"/>
    <w:rsid w:val="008A3143"/>
    <w:rsid w:val="008A360F"/>
    <w:rsid w:val="008A3643"/>
    <w:rsid w:val="008A3771"/>
    <w:rsid w:val="008A3785"/>
    <w:rsid w:val="008A380C"/>
    <w:rsid w:val="008A3917"/>
    <w:rsid w:val="008A396A"/>
    <w:rsid w:val="008A3D51"/>
    <w:rsid w:val="008A41E2"/>
    <w:rsid w:val="008A4552"/>
    <w:rsid w:val="008A4694"/>
    <w:rsid w:val="008A4724"/>
    <w:rsid w:val="008A477B"/>
    <w:rsid w:val="008A4DA6"/>
    <w:rsid w:val="008A4EDD"/>
    <w:rsid w:val="008A4F54"/>
    <w:rsid w:val="008A51D2"/>
    <w:rsid w:val="008A57B0"/>
    <w:rsid w:val="008A5A95"/>
    <w:rsid w:val="008A5C34"/>
    <w:rsid w:val="008A5C48"/>
    <w:rsid w:val="008A5D91"/>
    <w:rsid w:val="008A5E88"/>
    <w:rsid w:val="008A5E96"/>
    <w:rsid w:val="008A5FA9"/>
    <w:rsid w:val="008A60CD"/>
    <w:rsid w:val="008A6164"/>
    <w:rsid w:val="008A619B"/>
    <w:rsid w:val="008A62BA"/>
    <w:rsid w:val="008A636A"/>
    <w:rsid w:val="008A6492"/>
    <w:rsid w:val="008A656C"/>
    <w:rsid w:val="008A68AF"/>
    <w:rsid w:val="008A68FD"/>
    <w:rsid w:val="008A6BEA"/>
    <w:rsid w:val="008A6C33"/>
    <w:rsid w:val="008A6D5D"/>
    <w:rsid w:val="008A6EFF"/>
    <w:rsid w:val="008A70CE"/>
    <w:rsid w:val="008A7261"/>
    <w:rsid w:val="008A779B"/>
    <w:rsid w:val="008A795A"/>
    <w:rsid w:val="008A7A91"/>
    <w:rsid w:val="008A7E6E"/>
    <w:rsid w:val="008B04DD"/>
    <w:rsid w:val="008B04FA"/>
    <w:rsid w:val="008B071D"/>
    <w:rsid w:val="008B079A"/>
    <w:rsid w:val="008B07E8"/>
    <w:rsid w:val="008B0B23"/>
    <w:rsid w:val="008B0DAD"/>
    <w:rsid w:val="008B0E24"/>
    <w:rsid w:val="008B1029"/>
    <w:rsid w:val="008B1261"/>
    <w:rsid w:val="008B12D7"/>
    <w:rsid w:val="008B1375"/>
    <w:rsid w:val="008B16F0"/>
    <w:rsid w:val="008B1BB6"/>
    <w:rsid w:val="008B1E1D"/>
    <w:rsid w:val="008B213D"/>
    <w:rsid w:val="008B2422"/>
    <w:rsid w:val="008B24C8"/>
    <w:rsid w:val="008B2739"/>
    <w:rsid w:val="008B2A5F"/>
    <w:rsid w:val="008B2A9A"/>
    <w:rsid w:val="008B2BB7"/>
    <w:rsid w:val="008B3108"/>
    <w:rsid w:val="008B310B"/>
    <w:rsid w:val="008B32E4"/>
    <w:rsid w:val="008B345A"/>
    <w:rsid w:val="008B3476"/>
    <w:rsid w:val="008B36FF"/>
    <w:rsid w:val="008B37A8"/>
    <w:rsid w:val="008B3803"/>
    <w:rsid w:val="008B3B18"/>
    <w:rsid w:val="008B3C63"/>
    <w:rsid w:val="008B3E8E"/>
    <w:rsid w:val="008B3EF9"/>
    <w:rsid w:val="008B3F3F"/>
    <w:rsid w:val="008B3FD2"/>
    <w:rsid w:val="008B407D"/>
    <w:rsid w:val="008B4149"/>
    <w:rsid w:val="008B4418"/>
    <w:rsid w:val="008B465D"/>
    <w:rsid w:val="008B46A4"/>
    <w:rsid w:val="008B46C5"/>
    <w:rsid w:val="008B4B5C"/>
    <w:rsid w:val="008B4B7C"/>
    <w:rsid w:val="008B4BF8"/>
    <w:rsid w:val="008B4C38"/>
    <w:rsid w:val="008B5282"/>
    <w:rsid w:val="008B528A"/>
    <w:rsid w:val="008B5488"/>
    <w:rsid w:val="008B549F"/>
    <w:rsid w:val="008B550F"/>
    <w:rsid w:val="008B551B"/>
    <w:rsid w:val="008B5623"/>
    <w:rsid w:val="008B5D98"/>
    <w:rsid w:val="008B5E02"/>
    <w:rsid w:val="008B5ECC"/>
    <w:rsid w:val="008B6017"/>
    <w:rsid w:val="008B60CB"/>
    <w:rsid w:val="008B6199"/>
    <w:rsid w:val="008B62FC"/>
    <w:rsid w:val="008B6C15"/>
    <w:rsid w:val="008B6D55"/>
    <w:rsid w:val="008B6E6E"/>
    <w:rsid w:val="008B6F6C"/>
    <w:rsid w:val="008B6FDE"/>
    <w:rsid w:val="008B745A"/>
    <w:rsid w:val="008B7480"/>
    <w:rsid w:val="008B7650"/>
    <w:rsid w:val="008B7B22"/>
    <w:rsid w:val="008C0042"/>
    <w:rsid w:val="008C0157"/>
    <w:rsid w:val="008C01C8"/>
    <w:rsid w:val="008C0A92"/>
    <w:rsid w:val="008C0AB5"/>
    <w:rsid w:val="008C1164"/>
    <w:rsid w:val="008C12CB"/>
    <w:rsid w:val="008C14A7"/>
    <w:rsid w:val="008C1900"/>
    <w:rsid w:val="008C1977"/>
    <w:rsid w:val="008C1B4C"/>
    <w:rsid w:val="008C1C00"/>
    <w:rsid w:val="008C1E67"/>
    <w:rsid w:val="008C1FD7"/>
    <w:rsid w:val="008C200D"/>
    <w:rsid w:val="008C20F4"/>
    <w:rsid w:val="008C239A"/>
    <w:rsid w:val="008C2BAA"/>
    <w:rsid w:val="008C2F90"/>
    <w:rsid w:val="008C2FD7"/>
    <w:rsid w:val="008C2FFA"/>
    <w:rsid w:val="008C39F8"/>
    <w:rsid w:val="008C3FB9"/>
    <w:rsid w:val="008C4020"/>
    <w:rsid w:val="008C4089"/>
    <w:rsid w:val="008C418B"/>
    <w:rsid w:val="008C42A9"/>
    <w:rsid w:val="008C44B3"/>
    <w:rsid w:val="008C4510"/>
    <w:rsid w:val="008C457C"/>
    <w:rsid w:val="008C4654"/>
    <w:rsid w:val="008C4689"/>
    <w:rsid w:val="008C46F4"/>
    <w:rsid w:val="008C47B5"/>
    <w:rsid w:val="008C4FCF"/>
    <w:rsid w:val="008C50C7"/>
    <w:rsid w:val="008C51E2"/>
    <w:rsid w:val="008C5575"/>
    <w:rsid w:val="008C575F"/>
    <w:rsid w:val="008C58F3"/>
    <w:rsid w:val="008C59E9"/>
    <w:rsid w:val="008C5A43"/>
    <w:rsid w:val="008C5C56"/>
    <w:rsid w:val="008C5D6E"/>
    <w:rsid w:val="008C5F29"/>
    <w:rsid w:val="008C6040"/>
    <w:rsid w:val="008C6268"/>
    <w:rsid w:val="008C62D8"/>
    <w:rsid w:val="008C6348"/>
    <w:rsid w:val="008C6366"/>
    <w:rsid w:val="008C69E0"/>
    <w:rsid w:val="008C6AE0"/>
    <w:rsid w:val="008C6D11"/>
    <w:rsid w:val="008C6D63"/>
    <w:rsid w:val="008C6F2D"/>
    <w:rsid w:val="008C6F37"/>
    <w:rsid w:val="008C76F6"/>
    <w:rsid w:val="008C79CE"/>
    <w:rsid w:val="008C7A8F"/>
    <w:rsid w:val="008C7C58"/>
    <w:rsid w:val="008D0265"/>
    <w:rsid w:val="008D03A9"/>
    <w:rsid w:val="008D03FF"/>
    <w:rsid w:val="008D0498"/>
    <w:rsid w:val="008D09A2"/>
    <w:rsid w:val="008D0C2B"/>
    <w:rsid w:val="008D0CE0"/>
    <w:rsid w:val="008D0CFC"/>
    <w:rsid w:val="008D1469"/>
    <w:rsid w:val="008D146E"/>
    <w:rsid w:val="008D159B"/>
    <w:rsid w:val="008D15BA"/>
    <w:rsid w:val="008D164B"/>
    <w:rsid w:val="008D16EB"/>
    <w:rsid w:val="008D176D"/>
    <w:rsid w:val="008D1BB2"/>
    <w:rsid w:val="008D1CBE"/>
    <w:rsid w:val="008D1DDB"/>
    <w:rsid w:val="008D1FF8"/>
    <w:rsid w:val="008D2028"/>
    <w:rsid w:val="008D2657"/>
    <w:rsid w:val="008D295D"/>
    <w:rsid w:val="008D29D8"/>
    <w:rsid w:val="008D2B46"/>
    <w:rsid w:val="008D30AE"/>
    <w:rsid w:val="008D3237"/>
    <w:rsid w:val="008D334B"/>
    <w:rsid w:val="008D3461"/>
    <w:rsid w:val="008D346B"/>
    <w:rsid w:val="008D35F5"/>
    <w:rsid w:val="008D36AB"/>
    <w:rsid w:val="008D36DC"/>
    <w:rsid w:val="008D3731"/>
    <w:rsid w:val="008D389B"/>
    <w:rsid w:val="008D396C"/>
    <w:rsid w:val="008D3C3F"/>
    <w:rsid w:val="008D3C4C"/>
    <w:rsid w:val="008D3DD1"/>
    <w:rsid w:val="008D3DF3"/>
    <w:rsid w:val="008D3F77"/>
    <w:rsid w:val="008D43FE"/>
    <w:rsid w:val="008D4532"/>
    <w:rsid w:val="008D461B"/>
    <w:rsid w:val="008D4AC1"/>
    <w:rsid w:val="008D4ADE"/>
    <w:rsid w:val="008D4C68"/>
    <w:rsid w:val="008D4CAF"/>
    <w:rsid w:val="008D4D1C"/>
    <w:rsid w:val="008D4E0A"/>
    <w:rsid w:val="008D4FAF"/>
    <w:rsid w:val="008D51BB"/>
    <w:rsid w:val="008D521C"/>
    <w:rsid w:val="008D5663"/>
    <w:rsid w:val="008D5703"/>
    <w:rsid w:val="008D5715"/>
    <w:rsid w:val="008D5855"/>
    <w:rsid w:val="008D5BE9"/>
    <w:rsid w:val="008D5C5B"/>
    <w:rsid w:val="008D5CB6"/>
    <w:rsid w:val="008D6125"/>
    <w:rsid w:val="008D6283"/>
    <w:rsid w:val="008D6388"/>
    <w:rsid w:val="008D63B5"/>
    <w:rsid w:val="008D641B"/>
    <w:rsid w:val="008D66B5"/>
    <w:rsid w:val="008D6891"/>
    <w:rsid w:val="008D68DB"/>
    <w:rsid w:val="008D6AC0"/>
    <w:rsid w:val="008D6B9C"/>
    <w:rsid w:val="008D6E80"/>
    <w:rsid w:val="008D6FDC"/>
    <w:rsid w:val="008D7151"/>
    <w:rsid w:val="008D72E4"/>
    <w:rsid w:val="008D74E2"/>
    <w:rsid w:val="008D74F0"/>
    <w:rsid w:val="008D750E"/>
    <w:rsid w:val="008D76AE"/>
    <w:rsid w:val="008D797B"/>
    <w:rsid w:val="008D7AC0"/>
    <w:rsid w:val="008D7C43"/>
    <w:rsid w:val="008D7C91"/>
    <w:rsid w:val="008D7E21"/>
    <w:rsid w:val="008E0263"/>
    <w:rsid w:val="008E0411"/>
    <w:rsid w:val="008E04A6"/>
    <w:rsid w:val="008E0575"/>
    <w:rsid w:val="008E0632"/>
    <w:rsid w:val="008E0739"/>
    <w:rsid w:val="008E098B"/>
    <w:rsid w:val="008E0C8E"/>
    <w:rsid w:val="008E0D7A"/>
    <w:rsid w:val="008E0E1A"/>
    <w:rsid w:val="008E0ED4"/>
    <w:rsid w:val="008E0FE1"/>
    <w:rsid w:val="008E11F4"/>
    <w:rsid w:val="008E163D"/>
    <w:rsid w:val="008E172E"/>
    <w:rsid w:val="008E1950"/>
    <w:rsid w:val="008E1BF8"/>
    <w:rsid w:val="008E1D19"/>
    <w:rsid w:val="008E23A4"/>
    <w:rsid w:val="008E2440"/>
    <w:rsid w:val="008E24CD"/>
    <w:rsid w:val="008E251D"/>
    <w:rsid w:val="008E2570"/>
    <w:rsid w:val="008E264D"/>
    <w:rsid w:val="008E291F"/>
    <w:rsid w:val="008E29C7"/>
    <w:rsid w:val="008E2B36"/>
    <w:rsid w:val="008E2BB4"/>
    <w:rsid w:val="008E2C4C"/>
    <w:rsid w:val="008E2D32"/>
    <w:rsid w:val="008E2D58"/>
    <w:rsid w:val="008E3108"/>
    <w:rsid w:val="008E31CF"/>
    <w:rsid w:val="008E3C02"/>
    <w:rsid w:val="008E3F0A"/>
    <w:rsid w:val="008E3F49"/>
    <w:rsid w:val="008E412C"/>
    <w:rsid w:val="008E416F"/>
    <w:rsid w:val="008E420A"/>
    <w:rsid w:val="008E45C8"/>
    <w:rsid w:val="008E4803"/>
    <w:rsid w:val="008E4820"/>
    <w:rsid w:val="008E493B"/>
    <w:rsid w:val="008E4F5D"/>
    <w:rsid w:val="008E500C"/>
    <w:rsid w:val="008E5048"/>
    <w:rsid w:val="008E506F"/>
    <w:rsid w:val="008E50C1"/>
    <w:rsid w:val="008E5204"/>
    <w:rsid w:val="008E525B"/>
    <w:rsid w:val="008E54C4"/>
    <w:rsid w:val="008E5768"/>
    <w:rsid w:val="008E58D3"/>
    <w:rsid w:val="008E59F2"/>
    <w:rsid w:val="008E5B92"/>
    <w:rsid w:val="008E5C3E"/>
    <w:rsid w:val="008E5EB3"/>
    <w:rsid w:val="008E61F7"/>
    <w:rsid w:val="008E633A"/>
    <w:rsid w:val="008E6361"/>
    <w:rsid w:val="008E65F5"/>
    <w:rsid w:val="008E665E"/>
    <w:rsid w:val="008E6782"/>
    <w:rsid w:val="008E6B64"/>
    <w:rsid w:val="008E6DD0"/>
    <w:rsid w:val="008E6E57"/>
    <w:rsid w:val="008E6E83"/>
    <w:rsid w:val="008E70DE"/>
    <w:rsid w:val="008E7117"/>
    <w:rsid w:val="008E7312"/>
    <w:rsid w:val="008E76BA"/>
    <w:rsid w:val="008E78AE"/>
    <w:rsid w:val="008E796B"/>
    <w:rsid w:val="008E7A8F"/>
    <w:rsid w:val="008E7A9B"/>
    <w:rsid w:val="008E7B91"/>
    <w:rsid w:val="008E7DD9"/>
    <w:rsid w:val="008E7E5E"/>
    <w:rsid w:val="008F091B"/>
    <w:rsid w:val="008F0A07"/>
    <w:rsid w:val="008F0A55"/>
    <w:rsid w:val="008F0B95"/>
    <w:rsid w:val="008F0E87"/>
    <w:rsid w:val="008F10F1"/>
    <w:rsid w:val="008F1549"/>
    <w:rsid w:val="008F158E"/>
    <w:rsid w:val="008F1629"/>
    <w:rsid w:val="008F17BF"/>
    <w:rsid w:val="008F191F"/>
    <w:rsid w:val="008F1A4A"/>
    <w:rsid w:val="008F1A97"/>
    <w:rsid w:val="008F1BC4"/>
    <w:rsid w:val="008F1D29"/>
    <w:rsid w:val="008F1F78"/>
    <w:rsid w:val="008F2048"/>
    <w:rsid w:val="008F22E2"/>
    <w:rsid w:val="008F232A"/>
    <w:rsid w:val="008F2428"/>
    <w:rsid w:val="008F24E2"/>
    <w:rsid w:val="008F26C2"/>
    <w:rsid w:val="008F2772"/>
    <w:rsid w:val="008F27DC"/>
    <w:rsid w:val="008F2826"/>
    <w:rsid w:val="008F2829"/>
    <w:rsid w:val="008F30C6"/>
    <w:rsid w:val="008F3124"/>
    <w:rsid w:val="008F32F0"/>
    <w:rsid w:val="008F335C"/>
    <w:rsid w:val="008F3406"/>
    <w:rsid w:val="008F34C9"/>
    <w:rsid w:val="008F3884"/>
    <w:rsid w:val="008F39DC"/>
    <w:rsid w:val="008F3ADE"/>
    <w:rsid w:val="008F3AE6"/>
    <w:rsid w:val="008F3E2F"/>
    <w:rsid w:val="008F3F38"/>
    <w:rsid w:val="008F3FF9"/>
    <w:rsid w:val="008F40E3"/>
    <w:rsid w:val="008F4395"/>
    <w:rsid w:val="008F43C1"/>
    <w:rsid w:val="008F444C"/>
    <w:rsid w:val="008F4503"/>
    <w:rsid w:val="008F487D"/>
    <w:rsid w:val="008F4A86"/>
    <w:rsid w:val="008F4BD9"/>
    <w:rsid w:val="008F4BF3"/>
    <w:rsid w:val="008F4ED2"/>
    <w:rsid w:val="008F50A4"/>
    <w:rsid w:val="008F50EC"/>
    <w:rsid w:val="008F57E8"/>
    <w:rsid w:val="008F585A"/>
    <w:rsid w:val="008F5DEE"/>
    <w:rsid w:val="008F5E10"/>
    <w:rsid w:val="008F6040"/>
    <w:rsid w:val="008F608F"/>
    <w:rsid w:val="008F62E7"/>
    <w:rsid w:val="008F6304"/>
    <w:rsid w:val="008F675E"/>
    <w:rsid w:val="008F68B6"/>
    <w:rsid w:val="008F6AC2"/>
    <w:rsid w:val="008F6AD7"/>
    <w:rsid w:val="008F6B1D"/>
    <w:rsid w:val="008F6D3A"/>
    <w:rsid w:val="008F6E20"/>
    <w:rsid w:val="008F6EFA"/>
    <w:rsid w:val="008F6F04"/>
    <w:rsid w:val="008F71C7"/>
    <w:rsid w:val="008F72A1"/>
    <w:rsid w:val="008F7328"/>
    <w:rsid w:val="008F7337"/>
    <w:rsid w:val="008F75A1"/>
    <w:rsid w:val="008F7871"/>
    <w:rsid w:val="008F78AF"/>
    <w:rsid w:val="008F7945"/>
    <w:rsid w:val="008F7B13"/>
    <w:rsid w:val="008F7B7E"/>
    <w:rsid w:val="008F7F01"/>
    <w:rsid w:val="0090005E"/>
    <w:rsid w:val="0090058C"/>
    <w:rsid w:val="00900636"/>
    <w:rsid w:val="00900782"/>
    <w:rsid w:val="00900A00"/>
    <w:rsid w:val="00900E4A"/>
    <w:rsid w:val="00900FEF"/>
    <w:rsid w:val="009019A2"/>
    <w:rsid w:val="00901C77"/>
    <w:rsid w:val="00901CF5"/>
    <w:rsid w:val="00901D30"/>
    <w:rsid w:val="00901DC4"/>
    <w:rsid w:val="00901DF0"/>
    <w:rsid w:val="00901FFD"/>
    <w:rsid w:val="00902067"/>
    <w:rsid w:val="009022E6"/>
    <w:rsid w:val="0090236C"/>
    <w:rsid w:val="009023C7"/>
    <w:rsid w:val="009024FB"/>
    <w:rsid w:val="009025ED"/>
    <w:rsid w:val="0090287E"/>
    <w:rsid w:val="00902ACE"/>
    <w:rsid w:val="00902C23"/>
    <w:rsid w:val="00902C79"/>
    <w:rsid w:val="00902EEC"/>
    <w:rsid w:val="0090321F"/>
    <w:rsid w:val="009032E5"/>
    <w:rsid w:val="009033B0"/>
    <w:rsid w:val="00903633"/>
    <w:rsid w:val="00903887"/>
    <w:rsid w:val="00903D1B"/>
    <w:rsid w:val="00903DD0"/>
    <w:rsid w:val="00904004"/>
    <w:rsid w:val="009041CE"/>
    <w:rsid w:val="0090452C"/>
    <w:rsid w:val="0090464B"/>
    <w:rsid w:val="009046E8"/>
    <w:rsid w:val="00904782"/>
    <w:rsid w:val="009048EB"/>
    <w:rsid w:val="00904CF2"/>
    <w:rsid w:val="00904D47"/>
    <w:rsid w:val="00904E17"/>
    <w:rsid w:val="00904F29"/>
    <w:rsid w:val="00905057"/>
    <w:rsid w:val="00905126"/>
    <w:rsid w:val="00905283"/>
    <w:rsid w:val="009052BC"/>
    <w:rsid w:val="00905500"/>
    <w:rsid w:val="009056C4"/>
    <w:rsid w:val="009056E1"/>
    <w:rsid w:val="0090590B"/>
    <w:rsid w:val="00905B0D"/>
    <w:rsid w:val="00905B58"/>
    <w:rsid w:val="00905D39"/>
    <w:rsid w:val="00905D9E"/>
    <w:rsid w:val="00905F20"/>
    <w:rsid w:val="0090604E"/>
    <w:rsid w:val="00906250"/>
    <w:rsid w:val="009062FF"/>
    <w:rsid w:val="00906AC8"/>
    <w:rsid w:val="00906BED"/>
    <w:rsid w:val="00907041"/>
    <w:rsid w:val="00907562"/>
    <w:rsid w:val="009075CD"/>
    <w:rsid w:val="009076B5"/>
    <w:rsid w:val="00907709"/>
    <w:rsid w:val="00907AE9"/>
    <w:rsid w:val="00910024"/>
    <w:rsid w:val="00910061"/>
    <w:rsid w:val="009100AD"/>
    <w:rsid w:val="00910209"/>
    <w:rsid w:val="00910279"/>
    <w:rsid w:val="009102DC"/>
    <w:rsid w:val="00910603"/>
    <w:rsid w:val="00910970"/>
    <w:rsid w:val="009109DF"/>
    <w:rsid w:val="00910C16"/>
    <w:rsid w:val="00910E79"/>
    <w:rsid w:val="00911051"/>
    <w:rsid w:val="009111AB"/>
    <w:rsid w:val="00911312"/>
    <w:rsid w:val="009114E2"/>
    <w:rsid w:val="009117C6"/>
    <w:rsid w:val="009119B4"/>
    <w:rsid w:val="00911B6B"/>
    <w:rsid w:val="00911C9E"/>
    <w:rsid w:val="009120AD"/>
    <w:rsid w:val="00912182"/>
    <w:rsid w:val="00912568"/>
    <w:rsid w:val="00912732"/>
    <w:rsid w:val="00912744"/>
    <w:rsid w:val="009127B2"/>
    <w:rsid w:val="009128CA"/>
    <w:rsid w:val="009128E7"/>
    <w:rsid w:val="0091291A"/>
    <w:rsid w:val="00913028"/>
    <w:rsid w:val="009132A6"/>
    <w:rsid w:val="009136A0"/>
    <w:rsid w:val="00913801"/>
    <w:rsid w:val="00913839"/>
    <w:rsid w:val="009138E7"/>
    <w:rsid w:val="0091392E"/>
    <w:rsid w:val="00913A06"/>
    <w:rsid w:val="00913AC6"/>
    <w:rsid w:val="00913D5A"/>
    <w:rsid w:val="00913DCC"/>
    <w:rsid w:val="009140C6"/>
    <w:rsid w:val="00914181"/>
    <w:rsid w:val="00914341"/>
    <w:rsid w:val="00914592"/>
    <w:rsid w:val="009146B7"/>
    <w:rsid w:val="00914877"/>
    <w:rsid w:val="009148F2"/>
    <w:rsid w:val="00914B33"/>
    <w:rsid w:val="00914B39"/>
    <w:rsid w:val="00914BB8"/>
    <w:rsid w:val="00914BEB"/>
    <w:rsid w:val="00914CE3"/>
    <w:rsid w:val="00914D49"/>
    <w:rsid w:val="00914EBE"/>
    <w:rsid w:val="00914F72"/>
    <w:rsid w:val="00915067"/>
    <w:rsid w:val="0091507D"/>
    <w:rsid w:val="009151C6"/>
    <w:rsid w:val="0091538E"/>
    <w:rsid w:val="009156FD"/>
    <w:rsid w:val="00915748"/>
    <w:rsid w:val="0091574E"/>
    <w:rsid w:val="0091585D"/>
    <w:rsid w:val="009158EF"/>
    <w:rsid w:val="00915B76"/>
    <w:rsid w:val="00915D61"/>
    <w:rsid w:val="00915DE9"/>
    <w:rsid w:val="00915E1A"/>
    <w:rsid w:val="00915E24"/>
    <w:rsid w:val="00916028"/>
    <w:rsid w:val="00916041"/>
    <w:rsid w:val="009162BE"/>
    <w:rsid w:val="00916583"/>
    <w:rsid w:val="00916643"/>
    <w:rsid w:val="00916895"/>
    <w:rsid w:val="00916947"/>
    <w:rsid w:val="00916AFE"/>
    <w:rsid w:val="00916B64"/>
    <w:rsid w:val="00916D2C"/>
    <w:rsid w:val="00917482"/>
    <w:rsid w:val="00917609"/>
    <w:rsid w:val="009179AE"/>
    <w:rsid w:val="009179F0"/>
    <w:rsid w:val="00917AFE"/>
    <w:rsid w:val="00917C46"/>
    <w:rsid w:val="00917D00"/>
    <w:rsid w:val="00917DC0"/>
    <w:rsid w:val="00917E06"/>
    <w:rsid w:val="00917E7A"/>
    <w:rsid w:val="00920516"/>
    <w:rsid w:val="00920531"/>
    <w:rsid w:val="0092053F"/>
    <w:rsid w:val="009207D1"/>
    <w:rsid w:val="00920864"/>
    <w:rsid w:val="00920C8E"/>
    <w:rsid w:val="00920F39"/>
    <w:rsid w:val="00921423"/>
    <w:rsid w:val="00921F61"/>
    <w:rsid w:val="00921F83"/>
    <w:rsid w:val="00922013"/>
    <w:rsid w:val="00922111"/>
    <w:rsid w:val="009221E2"/>
    <w:rsid w:val="00922355"/>
    <w:rsid w:val="00922481"/>
    <w:rsid w:val="009224A0"/>
    <w:rsid w:val="00922574"/>
    <w:rsid w:val="00922914"/>
    <w:rsid w:val="0092301D"/>
    <w:rsid w:val="009230D6"/>
    <w:rsid w:val="009233CB"/>
    <w:rsid w:val="00923495"/>
    <w:rsid w:val="009234D5"/>
    <w:rsid w:val="0092351D"/>
    <w:rsid w:val="0092369A"/>
    <w:rsid w:val="00923799"/>
    <w:rsid w:val="00923806"/>
    <w:rsid w:val="00923957"/>
    <w:rsid w:val="00923A62"/>
    <w:rsid w:val="00923A72"/>
    <w:rsid w:val="00923D76"/>
    <w:rsid w:val="00923DC9"/>
    <w:rsid w:val="00923E23"/>
    <w:rsid w:val="009242C7"/>
    <w:rsid w:val="00924310"/>
    <w:rsid w:val="009243FF"/>
    <w:rsid w:val="009245CB"/>
    <w:rsid w:val="0092461E"/>
    <w:rsid w:val="009248CC"/>
    <w:rsid w:val="00924ABA"/>
    <w:rsid w:val="00924D2C"/>
    <w:rsid w:val="0092528C"/>
    <w:rsid w:val="009253ED"/>
    <w:rsid w:val="00925451"/>
    <w:rsid w:val="0092555D"/>
    <w:rsid w:val="00925702"/>
    <w:rsid w:val="0092570C"/>
    <w:rsid w:val="00925B78"/>
    <w:rsid w:val="00925CE2"/>
    <w:rsid w:val="00925D2D"/>
    <w:rsid w:val="00925FCF"/>
    <w:rsid w:val="009262AB"/>
    <w:rsid w:val="00926320"/>
    <w:rsid w:val="00926414"/>
    <w:rsid w:val="00926742"/>
    <w:rsid w:val="0092681D"/>
    <w:rsid w:val="00926856"/>
    <w:rsid w:val="00926B83"/>
    <w:rsid w:val="00926FB9"/>
    <w:rsid w:val="00927117"/>
    <w:rsid w:val="00927177"/>
    <w:rsid w:val="0092733C"/>
    <w:rsid w:val="009273EC"/>
    <w:rsid w:val="0092750B"/>
    <w:rsid w:val="00927712"/>
    <w:rsid w:val="009278B7"/>
    <w:rsid w:val="00927B2D"/>
    <w:rsid w:val="00927BC5"/>
    <w:rsid w:val="009300FF"/>
    <w:rsid w:val="00930167"/>
    <w:rsid w:val="009302A2"/>
    <w:rsid w:val="00930490"/>
    <w:rsid w:val="009307DE"/>
    <w:rsid w:val="00930835"/>
    <w:rsid w:val="00930913"/>
    <w:rsid w:val="00930A75"/>
    <w:rsid w:val="00930AAE"/>
    <w:rsid w:val="00930B91"/>
    <w:rsid w:val="00930C1B"/>
    <w:rsid w:val="00930F43"/>
    <w:rsid w:val="00930FDA"/>
    <w:rsid w:val="00931036"/>
    <w:rsid w:val="00931347"/>
    <w:rsid w:val="009314EF"/>
    <w:rsid w:val="00931646"/>
    <w:rsid w:val="00931C38"/>
    <w:rsid w:val="00931CFC"/>
    <w:rsid w:val="00931D17"/>
    <w:rsid w:val="00931E34"/>
    <w:rsid w:val="00931F01"/>
    <w:rsid w:val="00931F87"/>
    <w:rsid w:val="009321A7"/>
    <w:rsid w:val="00932210"/>
    <w:rsid w:val="00932CFE"/>
    <w:rsid w:val="00932D01"/>
    <w:rsid w:val="00932E59"/>
    <w:rsid w:val="00932EA9"/>
    <w:rsid w:val="00932F3B"/>
    <w:rsid w:val="00933143"/>
    <w:rsid w:val="009331FC"/>
    <w:rsid w:val="00933871"/>
    <w:rsid w:val="00933B7E"/>
    <w:rsid w:val="00933B91"/>
    <w:rsid w:val="00933C92"/>
    <w:rsid w:val="00933CE9"/>
    <w:rsid w:val="00933E8A"/>
    <w:rsid w:val="00933EE3"/>
    <w:rsid w:val="00933F11"/>
    <w:rsid w:val="00934493"/>
    <w:rsid w:val="009351C0"/>
    <w:rsid w:val="009352C2"/>
    <w:rsid w:val="009352F9"/>
    <w:rsid w:val="009353BF"/>
    <w:rsid w:val="00935457"/>
    <w:rsid w:val="0093557B"/>
    <w:rsid w:val="009355F7"/>
    <w:rsid w:val="009356C9"/>
    <w:rsid w:val="00935789"/>
    <w:rsid w:val="009357A6"/>
    <w:rsid w:val="009358A1"/>
    <w:rsid w:val="00935C2B"/>
    <w:rsid w:val="00935C2D"/>
    <w:rsid w:val="00935CAE"/>
    <w:rsid w:val="00935CE7"/>
    <w:rsid w:val="00935CEF"/>
    <w:rsid w:val="00935E03"/>
    <w:rsid w:val="00935F46"/>
    <w:rsid w:val="00935FFF"/>
    <w:rsid w:val="0093602E"/>
    <w:rsid w:val="0093618A"/>
    <w:rsid w:val="00936233"/>
    <w:rsid w:val="009363F8"/>
    <w:rsid w:val="00936402"/>
    <w:rsid w:val="00936552"/>
    <w:rsid w:val="00936568"/>
    <w:rsid w:val="009367F0"/>
    <w:rsid w:val="009368CA"/>
    <w:rsid w:val="00936BF5"/>
    <w:rsid w:val="00936C93"/>
    <w:rsid w:val="0093703F"/>
    <w:rsid w:val="00937347"/>
    <w:rsid w:val="00937506"/>
    <w:rsid w:val="009375D0"/>
    <w:rsid w:val="00937648"/>
    <w:rsid w:val="0093768F"/>
    <w:rsid w:val="009377BC"/>
    <w:rsid w:val="00937847"/>
    <w:rsid w:val="00937E2D"/>
    <w:rsid w:val="00940259"/>
    <w:rsid w:val="0094063F"/>
    <w:rsid w:val="00940755"/>
    <w:rsid w:val="009407E5"/>
    <w:rsid w:val="0094092C"/>
    <w:rsid w:val="00940987"/>
    <w:rsid w:val="00940A99"/>
    <w:rsid w:val="00940CB9"/>
    <w:rsid w:val="00940D1A"/>
    <w:rsid w:val="00940F75"/>
    <w:rsid w:val="00941299"/>
    <w:rsid w:val="00941389"/>
    <w:rsid w:val="009416B7"/>
    <w:rsid w:val="009417E0"/>
    <w:rsid w:val="00941881"/>
    <w:rsid w:val="00941A04"/>
    <w:rsid w:val="00941AEC"/>
    <w:rsid w:val="00941D52"/>
    <w:rsid w:val="00941E91"/>
    <w:rsid w:val="009422B9"/>
    <w:rsid w:val="009425FA"/>
    <w:rsid w:val="00942761"/>
    <w:rsid w:val="00942974"/>
    <w:rsid w:val="00942A8E"/>
    <w:rsid w:val="00942B3E"/>
    <w:rsid w:val="00942CC4"/>
    <w:rsid w:val="00942D4B"/>
    <w:rsid w:val="00943191"/>
    <w:rsid w:val="00943368"/>
    <w:rsid w:val="00943761"/>
    <w:rsid w:val="009437B3"/>
    <w:rsid w:val="009437E5"/>
    <w:rsid w:val="0094391C"/>
    <w:rsid w:val="00943B72"/>
    <w:rsid w:val="00943BC6"/>
    <w:rsid w:val="00943D19"/>
    <w:rsid w:val="00943EBF"/>
    <w:rsid w:val="00943FF6"/>
    <w:rsid w:val="009442AC"/>
    <w:rsid w:val="00944499"/>
    <w:rsid w:val="0094460A"/>
    <w:rsid w:val="00944802"/>
    <w:rsid w:val="009449B8"/>
    <w:rsid w:val="00944DEA"/>
    <w:rsid w:val="00944DF1"/>
    <w:rsid w:val="00944F01"/>
    <w:rsid w:val="0094596F"/>
    <w:rsid w:val="009459E2"/>
    <w:rsid w:val="00945A7D"/>
    <w:rsid w:val="00945DC9"/>
    <w:rsid w:val="00946030"/>
    <w:rsid w:val="0094619B"/>
    <w:rsid w:val="009461C3"/>
    <w:rsid w:val="009466BC"/>
    <w:rsid w:val="0094686D"/>
    <w:rsid w:val="00946974"/>
    <w:rsid w:val="009469C9"/>
    <w:rsid w:val="00946A23"/>
    <w:rsid w:val="00946BF6"/>
    <w:rsid w:val="00946F75"/>
    <w:rsid w:val="00946FBF"/>
    <w:rsid w:val="009470B3"/>
    <w:rsid w:val="009471E2"/>
    <w:rsid w:val="009472E8"/>
    <w:rsid w:val="009474AD"/>
    <w:rsid w:val="00947A14"/>
    <w:rsid w:val="00947AFD"/>
    <w:rsid w:val="00947BD8"/>
    <w:rsid w:val="00947E35"/>
    <w:rsid w:val="009500A8"/>
    <w:rsid w:val="00950335"/>
    <w:rsid w:val="00950443"/>
    <w:rsid w:val="0095053C"/>
    <w:rsid w:val="00950685"/>
    <w:rsid w:val="00950A48"/>
    <w:rsid w:val="00950C5B"/>
    <w:rsid w:val="00950C78"/>
    <w:rsid w:val="00950F76"/>
    <w:rsid w:val="009510F9"/>
    <w:rsid w:val="009512AF"/>
    <w:rsid w:val="00951327"/>
    <w:rsid w:val="00951664"/>
    <w:rsid w:val="009516FB"/>
    <w:rsid w:val="00951B7B"/>
    <w:rsid w:val="00951C56"/>
    <w:rsid w:val="00951CA9"/>
    <w:rsid w:val="00951DA2"/>
    <w:rsid w:val="00951E3A"/>
    <w:rsid w:val="00951F05"/>
    <w:rsid w:val="00951FDC"/>
    <w:rsid w:val="00951FE1"/>
    <w:rsid w:val="009521E2"/>
    <w:rsid w:val="00952457"/>
    <w:rsid w:val="0095245F"/>
    <w:rsid w:val="00952573"/>
    <w:rsid w:val="0095286E"/>
    <w:rsid w:val="009529A4"/>
    <w:rsid w:val="00952A6A"/>
    <w:rsid w:val="00952B5B"/>
    <w:rsid w:val="00952C07"/>
    <w:rsid w:val="009530C0"/>
    <w:rsid w:val="009531A5"/>
    <w:rsid w:val="00953249"/>
    <w:rsid w:val="009532E7"/>
    <w:rsid w:val="00953482"/>
    <w:rsid w:val="009538BC"/>
    <w:rsid w:val="00953B03"/>
    <w:rsid w:val="00953C1E"/>
    <w:rsid w:val="00953D1C"/>
    <w:rsid w:val="00953D4B"/>
    <w:rsid w:val="00953F70"/>
    <w:rsid w:val="009543D1"/>
    <w:rsid w:val="00954445"/>
    <w:rsid w:val="00954526"/>
    <w:rsid w:val="0095453F"/>
    <w:rsid w:val="00954779"/>
    <w:rsid w:val="0095483B"/>
    <w:rsid w:val="0095524D"/>
    <w:rsid w:val="009554E4"/>
    <w:rsid w:val="0095550A"/>
    <w:rsid w:val="0095565B"/>
    <w:rsid w:val="00955A0A"/>
    <w:rsid w:val="00955D03"/>
    <w:rsid w:val="00955F76"/>
    <w:rsid w:val="00956141"/>
    <w:rsid w:val="00956149"/>
    <w:rsid w:val="009565D5"/>
    <w:rsid w:val="00956626"/>
    <w:rsid w:val="00956705"/>
    <w:rsid w:val="00956957"/>
    <w:rsid w:val="00956A50"/>
    <w:rsid w:val="00956A5B"/>
    <w:rsid w:val="00956AC5"/>
    <w:rsid w:val="00956CF8"/>
    <w:rsid w:val="00956D08"/>
    <w:rsid w:val="00956E2F"/>
    <w:rsid w:val="00957032"/>
    <w:rsid w:val="009570A9"/>
    <w:rsid w:val="00957321"/>
    <w:rsid w:val="009573E5"/>
    <w:rsid w:val="0095754B"/>
    <w:rsid w:val="0095757A"/>
    <w:rsid w:val="009576B2"/>
    <w:rsid w:val="009579A7"/>
    <w:rsid w:val="009579A9"/>
    <w:rsid w:val="00957C61"/>
    <w:rsid w:val="00957D2F"/>
    <w:rsid w:val="009600EB"/>
    <w:rsid w:val="00960238"/>
    <w:rsid w:val="0096044B"/>
    <w:rsid w:val="0096052A"/>
    <w:rsid w:val="00960635"/>
    <w:rsid w:val="0096087E"/>
    <w:rsid w:val="00960A35"/>
    <w:rsid w:val="00960B29"/>
    <w:rsid w:val="00960EEF"/>
    <w:rsid w:val="0096102F"/>
    <w:rsid w:val="00961169"/>
    <w:rsid w:val="009611F5"/>
    <w:rsid w:val="009613E0"/>
    <w:rsid w:val="00961478"/>
    <w:rsid w:val="00961483"/>
    <w:rsid w:val="00961668"/>
    <w:rsid w:val="00961942"/>
    <w:rsid w:val="009619AB"/>
    <w:rsid w:val="00961C70"/>
    <w:rsid w:val="00961D9D"/>
    <w:rsid w:val="00962036"/>
    <w:rsid w:val="00962124"/>
    <w:rsid w:val="0096223E"/>
    <w:rsid w:val="0096247D"/>
    <w:rsid w:val="009624D2"/>
    <w:rsid w:val="0096251B"/>
    <w:rsid w:val="009625E0"/>
    <w:rsid w:val="009628D4"/>
    <w:rsid w:val="00962912"/>
    <w:rsid w:val="00962B3B"/>
    <w:rsid w:val="00962BB1"/>
    <w:rsid w:val="00962DE6"/>
    <w:rsid w:val="00962E51"/>
    <w:rsid w:val="00962E60"/>
    <w:rsid w:val="00962F12"/>
    <w:rsid w:val="00962F35"/>
    <w:rsid w:val="00962FAB"/>
    <w:rsid w:val="00963196"/>
    <w:rsid w:val="00963470"/>
    <w:rsid w:val="00963537"/>
    <w:rsid w:val="00963542"/>
    <w:rsid w:val="009635A1"/>
    <w:rsid w:val="009636D6"/>
    <w:rsid w:val="0096371B"/>
    <w:rsid w:val="0096393F"/>
    <w:rsid w:val="00964009"/>
    <w:rsid w:val="009641C8"/>
    <w:rsid w:val="0096421C"/>
    <w:rsid w:val="00964284"/>
    <w:rsid w:val="00964442"/>
    <w:rsid w:val="00964834"/>
    <w:rsid w:val="00964C0A"/>
    <w:rsid w:val="00964F1C"/>
    <w:rsid w:val="00965079"/>
    <w:rsid w:val="00965545"/>
    <w:rsid w:val="00965705"/>
    <w:rsid w:val="009657B0"/>
    <w:rsid w:val="00965A1A"/>
    <w:rsid w:val="00965BB7"/>
    <w:rsid w:val="00965DF4"/>
    <w:rsid w:val="0096606A"/>
    <w:rsid w:val="009661F4"/>
    <w:rsid w:val="00966438"/>
    <w:rsid w:val="0096680A"/>
    <w:rsid w:val="0096684D"/>
    <w:rsid w:val="00966AA0"/>
    <w:rsid w:val="00966CF7"/>
    <w:rsid w:val="00966DC1"/>
    <w:rsid w:val="00966E11"/>
    <w:rsid w:val="00966F67"/>
    <w:rsid w:val="0096709F"/>
    <w:rsid w:val="00967392"/>
    <w:rsid w:val="00967492"/>
    <w:rsid w:val="00967507"/>
    <w:rsid w:val="0096766F"/>
    <w:rsid w:val="00967B19"/>
    <w:rsid w:val="0097031E"/>
    <w:rsid w:val="009703E5"/>
    <w:rsid w:val="009707E0"/>
    <w:rsid w:val="009709E6"/>
    <w:rsid w:val="00970A3A"/>
    <w:rsid w:val="00970A9B"/>
    <w:rsid w:val="00970C75"/>
    <w:rsid w:val="00970D3C"/>
    <w:rsid w:val="00970DBF"/>
    <w:rsid w:val="00970E6C"/>
    <w:rsid w:val="00971715"/>
    <w:rsid w:val="00971732"/>
    <w:rsid w:val="00971885"/>
    <w:rsid w:val="00971AD2"/>
    <w:rsid w:val="00971BF9"/>
    <w:rsid w:val="00971E9E"/>
    <w:rsid w:val="00971EA5"/>
    <w:rsid w:val="0097217D"/>
    <w:rsid w:val="00972193"/>
    <w:rsid w:val="0097236C"/>
    <w:rsid w:val="00972612"/>
    <w:rsid w:val="00972646"/>
    <w:rsid w:val="00972649"/>
    <w:rsid w:val="00972653"/>
    <w:rsid w:val="009727FA"/>
    <w:rsid w:val="00972803"/>
    <w:rsid w:val="00972D1E"/>
    <w:rsid w:val="00972F04"/>
    <w:rsid w:val="00972F5E"/>
    <w:rsid w:val="00973082"/>
    <w:rsid w:val="009731CF"/>
    <w:rsid w:val="0097333D"/>
    <w:rsid w:val="00973343"/>
    <w:rsid w:val="00973475"/>
    <w:rsid w:val="0097353D"/>
    <w:rsid w:val="009737A6"/>
    <w:rsid w:val="00973A16"/>
    <w:rsid w:val="00973AC1"/>
    <w:rsid w:val="00973DFE"/>
    <w:rsid w:val="009740F4"/>
    <w:rsid w:val="00974168"/>
    <w:rsid w:val="009742A0"/>
    <w:rsid w:val="00974493"/>
    <w:rsid w:val="0097466C"/>
    <w:rsid w:val="00974692"/>
    <w:rsid w:val="00974A67"/>
    <w:rsid w:val="00974A84"/>
    <w:rsid w:val="009750C5"/>
    <w:rsid w:val="009759AB"/>
    <w:rsid w:val="009759B0"/>
    <w:rsid w:val="00975C92"/>
    <w:rsid w:val="00975CE6"/>
    <w:rsid w:val="00975D4C"/>
    <w:rsid w:val="00975EE9"/>
    <w:rsid w:val="00975F8A"/>
    <w:rsid w:val="009760AD"/>
    <w:rsid w:val="009760D7"/>
    <w:rsid w:val="0097611A"/>
    <w:rsid w:val="00976272"/>
    <w:rsid w:val="0097628C"/>
    <w:rsid w:val="00976292"/>
    <w:rsid w:val="0097654B"/>
    <w:rsid w:val="009766E6"/>
    <w:rsid w:val="0097727D"/>
    <w:rsid w:val="009773E8"/>
    <w:rsid w:val="0097759A"/>
    <w:rsid w:val="0097766F"/>
    <w:rsid w:val="00977881"/>
    <w:rsid w:val="00977C98"/>
    <w:rsid w:val="0098031E"/>
    <w:rsid w:val="0098052C"/>
    <w:rsid w:val="00980B29"/>
    <w:rsid w:val="00980B41"/>
    <w:rsid w:val="00980B5B"/>
    <w:rsid w:val="00980BB8"/>
    <w:rsid w:val="00980CFC"/>
    <w:rsid w:val="00980D85"/>
    <w:rsid w:val="00980DEB"/>
    <w:rsid w:val="0098140A"/>
    <w:rsid w:val="00981853"/>
    <w:rsid w:val="00981873"/>
    <w:rsid w:val="00981D06"/>
    <w:rsid w:val="00981D63"/>
    <w:rsid w:val="00981DA8"/>
    <w:rsid w:val="00981EAD"/>
    <w:rsid w:val="00981EB2"/>
    <w:rsid w:val="00982016"/>
    <w:rsid w:val="0098204D"/>
    <w:rsid w:val="009820B0"/>
    <w:rsid w:val="0098250C"/>
    <w:rsid w:val="009825B4"/>
    <w:rsid w:val="009827A3"/>
    <w:rsid w:val="00982896"/>
    <w:rsid w:val="0098298B"/>
    <w:rsid w:val="00982BDE"/>
    <w:rsid w:val="00982F15"/>
    <w:rsid w:val="009830CC"/>
    <w:rsid w:val="009833CB"/>
    <w:rsid w:val="00983426"/>
    <w:rsid w:val="009836E6"/>
    <w:rsid w:val="0098387B"/>
    <w:rsid w:val="00983B4E"/>
    <w:rsid w:val="00983D9E"/>
    <w:rsid w:val="00984245"/>
    <w:rsid w:val="009843B1"/>
    <w:rsid w:val="009845CF"/>
    <w:rsid w:val="009846E3"/>
    <w:rsid w:val="009848A1"/>
    <w:rsid w:val="00984C6A"/>
    <w:rsid w:val="00984DCB"/>
    <w:rsid w:val="00984E49"/>
    <w:rsid w:val="0098540C"/>
    <w:rsid w:val="00985530"/>
    <w:rsid w:val="009857C5"/>
    <w:rsid w:val="009857E7"/>
    <w:rsid w:val="00985DDC"/>
    <w:rsid w:val="009860CC"/>
    <w:rsid w:val="00986419"/>
    <w:rsid w:val="009864BD"/>
    <w:rsid w:val="009864E8"/>
    <w:rsid w:val="009866E3"/>
    <w:rsid w:val="00986814"/>
    <w:rsid w:val="00986A93"/>
    <w:rsid w:val="00986C92"/>
    <w:rsid w:val="00986D35"/>
    <w:rsid w:val="00987434"/>
    <w:rsid w:val="009876B8"/>
    <w:rsid w:val="009876E8"/>
    <w:rsid w:val="00987774"/>
    <w:rsid w:val="009877AE"/>
    <w:rsid w:val="009879DB"/>
    <w:rsid w:val="009879FF"/>
    <w:rsid w:val="00987A7F"/>
    <w:rsid w:val="00987C2A"/>
    <w:rsid w:val="00987E8B"/>
    <w:rsid w:val="00987F59"/>
    <w:rsid w:val="00987F87"/>
    <w:rsid w:val="00987FB7"/>
    <w:rsid w:val="00990029"/>
    <w:rsid w:val="0099013F"/>
    <w:rsid w:val="00990358"/>
    <w:rsid w:val="009904DE"/>
    <w:rsid w:val="009905DC"/>
    <w:rsid w:val="009906B2"/>
    <w:rsid w:val="009907A1"/>
    <w:rsid w:val="00990984"/>
    <w:rsid w:val="00990D10"/>
    <w:rsid w:val="00990DA2"/>
    <w:rsid w:val="0099112D"/>
    <w:rsid w:val="009912BE"/>
    <w:rsid w:val="009913AA"/>
    <w:rsid w:val="0099186B"/>
    <w:rsid w:val="00991A0C"/>
    <w:rsid w:val="00991BF0"/>
    <w:rsid w:val="00991DDB"/>
    <w:rsid w:val="00992205"/>
    <w:rsid w:val="00992413"/>
    <w:rsid w:val="00992982"/>
    <w:rsid w:val="00992C08"/>
    <w:rsid w:val="00992C71"/>
    <w:rsid w:val="00992EC2"/>
    <w:rsid w:val="0099368F"/>
    <w:rsid w:val="00993737"/>
    <w:rsid w:val="00993742"/>
    <w:rsid w:val="009939CE"/>
    <w:rsid w:val="009939E9"/>
    <w:rsid w:val="00993A55"/>
    <w:rsid w:val="00993ADC"/>
    <w:rsid w:val="00994349"/>
    <w:rsid w:val="009945EE"/>
    <w:rsid w:val="009948C8"/>
    <w:rsid w:val="00994A7D"/>
    <w:rsid w:val="00994E4B"/>
    <w:rsid w:val="009952F8"/>
    <w:rsid w:val="00995456"/>
    <w:rsid w:val="0099567D"/>
    <w:rsid w:val="00995757"/>
    <w:rsid w:val="00995902"/>
    <w:rsid w:val="00995A38"/>
    <w:rsid w:val="00995ABB"/>
    <w:rsid w:val="00995AC7"/>
    <w:rsid w:val="00995BBA"/>
    <w:rsid w:val="00995C35"/>
    <w:rsid w:val="00995C6A"/>
    <w:rsid w:val="00995EFB"/>
    <w:rsid w:val="0099644D"/>
    <w:rsid w:val="0099660E"/>
    <w:rsid w:val="00996656"/>
    <w:rsid w:val="0099667A"/>
    <w:rsid w:val="009969E4"/>
    <w:rsid w:val="00996B44"/>
    <w:rsid w:val="00996E3B"/>
    <w:rsid w:val="00996E8E"/>
    <w:rsid w:val="00997260"/>
    <w:rsid w:val="0099746E"/>
    <w:rsid w:val="0099748F"/>
    <w:rsid w:val="00997595"/>
    <w:rsid w:val="0099773C"/>
    <w:rsid w:val="0099787E"/>
    <w:rsid w:val="009979DA"/>
    <w:rsid w:val="009979F6"/>
    <w:rsid w:val="00997A7B"/>
    <w:rsid w:val="00997AA6"/>
    <w:rsid w:val="00997ABA"/>
    <w:rsid w:val="00997BBB"/>
    <w:rsid w:val="00997C7D"/>
    <w:rsid w:val="009A020D"/>
    <w:rsid w:val="009A02CB"/>
    <w:rsid w:val="009A05AE"/>
    <w:rsid w:val="009A0618"/>
    <w:rsid w:val="009A067D"/>
    <w:rsid w:val="009A07C3"/>
    <w:rsid w:val="009A0DCD"/>
    <w:rsid w:val="009A0E3A"/>
    <w:rsid w:val="009A0E57"/>
    <w:rsid w:val="009A17E8"/>
    <w:rsid w:val="009A19B0"/>
    <w:rsid w:val="009A1C84"/>
    <w:rsid w:val="009A1CD9"/>
    <w:rsid w:val="009A1FD9"/>
    <w:rsid w:val="009A23BA"/>
    <w:rsid w:val="009A25AB"/>
    <w:rsid w:val="009A2788"/>
    <w:rsid w:val="009A28AC"/>
    <w:rsid w:val="009A2979"/>
    <w:rsid w:val="009A2B0F"/>
    <w:rsid w:val="009A2BDE"/>
    <w:rsid w:val="009A2CC7"/>
    <w:rsid w:val="009A2CC9"/>
    <w:rsid w:val="009A350C"/>
    <w:rsid w:val="009A3539"/>
    <w:rsid w:val="009A35AB"/>
    <w:rsid w:val="009A3AB6"/>
    <w:rsid w:val="009A3B2A"/>
    <w:rsid w:val="009A3DFE"/>
    <w:rsid w:val="009A3E41"/>
    <w:rsid w:val="009A4029"/>
    <w:rsid w:val="009A41DF"/>
    <w:rsid w:val="009A4346"/>
    <w:rsid w:val="009A4448"/>
    <w:rsid w:val="009A446F"/>
    <w:rsid w:val="009A44D7"/>
    <w:rsid w:val="009A4724"/>
    <w:rsid w:val="009A48C6"/>
    <w:rsid w:val="009A4AE2"/>
    <w:rsid w:val="009A4DFA"/>
    <w:rsid w:val="009A4EB2"/>
    <w:rsid w:val="009A5131"/>
    <w:rsid w:val="009A5295"/>
    <w:rsid w:val="009A5543"/>
    <w:rsid w:val="009A56F5"/>
    <w:rsid w:val="009A577B"/>
    <w:rsid w:val="009A583C"/>
    <w:rsid w:val="009A5AD7"/>
    <w:rsid w:val="009A5CAB"/>
    <w:rsid w:val="009A5CED"/>
    <w:rsid w:val="009A5D04"/>
    <w:rsid w:val="009A5D2C"/>
    <w:rsid w:val="009A5D4D"/>
    <w:rsid w:val="009A5E0A"/>
    <w:rsid w:val="009A5E25"/>
    <w:rsid w:val="009A5EF0"/>
    <w:rsid w:val="009A6214"/>
    <w:rsid w:val="009A64F9"/>
    <w:rsid w:val="009A671D"/>
    <w:rsid w:val="009A6834"/>
    <w:rsid w:val="009A6AD7"/>
    <w:rsid w:val="009A6B75"/>
    <w:rsid w:val="009A6D7D"/>
    <w:rsid w:val="009A6FAD"/>
    <w:rsid w:val="009A7079"/>
    <w:rsid w:val="009A710A"/>
    <w:rsid w:val="009A72BF"/>
    <w:rsid w:val="009A732D"/>
    <w:rsid w:val="009A758E"/>
    <w:rsid w:val="009A7906"/>
    <w:rsid w:val="009A7954"/>
    <w:rsid w:val="009A7EBC"/>
    <w:rsid w:val="009A7EEA"/>
    <w:rsid w:val="009A7F57"/>
    <w:rsid w:val="009B0236"/>
    <w:rsid w:val="009B036E"/>
    <w:rsid w:val="009B0437"/>
    <w:rsid w:val="009B0471"/>
    <w:rsid w:val="009B050E"/>
    <w:rsid w:val="009B05E1"/>
    <w:rsid w:val="009B06FD"/>
    <w:rsid w:val="009B0DDE"/>
    <w:rsid w:val="009B0F29"/>
    <w:rsid w:val="009B1319"/>
    <w:rsid w:val="009B146D"/>
    <w:rsid w:val="009B15AA"/>
    <w:rsid w:val="009B16B5"/>
    <w:rsid w:val="009B1CC3"/>
    <w:rsid w:val="009B1EEF"/>
    <w:rsid w:val="009B20CD"/>
    <w:rsid w:val="009B2222"/>
    <w:rsid w:val="009B226D"/>
    <w:rsid w:val="009B25C5"/>
    <w:rsid w:val="009B25D0"/>
    <w:rsid w:val="009B2671"/>
    <w:rsid w:val="009B267A"/>
    <w:rsid w:val="009B28DC"/>
    <w:rsid w:val="009B2A46"/>
    <w:rsid w:val="009B2B2B"/>
    <w:rsid w:val="009B2C68"/>
    <w:rsid w:val="009B2DC6"/>
    <w:rsid w:val="009B3399"/>
    <w:rsid w:val="009B355E"/>
    <w:rsid w:val="009B3802"/>
    <w:rsid w:val="009B3829"/>
    <w:rsid w:val="009B3A2C"/>
    <w:rsid w:val="009B3C6D"/>
    <w:rsid w:val="009B406A"/>
    <w:rsid w:val="009B4389"/>
    <w:rsid w:val="009B4394"/>
    <w:rsid w:val="009B46E0"/>
    <w:rsid w:val="009B49AE"/>
    <w:rsid w:val="009B4B4D"/>
    <w:rsid w:val="009B4BAB"/>
    <w:rsid w:val="009B4CCE"/>
    <w:rsid w:val="009B4D38"/>
    <w:rsid w:val="009B4E0D"/>
    <w:rsid w:val="009B4E17"/>
    <w:rsid w:val="009B4E58"/>
    <w:rsid w:val="009B4F39"/>
    <w:rsid w:val="009B517C"/>
    <w:rsid w:val="009B528E"/>
    <w:rsid w:val="009B534F"/>
    <w:rsid w:val="009B5431"/>
    <w:rsid w:val="009B55D9"/>
    <w:rsid w:val="009B5A57"/>
    <w:rsid w:val="009B5BE6"/>
    <w:rsid w:val="009B5C37"/>
    <w:rsid w:val="009B5CE5"/>
    <w:rsid w:val="009B5EFE"/>
    <w:rsid w:val="009B5F8C"/>
    <w:rsid w:val="009B607B"/>
    <w:rsid w:val="009B608C"/>
    <w:rsid w:val="009B622C"/>
    <w:rsid w:val="009B6376"/>
    <w:rsid w:val="009B6AA1"/>
    <w:rsid w:val="009B6B92"/>
    <w:rsid w:val="009B6E6C"/>
    <w:rsid w:val="009B708B"/>
    <w:rsid w:val="009B7131"/>
    <w:rsid w:val="009B7720"/>
    <w:rsid w:val="009B776B"/>
    <w:rsid w:val="009B798F"/>
    <w:rsid w:val="009B7BD1"/>
    <w:rsid w:val="009B7C9E"/>
    <w:rsid w:val="009C0147"/>
    <w:rsid w:val="009C026F"/>
    <w:rsid w:val="009C0340"/>
    <w:rsid w:val="009C042B"/>
    <w:rsid w:val="009C0471"/>
    <w:rsid w:val="009C05EF"/>
    <w:rsid w:val="009C093F"/>
    <w:rsid w:val="009C0B3B"/>
    <w:rsid w:val="009C0C94"/>
    <w:rsid w:val="009C0E89"/>
    <w:rsid w:val="009C0EE9"/>
    <w:rsid w:val="009C1154"/>
    <w:rsid w:val="009C1291"/>
    <w:rsid w:val="009C138E"/>
    <w:rsid w:val="009C14AA"/>
    <w:rsid w:val="009C14E0"/>
    <w:rsid w:val="009C15A4"/>
    <w:rsid w:val="009C1969"/>
    <w:rsid w:val="009C1A38"/>
    <w:rsid w:val="009C1DB1"/>
    <w:rsid w:val="009C21AC"/>
    <w:rsid w:val="009C264C"/>
    <w:rsid w:val="009C2802"/>
    <w:rsid w:val="009C2AD6"/>
    <w:rsid w:val="009C2BFA"/>
    <w:rsid w:val="009C2DB8"/>
    <w:rsid w:val="009C2DBE"/>
    <w:rsid w:val="009C3023"/>
    <w:rsid w:val="009C310A"/>
    <w:rsid w:val="009C3574"/>
    <w:rsid w:val="009C371A"/>
    <w:rsid w:val="009C3746"/>
    <w:rsid w:val="009C3CA2"/>
    <w:rsid w:val="009C404A"/>
    <w:rsid w:val="009C4204"/>
    <w:rsid w:val="009C4232"/>
    <w:rsid w:val="009C432D"/>
    <w:rsid w:val="009C4597"/>
    <w:rsid w:val="009C4882"/>
    <w:rsid w:val="009C4981"/>
    <w:rsid w:val="009C4A12"/>
    <w:rsid w:val="009C4F33"/>
    <w:rsid w:val="009C5183"/>
    <w:rsid w:val="009C51CD"/>
    <w:rsid w:val="009C5288"/>
    <w:rsid w:val="009C52C6"/>
    <w:rsid w:val="009C53A8"/>
    <w:rsid w:val="009C556F"/>
    <w:rsid w:val="009C55F8"/>
    <w:rsid w:val="009C569F"/>
    <w:rsid w:val="009C57AF"/>
    <w:rsid w:val="009C5869"/>
    <w:rsid w:val="009C5908"/>
    <w:rsid w:val="009C59BE"/>
    <w:rsid w:val="009C5A79"/>
    <w:rsid w:val="009C5C2F"/>
    <w:rsid w:val="009C6702"/>
    <w:rsid w:val="009C69E4"/>
    <w:rsid w:val="009C6B6D"/>
    <w:rsid w:val="009C7228"/>
    <w:rsid w:val="009C727B"/>
    <w:rsid w:val="009C7626"/>
    <w:rsid w:val="009C7701"/>
    <w:rsid w:val="009C7A0B"/>
    <w:rsid w:val="009C7AE2"/>
    <w:rsid w:val="009C7B2D"/>
    <w:rsid w:val="009C7D13"/>
    <w:rsid w:val="009C7FCA"/>
    <w:rsid w:val="009D0090"/>
    <w:rsid w:val="009D01E4"/>
    <w:rsid w:val="009D0214"/>
    <w:rsid w:val="009D02DE"/>
    <w:rsid w:val="009D03CC"/>
    <w:rsid w:val="009D0982"/>
    <w:rsid w:val="009D0A84"/>
    <w:rsid w:val="009D0CB1"/>
    <w:rsid w:val="009D0E78"/>
    <w:rsid w:val="009D0F7D"/>
    <w:rsid w:val="009D10C9"/>
    <w:rsid w:val="009D147F"/>
    <w:rsid w:val="009D14BA"/>
    <w:rsid w:val="009D1821"/>
    <w:rsid w:val="009D1D34"/>
    <w:rsid w:val="009D1DFF"/>
    <w:rsid w:val="009D1ED2"/>
    <w:rsid w:val="009D210A"/>
    <w:rsid w:val="009D21C1"/>
    <w:rsid w:val="009D2332"/>
    <w:rsid w:val="009D2979"/>
    <w:rsid w:val="009D29A9"/>
    <w:rsid w:val="009D29D1"/>
    <w:rsid w:val="009D2C95"/>
    <w:rsid w:val="009D2CAF"/>
    <w:rsid w:val="009D325E"/>
    <w:rsid w:val="009D3326"/>
    <w:rsid w:val="009D340D"/>
    <w:rsid w:val="009D3485"/>
    <w:rsid w:val="009D3541"/>
    <w:rsid w:val="009D3713"/>
    <w:rsid w:val="009D39C4"/>
    <w:rsid w:val="009D3A3B"/>
    <w:rsid w:val="009D4070"/>
    <w:rsid w:val="009D4291"/>
    <w:rsid w:val="009D447F"/>
    <w:rsid w:val="009D4555"/>
    <w:rsid w:val="009D47EC"/>
    <w:rsid w:val="009D4AA4"/>
    <w:rsid w:val="009D4E38"/>
    <w:rsid w:val="009D4EA7"/>
    <w:rsid w:val="009D4F3A"/>
    <w:rsid w:val="009D50DA"/>
    <w:rsid w:val="009D5141"/>
    <w:rsid w:val="009D59E2"/>
    <w:rsid w:val="009D5C7D"/>
    <w:rsid w:val="009D5CBD"/>
    <w:rsid w:val="009D5CEA"/>
    <w:rsid w:val="009D5DA4"/>
    <w:rsid w:val="009D5EF3"/>
    <w:rsid w:val="009D6041"/>
    <w:rsid w:val="009D65B6"/>
    <w:rsid w:val="009D6647"/>
    <w:rsid w:val="009D6977"/>
    <w:rsid w:val="009D6FB9"/>
    <w:rsid w:val="009D737B"/>
    <w:rsid w:val="009D7615"/>
    <w:rsid w:val="009D7841"/>
    <w:rsid w:val="009D7DAF"/>
    <w:rsid w:val="009D7E5C"/>
    <w:rsid w:val="009E0452"/>
    <w:rsid w:val="009E0501"/>
    <w:rsid w:val="009E0618"/>
    <w:rsid w:val="009E0747"/>
    <w:rsid w:val="009E07CF"/>
    <w:rsid w:val="009E0873"/>
    <w:rsid w:val="009E08C3"/>
    <w:rsid w:val="009E09F4"/>
    <w:rsid w:val="009E0BAF"/>
    <w:rsid w:val="009E0CF6"/>
    <w:rsid w:val="009E0D7B"/>
    <w:rsid w:val="009E0F90"/>
    <w:rsid w:val="009E112E"/>
    <w:rsid w:val="009E1305"/>
    <w:rsid w:val="009E149F"/>
    <w:rsid w:val="009E1572"/>
    <w:rsid w:val="009E1A09"/>
    <w:rsid w:val="009E1AC6"/>
    <w:rsid w:val="009E1EF8"/>
    <w:rsid w:val="009E2134"/>
    <w:rsid w:val="009E22F1"/>
    <w:rsid w:val="009E248E"/>
    <w:rsid w:val="009E2527"/>
    <w:rsid w:val="009E2558"/>
    <w:rsid w:val="009E25BF"/>
    <w:rsid w:val="009E270F"/>
    <w:rsid w:val="009E276F"/>
    <w:rsid w:val="009E2839"/>
    <w:rsid w:val="009E28D9"/>
    <w:rsid w:val="009E2A54"/>
    <w:rsid w:val="009E2A8A"/>
    <w:rsid w:val="009E2D35"/>
    <w:rsid w:val="009E2D46"/>
    <w:rsid w:val="009E3961"/>
    <w:rsid w:val="009E397D"/>
    <w:rsid w:val="009E3B2C"/>
    <w:rsid w:val="009E3B76"/>
    <w:rsid w:val="009E3D65"/>
    <w:rsid w:val="009E3D8F"/>
    <w:rsid w:val="009E3FD4"/>
    <w:rsid w:val="009E40A7"/>
    <w:rsid w:val="009E419E"/>
    <w:rsid w:val="009E4538"/>
    <w:rsid w:val="009E45E9"/>
    <w:rsid w:val="009E474A"/>
    <w:rsid w:val="009E49BD"/>
    <w:rsid w:val="009E4A75"/>
    <w:rsid w:val="009E4AA0"/>
    <w:rsid w:val="009E4DD7"/>
    <w:rsid w:val="009E4F47"/>
    <w:rsid w:val="009E51E4"/>
    <w:rsid w:val="009E53C4"/>
    <w:rsid w:val="009E53E0"/>
    <w:rsid w:val="009E5572"/>
    <w:rsid w:val="009E55BF"/>
    <w:rsid w:val="009E58D6"/>
    <w:rsid w:val="009E5949"/>
    <w:rsid w:val="009E594A"/>
    <w:rsid w:val="009E59A9"/>
    <w:rsid w:val="009E5C21"/>
    <w:rsid w:val="009E5EC8"/>
    <w:rsid w:val="009E5EED"/>
    <w:rsid w:val="009E6140"/>
    <w:rsid w:val="009E65F9"/>
    <w:rsid w:val="009E6623"/>
    <w:rsid w:val="009E6794"/>
    <w:rsid w:val="009E69CF"/>
    <w:rsid w:val="009E6A18"/>
    <w:rsid w:val="009E6AB5"/>
    <w:rsid w:val="009E6BD2"/>
    <w:rsid w:val="009E6BF9"/>
    <w:rsid w:val="009E6DD0"/>
    <w:rsid w:val="009E6E19"/>
    <w:rsid w:val="009E7152"/>
    <w:rsid w:val="009E7234"/>
    <w:rsid w:val="009E76D4"/>
    <w:rsid w:val="009E78CB"/>
    <w:rsid w:val="009E79B9"/>
    <w:rsid w:val="009E7AB3"/>
    <w:rsid w:val="009E7C11"/>
    <w:rsid w:val="009E7D80"/>
    <w:rsid w:val="009E7E3A"/>
    <w:rsid w:val="009E7FF9"/>
    <w:rsid w:val="009F004B"/>
    <w:rsid w:val="009F039B"/>
    <w:rsid w:val="009F0509"/>
    <w:rsid w:val="009F075F"/>
    <w:rsid w:val="009F0777"/>
    <w:rsid w:val="009F0BFC"/>
    <w:rsid w:val="009F0F72"/>
    <w:rsid w:val="009F1790"/>
    <w:rsid w:val="009F1A47"/>
    <w:rsid w:val="009F1B4A"/>
    <w:rsid w:val="009F1B77"/>
    <w:rsid w:val="009F1CF7"/>
    <w:rsid w:val="009F1CFA"/>
    <w:rsid w:val="009F2087"/>
    <w:rsid w:val="009F21BB"/>
    <w:rsid w:val="009F21D2"/>
    <w:rsid w:val="009F23C4"/>
    <w:rsid w:val="009F24C6"/>
    <w:rsid w:val="009F2976"/>
    <w:rsid w:val="009F2D83"/>
    <w:rsid w:val="009F2E72"/>
    <w:rsid w:val="009F2FF8"/>
    <w:rsid w:val="009F3281"/>
    <w:rsid w:val="009F32ED"/>
    <w:rsid w:val="009F358D"/>
    <w:rsid w:val="009F3619"/>
    <w:rsid w:val="009F363E"/>
    <w:rsid w:val="009F36BC"/>
    <w:rsid w:val="009F3A38"/>
    <w:rsid w:val="009F3AE3"/>
    <w:rsid w:val="009F3BA9"/>
    <w:rsid w:val="009F3DE2"/>
    <w:rsid w:val="009F4128"/>
    <w:rsid w:val="009F4242"/>
    <w:rsid w:val="009F4802"/>
    <w:rsid w:val="009F4AF2"/>
    <w:rsid w:val="009F4E0E"/>
    <w:rsid w:val="009F4E21"/>
    <w:rsid w:val="009F4F6D"/>
    <w:rsid w:val="009F5380"/>
    <w:rsid w:val="009F5450"/>
    <w:rsid w:val="009F5552"/>
    <w:rsid w:val="009F5568"/>
    <w:rsid w:val="009F567B"/>
    <w:rsid w:val="009F56E6"/>
    <w:rsid w:val="009F583F"/>
    <w:rsid w:val="009F5981"/>
    <w:rsid w:val="009F59CD"/>
    <w:rsid w:val="009F5B32"/>
    <w:rsid w:val="009F5C2A"/>
    <w:rsid w:val="009F6268"/>
    <w:rsid w:val="009F62B8"/>
    <w:rsid w:val="009F6552"/>
    <w:rsid w:val="009F668B"/>
    <w:rsid w:val="009F67D1"/>
    <w:rsid w:val="009F6800"/>
    <w:rsid w:val="009F6907"/>
    <w:rsid w:val="009F694F"/>
    <w:rsid w:val="009F696D"/>
    <w:rsid w:val="009F69E0"/>
    <w:rsid w:val="009F6B36"/>
    <w:rsid w:val="009F6E86"/>
    <w:rsid w:val="009F7226"/>
    <w:rsid w:val="009F7376"/>
    <w:rsid w:val="009F7416"/>
    <w:rsid w:val="009F741B"/>
    <w:rsid w:val="009F74B3"/>
    <w:rsid w:val="009F7737"/>
    <w:rsid w:val="009F790F"/>
    <w:rsid w:val="009F7CE4"/>
    <w:rsid w:val="009F7EFE"/>
    <w:rsid w:val="00A00169"/>
    <w:rsid w:val="00A0024D"/>
    <w:rsid w:val="00A00275"/>
    <w:rsid w:val="00A006C2"/>
    <w:rsid w:val="00A00860"/>
    <w:rsid w:val="00A00A72"/>
    <w:rsid w:val="00A00A89"/>
    <w:rsid w:val="00A00B0A"/>
    <w:rsid w:val="00A00CCB"/>
    <w:rsid w:val="00A00E60"/>
    <w:rsid w:val="00A00F96"/>
    <w:rsid w:val="00A013FF"/>
    <w:rsid w:val="00A01A8B"/>
    <w:rsid w:val="00A01AD4"/>
    <w:rsid w:val="00A01C36"/>
    <w:rsid w:val="00A01C7E"/>
    <w:rsid w:val="00A01CAD"/>
    <w:rsid w:val="00A01D43"/>
    <w:rsid w:val="00A01E61"/>
    <w:rsid w:val="00A020F1"/>
    <w:rsid w:val="00A0252B"/>
    <w:rsid w:val="00A0257D"/>
    <w:rsid w:val="00A02648"/>
    <w:rsid w:val="00A02950"/>
    <w:rsid w:val="00A02E57"/>
    <w:rsid w:val="00A03145"/>
    <w:rsid w:val="00A032DD"/>
    <w:rsid w:val="00A03370"/>
    <w:rsid w:val="00A0349D"/>
    <w:rsid w:val="00A038F1"/>
    <w:rsid w:val="00A039D8"/>
    <w:rsid w:val="00A03BA3"/>
    <w:rsid w:val="00A03BC7"/>
    <w:rsid w:val="00A03D55"/>
    <w:rsid w:val="00A03D6E"/>
    <w:rsid w:val="00A044C6"/>
    <w:rsid w:val="00A046E1"/>
    <w:rsid w:val="00A047B3"/>
    <w:rsid w:val="00A047FE"/>
    <w:rsid w:val="00A04F9E"/>
    <w:rsid w:val="00A051B9"/>
    <w:rsid w:val="00A053E0"/>
    <w:rsid w:val="00A054BB"/>
    <w:rsid w:val="00A05570"/>
    <w:rsid w:val="00A055FB"/>
    <w:rsid w:val="00A05657"/>
    <w:rsid w:val="00A056B1"/>
    <w:rsid w:val="00A05817"/>
    <w:rsid w:val="00A05AFA"/>
    <w:rsid w:val="00A05CEC"/>
    <w:rsid w:val="00A05EED"/>
    <w:rsid w:val="00A060E0"/>
    <w:rsid w:val="00A06563"/>
    <w:rsid w:val="00A06575"/>
    <w:rsid w:val="00A06651"/>
    <w:rsid w:val="00A06947"/>
    <w:rsid w:val="00A06B28"/>
    <w:rsid w:val="00A06C66"/>
    <w:rsid w:val="00A06D12"/>
    <w:rsid w:val="00A06E2E"/>
    <w:rsid w:val="00A0744E"/>
    <w:rsid w:val="00A07CB1"/>
    <w:rsid w:val="00A07F18"/>
    <w:rsid w:val="00A10073"/>
    <w:rsid w:val="00A100C2"/>
    <w:rsid w:val="00A100FA"/>
    <w:rsid w:val="00A1034C"/>
    <w:rsid w:val="00A1040B"/>
    <w:rsid w:val="00A10520"/>
    <w:rsid w:val="00A1052F"/>
    <w:rsid w:val="00A10533"/>
    <w:rsid w:val="00A10678"/>
    <w:rsid w:val="00A10829"/>
    <w:rsid w:val="00A108BC"/>
    <w:rsid w:val="00A10B1F"/>
    <w:rsid w:val="00A10C02"/>
    <w:rsid w:val="00A10F35"/>
    <w:rsid w:val="00A11146"/>
    <w:rsid w:val="00A111E1"/>
    <w:rsid w:val="00A11302"/>
    <w:rsid w:val="00A116CE"/>
    <w:rsid w:val="00A118C5"/>
    <w:rsid w:val="00A118C6"/>
    <w:rsid w:val="00A11B35"/>
    <w:rsid w:val="00A11CC2"/>
    <w:rsid w:val="00A11E65"/>
    <w:rsid w:val="00A11F21"/>
    <w:rsid w:val="00A11F62"/>
    <w:rsid w:val="00A12060"/>
    <w:rsid w:val="00A121C5"/>
    <w:rsid w:val="00A1227C"/>
    <w:rsid w:val="00A12349"/>
    <w:rsid w:val="00A12607"/>
    <w:rsid w:val="00A12A63"/>
    <w:rsid w:val="00A12BF5"/>
    <w:rsid w:val="00A12D85"/>
    <w:rsid w:val="00A12E9F"/>
    <w:rsid w:val="00A130C9"/>
    <w:rsid w:val="00A1348B"/>
    <w:rsid w:val="00A13515"/>
    <w:rsid w:val="00A13599"/>
    <w:rsid w:val="00A1385F"/>
    <w:rsid w:val="00A1397C"/>
    <w:rsid w:val="00A13B67"/>
    <w:rsid w:val="00A13CC4"/>
    <w:rsid w:val="00A13CF7"/>
    <w:rsid w:val="00A13D67"/>
    <w:rsid w:val="00A140D3"/>
    <w:rsid w:val="00A14466"/>
    <w:rsid w:val="00A144C4"/>
    <w:rsid w:val="00A149B6"/>
    <w:rsid w:val="00A14AD0"/>
    <w:rsid w:val="00A14E91"/>
    <w:rsid w:val="00A14EDB"/>
    <w:rsid w:val="00A150D9"/>
    <w:rsid w:val="00A15832"/>
    <w:rsid w:val="00A159C5"/>
    <w:rsid w:val="00A15C47"/>
    <w:rsid w:val="00A15CDA"/>
    <w:rsid w:val="00A160C7"/>
    <w:rsid w:val="00A16199"/>
    <w:rsid w:val="00A1625E"/>
    <w:rsid w:val="00A167A9"/>
    <w:rsid w:val="00A16A38"/>
    <w:rsid w:val="00A16AD7"/>
    <w:rsid w:val="00A16AFB"/>
    <w:rsid w:val="00A16BE6"/>
    <w:rsid w:val="00A16D0D"/>
    <w:rsid w:val="00A16DA7"/>
    <w:rsid w:val="00A16ED6"/>
    <w:rsid w:val="00A170FE"/>
    <w:rsid w:val="00A17480"/>
    <w:rsid w:val="00A179AA"/>
    <w:rsid w:val="00A17AB1"/>
    <w:rsid w:val="00A17B53"/>
    <w:rsid w:val="00A17D2E"/>
    <w:rsid w:val="00A17DFD"/>
    <w:rsid w:val="00A17F18"/>
    <w:rsid w:val="00A2016E"/>
    <w:rsid w:val="00A2025F"/>
    <w:rsid w:val="00A202D1"/>
    <w:rsid w:val="00A20360"/>
    <w:rsid w:val="00A205D1"/>
    <w:rsid w:val="00A206D8"/>
    <w:rsid w:val="00A20E3C"/>
    <w:rsid w:val="00A20FBA"/>
    <w:rsid w:val="00A21176"/>
    <w:rsid w:val="00A21265"/>
    <w:rsid w:val="00A2137D"/>
    <w:rsid w:val="00A213CD"/>
    <w:rsid w:val="00A21415"/>
    <w:rsid w:val="00A21587"/>
    <w:rsid w:val="00A21B5A"/>
    <w:rsid w:val="00A21C80"/>
    <w:rsid w:val="00A21CE5"/>
    <w:rsid w:val="00A21E76"/>
    <w:rsid w:val="00A21E92"/>
    <w:rsid w:val="00A221E1"/>
    <w:rsid w:val="00A22351"/>
    <w:rsid w:val="00A225BB"/>
    <w:rsid w:val="00A22A5E"/>
    <w:rsid w:val="00A22B46"/>
    <w:rsid w:val="00A230F8"/>
    <w:rsid w:val="00A2311F"/>
    <w:rsid w:val="00A23178"/>
    <w:rsid w:val="00A231D8"/>
    <w:rsid w:val="00A233EC"/>
    <w:rsid w:val="00A23539"/>
    <w:rsid w:val="00A2362C"/>
    <w:rsid w:val="00A23877"/>
    <w:rsid w:val="00A238E0"/>
    <w:rsid w:val="00A23985"/>
    <w:rsid w:val="00A23B5A"/>
    <w:rsid w:val="00A23B8B"/>
    <w:rsid w:val="00A23CA2"/>
    <w:rsid w:val="00A23CB6"/>
    <w:rsid w:val="00A23D97"/>
    <w:rsid w:val="00A23DB6"/>
    <w:rsid w:val="00A23E02"/>
    <w:rsid w:val="00A2449A"/>
    <w:rsid w:val="00A244C2"/>
    <w:rsid w:val="00A24793"/>
    <w:rsid w:val="00A24843"/>
    <w:rsid w:val="00A24B6A"/>
    <w:rsid w:val="00A24EE2"/>
    <w:rsid w:val="00A25576"/>
    <w:rsid w:val="00A2596D"/>
    <w:rsid w:val="00A25A5A"/>
    <w:rsid w:val="00A25B0B"/>
    <w:rsid w:val="00A25BDC"/>
    <w:rsid w:val="00A25C35"/>
    <w:rsid w:val="00A25C43"/>
    <w:rsid w:val="00A25C6D"/>
    <w:rsid w:val="00A2622A"/>
    <w:rsid w:val="00A263DB"/>
    <w:rsid w:val="00A2665F"/>
    <w:rsid w:val="00A2698B"/>
    <w:rsid w:val="00A26BEC"/>
    <w:rsid w:val="00A26F8E"/>
    <w:rsid w:val="00A2715F"/>
    <w:rsid w:val="00A27632"/>
    <w:rsid w:val="00A27868"/>
    <w:rsid w:val="00A27874"/>
    <w:rsid w:val="00A27A9C"/>
    <w:rsid w:val="00A27AE0"/>
    <w:rsid w:val="00A27B21"/>
    <w:rsid w:val="00A27C49"/>
    <w:rsid w:val="00A30060"/>
    <w:rsid w:val="00A301AC"/>
    <w:rsid w:val="00A3020B"/>
    <w:rsid w:val="00A3028C"/>
    <w:rsid w:val="00A3067A"/>
    <w:rsid w:val="00A30681"/>
    <w:rsid w:val="00A3092C"/>
    <w:rsid w:val="00A30A40"/>
    <w:rsid w:val="00A30A61"/>
    <w:rsid w:val="00A30B37"/>
    <w:rsid w:val="00A30BCF"/>
    <w:rsid w:val="00A30FCA"/>
    <w:rsid w:val="00A311A2"/>
    <w:rsid w:val="00A31276"/>
    <w:rsid w:val="00A312C2"/>
    <w:rsid w:val="00A315E6"/>
    <w:rsid w:val="00A31616"/>
    <w:rsid w:val="00A31861"/>
    <w:rsid w:val="00A31913"/>
    <w:rsid w:val="00A31A08"/>
    <w:rsid w:val="00A31AA0"/>
    <w:rsid w:val="00A31D9B"/>
    <w:rsid w:val="00A31DDE"/>
    <w:rsid w:val="00A32225"/>
    <w:rsid w:val="00A32440"/>
    <w:rsid w:val="00A3247D"/>
    <w:rsid w:val="00A32585"/>
    <w:rsid w:val="00A326A8"/>
    <w:rsid w:val="00A32700"/>
    <w:rsid w:val="00A328A7"/>
    <w:rsid w:val="00A32958"/>
    <w:rsid w:val="00A3299F"/>
    <w:rsid w:val="00A32B9C"/>
    <w:rsid w:val="00A32E3C"/>
    <w:rsid w:val="00A32FB6"/>
    <w:rsid w:val="00A331E4"/>
    <w:rsid w:val="00A339D3"/>
    <w:rsid w:val="00A33A6B"/>
    <w:rsid w:val="00A33E96"/>
    <w:rsid w:val="00A341B0"/>
    <w:rsid w:val="00A3448F"/>
    <w:rsid w:val="00A34775"/>
    <w:rsid w:val="00A348F3"/>
    <w:rsid w:val="00A34F13"/>
    <w:rsid w:val="00A34F9F"/>
    <w:rsid w:val="00A35082"/>
    <w:rsid w:val="00A35413"/>
    <w:rsid w:val="00A35550"/>
    <w:rsid w:val="00A35995"/>
    <w:rsid w:val="00A35CAE"/>
    <w:rsid w:val="00A35D21"/>
    <w:rsid w:val="00A35D93"/>
    <w:rsid w:val="00A35DC8"/>
    <w:rsid w:val="00A35EFF"/>
    <w:rsid w:val="00A35F3E"/>
    <w:rsid w:val="00A35FD0"/>
    <w:rsid w:val="00A36053"/>
    <w:rsid w:val="00A36226"/>
    <w:rsid w:val="00A363C6"/>
    <w:rsid w:val="00A36438"/>
    <w:rsid w:val="00A36528"/>
    <w:rsid w:val="00A36745"/>
    <w:rsid w:val="00A36761"/>
    <w:rsid w:val="00A36BA5"/>
    <w:rsid w:val="00A36C3A"/>
    <w:rsid w:val="00A36D18"/>
    <w:rsid w:val="00A36E4B"/>
    <w:rsid w:val="00A37495"/>
    <w:rsid w:val="00A376F9"/>
    <w:rsid w:val="00A379AA"/>
    <w:rsid w:val="00A37A0C"/>
    <w:rsid w:val="00A37C25"/>
    <w:rsid w:val="00A37CF1"/>
    <w:rsid w:val="00A37F85"/>
    <w:rsid w:val="00A4014B"/>
    <w:rsid w:val="00A40657"/>
    <w:rsid w:val="00A407C9"/>
    <w:rsid w:val="00A40CB2"/>
    <w:rsid w:val="00A40DE3"/>
    <w:rsid w:val="00A40F69"/>
    <w:rsid w:val="00A41088"/>
    <w:rsid w:val="00A410BF"/>
    <w:rsid w:val="00A4126D"/>
    <w:rsid w:val="00A4150A"/>
    <w:rsid w:val="00A41556"/>
    <w:rsid w:val="00A41737"/>
    <w:rsid w:val="00A4179D"/>
    <w:rsid w:val="00A417DF"/>
    <w:rsid w:val="00A4193B"/>
    <w:rsid w:val="00A419E6"/>
    <w:rsid w:val="00A41B5B"/>
    <w:rsid w:val="00A41CF9"/>
    <w:rsid w:val="00A420BA"/>
    <w:rsid w:val="00A420D0"/>
    <w:rsid w:val="00A42254"/>
    <w:rsid w:val="00A422CD"/>
    <w:rsid w:val="00A42943"/>
    <w:rsid w:val="00A42BB4"/>
    <w:rsid w:val="00A42DFF"/>
    <w:rsid w:val="00A42ED3"/>
    <w:rsid w:val="00A42F89"/>
    <w:rsid w:val="00A43003"/>
    <w:rsid w:val="00A432B2"/>
    <w:rsid w:val="00A434DF"/>
    <w:rsid w:val="00A43593"/>
    <w:rsid w:val="00A43677"/>
    <w:rsid w:val="00A440E6"/>
    <w:rsid w:val="00A44171"/>
    <w:rsid w:val="00A442EF"/>
    <w:rsid w:val="00A443A1"/>
    <w:rsid w:val="00A4450D"/>
    <w:rsid w:val="00A44684"/>
    <w:rsid w:val="00A44789"/>
    <w:rsid w:val="00A44D27"/>
    <w:rsid w:val="00A44ED7"/>
    <w:rsid w:val="00A44FA3"/>
    <w:rsid w:val="00A4521A"/>
    <w:rsid w:val="00A4556A"/>
    <w:rsid w:val="00A456E8"/>
    <w:rsid w:val="00A45794"/>
    <w:rsid w:val="00A458C6"/>
    <w:rsid w:val="00A45E67"/>
    <w:rsid w:val="00A46178"/>
    <w:rsid w:val="00A4631E"/>
    <w:rsid w:val="00A4654E"/>
    <w:rsid w:val="00A46950"/>
    <w:rsid w:val="00A46B0B"/>
    <w:rsid w:val="00A46CC2"/>
    <w:rsid w:val="00A4734E"/>
    <w:rsid w:val="00A47405"/>
    <w:rsid w:val="00A475BA"/>
    <w:rsid w:val="00A476F4"/>
    <w:rsid w:val="00A47C26"/>
    <w:rsid w:val="00A47F9E"/>
    <w:rsid w:val="00A50209"/>
    <w:rsid w:val="00A5096E"/>
    <w:rsid w:val="00A50A78"/>
    <w:rsid w:val="00A50B49"/>
    <w:rsid w:val="00A50B6E"/>
    <w:rsid w:val="00A50C40"/>
    <w:rsid w:val="00A50C69"/>
    <w:rsid w:val="00A51104"/>
    <w:rsid w:val="00A51190"/>
    <w:rsid w:val="00A51210"/>
    <w:rsid w:val="00A514CB"/>
    <w:rsid w:val="00A5188B"/>
    <w:rsid w:val="00A51A14"/>
    <w:rsid w:val="00A51BAE"/>
    <w:rsid w:val="00A51F45"/>
    <w:rsid w:val="00A51F91"/>
    <w:rsid w:val="00A51FD7"/>
    <w:rsid w:val="00A52340"/>
    <w:rsid w:val="00A52363"/>
    <w:rsid w:val="00A5237E"/>
    <w:rsid w:val="00A5262D"/>
    <w:rsid w:val="00A526B3"/>
    <w:rsid w:val="00A52813"/>
    <w:rsid w:val="00A528B1"/>
    <w:rsid w:val="00A5295C"/>
    <w:rsid w:val="00A529E4"/>
    <w:rsid w:val="00A52AC1"/>
    <w:rsid w:val="00A52BC7"/>
    <w:rsid w:val="00A52C81"/>
    <w:rsid w:val="00A52CA2"/>
    <w:rsid w:val="00A52CFD"/>
    <w:rsid w:val="00A52ED1"/>
    <w:rsid w:val="00A531EC"/>
    <w:rsid w:val="00A53464"/>
    <w:rsid w:val="00A5355E"/>
    <w:rsid w:val="00A535EC"/>
    <w:rsid w:val="00A5389B"/>
    <w:rsid w:val="00A53AD9"/>
    <w:rsid w:val="00A53AE1"/>
    <w:rsid w:val="00A540AD"/>
    <w:rsid w:val="00A5412A"/>
    <w:rsid w:val="00A541A9"/>
    <w:rsid w:val="00A54628"/>
    <w:rsid w:val="00A5463D"/>
    <w:rsid w:val="00A549A0"/>
    <w:rsid w:val="00A54C34"/>
    <w:rsid w:val="00A550FB"/>
    <w:rsid w:val="00A55180"/>
    <w:rsid w:val="00A551CA"/>
    <w:rsid w:val="00A5585F"/>
    <w:rsid w:val="00A55898"/>
    <w:rsid w:val="00A563F1"/>
    <w:rsid w:val="00A56408"/>
    <w:rsid w:val="00A566A1"/>
    <w:rsid w:val="00A566D6"/>
    <w:rsid w:val="00A567EB"/>
    <w:rsid w:val="00A56991"/>
    <w:rsid w:val="00A56BD6"/>
    <w:rsid w:val="00A56FBD"/>
    <w:rsid w:val="00A571F5"/>
    <w:rsid w:val="00A57286"/>
    <w:rsid w:val="00A57290"/>
    <w:rsid w:val="00A5740B"/>
    <w:rsid w:val="00A5797F"/>
    <w:rsid w:val="00A57BDB"/>
    <w:rsid w:val="00A57CAA"/>
    <w:rsid w:val="00A57CDD"/>
    <w:rsid w:val="00A57E0B"/>
    <w:rsid w:val="00A6002F"/>
    <w:rsid w:val="00A60089"/>
    <w:rsid w:val="00A601D7"/>
    <w:rsid w:val="00A60436"/>
    <w:rsid w:val="00A60860"/>
    <w:rsid w:val="00A60ADC"/>
    <w:rsid w:val="00A60BDE"/>
    <w:rsid w:val="00A60D4B"/>
    <w:rsid w:val="00A60E16"/>
    <w:rsid w:val="00A60FE1"/>
    <w:rsid w:val="00A61355"/>
    <w:rsid w:val="00A6136D"/>
    <w:rsid w:val="00A614BF"/>
    <w:rsid w:val="00A61609"/>
    <w:rsid w:val="00A61767"/>
    <w:rsid w:val="00A61AFF"/>
    <w:rsid w:val="00A61C54"/>
    <w:rsid w:val="00A61C96"/>
    <w:rsid w:val="00A61E0E"/>
    <w:rsid w:val="00A61EBD"/>
    <w:rsid w:val="00A61F23"/>
    <w:rsid w:val="00A61FE5"/>
    <w:rsid w:val="00A61FE7"/>
    <w:rsid w:val="00A62086"/>
    <w:rsid w:val="00A62381"/>
    <w:rsid w:val="00A62417"/>
    <w:rsid w:val="00A625E1"/>
    <w:rsid w:val="00A627A1"/>
    <w:rsid w:val="00A62864"/>
    <w:rsid w:val="00A62923"/>
    <w:rsid w:val="00A62B15"/>
    <w:rsid w:val="00A62D3A"/>
    <w:rsid w:val="00A62F61"/>
    <w:rsid w:val="00A63030"/>
    <w:rsid w:val="00A63429"/>
    <w:rsid w:val="00A6350E"/>
    <w:rsid w:val="00A635D1"/>
    <w:rsid w:val="00A63889"/>
    <w:rsid w:val="00A63C67"/>
    <w:rsid w:val="00A64007"/>
    <w:rsid w:val="00A6457C"/>
    <w:rsid w:val="00A64644"/>
    <w:rsid w:val="00A6472F"/>
    <w:rsid w:val="00A649A7"/>
    <w:rsid w:val="00A64A60"/>
    <w:rsid w:val="00A64AC9"/>
    <w:rsid w:val="00A64DB0"/>
    <w:rsid w:val="00A651AE"/>
    <w:rsid w:val="00A652E0"/>
    <w:rsid w:val="00A654A9"/>
    <w:rsid w:val="00A654F3"/>
    <w:rsid w:val="00A65610"/>
    <w:rsid w:val="00A656A8"/>
    <w:rsid w:val="00A65761"/>
    <w:rsid w:val="00A65808"/>
    <w:rsid w:val="00A65914"/>
    <w:rsid w:val="00A65A3F"/>
    <w:rsid w:val="00A65AB4"/>
    <w:rsid w:val="00A65BE0"/>
    <w:rsid w:val="00A65CFC"/>
    <w:rsid w:val="00A660DB"/>
    <w:rsid w:val="00A6648B"/>
    <w:rsid w:val="00A6650F"/>
    <w:rsid w:val="00A66A1E"/>
    <w:rsid w:val="00A66D22"/>
    <w:rsid w:val="00A66E97"/>
    <w:rsid w:val="00A66FE4"/>
    <w:rsid w:val="00A6701C"/>
    <w:rsid w:val="00A674E0"/>
    <w:rsid w:val="00A67B4D"/>
    <w:rsid w:val="00A67FEB"/>
    <w:rsid w:val="00A70092"/>
    <w:rsid w:val="00A7009A"/>
    <w:rsid w:val="00A700CF"/>
    <w:rsid w:val="00A702B9"/>
    <w:rsid w:val="00A70681"/>
    <w:rsid w:val="00A70825"/>
    <w:rsid w:val="00A7088B"/>
    <w:rsid w:val="00A70E81"/>
    <w:rsid w:val="00A70F04"/>
    <w:rsid w:val="00A711F0"/>
    <w:rsid w:val="00A71392"/>
    <w:rsid w:val="00A715BF"/>
    <w:rsid w:val="00A7167A"/>
    <w:rsid w:val="00A716B8"/>
    <w:rsid w:val="00A71779"/>
    <w:rsid w:val="00A7178C"/>
    <w:rsid w:val="00A719BD"/>
    <w:rsid w:val="00A719F1"/>
    <w:rsid w:val="00A71B82"/>
    <w:rsid w:val="00A71D04"/>
    <w:rsid w:val="00A71FAD"/>
    <w:rsid w:val="00A721E4"/>
    <w:rsid w:val="00A72359"/>
    <w:rsid w:val="00A7248A"/>
    <w:rsid w:val="00A724F6"/>
    <w:rsid w:val="00A72662"/>
    <w:rsid w:val="00A72683"/>
    <w:rsid w:val="00A726C4"/>
    <w:rsid w:val="00A7280E"/>
    <w:rsid w:val="00A728E1"/>
    <w:rsid w:val="00A72929"/>
    <w:rsid w:val="00A72B98"/>
    <w:rsid w:val="00A72EA1"/>
    <w:rsid w:val="00A73154"/>
    <w:rsid w:val="00A731BC"/>
    <w:rsid w:val="00A731F5"/>
    <w:rsid w:val="00A7327E"/>
    <w:rsid w:val="00A7333B"/>
    <w:rsid w:val="00A73755"/>
    <w:rsid w:val="00A738B6"/>
    <w:rsid w:val="00A73B14"/>
    <w:rsid w:val="00A73C48"/>
    <w:rsid w:val="00A73D7E"/>
    <w:rsid w:val="00A73E31"/>
    <w:rsid w:val="00A73F8D"/>
    <w:rsid w:val="00A740E9"/>
    <w:rsid w:val="00A741E5"/>
    <w:rsid w:val="00A7447E"/>
    <w:rsid w:val="00A7474E"/>
    <w:rsid w:val="00A7479E"/>
    <w:rsid w:val="00A74813"/>
    <w:rsid w:val="00A7481D"/>
    <w:rsid w:val="00A748A8"/>
    <w:rsid w:val="00A7509A"/>
    <w:rsid w:val="00A750FD"/>
    <w:rsid w:val="00A7523F"/>
    <w:rsid w:val="00A75242"/>
    <w:rsid w:val="00A75273"/>
    <w:rsid w:val="00A75359"/>
    <w:rsid w:val="00A753CE"/>
    <w:rsid w:val="00A75420"/>
    <w:rsid w:val="00A75582"/>
    <w:rsid w:val="00A75903"/>
    <w:rsid w:val="00A7593C"/>
    <w:rsid w:val="00A759D7"/>
    <w:rsid w:val="00A75A42"/>
    <w:rsid w:val="00A75AE6"/>
    <w:rsid w:val="00A75B4F"/>
    <w:rsid w:val="00A75BE0"/>
    <w:rsid w:val="00A75D4E"/>
    <w:rsid w:val="00A75DC4"/>
    <w:rsid w:val="00A75E2C"/>
    <w:rsid w:val="00A7659E"/>
    <w:rsid w:val="00A76A20"/>
    <w:rsid w:val="00A76B01"/>
    <w:rsid w:val="00A76C07"/>
    <w:rsid w:val="00A76D38"/>
    <w:rsid w:val="00A7750D"/>
    <w:rsid w:val="00A778BD"/>
    <w:rsid w:val="00A779AC"/>
    <w:rsid w:val="00A77AB4"/>
    <w:rsid w:val="00A77CD4"/>
    <w:rsid w:val="00A77EDE"/>
    <w:rsid w:val="00A80289"/>
    <w:rsid w:val="00A802B5"/>
    <w:rsid w:val="00A80379"/>
    <w:rsid w:val="00A8047F"/>
    <w:rsid w:val="00A80527"/>
    <w:rsid w:val="00A806B9"/>
    <w:rsid w:val="00A8083C"/>
    <w:rsid w:val="00A80A44"/>
    <w:rsid w:val="00A80A9C"/>
    <w:rsid w:val="00A80BCD"/>
    <w:rsid w:val="00A80F45"/>
    <w:rsid w:val="00A81277"/>
    <w:rsid w:val="00A814EF"/>
    <w:rsid w:val="00A81C4C"/>
    <w:rsid w:val="00A81FFE"/>
    <w:rsid w:val="00A8209E"/>
    <w:rsid w:val="00A821F7"/>
    <w:rsid w:val="00A82272"/>
    <w:rsid w:val="00A8277E"/>
    <w:rsid w:val="00A828AD"/>
    <w:rsid w:val="00A82B59"/>
    <w:rsid w:val="00A82BFE"/>
    <w:rsid w:val="00A82C3B"/>
    <w:rsid w:val="00A82CC5"/>
    <w:rsid w:val="00A82D61"/>
    <w:rsid w:val="00A82D80"/>
    <w:rsid w:val="00A82FAE"/>
    <w:rsid w:val="00A82FF4"/>
    <w:rsid w:val="00A831C9"/>
    <w:rsid w:val="00A8327B"/>
    <w:rsid w:val="00A83421"/>
    <w:rsid w:val="00A835CF"/>
    <w:rsid w:val="00A835F7"/>
    <w:rsid w:val="00A83771"/>
    <w:rsid w:val="00A838EC"/>
    <w:rsid w:val="00A838FB"/>
    <w:rsid w:val="00A8395D"/>
    <w:rsid w:val="00A83BEC"/>
    <w:rsid w:val="00A83D6E"/>
    <w:rsid w:val="00A83E28"/>
    <w:rsid w:val="00A83E8E"/>
    <w:rsid w:val="00A842DF"/>
    <w:rsid w:val="00A8462F"/>
    <w:rsid w:val="00A84692"/>
    <w:rsid w:val="00A8472E"/>
    <w:rsid w:val="00A84900"/>
    <w:rsid w:val="00A84C95"/>
    <w:rsid w:val="00A85158"/>
    <w:rsid w:val="00A8515E"/>
    <w:rsid w:val="00A85287"/>
    <w:rsid w:val="00A856D4"/>
    <w:rsid w:val="00A8575F"/>
    <w:rsid w:val="00A85863"/>
    <w:rsid w:val="00A858E9"/>
    <w:rsid w:val="00A8592F"/>
    <w:rsid w:val="00A85E31"/>
    <w:rsid w:val="00A8612A"/>
    <w:rsid w:val="00A86133"/>
    <w:rsid w:val="00A861DE"/>
    <w:rsid w:val="00A861E6"/>
    <w:rsid w:val="00A863F8"/>
    <w:rsid w:val="00A8658C"/>
    <w:rsid w:val="00A86611"/>
    <w:rsid w:val="00A866C8"/>
    <w:rsid w:val="00A86721"/>
    <w:rsid w:val="00A86954"/>
    <w:rsid w:val="00A86BA9"/>
    <w:rsid w:val="00A86C84"/>
    <w:rsid w:val="00A86C8C"/>
    <w:rsid w:val="00A8700B"/>
    <w:rsid w:val="00A87074"/>
    <w:rsid w:val="00A87150"/>
    <w:rsid w:val="00A87298"/>
    <w:rsid w:val="00A87341"/>
    <w:rsid w:val="00A873D7"/>
    <w:rsid w:val="00A876A7"/>
    <w:rsid w:val="00A877DF"/>
    <w:rsid w:val="00A87F6B"/>
    <w:rsid w:val="00A90499"/>
    <w:rsid w:val="00A90666"/>
    <w:rsid w:val="00A906CE"/>
    <w:rsid w:val="00A90702"/>
    <w:rsid w:val="00A90794"/>
    <w:rsid w:val="00A90F1F"/>
    <w:rsid w:val="00A90FBE"/>
    <w:rsid w:val="00A9108E"/>
    <w:rsid w:val="00A91252"/>
    <w:rsid w:val="00A91427"/>
    <w:rsid w:val="00A91499"/>
    <w:rsid w:val="00A91530"/>
    <w:rsid w:val="00A919A7"/>
    <w:rsid w:val="00A91AA6"/>
    <w:rsid w:val="00A91AC9"/>
    <w:rsid w:val="00A91CCE"/>
    <w:rsid w:val="00A91FC4"/>
    <w:rsid w:val="00A92031"/>
    <w:rsid w:val="00A9221E"/>
    <w:rsid w:val="00A92274"/>
    <w:rsid w:val="00A92401"/>
    <w:rsid w:val="00A927B6"/>
    <w:rsid w:val="00A928D9"/>
    <w:rsid w:val="00A92E2E"/>
    <w:rsid w:val="00A92F07"/>
    <w:rsid w:val="00A92F91"/>
    <w:rsid w:val="00A92FC1"/>
    <w:rsid w:val="00A9319F"/>
    <w:rsid w:val="00A935A9"/>
    <w:rsid w:val="00A935AB"/>
    <w:rsid w:val="00A93610"/>
    <w:rsid w:val="00A93660"/>
    <w:rsid w:val="00A93661"/>
    <w:rsid w:val="00A936BC"/>
    <w:rsid w:val="00A938D6"/>
    <w:rsid w:val="00A93C24"/>
    <w:rsid w:val="00A93E76"/>
    <w:rsid w:val="00A94175"/>
    <w:rsid w:val="00A9420F"/>
    <w:rsid w:val="00A94264"/>
    <w:rsid w:val="00A942BB"/>
    <w:rsid w:val="00A943D6"/>
    <w:rsid w:val="00A94581"/>
    <w:rsid w:val="00A946A3"/>
    <w:rsid w:val="00A94792"/>
    <w:rsid w:val="00A949F3"/>
    <w:rsid w:val="00A95032"/>
    <w:rsid w:val="00A95426"/>
    <w:rsid w:val="00A955BE"/>
    <w:rsid w:val="00A958F3"/>
    <w:rsid w:val="00A95931"/>
    <w:rsid w:val="00A9595C"/>
    <w:rsid w:val="00A9597B"/>
    <w:rsid w:val="00A95CBF"/>
    <w:rsid w:val="00A9620E"/>
    <w:rsid w:val="00A9650A"/>
    <w:rsid w:val="00A96536"/>
    <w:rsid w:val="00A96A6A"/>
    <w:rsid w:val="00A96AFE"/>
    <w:rsid w:val="00A96C57"/>
    <w:rsid w:val="00A96DBD"/>
    <w:rsid w:val="00A96EAD"/>
    <w:rsid w:val="00A96F4A"/>
    <w:rsid w:val="00A96FBF"/>
    <w:rsid w:val="00A97270"/>
    <w:rsid w:val="00A97568"/>
    <w:rsid w:val="00A97784"/>
    <w:rsid w:val="00A97874"/>
    <w:rsid w:val="00A979FE"/>
    <w:rsid w:val="00A97D4E"/>
    <w:rsid w:val="00A97DBF"/>
    <w:rsid w:val="00A97EAA"/>
    <w:rsid w:val="00A97F90"/>
    <w:rsid w:val="00AA0410"/>
    <w:rsid w:val="00AA0576"/>
    <w:rsid w:val="00AA05C1"/>
    <w:rsid w:val="00AA071A"/>
    <w:rsid w:val="00AA092A"/>
    <w:rsid w:val="00AA0EED"/>
    <w:rsid w:val="00AA0FFA"/>
    <w:rsid w:val="00AA187B"/>
    <w:rsid w:val="00AA1ADE"/>
    <w:rsid w:val="00AA1C89"/>
    <w:rsid w:val="00AA1DCE"/>
    <w:rsid w:val="00AA1E1E"/>
    <w:rsid w:val="00AA1E47"/>
    <w:rsid w:val="00AA2131"/>
    <w:rsid w:val="00AA228E"/>
    <w:rsid w:val="00AA22A3"/>
    <w:rsid w:val="00AA22B5"/>
    <w:rsid w:val="00AA22FB"/>
    <w:rsid w:val="00AA2D82"/>
    <w:rsid w:val="00AA319F"/>
    <w:rsid w:val="00AA3585"/>
    <w:rsid w:val="00AA35BE"/>
    <w:rsid w:val="00AA36F2"/>
    <w:rsid w:val="00AA3848"/>
    <w:rsid w:val="00AA38D1"/>
    <w:rsid w:val="00AA3B10"/>
    <w:rsid w:val="00AA3C89"/>
    <w:rsid w:val="00AA3F13"/>
    <w:rsid w:val="00AA4123"/>
    <w:rsid w:val="00AA418A"/>
    <w:rsid w:val="00AA41A0"/>
    <w:rsid w:val="00AA469B"/>
    <w:rsid w:val="00AA46F1"/>
    <w:rsid w:val="00AA4A30"/>
    <w:rsid w:val="00AA4C82"/>
    <w:rsid w:val="00AA4CAA"/>
    <w:rsid w:val="00AA4F94"/>
    <w:rsid w:val="00AA4F9E"/>
    <w:rsid w:val="00AA5060"/>
    <w:rsid w:val="00AA515C"/>
    <w:rsid w:val="00AA536F"/>
    <w:rsid w:val="00AA5693"/>
    <w:rsid w:val="00AA5AD6"/>
    <w:rsid w:val="00AA5B90"/>
    <w:rsid w:val="00AA5C96"/>
    <w:rsid w:val="00AA5E20"/>
    <w:rsid w:val="00AA6007"/>
    <w:rsid w:val="00AA60DF"/>
    <w:rsid w:val="00AA63C4"/>
    <w:rsid w:val="00AA6584"/>
    <w:rsid w:val="00AA6844"/>
    <w:rsid w:val="00AA68A0"/>
    <w:rsid w:val="00AA68B2"/>
    <w:rsid w:val="00AA6B85"/>
    <w:rsid w:val="00AA6E94"/>
    <w:rsid w:val="00AA6EE2"/>
    <w:rsid w:val="00AA7264"/>
    <w:rsid w:val="00AA75B4"/>
    <w:rsid w:val="00AA767D"/>
    <w:rsid w:val="00AA76E6"/>
    <w:rsid w:val="00AA77F2"/>
    <w:rsid w:val="00AA7860"/>
    <w:rsid w:val="00AA79F9"/>
    <w:rsid w:val="00AB003C"/>
    <w:rsid w:val="00AB09C0"/>
    <w:rsid w:val="00AB0B52"/>
    <w:rsid w:val="00AB0CF4"/>
    <w:rsid w:val="00AB0DAC"/>
    <w:rsid w:val="00AB1155"/>
    <w:rsid w:val="00AB1217"/>
    <w:rsid w:val="00AB124D"/>
    <w:rsid w:val="00AB134E"/>
    <w:rsid w:val="00AB1438"/>
    <w:rsid w:val="00AB187D"/>
    <w:rsid w:val="00AB190A"/>
    <w:rsid w:val="00AB2111"/>
    <w:rsid w:val="00AB276B"/>
    <w:rsid w:val="00AB2CBB"/>
    <w:rsid w:val="00AB2EF2"/>
    <w:rsid w:val="00AB2FD0"/>
    <w:rsid w:val="00AB32BD"/>
    <w:rsid w:val="00AB32EE"/>
    <w:rsid w:val="00AB33AC"/>
    <w:rsid w:val="00AB33D0"/>
    <w:rsid w:val="00AB34FD"/>
    <w:rsid w:val="00AB358A"/>
    <w:rsid w:val="00AB36AC"/>
    <w:rsid w:val="00AB378E"/>
    <w:rsid w:val="00AB3D59"/>
    <w:rsid w:val="00AB3DAC"/>
    <w:rsid w:val="00AB3E3A"/>
    <w:rsid w:val="00AB3F46"/>
    <w:rsid w:val="00AB42B0"/>
    <w:rsid w:val="00AB4347"/>
    <w:rsid w:val="00AB4621"/>
    <w:rsid w:val="00AB467A"/>
    <w:rsid w:val="00AB46EC"/>
    <w:rsid w:val="00AB49B4"/>
    <w:rsid w:val="00AB4A45"/>
    <w:rsid w:val="00AB4BD6"/>
    <w:rsid w:val="00AB4CF1"/>
    <w:rsid w:val="00AB51C9"/>
    <w:rsid w:val="00AB5494"/>
    <w:rsid w:val="00AB554D"/>
    <w:rsid w:val="00AB56C0"/>
    <w:rsid w:val="00AB5735"/>
    <w:rsid w:val="00AB5AF8"/>
    <w:rsid w:val="00AB5DFA"/>
    <w:rsid w:val="00AB5E26"/>
    <w:rsid w:val="00AB6152"/>
    <w:rsid w:val="00AB6245"/>
    <w:rsid w:val="00AB64C5"/>
    <w:rsid w:val="00AB66B7"/>
    <w:rsid w:val="00AB66C2"/>
    <w:rsid w:val="00AB6B89"/>
    <w:rsid w:val="00AB7023"/>
    <w:rsid w:val="00AB7163"/>
    <w:rsid w:val="00AB72BE"/>
    <w:rsid w:val="00AB760B"/>
    <w:rsid w:val="00AB769F"/>
    <w:rsid w:val="00AB7899"/>
    <w:rsid w:val="00AB7EF1"/>
    <w:rsid w:val="00AC00B5"/>
    <w:rsid w:val="00AC02EC"/>
    <w:rsid w:val="00AC06AC"/>
    <w:rsid w:val="00AC0792"/>
    <w:rsid w:val="00AC086A"/>
    <w:rsid w:val="00AC0983"/>
    <w:rsid w:val="00AC0B7A"/>
    <w:rsid w:val="00AC1084"/>
    <w:rsid w:val="00AC10B5"/>
    <w:rsid w:val="00AC1175"/>
    <w:rsid w:val="00AC12D6"/>
    <w:rsid w:val="00AC1780"/>
    <w:rsid w:val="00AC1797"/>
    <w:rsid w:val="00AC1DAA"/>
    <w:rsid w:val="00AC2056"/>
    <w:rsid w:val="00AC227C"/>
    <w:rsid w:val="00AC2797"/>
    <w:rsid w:val="00AC2CAA"/>
    <w:rsid w:val="00AC2D63"/>
    <w:rsid w:val="00AC2D8C"/>
    <w:rsid w:val="00AC3008"/>
    <w:rsid w:val="00AC315C"/>
    <w:rsid w:val="00AC3B3A"/>
    <w:rsid w:val="00AC3C30"/>
    <w:rsid w:val="00AC3C63"/>
    <w:rsid w:val="00AC3D4E"/>
    <w:rsid w:val="00AC3EB6"/>
    <w:rsid w:val="00AC3FF2"/>
    <w:rsid w:val="00AC4039"/>
    <w:rsid w:val="00AC407C"/>
    <w:rsid w:val="00AC41FF"/>
    <w:rsid w:val="00AC44CC"/>
    <w:rsid w:val="00AC48A8"/>
    <w:rsid w:val="00AC4A48"/>
    <w:rsid w:val="00AC4B10"/>
    <w:rsid w:val="00AC4B74"/>
    <w:rsid w:val="00AC4C2C"/>
    <w:rsid w:val="00AC554A"/>
    <w:rsid w:val="00AC573F"/>
    <w:rsid w:val="00AC5AAF"/>
    <w:rsid w:val="00AC5B0F"/>
    <w:rsid w:val="00AC5B2D"/>
    <w:rsid w:val="00AC5CCF"/>
    <w:rsid w:val="00AC5D00"/>
    <w:rsid w:val="00AC6153"/>
    <w:rsid w:val="00AC619A"/>
    <w:rsid w:val="00AC6682"/>
    <w:rsid w:val="00AC67A2"/>
    <w:rsid w:val="00AC6854"/>
    <w:rsid w:val="00AC6910"/>
    <w:rsid w:val="00AC696B"/>
    <w:rsid w:val="00AC6E8F"/>
    <w:rsid w:val="00AC6F0D"/>
    <w:rsid w:val="00AC708E"/>
    <w:rsid w:val="00AC7124"/>
    <w:rsid w:val="00AC7162"/>
    <w:rsid w:val="00AC7474"/>
    <w:rsid w:val="00AC7519"/>
    <w:rsid w:val="00AC7521"/>
    <w:rsid w:val="00AC79B1"/>
    <w:rsid w:val="00AC7DC7"/>
    <w:rsid w:val="00AD0066"/>
    <w:rsid w:val="00AD0143"/>
    <w:rsid w:val="00AD057C"/>
    <w:rsid w:val="00AD067A"/>
    <w:rsid w:val="00AD06CB"/>
    <w:rsid w:val="00AD08A4"/>
    <w:rsid w:val="00AD0910"/>
    <w:rsid w:val="00AD0C0F"/>
    <w:rsid w:val="00AD13B3"/>
    <w:rsid w:val="00AD14DF"/>
    <w:rsid w:val="00AD1573"/>
    <w:rsid w:val="00AD163E"/>
    <w:rsid w:val="00AD173E"/>
    <w:rsid w:val="00AD1995"/>
    <w:rsid w:val="00AD1A44"/>
    <w:rsid w:val="00AD1AFE"/>
    <w:rsid w:val="00AD1BD4"/>
    <w:rsid w:val="00AD20C7"/>
    <w:rsid w:val="00AD24FA"/>
    <w:rsid w:val="00AD26C7"/>
    <w:rsid w:val="00AD26EB"/>
    <w:rsid w:val="00AD278B"/>
    <w:rsid w:val="00AD278D"/>
    <w:rsid w:val="00AD2856"/>
    <w:rsid w:val="00AD2CE3"/>
    <w:rsid w:val="00AD2FD0"/>
    <w:rsid w:val="00AD300F"/>
    <w:rsid w:val="00AD319A"/>
    <w:rsid w:val="00AD3287"/>
    <w:rsid w:val="00AD34E9"/>
    <w:rsid w:val="00AD3669"/>
    <w:rsid w:val="00AD397F"/>
    <w:rsid w:val="00AD39D4"/>
    <w:rsid w:val="00AD3B8A"/>
    <w:rsid w:val="00AD420F"/>
    <w:rsid w:val="00AD42C8"/>
    <w:rsid w:val="00AD43F1"/>
    <w:rsid w:val="00AD4443"/>
    <w:rsid w:val="00AD450A"/>
    <w:rsid w:val="00AD45D2"/>
    <w:rsid w:val="00AD461A"/>
    <w:rsid w:val="00AD4659"/>
    <w:rsid w:val="00AD4832"/>
    <w:rsid w:val="00AD48FD"/>
    <w:rsid w:val="00AD49C8"/>
    <w:rsid w:val="00AD4AA1"/>
    <w:rsid w:val="00AD4AB7"/>
    <w:rsid w:val="00AD4ACB"/>
    <w:rsid w:val="00AD4E08"/>
    <w:rsid w:val="00AD4E77"/>
    <w:rsid w:val="00AD4F72"/>
    <w:rsid w:val="00AD5021"/>
    <w:rsid w:val="00AD52DB"/>
    <w:rsid w:val="00AD52DE"/>
    <w:rsid w:val="00AD55B0"/>
    <w:rsid w:val="00AD5667"/>
    <w:rsid w:val="00AD5A15"/>
    <w:rsid w:val="00AD5C33"/>
    <w:rsid w:val="00AD5C89"/>
    <w:rsid w:val="00AD5CBE"/>
    <w:rsid w:val="00AD5FB4"/>
    <w:rsid w:val="00AD60EE"/>
    <w:rsid w:val="00AD61C1"/>
    <w:rsid w:val="00AD653E"/>
    <w:rsid w:val="00AD664F"/>
    <w:rsid w:val="00AD667E"/>
    <w:rsid w:val="00AD68E1"/>
    <w:rsid w:val="00AD6924"/>
    <w:rsid w:val="00AD6B69"/>
    <w:rsid w:val="00AD6C3D"/>
    <w:rsid w:val="00AD6F16"/>
    <w:rsid w:val="00AD6F91"/>
    <w:rsid w:val="00AD7042"/>
    <w:rsid w:val="00AD7300"/>
    <w:rsid w:val="00AD7389"/>
    <w:rsid w:val="00AD78B4"/>
    <w:rsid w:val="00AD7953"/>
    <w:rsid w:val="00AD7BE6"/>
    <w:rsid w:val="00AD7CE7"/>
    <w:rsid w:val="00AD7D44"/>
    <w:rsid w:val="00AE037B"/>
    <w:rsid w:val="00AE042A"/>
    <w:rsid w:val="00AE0614"/>
    <w:rsid w:val="00AE06DC"/>
    <w:rsid w:val="00AE08C0"/>
    <w:rsid w:val="00AE0914"/>
    <w:rsid w:val="00AE0CAB"/>
    <w:rsid w:val="00AE0D22"/>
    <w:rsid w:val="00AE0F04"/>
    <w:rsid w:val="00AE0F08"/>
    <w:rsid w:val="00AE128C"/>
    <w:rsid w:val="00AE15C1"/>
    <w:rsid w:val="00AE1620"/>
    <w:rsid w:val="00AE19F8"/>
    <w:rsid w:val="00AE1A53"/>
    <w:rsid w:val="00AE1AE4"/>
    <w:rsid w:val="00AE1E1E"/>
    <w:rsid w:val="00AE1F09"/>
    <w:rsid w:val="00AE205C"/>
    <w:rsid w:val="00AE2127"/>
    <w:rsid w:val="00AE2166"/>
    <w:rsid w:val="00AE2384"/>
    <w:rsid w:val="00AE2525"/>
    <w:rsid w:val="00AE29AD"/>
    <w:rsid w:val="00AE2D0C"/>
    <w:rsid w:val="00AE312D"/>
    <w:rsid w:val="00AE3521"/>
    <w:rsid w:val="00AE3D3B"/>
    <w:rsid w:val="00AE3D9D"/>
    <w:rsid w:val="00AE3DFA"/>
    <w:rsid w:val="00AE3F45"/>
    <w:rsid w:val="00AE3F88"/>
    <w:rsid w:val="00AE41EE"/>
    <w:rsid w:val="00AE41FE"/>
    <w:rsid w:val="00AE432C"/>
    <w:rsid w:val="00AE47AC"/>
    <w:rsid w:val="00AE4935"/>
    <w:rsid w:val="00AE4B2E"/>
    <w:rsid w:val="00AE4CBB"/>
    <w:rsid w:val="00AE4D17"/>
    <w:rsid w:val="00AE4E7C"/>
    <w:rsid w:val="00AE581B"/>
    <w:rsid w:val="00AE5AC5"/>
    <w:rsid w:val="00AE5B2F"/>
    <w:rsid w:val="00AE5B58"/>
    <w:rsid w:val="00AE5C48"/>
    <w:rsid w:val="00AE5DB8"/>
    <w:rsid w:val="00AE5E17"/>
    <w:rsid w:val="00AE60BA"/>
    <w:rsid w:val="00AE60C5"/>
    <w:rsid w:val="00AE60EB"/>
    <w:rsid w:val="00AE61AE"/>
    <w:rsid w:val="00AE63CE"/>
    <w:rsid w:val="00AE63F6"/>
    <w:rsid w:val="00AE6846"/>
    <w:rsid w:val="00AE68E5"/>
    <w:rsid w:val="00AE6AE6"/>
    <w:rsid w:val="00AE6B0E"/>
    <w:rsid w:val="00AE6CE7"/>
    <w:rsid w:val="00AE70C3"/>
    <w:rsid w:val="00AE736D"/>
    <w:rsid w:val="00AE756F"/>
    <w:rsid w:val="00AE7833"/>
    <w:rsid w:val="00AE7ADD"/>
    <w:rsid w:val="00AE7AF7"/>
    <w:rsid w:val="00AE7B7A"/>
    <w:rsid w:val="00AE7C94"/>
    <w:rsid w:val="00AF0256"/>
    <w:rsid w:val="00AF0355"/>
    <w:rsid w:val="00AF0A49"/>
    <w:rsid w:val="00AF0DFE"/>
    <w:rsid w:val="00AF0F85"/>
    <w:rsid w:val="00AF108E"/>
    <w:rsid w:val="00AF12EE"/>
    <w:rsid w:val="00AF19EE"/>
    <w:rsid w:val="00AF1C4A"/>
    <w:rsid w:val="00AF1D60"/>
    <w:rsid w:val="00AF1E89"/>
    <w:rsid w:val="00AF1ECA"/>
    <w:rsid w:val="00AF1FDA"/>
    <w:rsid w:val="00AF2413"/>
    <w:rsid w:val="00AF26BB"/>
    <w:rsid w:val="00AF26DF"/>
    <w:rsid w:val="00AF2945"/>
    <w:rsid w:val="00AF29A7"/>
    <w:rsid w:val="00AF2A5B"/>
    <w:rsid w:val="00AF2B72"/>
    <w:rsid w:val="00AF2BB2"/>
    <w:rsid w:val="00AF2E7B"/>
    <w:rsid w:val="00AF2FB9"/>
    <w:rsid w:val="00AF334A"/>
    <w:rsid w:val="00AF3644"/>
    <w:rsid w:val="00AF366E"/>
    <w:rsid w:val="00AF3CDA"/>
    <w:rsid w:val="00AF3E0A"/>
    <w:rsid w:val="00AF3E4A"/>
    <w:rsid w:val="00AF3FF7"/>
    <w:rsid w:val="00AF40D4"/>
    <w:rsid w:val="00AF411A"/>
    <w:rsid w:val="00AF4186"/>
    <w:rsid w:val="00AF41A8"/>
    <w:rsid w:val="00AF4653"/>
    <w:rsid w:val="00AF4660"/>
    <w:rsid w:val="00AF4A74"/>
    <w:rsid w:val="00AF4AE9"/>
    <w:rsid w:val="00AF4B0F"/>
    <w:rsid w:val="00AF50BE"/>
    <w:rsid w:val="00AF51A5"/>
    <w:rsid w:val="00AF5227"/>
    <w:rsid w:val="00AF525D"/>
    <w:rsid w:val="00AF5538"/>
    <w:rsid w:val="00AF556F"/>
    <w:rsid w:val="00AF5B3F"/>
    <w:rsid w:val="00AF6016"/>
    <w:rsid w:val="00AF6102"/>
    <w:rsid w:val="00AF62E3"/>
    <w:rsid w:val="00AF62F4"/>
    <w:rsid w:val="00AF6368"/>
    <w:rsid w:val="00AF674F"/>
    <w:rsid w:val="00AF699C"/>
    <w:rsid w:val="00AF6A88"/>
    <w:rsid w:val="00AF6C8D"/>
    <w:rsid w:val="00AF6CB5"/>
    <w:rsid w:val="00AF6D43"/>
    <w:rsid w:val="00AF6E46"/>
    <w:rsid w:val="00AF6F06"/>
    <w:rsid w:val="00AF7038"/>
    <w:rsid w:val="00AF724B"/>
    <w:rsid w:val="00AF74F7"/>
    <w:rsid w:val="00AF7677"/>
    <w:rsid w:val="00AF7746"/>
    <w:rsid w:val="00AF775B"/>
    <w:rsid w:val="00AF7C42"/>
    <w:rsid w:val="00AF7DEF"/>
    <w:rsid w:val="00AF7E1E"/>
    <w:rsid w:val="00AF7F40"/>
    <w:rsid w:val="00AF7FE9"/>
    <w:rsid w:val="00B002A6"/>
    <w:rsid w:val="00B006AF"/>
    <w:rsid w:val="00B0080B"/>
    <w:rsid w:val="00B00884"/>
    <w:rsid w:val="00B008E3"/>
    <w:rsid w:val="00B00C08"/>
    <w:rsid w:val="00B011B9"/>
    <w:rsid w:val="00B01E89"/>
    <w:rsid w:val="00B01F32"/>
    <w:rsid w:val="00B02034"/>
    <w:rsid w:val="00B020E7"/>
    <w:rsid w:val="00B021BE"/>
    <w:rsid w:val="00B0277C"/>
    <w:rsid w:val="00B02BD8"/>
    <w:rsid w:val="00B02CD1"/>
    <w:rsid w:val="00B02D52"/>
    <w:rsid w:val="00B02F30"/>
    <w:rsid w:val="00B02FBF"/>
    <w:rsid w:val="00B032D3"/>
    <w:rsid w:val="00B033E8"/>
    <w:rsid w:val="00B03435"/>
    <w:rsid w:val="00B03677"/>
    <w:rsid w:val="00B03883"/>
    <w:rsid w:val="00B038F3"/>
    <w:rsid w:val="00B03A01"/>
    <w:rsid w:val="00B04085"/>
    <w:rsid w:val="00B047F7"/>
    <w:rsid w:val="00B048C3"/>
    <w:rsid w:val="00B049B6"/>
    <w:rsid w:val="00B04A81"/>
    <w:rsid w:val="00B04CE5"/>
    <w:rsid w:val="00B04D2D"/>
    <w:rsid w:val="00B04F3F"/>
    <w:rsid w:val="00B050D2"/>
    <w:rsid w:val="00B055E7"/>
    <w:rsid w:val="00B0581F"/>
    <w:rsid w:val="00B05CD1"/>
    <w:rsid w:val="00B05E4A"/>
    <w:rsid w:val="00B061FE"/>
    <w:rsid w:val="00B062A2"/>
    <w:rsid w:val="00B0633E"/>
    <w:rsid w:val="00B06393"/>
    <w:rsid w:val="00B06440"/>
    <w:rsid w:val="00B06480"/>
    <w:rsid w:val="00B0650C"/>
    <w:rsid w:val="00B06A2D"/>
    <w:rsid w:val="00B06A64"/>
    <w:rsid w:val="00B06B3C"/>
    <w:rsid w:val="00B06E8F"/>
    <w:rsid w:val="00B06EE7"/>
    <w:rsid w:val="00B07078"/>
    <w:rsid w:val="00B07083"/>
    <w:rsid w:val="00B07173"/>
    <w:rsid w:val="00B072EC"/>
    <w:rsid w:val="00B07378"/>
    <w:rsid w:val="00B075AF"/>
    <w:rsid w:val="00B076AA"/>
    <w:rsid w:val="00B077D6"/>
    <w:rsid w:val="00B07ABF"/>
    <w:rsid w:val="00B07C1E"/>
    <w:rsid w:val="00B07D1F"/>
    <w:rsid w:val="00B07DB0"/>
    <w:rsid w:val="00B07F84"/>
    <w:rsid w:val="00B07FB5"/>
    <w:rsid w:val="00B07FF2"/>
    <w:rsid w:val="00B1027C"/>
    <w:rsid w:val="00B103F7"/>
    <w:rsid w:val="00B10931"/>
    <w:rsid w:val="00B10F48"/>
    <w:rsid w:val="00B11106"/>
    <w:rsid w:val="00B1117B"/>
    <w:rsid w:val="00B111D0"/>
    <w:rsid w:val="00B11285"/>
    <w:rsid w:val="00B112AE"/>
    <w:rsid w:val="00B11435"/>
    <w:rsid w:val="00B11571"/>
    <w:rsid w:val="00B11622"/>
    <w:rsid w:val="00B11730"/>
    <w:rsid w:val="00B11763"/>
    <w:rsid w:val="00B117CB"/>
    <w:rsid w:val="00B118A0"/>
    <w:rsid w:val="00B11A6B"/>
    <w:rsid w:val="00B11BFE"/>
    <w:rsid w:val="00B11D7B"/>
    <w:rsid w:val="00B11EF8"/>
    <w:rsid w:val="00B12275"/>
    <w:rsid w:val="00B1230C"/>
    <w:rsid w:val="00B12322"/>
    <w:rsid w:val="00B12516"/>
    <w:rsid w:val="00B1281E"/>
    <w:rsid w:val="00B129A1"/>
    <w:rsid w:val="00B12CC9"/>
    <w:rsid w:val="00B12F36"/>
    <w:rsid w:val="00B12F53"/>
    <w:rsid w:val="00B13226"/>
    <w:rsid w:val="00B132DB"/>
    <w:rsid w:val="00B132F8"/>
    <w:rsid w:val="00B133F3"/>
    <w:rsid w:val="00B134E3"/>
    <w:rsid w:val="00B135F8"/>
    <w:rsid w:val="00B1367E"/>
    <w:rsid w:val="00B1382B"/>
    <w:rsid w:val="00B13C7B"/>
    <w:rsid w:val="00B13CE0"/>
    <w:rsid w:val="00B13F7A"/>
    <w:rsid w:val="00B1428C"/>
    <w:rsid w:val="00B14365"/>
    <w:rsid w:val="00B143F3"/>
    <w:rsid w:val="00B14708"/>
    <w:rsid w:val="00B149E0"/>
    <w:rsid w:val="00B14E1F"/>
    <w:rsid w:val="00B1522C"/>
    <w:rsid w:val="00B15762"/>
    <w:rsid w:val="00B15B66"/>
    <w:rsid w:val="00B15BCD"/>
    <w:rsid w:val="00B15CBE"/>
    <w:rsid w:val="00B15D93"/>
    <w:rsid w:val="00B15DD6"/>
    <w:rsid w:val="00B160B7"/>
    <w:rsid w:val="00B161C8"/>
    <w:rsid w:val="00B16228"/>
    <w:rsid w:val="00B162E9"/>
    <w:rsid w:val="00B164BB"/>
    <w:rsid w:val="00B16B59"/>
    <w:rsid w:val="00B16BE7"/>
    <w:rsid w:val="00B16CA9"/>
    <w:rsid w:val="00B16CC4"/>
    <w:rsid w:val="00B16D07"/>
    <w:rsid w:val="00B17085"/>
    <w:rsid w:val="00B170DA"/>
    <w:rsid w:val="00B172B5"/>
    <w:rsid w:val="00B17B0E"/>
    <w:rsid w:val="00B17C5A"/>
    <w:rsid w:val="00B17D32"/>
    <w:rsid w:val="00B17E80"/>
    <w:rsid w:val="00B17E93"/>
    <w:rsid w:val="00B17E98"/>
    <w:rsid w:val="00B20011"/>
    <w:rsid w:val="00B201E9"/>
    <w:rsid w:val="00B2034F"/>
    <w:rsid w:val="00B20439"/>
    <w:rsid w:val="00B2057B"/>
    <w:rsid w:val="00B206FB"/>
    <w:rsid w:val="00B207B9"/>
    <w:rsid w:val="00B20B59"/>
    <w:rsid w:val="00B20BA1"/>
    <w:rsid w:val="00B20CC5"/>
    <w:rsid w:val="00B20D69"/>
    <w:rsid w:val="00B210B0"/>
    <w:rsid w:val="00B2116D"/>
    <w:rsid w:val="00B21214"/>
    <w:rsid w:val="00B2178A"/>
    <w:rsid w:val="00B2192A"/>
    <w:rsid w:val="00B2195B"/>
    <w:rsid w:val="00B21AE2"/>
    <w:rsid w:val="00B21C0E"/>
    <w:rsid w:val="00B21DDE"/>
    <w:rsid w:val="00B21F00"/>
    <w:rsid w:val="00B21F02"/>
    <w:rsid w:val="00B220AB"/>
    <w:rsid w:val="00B222E1"/>
    <w:rsid w:val="00B22469"/>
    <w:rsid w:val="00B227DF"/>
    <w:rsid w:val="00B2292C"/>
    <w:rsid w:val="00B22FFD"/>
    <w:rsid w:val="00B232D8"/>
    <w:rsid w:val="00B2360E"/>
    <w:rsid w:val="00B239A6"/>
    <w:rsid w:val="00B23A46"/>
    <w:rsid w:val="00B23CC7"/>
    <w:rsid w:val="00B23D6F"/>
    <w:rsid w:val="00B23E4D"/>
    <w:rsid w:val="00B23EB4"/>
    <w:rsid w:val="00B23ECE"/>
    <w:rsid w:val="00B23FCE"/>
    <w:rsid w:val="00B24345"/>
    <w:rsid w:val="00B244F0"/>
    <w:rsid w:val="00B24651"/>
    <w:rsid w:val="00B24838"/>
    <w:rsid w:val="00B24B5F"/>
    <w:rsid w:val="00B24B84"/>
    <w:rsid w:val="00B24F7A"/>
    <w:rsid w:val="00B25042"/>
    <w:rsid w:val="00B2532D"/>
    <w:rsid w:val="00B2544B"/>
    <w:rsid w:val="00B25648"/>
    <w:rsid w:val="00B2566C"/>
    <w:rsid w:val="00B256B2"/>
    <w:rsid w:val="00B25B1E"/>
    <w:rsid w:val="00B25BAC"/>
    <w:rsid w:val="00B25F52"/>
    <w:rsid w:val="00B262C1"/>
    <w:rsid w:val="00B262FF"/>
    <w:rsid w:val="00B26302"/>
    <w:rsid w:val="00B26867"/>
    <w:rsid w:val="00B26A55"/>
    <w:rsid w:val="00B26AE3"/>
    <w:rsid w:val="00B26B86"/>
    <w:rsid w:val="00B273F2"/>
    <w:rsid w:val="00B274E6"/>
    <w:rsid w:val="00B27EAD"/>
    <w:rsid w:val="00B27F5C"/>
    <w:rsid w:val="00B3003A"/>
    <w:rsid w:val="00B30214"/>
    <w:rsid w:val="00B302BD"/>
    <w:rsid w:val="00B30858"/>
    <w:rsid w:val="00B30993"/>
    <w:rsid w:val="00B30CD8"/>
    <w:rsid w:val="00B30E3B"/>
    <w:rsid w:val="00B30EE3"/>
    <w:rsid w:val="00B310E4"/>
    <w:rsid w:val="00B311DF"/>
    <w:rsid w:val="00B315A2"/>
    <w:rsid w:val="00B31F0D"/>
    <w:rsid w:val="00B32167"/>
    <w:rsid w:val="00B3220D"/>
    <w:rsid w:val="00B32248"/>
    <w:rsid w:val="00B322FD"/>
    <w:rsid w:val="00B324B4"/>
    <w:rsid w:val="00B32E0A"/>
    <w:rsid w:val="00B32E84"/>
    <w:rsid w:val="00B337B7"/>
    <w:rsid w:val="00B33A4E"/>
    <w:rsid w:val="00B33D47"/>
    <w:rsid w:val="00B33D60"/>
    <w:rsid w:val="00B33F9E"/>
    <w:rsid w:val="00B34233"/>
    <w:rsid w:val="00B3467A"/>
    <w:rsid w:val="00B348E1"/>
    <w:rsid w:val="00B34994"/>
    <w:rsid w:val="00B34F71"/>
    <w:rsid w:val="00B351B2"/>
    <w:rsid w:val="00B354F2"/>
    <w:rsid w:val="00B357C8"/>
    <w:rsid w:val="00B35843"/>
    <w:rsid w:val="00B35973"/>
    <w:rsid w:val="00B35B21"/>
    <w:rsid w:val="00B35E0F"/>
    <w:rsid w:val="00B35FBF"/>
    <w:rsid w:val="00B35FD1"/>
    <w:rsid w:val="00B36054"/>
    <w:rsid w:val="00B362F9"/>
    <w:rsid w:val="00B36786"/>
    <w:rsid w:val="00B36826"/>
    <w:rsid w:val="00B370B8"/>
    <w:rsid w:val="00B37252"/>
    <w:rsid w:val="00B37575"/>
    <w:rsid w:val="00B3783A"/>
    <w:rsid w:val="00B378E4"/>
    <w:rsid w:val="00B37CB9"/>
    <w:rsid w:val="00B37EBC"/>
    <w:rsid w:val="00B37F82"/>
    <w:rsid w:val="00B40366"/>
    <w:rsid w:val="00B40590"/>
    <w:rsid w:val="00B405F1"/>
    <w:rsid w:val="00B4092C"/>
    <w:rsid w:val="00B40A33"/>
    <w:rsid w:val="00B40CC3"/>
    <w:rsid w:val="00B40D5B"/>
    <w:rsid w:val="00B40E38"/>
    <w:rsid w:val="00B40EAF"/>
    <w:rsid w:val="00B40EEE"/>
    <w:rsid w:val="00B413B5"/>
    <w:rsid w:val="00B418AF"/>
    <w:rsid w:val="00B41A5B"/>
    <w:rsid w:val="00B41D61"/>
    <w:rsid w:val="00B41F97"/>
    <w:rsid w:val="00B4243D"/>
    <w:rsid w:val="00B42753"/>
    <w:rsid w:val="00B427D2"/>
    <w:rsid w:val="00B429C8"/>
    <w:rsid w:val="00B429DD"/>
    <w:rsid w:val="00B42A39"/>
    <w:rsid w:val="00B42A5A"/>
    <w:rsid w:val="00B42D2C"/>
    <w:rsid w:val="00B4320B"/>
    <w:rsid w:val="00B43752"/>
    <w:rsid w:val="00B43902"/>
    <w:rsid w:val="00B43A0C"/>
    <w:rsid w:val="00B43A89"/>
    <w:rsid w:val="00B43D27"/>
    <w:rsid w:val="00B43D67"/>
    <w:rsid w:val="00B4402C"/>
    <w:rsid w:val="00B442BC"/>
    <w:rsid w:val="00B443F8"/>
    <w:rsid w:val="00B4447C"/>
    <w:rsid w:val="00B44899"/>
    <w:rsid w:val="00B448C0"/>
    <w:rsid w:val="00B4493C"/>
    <w:rsid w:val="00B449AF"/>
    <w:rsid w:val="00B44A60"/>
    <w:rsid w:val="00B44BF4"/>
    <w:rsid w:val="00B44CDE"/>
    <w:rsid w:val="00B44FEB"/>
    <w:rsid w:val="00B451DB"/>
    <w:rsid w:val="00B45311"/>
    <w:rsid w:val="00B45340"/>
    <w:rsid w:val="00B45378"/>
    <w:rsid w:val="00B45468"/>
    <w:rsid w:val="00B45648"/>
    <w:rsid w:val="00B45A42"/>
    <w:rsid w:val="00B461A5"/>
    <w:rsid w:val="00B46273"/>
    <w:rsid w:val="00B4632D"/>
    <w:rsid w:val="00B4690F"/>
    <w:rsid w:val="00B4697D"/>
    <w:rsid w:val="00B4697E"/>
    <w:rsid w:val="00B46CB4"/>
    <w:rsid w:val="00B46D3A"/>
    <w:rsid w:val="00B46FE3"/>
    <w:rsid w:val="00B474B5"/>
    <w:rsid w:val="00B479EA"/>
    <w:rsid w:val="00B47B4A"/>
    <w:rsid w:val="00B47CFC"/>
    <w:rsid w:val="00B47F6F"/>
    <w:rsid w:val="00B47FB5"/>
    <w:rsid w:val="00B50109"/>
    <w:rsid w:val="00B5075C"/>
    <w:rsid w:val="00B50763"/>
    <w:rsid w:val="00B5084F"/>
    <w:rsid w:val="00B509B3"/>
    <w:rsid w:val="00B50BD7"/>
    <w:rsid w:val="00B50EF2"/>
    <w:rsid w:val="00B511FE"/>
    <w:rsid w:val="00B51265"/>
    <w:rsid w:val="00B51803"/>
    <w:rsid w:val="00B51812"/>
    <w:rsid w:val="00B51DE5"/>
    <w:rsid w:val="00B51EF8"/>
    <w:rsid w:val="00B522A9"/>
    <w:rsid w:val="00B5238D"/>
    <w:rsid w:val="00B5252D"/>
    <w:rsid w:val="00B52627"/>
    <w:rsid w:val="00B5272C"/>
    <w:rsid w:val="00B528F9"/>
    <w:rsid w:val="00B52A52"/>
    <w:rsid w:val="00B52B11"/>
    <w:rsid w:val="00B52BC6"/>
    <w:rsid w:val="00B52C05"/>
    <w:rsid w:val="00B52F71"/>
    <w:rsid w:val="00B52FDF"/>
    <w:rsid w:val="00B5300B"/>
    <w:rsid w:val="00B5304E"/>
    <w:rsid w:val="00B532AB"/>
    <w:rsid w:val="00B5352A"/>
    <w:rsid w:val="00B53736"/>
    <w:rsid w:val="00B537E1"/>
    <w:rsid w:val="00B537F6"/>
    <w:rsid w:val="00B53B5C"/>
    <w:rsid w:val="00B53C9F"/>
    <w:rsid w:val="00B53CF7"/>
    <w:rsid w:val="00B53D9D"/>
    <w:rsid w:val="00B53F0B"/>
    <w:rsid w:val="00B53F8F"/>
    <w:rsid w:val="00B54208"/>
    <w:rsid w:val="00B5464F"/>
    <w:rsid w:val="00B5486B"/>
    <w:rsid w:val="00B54C12"/>
    <w:rsid w:val="00B54E36"/>
    <w:rsid w:val="00B55237"/>
    <w:rsid w:val="00B554DD"/>
    <w:rsid w:val="00B555D5"/>
    <w:rsid w:val="00B55ABA"/>
    <w:rsid w:val="00B55E61"/>
    <w:rsid w:val="00B56074"/>
    <w:rsid w:val="00B5616B"/>
    <w:rsid w:val="00B564ED"/>
    <w:rsid w:val="00B56695"/>
    <w:rsid w:val="00B56B94"/>
    <w:rsid w:val="00B56C34"/>
    <w:rsid w:val="00B56EB3"/>
    <w:rsid w:val="00B56FCC"/>
    <w:rsid w:val="00B57073"/>
    <w:rsid w:val="00B5733A"/>
    <w:rsid w:val="00B57470"/>
    <w:rsid w:val="00B574A6"/>
    <w:rsid w:val="00B57630"/>
    <w:rsid w:val="00B579AD"/>
    <w:rsid w:val="00B579EF"/>
    <w:rsid w:val="00B57E89"/>
    <w:rsid w:val="00B604FA"/>
    <w:rsid w:val="00B6075D"/>
    <w:rsid w:val="00B60786"/>
    <w:rsid w:val="00B607B5"/>
    <w:rsid w:val="00B607DB"/>
    <w:rsid w:val="00B60A4E"/>
    <w:rsid w:val="00B60AA0"/>
    <w:rsid w:val="00B60C0C"/>
    <w:rsid w:val="00B60ED8"/>
    <w:rsid w:val="00B60EE5"/>
    <w:rsid w:val="00B610D8"/>
    <w:rsid w:val="00B61A82"/>
    <w:rsid w:val="00B61C3B"/>
    <w:rsid w:val="00B61D56"/>
    <w:rsid w:val="00B61EDC"/>
    <w:rsid w:val="00B62786"/>
    <w:rsid w:val="00B627A5"/>
    <w:rsid w:val="00B62A2E"/>
    <w:rsid w:val="00B62A97"/>
    <w:rsid w:val="00B62BA2"/>
    <w:rsid w:val="00B62BF6"/>
    <w:rsid w:val="00B62F11"/>
    <w:rsid w:val="00B6323A"/>
    <w:rsid w:val="00B632A0"/>
    <w:rsid w:val="00B638D5"/>
    <w:rsid w:val="00B63A46"/>
    <w:rsid w:val="00B63C86"/>
    <w:rsid w:val="00B63CE9"/>
    <w:rsid w:val="00B645B6"/>
    <w:rsid w:val="00B64B52"/>
    <w:rsid w:val="00B64ED9"/>
    <w:rsid w:val="00B64F82"/>
    <w:rsid w:val="00B64FA1"/>
    <w:rsid w:val="00B64FEC"/>
    <w:rsid w:val="00B65281"/>
    <w:rsid w:val="00B6546E"/>
    <w:rsid w:val="00B65566"/>
    <w:rsid w:val="00B656B9"/>
    <w:rsid w:val="00B65921"/>
    <w:rsid w:val="00B65965"/>
    <w:rsid w:val="00B65CC6"/>
    <w:rsid w:val="00B66357"/>
    <w:rsid w:val="00B66400"/>
    <w:rsid w:val="00B6680E"/>
    <w:rsid w:val="00B66850"/>
    <w:rsid w:val="00B66AF6"/>
    <w:rsid w:val="00B66B9D"/>
    <w:rsid w:val="00B66C33"/>
    <w:rsid w:val="00B66E49"/>
    <w:rsid w:val="00B66E58"/>
    <w:rsid w:val="00B66E8B"/>
    <w:rsid w:val="00B66F3E"/>
    <w:rsid w:val="00B671C5"/>
    <w:rsid w:val="00B6757B"/>
    <w:rsid w:val="00B676B4"/>
    <w:rsid w:val="00B67DCB"/>
    <w:rsid w:val="00B70263"/>
    <w:rsid w:val="00B704ED"/>
    <w:rsid w:val="00B70A07"/>
    <w:rsid w:val="00B70AC6"/>
    <w:rsid w:val="00B70D8F"/>
    <w:rsid w:val="00B70DC0"/>
    <w:rsid w:val="00B70EEE"/>
    <w:rsid w:val="00B7130A"/>
    <w:rsid w:val="00B7132F"/>
    <w:rsid w:val="00B71418"/>
    <w:rsid w:val="00B71531"/>
    <w:rsid w:val="00B715B4"/>
    <w:rsid w:val="00B715F8"/>
    <w:rsid w:val="00B71822"/>
    <w:rsid w:val="00B7192A"/>
    <w:rsid w:val="00B7199B"/>
    <w:rsid w:val="00B719C5"/>
    <w:rsid w:val="00B71AED"/>
    <w:rsid w:val="00B71BFC"/>
    <w:rsid w:val="00B7207B"/>
    <w:rsid w:val="00B7210C"/>
    <w:rsid w:val="00B721F5"/>
    <w:rsid w:val="00B722C6"/>
    <w:rsid w:val="00B7255A"/>
    <w:rsid w:val="00B726BD"/>
    <w:rsid w:val="00B72D00"/>
    <w:rsid w:val="00B72D2E"/>
    <w:rsid w:val="00B72D4C"/>
    <w:rsid w:val="00B7301D"/>
    <w:rsid w:val="00B732F8"/>
    <w:rsid w:val="00B7355B"/>
    <w:rsid w:val="00B735F5"/>
    <w:rsid w:val="00B73738"/>
    <w:rsid w:val="00B73929"/>
    <w:rsid w:val="00B73A17"/>
    <w:rsid w:val="00B73C82"/>
    <w:rsid w:val="00B73DC3"/>
    <w:rsid w:val="00B73E5C"/>
    <w:rsid w:val="00B74483"/>
    <w:rsid w:val="00B74830"/>
    <w:rsid w:val="00B74DF0"/>
    <w:rsid w:val="00B74EF8"/>
    <w:rsid w:val="00B75000"/>
    <w:rsid w:val="00B751C4"/>
    <w:rsid w:val="00B75471"/>
    <w:rsid w:val="00B755D7"/>
    <w:rsid w:val="00B755FB"/>
    <w:rsid w:val="00B75733"/>
    <w:rsid w:val="00B757E6"/>
    <w:rsid w:val="00B7591B"/>
    <w:rsid w:val="00B75A17"/>
    <w:rsid w:val="00B75B2B"/>
    <w:rsid w:val="00B75BD0"/>
    <w:rsid w:val="00B75E18"/>
    <w:rsid w:val="00B75E4B"/>
    <w:rsid w:val="00B75E78"/>
    <w:rsid w:val="00B75EB4"/>
    <w:rsid w:val="00B75F9E"/>
    <w:rsid w:val="00B75FE1"/>
    <w:rsid w:val="00B76172"/>
    <w:rsid w:val="00B768C6"/>
    <w:rsid w:val="00B7697A"/>
    <w:rsid w:val="00B76B3F"/>
    <w:rsid w:val="00B76EB1"/>
    <w:rsid w:val="00B77122"/>
    <w:rsid w:val="00B774EE"/>
    <w:rsid w:val="00B77580"/>
    <w:rsid w:val="00B7767E"/>
    <w:rsid w:val="00B77812"/>
    <w:rsid w:val="00B778DF"/>
    <w:rsid w:val="00B77AD4"/>
    <w:rsid w:val="00B77ADE"/>
    <w:rsid w:val="00B77B3C"/>
    <w:rsid w:val="00B77D76"/>
    <w:rsid w:val="00B77E8E"/>
    <w:rsid w:val="00B77F12"/>
    <w:rsid w:val="00B77F1D"/>
    <w:rsid w:val="00B803FB"/>
    <w:rsid w:val="00B80579"/>
    <w:rsid w:val="00B805D9"/>
    <w:rsid w:val="00B806F7"/>
    <w:rsid w:val="00B8072E"/>
    <w:rsid w:val="00B80A12"/>
    <w:rsid w:val="00B80A46"/>
    <w:rsid w:val="00B80C61"/>
    <w:rsid w:val="00B80F40"/>
    <w:rsid w:val="00B8100E"/>
    <w:rsid w:val="00B8120F"/>
    <w:rsid w:val="00B814DB"/>
    <w:rsid w:val="00B8162A"/>
    <w:rsid w:val="00B817CB"/>
    <w:rsid w:val="00B81A6F"/>
    <w:rsid w:val="00B81D50"/>
    <w:rsid w:val="00B81F01"/>
    <w:rsid w:val="00B821A3"/>
    <w:rsid w:val="00B822FD"/>
    <w:rsid w:val="00B82497"/>
    <w:rsid w:val="00B82583"/>
    <w:rsid w:val="00B8265A"/>
    <w:rsid w:val="00B827F1"/>
    <w:rsid w:val="00B82891"/>
    <w:rsid w:val="00B82A2D"/>
    <w:rsid w:val="00B82AE3"/>
    <w:rsid w:val="00B82AE7"/>
    <w:rsid w:val="00B82C34"/>
    <w:rsid w:val="00B82F95"/>
    <w:rsid w:val="00B83017"/>
    <w:rsid w:val="00B831EE"/>
    <w:rsid w:val="00B8324C"/>
    <w:rsid w:val="00B832EC"/>
    <w:rsid w:val="00B83398"/>
    <w:rsid w:val="00B833D9"/>
    <w:rsid w:val="00B833F2"/>
    <w:rsid w:val="00B834CD"/>
    <w:rsid w:val="00B83500"/>
    <w:rsid w:val="00B8356D"/>
    <w:rsid w:val="00B835FD"/>
    <w:rsid w:val="00B83647"/>
    <w:rsid w:val="00B839D9"/>
    <w:rsid w:val="00B83A55"/>
    <w:rsid w:val="00B83CE7"/>
    <w:rsid w:val="00B83EF5"/>
    <w:rsid w:val="00B8402C"/>
    <w:rsid w:val="00B840C7"/>
    <w:rsid w:val="00B840F1"/>
    <w:rsid w:val="00B84641"/>
    <w:rsid w:val="00B8479B"/>
    <w:rsid w:val="00B8481F"/>
    <w:rsid w:val="00B84B08"/>
    <w:rsid w:val="00B84D16"/>
    <w:rsid w:val="00B84FE0"/>
    <w:rsid w:val="00B8539B"/>
    <w:rsid w:val="00B853B4"/>
    <w:rsid w:val="00B8583E"/>
    <w:rsid w:val="00B858ED"/>
    <w:rsid w:val="00B85AF3"/>
    <w:rsid w:val="00B85B66"/>
    <w:rsid w:val="00B85EEA"/>
    <w:rsid w:val="00B861E5"/>
    <w:rsid w:val="00B861FB"/>
    <w:rsid w:val="00B863E8"/>
    <w:rsid w:val="00B864E0"/>
    <w:rsid w:val="00B8653E"/>
    <w:rsid w:val="00B865EA"/>
    <w:rsid w:val="00B86B62"/>
    <w:rsid w:val="00B86C21"/>
    <w:rsid w:val="00B87045"/>
    <w:rsid w:val="00B87180"/>
    <w:rsid w:val="00B87493"/>
    <w:rsid w:val="00B87603"/>
    <w:rsid w:val="00B87B08"/>
    <w:rsid w:val="00B87D0B"/>
    <w:rsid w:val="00B87E11"/>
    <w:rsid w:val="00B90429"/>
    <w:rsid w:val="00B90680"/>
    <w:rsid w:val="00B906AF"/>
    <w:rsid w:val="00B90756"/>
    <w:rsid w:val="00B90D3C"/>
    <w:rsid w:val="00B9125F"/>
    <w:rsid w:val="00B91333"/>
    <w:rsid w:val="00B91697"/>
    <w:rsid w:val="00B919BC"/>
    <w:rsid w:val="00B91C17"/>
    <w:rsid w:val="00B91C45"/>
    <w:rsid w:val="00B91CBF"/>
    <w:rsid w:val="00B91F14"/>
    <w:rsid w:val="00B91FF8"/>
    <w:rsid w:val="00B920FC"/>
    <w:rsid w:val="00B9236C"/>
    <w:rsid w:val="00B92514"/>
    <w:rsid w:val="00B92722"/>
    <w:rsid w:val="00B927F2"/>
    <w:rsid w:val="00B92996"/>
    <w:rsid w:val="00B92E97"/>
    <w:rsid w:val="00B93319"/>
    <w:rsid w:val="00B933B9"/>
    <w:rsid w:val="00B934CF"/>
    <w:rsid w:val="00B934FA"/>
    <w:rsid w:val="00B93735"/>
    <w:rsid w:val="00B937EA"/>
    <w:rsid w:val="00B93D35"/>
    <w:rsid w:val="00B93DDF"/>
    <w:rsid w:val="00B93E50"/>
    <w:rsid w:val="00B93ED4"/>
    <w:rsid w:val="00B9405A"/>
    <w:rsid w:val="00B940A4"/>
    <w:rsid w:val="00B941F1"/>
    <w:rsid w:val="00B944F4"/>
    <w:rsid w:val="00B947CC"/>
    <w:rsid w:val="00B94F85"/>
    <w:rsid w:val="00B9577E"/>
    <w:rsid w:val="00B95BBD"/>
    <w:rsid w:val="00B96143"/>
    <w:rsid w:val="00B9615D"/>
    <w:rsid w:val="00B968BC"/>
    <w:rsid w:val="00B96B25"/>
    <w:rsid w:val="00B96EB3"/>
    <w:rsid w:val="00B9712B"/>
    <w:rsid w:val="00B9720B"/>
    <w:rsid w:val="00B9727B"/>
    <w:rsid w:val="00B9734E"/>
    <w:rsid w:val="00B97398"/>
    <w:rsid w:val="00B97478"/>
    <w:rsid w:val="00B976C4"/>
    <w:rsid w:val="00B976F1"/>
    <w:rsid w:val="00B97E4F"/>
    <w:rsid w:val="00B97ECE"/>
    <w:rsid w:val="00BA01AC"/>
    <w:rsid w:val="00BA02ED"/>
    <w:rsid w:val="00BA0348"/>
    <w:rsid w:val="00BA03D4"/>
    <w:rsid w:val="00BA05F0"/>
    <w:rsid w:val="00BA06A6"/>
    <w:rsid w:val="00BA06C1"/>
    <w:rsid w:val="00BA0982"/>
    <w:rsid w:val="00BA1122"/>
    <w:rsid w:val="00BA14D7"/>
    <w:rsid w:val="00BA1573"/>
    <w:rsid w:val="00BA1790"/>
    <w:rsid w:val="00BA1930"/>
    <w:rsid w:val="00BA197D"/>
    <w:rsid w:val="00BA1E0A"/>
    <w:rsid w:val="00BA22CF"/>
    <w:rsid w:val="00BA2691"/>
    <w:rsid w:val="00BA27F7"/>
    <w:rsid w:val="00BA2B70"/>
    <w:rsid w:val="00BA2BBB"/>
    <w:rsid w:val="00BA2BD7"/>
    <w:rsid w:val="00BA2F50"/>
    <w:rsid w:val="00BA383B"/>
    <w:rsid w:val="00BA3A2B"/>
    <w:rsid w:val="00BA3A94"/>
    <w:rsid w:val="00BA3ACE"/>
    <w:rsid w:val="00BA3B1E"/>
    <w:rsid w:val="00BA3E8B"/>
    <w:rsid w:val="00BA45EC"/>
    <w:rsid w:val="00BA46A3"/>
    <w:rsid w:val="00BA47AE"/>
    <w:rsid w:val="00BA481B"/>
    <w:rsid w:val="00BA497F"/>
    <w:rsid w:val="00BA49AF"/>
    <w:rsid w:val="00BA4AE1"/>
    <w:rsid w:val="00BA4C0D"/>
    <w:rsid w:val="00BA4C15"/>
    <w:rsid w:val="00BA4E76"/>
    <w:rsid w:val="00BA4EAC"/>
    <w:rsid w:val="00BA515E"/>
    <w:rsid w:val="00BA5329"/>
    <w:rsid w:val="00BA5466"/>
    <w:rsid w:val="00BA572C"/>
    <w:rsid w:val="00BA59BD"/>
    <w:rsid w:val="00BA5AD1"/>
    <w:rsid w:val="00BA5B01"/>
    <w:rsid w:val="00BA5FDF"/>
    <w:rsid w:val="00BA60AB"/>
    <w:rsid w:val="00BA6157"/>
    <w:rsid w:val="00BA623E"/>
    <w:rsid w:val="00BA6308"/>
    <w:rsid w:val="00BA63C2"/>
    <w:rsid w:val="00BA6573"/>
    <w:rsid w:val="00BA6699"/>
    <w:rsid w:val="00BA6879"/>
    <w:rsid w:val="00BA6930"/>
    <w:rsid w:val="00BA6931"/>
    <w:rsid w:val="00BA696B"/>
    <w:rsid w:val="00BA6AF8"/>
    <w:rsid w:val="00BA6F9F"/>
    <w:rsid w:val="00BA6FF4"/>
    <w:rsid w:val="00BA7011"/>
    <w:rsid w:val="00BA72BF"/>
    <w:rsid w:val="00BA74A2"/>
    <w:rsid w:val="00BA77D1"/>
    <w:rsid w:val="00BA7AFD"/>
    <w:rsid w:val="00BA7BF2"/>
    <w:rsid w:val="00BA7D12"/>
    <w:rsid w:val="00BA7DF7"/>
    <w:rsid w:val="00BA7EFE"/>
    <w:rsid w:val="00BA7F4D"/>
    <w:rsid w:val="00BB0106"/>
    <w:rsid w:val="00BB011D"/>
    <w:rsid w:val="00BB059C"/>
    <w:rsid w:val="00BB0629"/>
    <w:rsid w:val="00BB079A"/>
    <w:rsid w:val="00BB0819"/>
    <w:rsid w:val="00BB0B88"/>
    <w:rsid w:val="00BB0BA4"/>
    <w:rsid w:val="00BB0E98"/>
    <w:rsid w:val="00BB0ED8"/>
    <w:rsid w:val="00BB0F2F"/>
    <w:rsid w:val="00BB11AB"/>
    <w:rsid w:val="00BB1251"/>
    <w:rsid w:val="00BB13EA"/>
    <w:rsid w:val="00BB1436"/>
    <w:rsid w:val="00BB195D"/>
    <w:rsid w:val="00BB196F"/>
    <w:rsid w:val="00BB1980"/>
    <w:rsid w:val="00BB1BFB"/>
    <w:rsid w:val="00BB1CC3"/>
    <w:rsid w:val="00BB1EA9"/>
    <w:rsid w:val="00BB1F3E"/>
    <w:rsid w:val="00BB20C2"/>
    <w:rsid w:val="00BB2114"/>
    <w:rsid w:val="00BB26BD"/>
    <w:rsid w:val="00BB28C6"/>
    <w:rsid w:val="00BB295F"/>
    <w:rsid w:val="00BB2A90"/>
    <w:rsid w:val="00BB2AEA"/>
    <w:rsid w:val="00BB2C23"/>
    <w:rsid w:val="00BB2D05"/>
    <w:rsid w:val="00BB315C"/>
    <w:rsid w:val="00BB3296"/>
    <w:rsid w:val="00BB34E8"/>
    <w:rsid w:val="00BB36D3"/>
    <w:rsid w:val="00BB3776"/>
    <w:rsid w:val="00BB385B"/>
    <w:rsid w:val="00BB38F0"/>
    <w:rsid w:val="00BB392A"/>
    <w:rsid w:val="00BB3C53"/>
    <w:rsid w:val="00BB3DA4"/>
    <w:rsid w:val="00BB3EE2"/>
    <w:rsid w:val="00BB3F67"/>
    <w:rsid w:val="00BB400D"/>
    <w:rsid w:val="00BB4629"/>
    <w:rsid w:val="00BB4683"/>
    <w:rsid w:val="00BB4760"/>
    <w:rsid w:val="00BB480A"/>
    <w:rsid w:val="00BB4955"/>
    <w:rsid w:val="00BB4BD0"/>
    <w:rsid w:val="00BB4E7C"/>
    <w:rsid w:val="00BB4F17"/>
    <w:rsid w:val="00BB50A6"/>
    <w:rsid w:val="00BB51B6"/>
    <w:rsid w:val="00BB52FC"/>
    <w:rsid w:val="00BB577A"/>
    <w:rsid w:val="00BB59DD"/>
    <w:rsid w:val="00BB5A11"/>
    <w:rsid w:val="00BB5A3B"/>
    <w:rsid w:val="00BB5E4A"/>
    <w:rsid w:val="00BB60C6"/>
    <w:rsid w:val="00BB63FB"/>
    <w:rsid w:val="00BB647A"/>
    <w:rsid w:val="00BB648D"/>
    <w:rsid w:val="00BB67B6"/>
    <w:rsid w:val="00BB67C2"/>
    <w:rsid w:val="00BB6D1E"/>
    <w:rsid w:val="00BB6DD3"/>
    <w:rsid w:val="00BB6EA9"/>
    <w:rsid w:val="00BB7279"/>
    <w:rsid w:val="00BB732D"/>
    <w:rsid w:val="00BB75BB"/>
    <w:rsid w:val="00BB7615"/>
    <w:rsid w:val="00BB7777"/>
    <w:rsid w:val="00BB77A8"/>
    <w:rsid w:val="00BB79C6"/>
    <w:rsid w:val="00BB7C09"/>
    <w:rsid w:val="00BB7D34"/>
    <w:rsid w:val="00BB7F24"/>
    <w:rsid w:val="00BC0093"/>
    <w:rsid w:val="00BC00B6"/>
    <w:rsid w:val="00BC0672"/>
    <w:rsid w:val="00BC090E"/>
    <w:rsid w:val="00BC094E"/>
    <w:rsid w:val="00BC0E0F"/>
    <w:rsid w:val="00BC0FD9"/>
    <w:rsid w:val="00BC1535"/>
    <w:rsid w:val="00BC1548"/>
    <w:rsid w:val="00BC199F"/>
    <w:rsid w:val="00BC1AA0"/>
    <w:rsid w:val="00BC1C66"/>
    <w:rsid w:val="00BC1DC0"/>
    <w:rsid w:val="00BC1E3D"/>
    <w:rsid w:val="00BC1E4D"/>
    <w:rsid w:val="00BC1EA8"/>
    <w:rsid w:val="00BC1EE6"/>
    <w:rsid w:val="00BC26A9"/>
    <w:rsid w:val="00BC26AD"/>
    <w:rsid w:val="00BC2863"/>
    <w:rsid w:val="00BC28A6"/>
    <w:rsid w:val="00BC28F1"/>
    <w:rsid w:val="00BC2B41"/>
    <w:rsid w:val="00BC2D61"/>
    <w:rsid w:val="00BC2F1A"/>
    <w:rsid w:val="00BC2FE5"/>
    <w:rsid w:val="00BC305A"/>
    <w:rsid w:val="00BC3175"/>
    <w:rsid w:val="00BC3238"/>
    <w:rsid w:val="00BC323F"/>
    <w:rsid w:val="00BC3390"/>
    <w:rsid w:val="00BC376D"/>
    <w:rsid w:val="00BC37EC"/>
    <w:rsid w:val="00BC3A07"/>
    <w:rsid w:val="00BC3CF6"/>
    <w:rsid w:val="00BC3E2A"/>
    <w:rsid w:val="00BC4001"/>
    <w:rsid w:val="00BC4530"/>
    <w:rsid w:val="00BC453B"/>
    <w:rsid w:val="00BC4688"/>
    <w:rsid w:val="00BC4CB5"/>
    <w:rsid w:val="00BC4D81"/>
    <w:rsid w:val="00BC510D"/>
    <w:rsid w:val="00BC51D7"/>
    <w:rsid w:val="00BC524E"/>
    <w:rsid w:val="00BC5268"/>
    <w:rsid w:val="00BC54D2"/>
    <w:rsid w:val="00BC550D"/>
    <w:rsid w:val="00BC56E2"/>
    <w:rsid w:val="00BC5810"/>
    <w:rsid w:val="00BC5C25"/>
    <w:rsid w:val="00BC5CD4"/>
    <w:rsid w:val="00BC5E70"/>
    <w:rsid w:val="00BC5EC3"/>
    <w:rsid w:val="00BC60B5"/>
    <w:rsid w:val="00BC6226"/>
    <w:rsid w:val="00BC63BD"/>
    <w:rsid w:val="00BC6494"/>
    <w:rsid w:val="00BC65A4"/>
    <w:rsid w:val="00BC6602"/>
    <w:rsid w:val="00BC6A99"/>
    <w:rsid w:val="00BC6B6C"/>
    <w:rsid w:val="00BC6BCA"/>
    <w:rsid w:val="00BC6D6C"/>
    <w:rsid w:val="00BC6E1A"/>
    <w:rsid w:val="00BC6E94"/>
    <w:rsid w:val="00BC6E9D"/>
    <w:rsid w:val="00BC70EE"/>
    <w:rsid w:val="00BC7185"/>
    <w:rsid w:val="00BC75C6"/>
    <w:rsid w:val="00BC76A9"/>
    <w:rsid w:val="00BC774D"/>
    <w:rsid w:val="00BC781F"/>
    <w:rsid w:val="00BC795A"/>
    <w:rsid w:val="00BC79CD"/>
    <w:rsid w:val="00BC7AB4"/>
    <w:rsid w:val="00BC7C83"/>
    <w:rsid w:val="00BC7E7D"/>
    <w:rsid w:val="00BD00E3"/>
    <w:rsid w:val="00BD0379"/>
    <w:rsid w:val="00BD087C"/>
    <w:rsid w:val="00BD0B82"/>
    <w:rsid w:val="00BD0C1E"/>
    <w:rsid w:val="00BD0E3D"/>
    <w:rsid w:val="00BD104E"/>
    <w:rsid w:val="00BD1113"/>
    <w:rsid w:val="00BD1185"/>
    <w:rsid w:val="00BD1564"/>
    <w:rsid w:val="00BD15CA"/>
    <w:rsid w:val="00BD15D0"/>
    <w:rsid w:val="00BD16BC"/>
    <w:rsid w:val="00BD2108"/>
    <w:rsid w:val="00BD2773"/>
    <w:rsid w:val="00BD2798"/>
    <w:rsid w:val="00BD2A41"/>
    <w:rsid w:val="00BD2C71"/>
    <w:rsid w:val="00BD2CEA"/>
    <w:rsid w:val="00BD32D1"/>
    <w:rsid w:val="00BD33E6"/>
    <w:rsid w:val="00BD33F2"/>
    <w:rsid w:val="00BD3726"/>
    <w:rsid w:val="00BD37AB"/>
    <w:rsid w:val="00BD381C"/>
    <w:rsid w:val="00BD3835"/>
    <w:rsid w:val="00BD38B9"/>
    <w:rsid w:val="00BD3B36"/>
    <w:rsid w:val="00BD3D0B"/>
    <w:rsid w:val="00BD41A1"/>
    <w:rsid w:val="00BD41FF"/>
    <w:rsid w:val="00BD439E"/>
    <w:rsid w:val="00BD4400"/>
    <w:rsid w:val="00BD4448"/>
    <w:rsid w:val="00BD44AA"/>
    <w:rsid w:val="00BD459B"/>
    <w:rsid w:val="00BD4B1D"/>
    <w:rsid w:val="00BD4DE1"/>
    <w:rsid w:val="00BD5231"/>
    <w:rsid w:val="00BD553F"/>
    <w:rsid w:val="00BD5766"/>
    <w:rsid w:val="00BD5A5B"/>
    <w:rsid w:val="00BD5E5D"/>
    <w:rsid w:val="00BD5EEA"/>
    <w:rsid w:val="00BD616A"/>
    <w:rsid w:val="00BD63EB"/>
    <w:rsid w:val="00BD64FF"/>
    <w:rsid w:val="00BD662A"/>
    <w:rsid w:val="00BD6692"/>
    <w:rsid w:val="00BD66D9"/>
    <w:rsid w:val="00BD67F8"/>
    <w:rsid w:val="00BD6985"/>
    <w:rsid w:val="00BD6A6D"/>
    <w:rsid w:val="00BD6CE6"/>
    <w:rsid w:val="00BD6D05"/>
    <w:rsid w:val="00BD6F34"/>
    <w:rsid w:val="00BD7081"/>
    <w:rsid w:val="00BD70CD"/>
    <w:rsid w:val="00BD7209"/>
    <w:rsid w:val="00BD720A"/>
    <w:rsid w:val="00BD72A8"/>
    <w:rsid w:val="00BD7407"/>
    <w:rsid w:val="00BD77BD"/>
    <w:rsid w:val="00BD7B2C"/>
    <w:rsid w:val="00BD7D5B"/>
    <w:rsid w:val="00BE0130"/>
    <w:rsid w:val="00BE01C4"/>
    <w:rsid w:val="00BE01DB"/>
    <w:rsid w:val="00BE0482"/>
    <w:rsid w:val="00BE069D"/>
    <w:rsid w:val="00BE079E"/>
    <w:rsid w:val="00BE0808"/>
    <w:rsid w:val="00BE0889"/>
    <w:rsid w:val="00BE0BA5"/>
    <w:rsid w:val="00BE0D8C"/>
    <w:rsid w:val="00BE0FD9"/>
    <w:rsid w:val="00BE1018"/>
    <w:rsid w:val="00BE10DE"/>
    <w:rsid w:val="00BE1294"/>
    <w:rsid w:val="00BE1618"/>
    <w:rsid w:val="00BE185F"/>
    <w:rsid w:val="00BE1ABA"/>
    <w:rsid w:val="00BE1B86"/>
    <w:rsid w:val="00BE1DAE"/>
    <w:rsid w:val="00BE206A"/>
    <w:rsid w:val="00BE2255"/>
    <w:rsid w:val="00BE22D9"/>
    <w:rsid w:val="00BE2365"/>
    <w:rsid w:val="00BE2374"/>
    <w:rsid w:val="00BE25E0"/>
    <w:rsid w:val="00BE2C5E"/>
    <w:rsid w:val="00BE2FCA"/>
    <w:rsid w:val="00BE30B7"/>
    <w:rsid w:val="00BE318F"/>
    <w:rsid w:val="00BE31BE"/>
    <w:rsid w:val="00BE32E4"/>
    <w:rsid w:val="00BE3577"/>
    <w:rsid w:val="00BE36A0"/>
    <w:rsid w:val="00BE3872"/>
    <w:rsid w:val="00BE3880"/>
    <w:rsid w:val="00BE38B9"/>
    <w:rsid w:val="00BE3A2E"/>
    <w:rsid w:val="00BE3D5E"/>
    <w:rsid w:val="00BE404E"/>
    <w:rsid w:val="00BE40EE"/>
    <w:rsid w:val="00BE40FA"/>
    <w:rsid w:val="00BE440A"/>
    <w:rsid w:val="00BE4802"/>
    <w:rsid w:val="00BE4E0D"/>
    <w:rsid w:val="00BE4FEB"/>
    <w:rsid w:val="00BE52F1"/>
    <w:rsid w:val="00BE5389"/>
    <w:rsid w:val="00BE553B"/>
    <w:rsid w:val="00BE56E9"/>
    <w:rsid w:val="00BE5BA0"/>
    <w:rsid w:val="00BE5CD5"/>
    <w:rsid w:val="00BE5F12"/>
    <w:rsid w:val="00BE5FA6"/>
    <w:rsid w:val="00BE6034"/>
    <w:rsid w:val="00BE622D"/>
    <w:rsid w:val="00BE6258"/>
    <w:rsid w:val="00BE64F1"/>
    <w:rsid w:val="00BE68A2"/>
    <w:rsid w:val="00BE68C1"/>
    <w:rsid w:val="00BE6A48"/>
    <w:rsid w:val="00BE6A54"/>
    <w:rsid w:val="00BE714F"/>
    <w:rsid w:val="00BE790A"/>
    <w:rsid w:val="00BE791F"/>
    <w:rsid w:val="00BE7995"/>
    <w:rsid w:val="00BE7A26"/>
    <w:rsid w:val="00BE7DCB"/>
    <w:rsid w:val="00BE7F11"/>
    <w:rsid w:val="00BF02F3"/>
    <w:rsid w:val="00BF02FB"/>
    <w:rsid w:val="00BF042F"/>
    <w:rsid w:val="00BF06AE"/>
    <w:rsid w:val="00BF06C4"/>
    <w:rsid w:val="00BF080F"/>
    <w:rsid w:val="00BF08CA"/>
    <w:rsid w:val="00BF0A95"/>
    <w:rsid w:val="00BF0ABC"/>
    <w:rsid w:val="00BF0B33"/>
    <w:rsid w:val="00BF0C91"/>
    <w:rsid w:val="00BF0F34"/>
    <w:rsid w:val="00BF10D2"/>
    <w:rsid w:val="00BF10E4"/>
    <w:rsid w:val="00BF129C"/>
    <w:rsid w:val="00BF12BA"/>
    <w:rsid w:val="00BF14AF"/>
    <w:rsid w:val="00BF14FF"/>
    <w:rsid w:val="00BF1829"/>
    <w:rsid w:val="00BF1840"/>
    <w:rsid w:val="00BF18A7"/>
    <w:rsid w:val="00BF19BD"/>
    <w:rsid w:val="00BF1B1A"/>
    <w:rsid w:val="00BF1E47"/>
    <w:rsid w:val="00BF2153"/>
    <w:rsid w:val="00BF2399"/>
    <w:rsid w:val="00BF24BC"/>
    <w:rsid w:val="00BF2534"/>
    <w:rsid w:val="00BF264B"/>
    <w:rsid w:val="00BF26F8"/>
    <w:rsid w:val="00BF2783"/>
    <w:rsid w:val="00BF2846"/>
    <w:rsid w:val="00BF2AC5"/>
    <w:rsid w:val="00BF2B8A"/>
    <w:rsid w:val="00BF3125"/>
    <w:rsid w:val="00BF3227"/>
    <w:rsid w:val="00BF36AC"/>
    <w:rsid w:val="00BF3847"/>
    <w:rsid w:val="00BF3876"/>
    <w:rsid w:val="00BF3903"/>
    <w:rsid w:val="00BF3A50"/>
    <w:rsid w:val="00BF3A98"/>
    <w:rsid w:val="00BF3B87"/>
    <w:rsid w:val="00BF3B92"/>
    <w:rsid w:val="00BF3E0C"/>
    <w:rsid w:val="00BF3F06"/>
    <w:rsid w:val="00BF44FF"/>
    <w:rsid w:val="00BF4524"/>
    <w:rsid w:val="00BF45DD"/>
    <w:rsid w:val="00BF4691"/>
    <w:rsid w:val="00BF47DF"/>
    <w:rsid w:val="00BF483A"/>
    <w:rsid w:val="00BF4A3D"/>
    <w:rsid w:val="00BF4B36"/>
    <w:rsid w:val="00BF4CFE"/>
    <w:rsid w:val="00BF4D1B"/>
    <w:rsid w:val="00BF504E"/>
    <w:rsid w:val="00BF5335"/>
    <w:rsid w:val="00BF55FB"/>
    <w:rsid w:val="00BF5968"/>
    <w:rsid w:val="00BF5BC4"/>
    <w:rsid w:val="00BF5F7B"/>
    <w:rsid w:val="00BF600C"/>
    <w:rsid w:val="00BF6137"/>
    <w:rsid w:val="00BF671B"/>
    <w:rsid w:val="00BF67DA"/>
    <w:rsid w:val="00BF6B1D"/>
    <w:rsid w:val="00BF6E4A"/>
    <w:rsid w:val="00BF6F48"/>
    <w:rsid w:val="00BF6FE5"/>
    <w:rsid w:val="00BF7348"/>
    <w:rsid w:val="00BF753D"/>
    <w:rsid w:val="00BF75DC"/>
    <w:rsid w:val="00BF7725"/>
    <w:rsid w:val="00BF7E9C"/>
    <w:rsid w:val="00C0001C"/>
    <w:rsid w:val="00C0007C"/>
    <w:rsid w:val="00C000F8"/>
    <w:rsid w:val="00C00193"/>
    <w:rsid w:val="00C00654"/>
    <w:rsid w:val="00C006E9"/>
    <w:rsid w:val="00C00E06"/>
    <w:rsid w:val="00C01516"/>
    <w:rsid w:val="00C0174E"/>
    <w:rsid w:val="00C019EF"/>
    <w:rsid w:val="00C01BA3"/>
    <w:rsid w:val="00C01CC7"/>
    <w:rsid w:val="00C01ED3"/>
    <w:rsid w:val="00C0205C"/>
    <w:rsid w:val="00C02234"/>
    <w:rsid w:val="00C022CA"/>
    <w:rsid w:val="00C02423"/>
    <w:rsid w:val="00C0249C"/>
    <w:rsid w:val="00C026EF"/>
    <w:rsid w:val="00C02718"/>
    <w:rsid w:val="00C0277B"/>
    <w:rsid w:val="00C02808"/>
    <w:rsid w:val="00C02909"/>
    <w:rsid w:val="00C02954"/>
    <w:rsid w:val="00C02A4D"/>
    <w:rsid w:val="00C02D0E"/>
    <w:rsid w:val="00C02E3C"/>
    <w:rsid w:val="00C02F45"/>
    <w:rsid w:val="00C02FE7"/>
    <w:rsid w:val="00C032F9"/>
    <w:rsid w:val="00C03419"/>
    <w:rsid w:val="00C03466"/>
    <w:rsid w:val="00C038AB"/>
    <w:rsid w:val="00C03B96"/>
    <w:rsid w:val="00C03C2D"/>
    <w:rsid w:val="00C03C7B"/>
    <w:rsid w:val="00C03D08"/>
    <w:rsid w:val="00C03E2C"/>
    <w:rsid w:val="00C03E9D"/>
    <w:rsid w:val="00C03EC4"/>
    <w:rsid w:val="00C040C1"/>
    <w:rsid w:val="00C04210"/>
    <w:rsid w:val="00C044C3"/>
    <w:rsid w:val="00C04863"/>
    <w:rsid w:val="00C04B2A"/>
    <w:rsid w:val="00C04C68"/>
    <w:rsid w:val="00C04CF9"/>
    <w:rsid w:val="00C04D7D"/>
    <w:rsid w:val="00C05130"/>
    <w:rsid w:val="00C0529B"/>
    <w:rsid w:val="00C052F8"/>
    <w:rsid w:val="00C05391"/>
    <w:rsid w:val="00C0548B"/>
    <w:rsid w:val="00C0581B"/>
    <w:rsid w:val="00C0583C"/>
    <w:rsid w:val="00C05894"/>
    <w:rsid w:val="00C059C1"/>
    <w:rsid w:val="00C05A67"/>
    <w:rsid w:val="00C05B9F"/>
    <w:rsid w:val="00C05E3E"/>
    <w:rsid w:val="00C05EAF"/>
    <w:rsid w:val="00C0610C"/>
    <w:rsid w:val="00C06136"/>
    <w:rsid w:val="00C06192"/>
    <w:rsid w:val="00C063EC"/>
    <w:rsid w:val="00C0671E"/>
    <w:rsid w:val="00C067F6"/>
    <w:rsid w:val="00C068C8"/>
    <w:rsid w:val="00C0690D"/>
    <w:rsid w:val="00C06C0A"/>
    <w:rsid w:val="00C06CAC"/>
    <w:rsid w:val="00C06FC4"/>
    <w:rsid w:val="00C07260"/>
    <w:rsid w:val="00C07500"/>
    <w:rsid w:val="00C07530"/>
    <w:rsid w:val="00C0760A"/>
    <w:rsid w:val="00C076B4"/>
    <w:rsid w:val="00C078A9"/>
    <w:rsid w:val="00C07901"/>
    <w:rsid w:val="00C07B66"/>
    <w:rsid w:val="00C07DAB"/>
    <w:rsid w:val="00C104B1"/>
    <w:rsid w:val="00C105DC"/>
    <w:rsid w:val="00C10B15"/>
    <w:rsid w:val="00C10C64"/>
    <w:rsid w:val="00C10F0B"/>
    <w:rsid w:val="00C10F17"/>
    <w:rsid w:val="00C11254"/>
    <w:rsid w:val="00C112F6"/>
    <w:rsid w:val="00C1131B"/>
    <w:rsid w:val="00C114F9"/>
    <w:rsid w:val="00C11B6F"/>
    <w:rsid w:val="00C11C67"/>
    <w:rsid w:val="00C120CD"/>
    <w:rsid w:val="00C120D7"/>
    <w:rsid w:val="00C120D8"/>
    <w:rsid w:val="00C12258"/>
    <w:rsid w:val="00C12E97"/>
    <w:rsid w:val="00C12F92"/>
    <w:rsid w:val="00C134D4"/>
    <w:rsid w:val="00C1365F"/>
    <w:rsid w:val="00C137F1"/>
    <w:rsid w:val="00C13A75"/>
    <w:rsid w:val="00C13E8B"/>
    <w:rsid w:val="00C13F49"/>
    <w:rsid w:val="00C13FD1"/>
    <w:rsid w:val="00C14028"/>
    <w:rsid w:val="00C140FE"/>
    <w:rsid w:val="00C143AD"/>
    <w:rsid w:val="00C146BE"/>
    <w:rsid w:val="00C14FEC"/>
    <w:rsid w:val="00C15114"/>
    <w:rsid w:val="00C15397"/>
    <w:rsid w:val="00C15426"/>
    <w:rsid w:val="00C154DC"/>
    <w:rsid w:val="00C15552"/>
    <w:rsid w:val="00C15576"/>
    <w:rsid w:val="00C156D7"/>
    <w:rsid w:val="00C1570F"/>
    <w:rsid w:val="00C15B3C"/>
    <w:rsid w:val="00C15C4A"/>
    <w:rsid w:val="00C15F67"/>
    <w:rsid w:val="00C1612F"/>
    <w:rsid w:val="00C16196"/>
    <w:rsid w:val="00C164C4"/>
    <w:rsid w:val="00C16803"/>
    <w:rsid w:val="00C16953"/>
    <w:rsid w:val="00C16AA6"/>
    <w:rsid w:val="00C16C18"/>
    <w:rsid w:val="00C16E29"/>
    <w:rsid w:val="00C171BB"/>
    <w:rsid w:val="00C17951"/>
    <w:rsid w:val="00C17BF1"/>
    <w:rsid w:val="00C17D4D"/>
    <w:rsid w:val="00C17D64"/>
    <w:rsid w:val="00C17E9C"/>
    <w:rsid w:val="00C17F87"/>
    <w:rsid w:val="00C17FDE"/>
    <w:rsid w:val="00C20064"/>
    <w:rsid w:val="00C20197"/>
    <w:rsid w:val="00C202BD"/>
    <w:rsid w:val="00C204EE"/>
    <w:rsid w:val="00C204F5"/>
    <w:rsid w:val="00C20654"/>
    <w:rsid w:val="00C206F0"/>
    <w:rsid w:val="00C20941"/>
    <w:rsid w:val="00C20A52"/>
    <w:rsid w:val="00C211B6"/>
    <w:rsid w:val="00C2127B"/>
    <w:rsid w:val="00C212F3"/>
    <w:rsid w:val="00C2154F"/>
    <w:rsid w:val="00C21B00"/>
    <w:rsid w:val="00C21B07"/>
    <w:rsid w:val="00C21BC1"/>
    <w:rsid w:val="00C21C7C"/>
    <w:rsid w:val="00C21CCC"/>
    <w:rsid w:val="00C21EB3"/>
    <w:rsid w:val="00C22255"/>
    <w:rsid w:val="00C222F4"/>
    <w:rsid w:val="00C226E9"/>
    <w:rsid w:val="00C228D8"/>
    <w:rsid w:val="00C22B00"/>
    <w:rsid w:val="00C22BE0"/>
    <w:rsid w:val="00C22C32"/>
    <w:rsid w:val="00C22CE1"/>
    <w:rsid w:val="00C22E4D"/>
    <w:rsid w:val="00C22F41"/>
    <w:rsid w:val="00C23069"/>
    <w:rsid w:val="00C230FB"/>
    <w:rsid w:val="00C23117"/>
    <w:rsid w:val="00C23242"/>
    <w:rsid w:val="00C23247"/>
    <w:rsid w:val="00C23393"/>
    <w:rsid w:val="00C2367C"/>
    <w:rsid w:val="00C23708"/>
    <w:rsid w:val="00C23802"/>
    <w:rsid w:val="00C23971"/>
    <w:rsid w:val="00C23DC4"/>
    <w:rsid w:val="00C240A7"/>
    <w:rsid w:val="00C242B7"/>
    <w:rsid w:val="00C242E1"/>
    <w:rsid w:val="00C24321"/>
    <w:rsid w:val="00C2449F"/>
    <w:rsid w:val="00C24601"/>
    <w:rsid w:val="00C24670"/>
    <w:rsid w:val="00C246F2"/>
    <w:rsid w:val="00C24A10"/>
    <w:rsid w:val="00C24BAA"/>
    <w:rsid w:val="00C24D11"/>
    <w:rsid w:val="00C24FD1"/>
    <w:rsid w:val="00C2527B"/>
    <w:rsid w:val="00C2547E"/>
    <w:rsid w:val="00C2548C"/>
    <w:rsid w:val="00C2549D"/>
    <w:rsid w:val="00C257C5"/>
    <w:rsid w:val="00C258F7"/>
    <w:rsid w:val="00C25AC9"/>
    <w:rsid w:val="00C25D2E"/>
    <w:rsid w:val="00C25E2B"/>
    <w:rsid w:val="00C25EDF"/>
    <w:rsid w:val="00C263A2"/>
    <w:rsid w:val="00C263D0"/>
    <w:rsid w:val="00C26401"/>
    <w:rsid w:val="00C26490"/>
    <w:rsid w:val="00C2688D"/>
    <w:rsid w:val="00C26A71"/>
    <w:rsid w:val="00C26ACC"/>
    <w:rsid w:val="00C26B27"/>
    <w:rsid w:val="00C26C69"/>
    <w:rsid w:val="00C26DB2"/>
    <w:rsid w:val="00C272C0"/>
    <w:rsid w:val="00C27395"/>
    <w:rsid w:val="00C2748F"/>
    <w:rsid w:val="00C2770A"/>
    <w:rsid w:val="00C279EA"/>
    <w:rsid w:val="00C27E15"/>
    <w:rsid w:val="00C27EBE"/>
    <w:rsid w:val="00C300C3"/>
    <w:rsid w:val="00C301E9"/>
    <w:rsid w:val="00C30217"/>
    <w:rsid w:val="00C30832"/>
    <w:rsid w:val="00C30C0B"/>
    <w:rsid w:val="00C30E4F"/>
    <w:rsid w:val="00C30FAD"/>
    <w:rsid w:val="00C31308"/>
    <w:rsid w:val="00C31817"/>
    <w:rsid w:val="00C3188D"/>
    <w:rsid w:val="00C319AC"/>
    <w:rsid w:val="00C31DE3"/>
    <w:rsid w:val="00C31E5C"/>
    <w:rsid w:val="00C31EE0"/>
    <w:rsid w:val="00C321A4"/>
    <w:rsid w:val="00C322EC"/>
    <w:rsid w:val="00C3253F"/>
    <w:rsid w:val="00C32575"/>
    <w:rsid w:val="00C32A06"/>
    <w:rsid w:val="00C32A4B"/>
    <w:rsid w:val="00C32DC8"/>
    <w:rsid w:val="00C333DE"/>
    <w:rsid w:val="00C3350A"/>
    <w:rsid w:val="00C335B4"/>
    <w:rsid w:val="00C33848"/>
    <w:rsid w:val="00C33A09"/>
    <w:rsid w:val="00C33D31"/>
    <w:rsid w:val="00C33D79"/>
    <w:rsid w:val="00C33EF7"/>
    <w:rsid w:val="00C349E9"/>
    <w:rsid w:val="00C34A3D"/>
    <w:rsid w:val="00C34D41"/>
    <w:rsid w:val="00C35044"/>
    <w:rsid w:val="00C351EC"/>
    <w:rsid w:val="00C354CC"/>
    <w:rsid w:val="00C35576"/>
    <w:rsid w:val="00C356DB"/>
    <w:rsid w:val="00C35ABF"/>
    <w:rsid w:val="00C35B13"/>
    <w:rsid w:val="00C35C45"/>
    <w:rsid w:val="00C35D8B"/>
    <w:rsid w:val="00C35EB9"/>
    <w:rsid w:val="00C35F12"/>
    <w:rsid w:val="00C361CE"/>
    <w:rsid w:val="00C36306"/>
    <w:rsid w:val="00C365EF"/>
    <w:rsid w:val="00C3678B"/>
    <w:rsid w:val="00C36B2C"/>
    <w:rsid w:val="00C36D9F"/>
    <w:rsid w:val="00C37378"/>
    <w:rsid w:val="00C37744"/>
    <w:rsid w:val="00C3783E"/>
    <w:rsid w:val="00C37ADB"/>
    <w:rsid w:val="00C37E97"/>
    <w:rsid w:val="00C406BB"/>
    <w:rsid w:val="00C40990"/>
    <w:rsid w:val="00C40FE6"/>
    <w:rsid w:val="00C411E9"/>
    <w:rsid w:val="00C411F6"/>
    <w:rsid w:val="00C411F9"/>
    <w:rsid w:val="00C4175D"/>
    <w:rsid w:val="00C41BB0"/>
    <w:rsid w:val="00C41BC6"/>
    <w:rsid w:val="00C41C9F"/>
    <w:rsid w:val="00C41FB7"/>
    <w:rsid w:val="00C42301"/>
    <w:rsid w:val="00C42340"/>
    <w:rsid w:val="00C4237B"/>
    <w:rsid w:val="00C427AC"/>
    <w:rsid w:val="00C428EB"/>
    <w:rsid w:val="00C4292C"/>
    <w:rsid w:val="00C42EDE"/>
    <w:rsid w:val="00C42FBA"/>
    <w:rsid w:val="00C430A6"/>
    <w:rsid w:val="00C4338C"/>
    <w:rsid w:val="00C436DC"/>
    <w:rsid w:val="00C437B1"/>
    <w:rsid w:val="00C43867"/>
    <w:rsid w:val="00C43B91"/>
    <w:rsid w:val="00C440A8"/>
    <w:rsid w:val="00C44437"/>
    <w:rsid w:val="00C4455F"/>
    <w:rsid w:val="00C44830"/>
    <w:rsid w:val="00C44847"/>
    <w:rsid w:val="00C44AF0"/>
    <w:rsid w:val="00C44CC2"/>
    <w:rsid w:val="00C45223"/>
    <w:rsid w:val="00C452D4"/>
    <w:rsid w:val="00C45442"/>
    <w:rsid w:val="00C454FD"/>
    <w:rsid w:val="00C458F3"/>
    <w:rsid w:val="00C45937"/>
    <w:rsid w:val="00C459C5"/>
    <w:rsid w:val="00C45E14"/>
    <w:rsid w:val="00C46034"/>
    <w:rsid w:val="00C46178"/>
    <w:rsid w:val="00C461A9"/>
    <w:rsid w:val="00C463CB"/>
    <w:rsid w:val="00C46406"/>
    <w:rsid w:val="00C464CA"/>
    <w:rsid w:val="00C4650C"/>
    <w:rsid w:val="00C465FE"/>
    <w:rsid w:val="00C466EB"/>
    <w:rsid w:val="00C46875"/>
    <w:rsid w:val="00C470E3"/>
    <w:rsid w:val="00C47576"/>
    <w:rsid w:val="00C47613"/>
    <w:rsid w:val="00C47782"/>
    <w:rsid w:val="00C47979"/>
    <w:rsid w:val="00C479D8"/>
    <w:rsid w:val="00C47A94"/>
    <w:rsid w:val="00C502CE"/>
    <w:rsid w:val="00C50476"/>
    <w:rsid w:val="00C50623"/>
    <w:rsid w:val="00C5064C"/>
    <w:rsid w:val="00C50761"/>
    <w:rsid w:val="00C5078F"/>
    <w:rsid w:val="00C50828"/>
    <w:rsid w:val="00C50DED"/>
    <w:rsid w:val="00C50E39"/>
    <w:rsid w:val="00C50FF0"/>
    <w:rsid w:val="00C5107E"/>
    <w:rsid w:val="00C5114F"/>
    <w:rsid w:val="00C51413"/>
    <w:rsid w:val="00C518AA"/>
    <w:rsid w:val="00C51A69"/>
    <w:rsid w:val="00C51ABC"/>
    <w:rsid w:val="00C51ABD"/>
    <w:rsid w:val="00C520D8"/>
    <w:rsid w:val="00C5220B"/>
    <w:rsid w:val="00C5260F"/>
    <w:rsid w:val="00C52B3F"/>
    <w:rsid w:val="00C53029"/>
    <w:rsid w:val="00C5353A"/>
    <w:rsid w:val="00C53902"/>
    <w:rsid w:val="00C53995"/>
    <w:rsid w:val="00C539C0"/>
    <w:rsid w:val="00C53BB2"/>
    <w:rsid w:val="00C53F06"/>
    <w:rsid w:val="00C54136"/>
    <w:rsid w:val="00C541EA"/>
    <w:rsid w:val="00C5481B"/>
    <w:rsid w:val="00C54947"/>
    <w:rsid w:val="00C54BCE"/>
    <w:rsid w:val="00C54D65"/>
    <w:rsid w:val="00C54EC9"/>
    <w:rsid w:val="00C552FF"/>
    <w:rsid w:val="00C556AA"/>
    <w:rsid w:val="00C5596B"/>
    <w:rsid w:val="00C55A7E"/>
    <w:rsid w:val="00C55E23"/>
    <w:rsid w:val="00C55FD0"/>
    <w:rsid w:val="00C56022"/>
    <w:rsid w:val="00C562E8"/>
    <w:rsid w:val="00C5658E"/>
    <w:rsid w:val="00C5665C"/>
    <w:rsid w:val="00C5679C"/>
    <w:rsid w:val="00C56822"/>
    <w:rsid w:val="00C56A6E"/>
    <w:rsid w:val="00C56AEC"/>
    <w:rsid w:val="00C56CB8"/>
    <w:rsid w:val="00C572BB"/>
    <w:rsid w:val="00C57504"/>
    <w:rsid w:val="00C57585"/>
    <w:rsid w:val="00C57895"/>
    <w:rsid w:val="00C57929"/>
    <w:rsid w:val="00C5797E"/>
    <w:rsid w:val="00C579C9"/>
    <w:rsid w:val="00C57D58"/>
    <w:rsid w:val="00C57DC0"/>
    <w:rsid w:val="00C60842"/>
    <w:rsid w:val="00C6088B"/>
    <w:rsid w:val="00C6107A"/>
    <w:rsid w:val="00C610AD"/>
    <w:rsid w:val="00C61154"/>
    <w:rsid w:val="00C613C5"/>
    <w:rsid w:val="00C61442"/>
    <w:rsid w:val="00C61484"/>
    <w:rsid w:val="00C614A9"/>
    <w:rsid w:val="00C618DE"/>
    <w:rsid w:val="00C6230A"/>
    <w:rsid w:val="00C6246B"/>
    <w:rsid w:val="00C62567"/>
    <w:rsid w:val="00C62BF6"/>
    <w:rsid w:val="00C6311E"/>
    <w:rsid w:val="00C63223"/>
    <w:rsid w:val="00C63274"/>
    <w:rsid w:val="00C633A9"/>
    <w:rsid w:val="00C6341B"/>
    <w:rsid w:val="00C635D4"/>
    <w:rsid w:val="00C6367F"/>
    <w:rsid w:val="00C63684"/>
    <w:rsid w:val="00C636FA"/>
    <w:rsid w:val="00C63A30"/>
    <w:rsid w:val="00C63A8B"/>
    <w:rsid w:val="00C63C58"/>
    <w:rsid w:val="00C63E7D"/>
    <w:rsid w:val="00C63EA9"/>
    <w:rsid w:val="00C64054"/>
    <w:rsid w:val="00C64B11"/>
    <w:rsid w:val="00C64D80"/>
    <w:rsid w:val="00C64EC2"/>
    <w:rsid w:val="00C64F11"/>
    <w:rsid w:val="00C64FB8"/>
    <w:rsid w:val="00C652E5"/>
    <w:rsid w:val="00C65371"/>
    <w:rsid w:val="00C65720"/>
    <w:rsid w:val="00C65878"/>
    <w:rsid w:val="00C6589A"/>
    <w:rsid w:val="00C658AB"/>
    <w:rsid w:val="00C65900"/>
    <w:rsid w:val="00C65908"/>
    <w:rsid w:val="00C65A7E"/>
    <w:rsid w:val="00C65A90"/>
    <w:rsid w:val="00C65CE1"/>
    <w:rsid w:val="00C65FC5"/>
    <w:rsid w:val="00C6604C"/>
    <w:rsid w:val="00C6619B"/>
    <w:rsid w:val="00C66297"/>
    <w:rsid w:val="00C66763"/>
    <w:rsid w:val="00C66C21"/>
    <w:rsid w:val="00C66C25"/>
    <w:rsid w:val="00C66D8F"/>
    <w:rsid w:val="00C66F12"/>
    <w:rsid w:val="00C66F45"/>
    <w:rsid w:val="00C67150"/>
    <w:rsid w:val="00C6719D"/>
    <w:rsid w:val="00C671A7"/>
    <w:rsid w:val="00C672A6"/>
    <w:rsid w:val="00C673B8"/>
    <w:rsid w:val="00C67657"/>
    <w:rsid w:val="00C676DC"/>
    <w:rsid w:val="00C679BC"/>
    <w:rsid w:val="00C67EE9"/>
    <w:rsid w:val="00C70406"/>
    <w:rsid w:val="00C70A1E"/>
    <w:rsid w:val="00C70C2B"/>
    <w:rsid w:val="00C70DBE"/>
    <w:rsid w:val="00C70E07"/>
    <w:rsid w:val="00C70E12"/>
    <w:rsid w:val="00C710A3"/>
    <w:rsid w:val="00C710EE"/>
    <w:rsid w:val="00C71315"/>
    <w:rsid w:val="00C71484"/>
    <w:rsid w:val="00C7161A"/>
    <w:rsid w:val="00C71726"/>
    <w:rsid w:val="00C71FAA"/>
    <w:rsid w:val="00C71FC2"/>
    <w:rsid w:val="00C72B50"/>
    <w:rsid w:val="00C72E59"/>
    <w:rsid w:val="00C72EF3"/>
    <w:rsid w:val="00C72F91"/>
    <w:rsid w:val="00C73387"/>
    <w:rsid w:val="00C733FD"/>
    <w:rsid w:val="00C7345C"/>
    <w:rsid w:val="00C73493"/>
    <w:rsid w:val="00C73626"/>
    <w:rsid w:val="00C7379C"/>
    <w:rsid w:val="00C7388E"/>
    <w:rsid w:val="00C73902"/>
    <w:rsid w:val="00C739DA"/>
    <w:rsid w:val="00C73A3E"/>
    <w:rsid w:val="00C73BAF"/>
    <w:rsid w:val="00C7437F"/>
    <w:rsid w:val="00C744EE"/>
    <w:rsid w:val="00C74569"/>
    <w:rsid w:val="00C748CD"/>
    <w:rsid w:val="00C74C20"/>
    <w:rsid w:val="00C74CCA"/>
    <w:rsid w:val="00C74DA4"/>
    <w:rsid w:val="00C74F8C"/>
    <w:rsid w:val="00C750A9"/>
    <w:rsid w:val="00C75211"/>
    <w:rsid w:val="00C752B9"/>
    <w:rsid w:val="00C752BC"/>
    <w:rsid w:val="00C75797"/>
    <w:rsid w:val="00C75885"/>
    <w:rsid w:val="00C75949"/>
    <w:rsid w:val="00C759C5"/>
    <w:rsid w:val="00C759EE"/>
    <w:rsid w:val="00C75D97"/>
    <w:rsid w:val="00C76224"/>
    <w:rsid w:val="00C76568"/>
    <w:rsid w:val="00C76727"/>
    <w:rsid w:val="00C769A9"/>
    <w:rsid w:val="00C76C7C"/>
    <w:rsid w:val="00C76EDE"/>
    <w:rsid w:val="00C76FD1"/>
    <w:rsid w:val="00C7729D"/>
    <w:rsid w:val="00C7765E"/>
    <w:rsid w:val="00C776EC"/>
    <w:rsid w:val="00C77B64"/>
    <w:rsid w:val="00C77B82"/>
    <w:rsid w:val="00C77CEE"/>
    <w:rsid w:val="00C8011E"/>
    <w:rsid w:val="00C804E2"/>
    <w:rsid w:val="00C8057F"/>
    <w:rsid w:val="00C805B6"/>
    <w:rsid w:val="00C80619"/>
    <w:rsid w:val="00C815E3"/>
    <w:rsid w:val="00C81959"/>
    <w:rsid w:val="00C81AB0"/>
    <w:rsid w:val="00C81B61"/>
    <w:rsid w:val="00C81E01"/>
    <w:rsid w:val="00C820F8"/>
    <w:rsid w:val="00C821E5"/>
    <w:rsid w:val="00C82379"/>
    <w:rsid w:val="00C8248F"/>
    <w:rsid w:val="00C82664"/>
    <w:rsid w:val="00C8269C"/>
    <w:rsid w:val="00C82ABE"/>
    <w:rsid w:val="00C82B10"/>
    <w:rsid w:val="00C82BDB"/>
    <w:rsid w:val="00C8306E"/>
    <w:rsid w:val="00C83391"/>
    <w:rsid w:val="00C833F8"/>
    <w:rsid w:val="00C836DA"/>
    <w:rsid w:val="00C837BD"/>
    <w:rsid w:val="00C83B65"/>
    <w:rsid w:val="00C84353"/>
    <w:rsid w:val="00C8435D"/>
    <w:rsid w:val="00C8449A"/>
    <w:rsid w:val="00C845D8"/>
    <w:rsid w:val="00C84651"/>
    <w:rsid w:val="00C84731"/>
    <w:rsid w:val="00C84756"/>
    <w:rsid w:val="00C847A1"/>
    <w:rsid w:val="00C84A09"/>
    <w:rsid w:val="00C84A28"/>
    <w:rsid w:val="00C84AB8"/>
    <w:rsid w:val="00C84DA6"/>
    <w:rsid w:val="00C84E2F"/>
    <w:rsid w:val="00C84F11"/>
    <w:rsid w:val="00C854E6"/>
    <w:rsid w:val="00C855B1"/>
    <w:rsid w:val="00C85A0C"/>
    <w:rsid w:val="00C85C15"/>
    <w:rsid w:val="00C85EC5"/>
    <w:rsid w:val="00C8621C"/>
    <w:rsid w:val="00C862CF"/>
    <w:rsid w:val="00C86377"/>
    <w:rsid w:val="00C863E8"/>
    <w:rsid w:val="00C8641F"/>
    <w:rsid w:val="00C867E3"/>
    <w:rsid w:val="00C86A85"/>
    <w:rsid w:val="00C86AC4"/>
    <w:rsid w:val="00C86BD2"/>
    <w:rsid w:val="00C86D2B"/>
    <w:rsid w:val="00C86E8B"/>
    <w:rsid w:val="00C87020"/>
    <w:rsid w:val="00C8717C"/>
    <w:rsid w:val="00C87195"/>
    <w:rsid w:val="00C871D9"/>
    <w:rsid w:val="00C8753D"/>
    <w:rsid w:val="00C87562"/>
    <w:rsid w:val="00C879E7"/>
    <w:rsid w:val="00C87B50"/>
    <w:rsid w:val="00C87E60"/>
    <w:rsid w:val="00C87E93"/>
    <w:rsid w:val="00C901E3"/>
    <w:rsid w:val="00C90332"/>
    <w:rsid w:val="00C90830"/>
    <w:rsid w:val="00C90AA7"/>
    <w:rsid w:val="00C90EDA"/>
    <w:rsid w:val="00C90EF3"/>
    <w:rsid w:val="00C91204"/>
    <w:rsid w:val="00C91390"/>
    <w:rsid w:val="00C91457"/>
    <w:rsid w:val="00C914C5"/>
    <w:rsid w:val="00C91857"/>
    <w:rsid w:val="00C91C43"/>
    <w:rsid w:val="00C91D4B"/>
    <w:rsid w:val="00C91F2F"/>
    <w:rsid w:val="00C92052"/>
    <w:rsid w:val="00C9214E"/>
    <w:rsid w:val="00C9279D"/>
    <w:rsid w:val="00C9290E"/>
    <w:rsid w:val="00C92B4D"/>
    <w:rsid w:val="00C92EAE"/>
    <w:rsid w:val="00C92F38"/>
    <w:rsid w:val="00C92FD6"/>
    <w:rsid w:val="00C932DA"/>
    <w:rsid w:val="00C93616"/>
    <w:rsid w:val="00C93758"/>
    <w:rsid w:val="00C9396D"/>
    <w:rsid w:val="00C93B07"/>
    <w:rsid w:val="00C9407A"/>
    <w:rsid w:val="00C94100"/>
    <w:rsid w:val="00C941E2"/>
    <w:rsid w:val="00C94229"/>
    <w:rsid w:val="00C9426E"/>
    <w:rsid w:val="00C944D9"/>
    <w:rsid w:val="00C945C1"/>
    <w:rsid w:val="00C94660"/>
    <w:rsid w:val="00C94814"/>
    <w:rsid w:val="00C94A00"/>
    <w:rsid w:val="00C94BA0"/>
    <w:rsid w:val="00C94E2C"/>
    <w:rsid w:val="00C94EE3"/>
    <w:rsid w:val="00C95251"/>
    <w:rsid w:val="00C95542"/>
    <w:rsid w:val="00C95598"/>
    <w:rsid w:val="00C95811"/>
    <w:rsid w:val="00C95A45"/>
    <w:rsid w:val="00C95B0C"/>
    <w:rsid w:val="00C95CB8"/>
    <w:rsid w:val="00C9625C"/>
    <w:rsid w:val="00C963C0"/>
    <w:rsid w:val="00C96774"/>
    <w:rsid w:val="00C967AA"/>
    <w:rsid w:val="00C968FF"/>
    <w:rsid w:val="00C96A51"/>
    <w:rsid w:val="00C96C41"/>
    <w:rsid w:val="00C96F08"/>
    <w:rsid w:val="00C970B8"/>
    <w:rsid w:val="00C97172"/>
    <w:rsid w:val="00C9722D"/>
    <w:rsid w:val="00C973D6"/>
    <w:rsid w:val="00C973E6"/>
    <w:rsid w:val="00C973E8"/>
    <w:rsid w:val="00C9744B"/>
    <w:rsid w:val="00C977AF"/>
    <w:rsid w:val="00C978DA"/>
    <w:rsid w:val="00C97B16"/>
    <w:rsid w:val="00C97BD1"/>
    <w:rsid w:val="00C97D30"/>
    <w:rsid w:val="00C97EA4"/>
    <w:rsid w:val="00CA02BC"/>
    <w:rsid w:val="00CA03DC"/>
    <w:rsid w:val="00CA0442"/>
    <w:rsid w:val="00CA0705"/>
    <w:rsid w:val="00CA076C"/>
    <w:rsid w:val="00CA085D"/>
    <w:rsid w:val="00CA0AFC"/>
    <w:rsid w:val="00CA0E25"/>
    <w:rsid w:val="00CA0FC6"/>
    <w:rsid w:val="00CA1313"/>
    <w:rsid w:val="00CA146D"/>
    <w:rsid w:val="00CA1789"/>
    <w:rsid w:val="00CA1B37"/>
    <w:rsid w:val="00CA1C56"/>
    <w:rsid w:val="00CA1F1E"/>
    <w:rsid w:val="00CA2464"/>
    <w:rsid w:val="00CA2686"/>
    <w:rsid w:val="00CA26C1"/>
    <w:rsid w:val="00CA270B"/>
    <w:rsid w:val="00CA2945"/>
    <w:rsid w:val="00CA2B2E"/>
    <w:rsid w:val="00CA2BCF"/>
    <w:rsid w:val="00CA2C7C"/>
    <w:rsid w:val="00CA2E72"/>
    <w:rsid w:val="00CA31CE"/>
    <w:rsid w:val="00CA330C"/>
    <w:rsid w:val="00CA3391"/>
    <w:rsid w:val="00CA33B9"/>
    <w:rsid w:val="00CA342F"/>
    <w:rsid w:val="00CA3516"/>
    <w:rsid w:val="00CA35AB"/>
    <w:rsid w:val="00CA361B"/>
    <w:rsid w:val="00CA3750"/>
    <w:rsid w:val="00CA37B2"/>
    <w:rsid w:val="00CA3915"/>
    <w:rsid w:val="00CA393A"/>
    <w:rsid w:val="00CA3C11"/>
    <w:rsid w:val="00CA3CA1"/>
    <w:rsid w:val="00CA3DBD"/>
    <w:rsid w:val="00CA3DD9"/>
    <w:rsid w:val="00CA3FA4"/>
    <w:rsid w:val="00CA4831"/>
    <w:rsid w:val="00CA4A49"/>
    <w:rsid w:val="00CA4A59"/>
    <w:rsid w:val="00CA4D71"/>
    <w:rsid w:val="00CA4FC0"/>
    <w:rsid w:val="00CA51CB"/>
    <w:rsid w:val="00CA5746"/>
    <w:rsid w:val="00CA593D"/>
    <w:rsid w:val="00CA5E3B"/>
    <w:rsid w:val="00CA5F2C"/>
    <w:rsid w:val="00CA5F2D"/>
    <w:rsid w:val="00CA5F87"/>
    <w:rsid w:val="00CA6299"/>
    <w:rsid w:val="00CA62B5"/>
    <w:rsid w:val="00CA659E"/>
    <w:rsid w:val="00CA6753"/>
    <w:rsid w:val="00CA6797"/>
    <w:rsid w:val="00CA67AC"/>
    <w:rsid w:val="00CA6822"/>
    <w:rsid w:val="00CA6B1D"/>
    <w:rsid w:val="00CA6B4D"/>
    <w:rsid w:val="00CA6BBF"/>
    <w:rsid w:val="00CA6FDF"/>
    <w:rsid w:val="00CA710E"/>
    <w:rsid w:val="00CA76A6"/>
    <w:rsid w:val="00CA76AF"/>
    <w:rsid w:val="00CA77B9"/>
    <w:rsid w:val="00CA7976"/>
    <w:rsid w:val="00CA7989"/>
    <w:rsid w:val="00CA7AC3"/>
    <w:rsid w:val="00CA7C46"/>
    <w:rsid w:val="00CA7C85"/>
    <w:rsid w:val="00CA7D07"/>
    <w:rsid w:val="00CB01F0"/>
    <w:rsid w:val="00CB02A1"/>
    <w:rsid w:val="00CB02A4"/>
    <w:rsid w:val="00CB02F3"/>
    <w:rsid w:val="00CB05C8"/>
    <w:rsid w:val="00CB075B"/>
    <w:rsid w:val="00CB07D4"/>
    <w:rsid w:val="00CB0C30"/>
    <w:rsid w:val="00CB0DD5"/>
    <w:rsid w:val="00CB0FE6"/>
    <w:rsid w:val="00CB1027"/>
    <w:rsid w:val="00CB11D0"/>
    <w:rsid w:val="00CB140B"/>
    <w:rsid w:val="00CB1637"/>
    <w:rsid w:val="00CB1AE6"/>
    <w:rsid w:val="00CB1D82"/>
    <w:rsid w:val="00CB1E9B"/>
    <w:rsid w:val="00CB2074"/>
    <w:rsid w:val="00CB2364"/>
    <w:rsid w:val="00CB2459"/>
    <w:rsid w:val="00CB24A9"/>
    <w:rsid w:val="00CB2633"/>
    <w:rsid w:val="00CB264F"/>
    <w:rsid w:val="00CB2C45"/>
    <w:rsid w:val="00CB2CDF"/>
    <w:rsid w:val="00CB2D6A"/>
    <w:rsid w:val="00CB2DAD"/>
    <w:rsid w:val="00CB2EE3"/>
    <w:rsid w:val="00CB3071"/>
    <w:rsid w:val="00CB31D9"/>
    <w:rsid w:val="00CB3578"/>
    <w:rsid w:val="00CB36A0"/>
    <w:rsid w:val="00CB3B98"/>
    <w:rsid w:val="00CB3BA3"/>
    <w:rsid w:val="00CB3BB9"/>
    <w:rsid w:val="00CB3C26"/>
    <w:rsid w:val="00CB3DC0"/>
    <w:rsid w:val="00CB3E81"/>
    <w:rsid w:val="00CB3E87"/>
    <w:rsid w:val="00CB42C7"/>
    <w:rsid w:val="00CB430E"/>
    <w:rsid w:val="00CB449F"/>
    <w:rsid w:val="00CB4A0F"/>
    <w:rsid w:val="00CB4A17"/>
    <w:rsid w:val="00CB4B04"/>
    <w:rsid w:val="00CB4DBB"/>
    <w:rsid w:val="00CB4EC9"/>
    <w:rsid w:val="00CB502B"/>
    <w:rsid w:val="00CB5135"/>
    <w:rsid w:val="00CB5197"/>
    <w:rsid w:val="00CB538A"/>
    <w:rsid w:val="00CB53F1"/>
    <w:rsid w:val="00CB5523"/>
    <w:rsid w:val="00CB5ABB"/>
    <w:rsid w:val="00CB5CB5"/>
    <w:rsid w:val="00CB5DE1"/>
    <w:rsid w:val="00CB5EB9"/>
    <w:rsid w:val="00CB5F1C"/>
    <w:rsid w:val="00CB6021"/>
    <w:rsid w:val="00CB6206"/>
    <w:rsid w:val="00CB6323"/>
    <w:rsid w:val="00CB645E"/>
    <w:rsid w:val="00CB65CD"/>
    <w:rsid w:val="00CB671F"/>
    <w:rsid w:val="00CB678E"/>
    <w:rsid w:val="00CB682C"/>
    <w:rsid w:val="00CB68C1"/>
    <w:rsid w:val="00CB6A45"/>
    <w:rsid w:val="00CB6D58"/>
    <w:rsid w:val="00CB733A"/>
    <w:rsid w:val="00CB740C"/>
    <w:rsid w:val="00CB74A0"/>
    <w:rsid w:val="00CB7588"/>
    <w:rsid w:val="00CB7607"/>
    <w:rsid w:val="00CB783E"/>
    <w:rsid w:val="00CB7AC5"/>
    <w:rsid w:val="00CB7C97"/>
    <w:rsid w:val="00CB7E50"/>
    <w:rsid w:val="00CB7EA7"/>
    <w:rsid w:val="00CB7ECF"/>
    <w:rsid w:val="00CC0164"/>
    <w:rsid w:val="00CC01CA"/>
    <w:rsid w:val="00CC04D9"/>
    <w:rsid w:val="00CC0632"/>
    <w:rsid w:val="00CC0AAF"/>
    <w:rsid w:val="00CC0B92"/>
    <w:rsid w:val="00CC0CC7"/>
    <w:rsid w:val="00CC0CFA"/>
    <w:rsid w:val="00CC0DA6"/>
    <w:rsid w:val="00CC122C"/>
    <w:rsid w:val="00CC1642"/>
    <w:rsid w:val="00CC18C8"/>
    <w:rsid w:val="00CC194C"/>
    <w:rsid w:val="00CC1AC6"/>
    <w:rsid w:val="00CC1E71"/>
    <w:rsid w:val="00CC1FAD"/>
    <w:rsid w:val="00CC212B"/>
    <w:rsid w:val="00CC21D0"/>
    <w:rsid w:val="00CC22E7"/>
    <w:rsid w:val="00CC2318"/>
    <w:rsid w:val="00CC23FF"/>
    <w:rsid w:val="00CC264A"/>
    <w:rsid w:val="00CC270A"/>
    <w:rsid w:val="00CC2AE8"/>
    <w:rsid w:val="00CC2DCB"/>
    <w:rsid w:val="00CC2FE4"/>
    <w:rsid w:val="00CC3337"/>
    <w:rsid w:val="00CC3432"/>
    <w:rsid w:val="00CC35D9"/>
    <w:rsid w:val="00CC36C3"/>
    <w:rsid w:val="00CC374F"/>
    <w:rsid w:val="00CC3786"/>
    <w:rsid w:val="00CC3795"/>
    <w:rsid w:val="00CC399F"/>
    <w:rsid w:val="00CC39D6"/>
    <w:rsid w:val="00CC3ACB"/>
    <w:rsid w:val="00CC3ED3"/>
    <w:rsid w:val="00CC3F3F"/>
    <w:rsid w:val="00CC3FDC"/>
    <w:rsid w:val="00CC4253"/>
    <w:rsid w:val="00CC4450"/>
    <w:rsid w:val="00CC46B4"/>
    <w:rsid w:val="00CC513A"/>
    <w:rsid w:val="00CC51DE"/>
    <w:rsid w:val="00CC522C"/>
    <w:rsid w:val="00CC52B8"/>
    <w:rsid w:val="00CC53DF"/>
    <w:rsid w:val="00CC590E"/>
    <w:rsid w:val="00CC5A56"/>
    <w:rsid w:val="00CC5FCF"/>
    <w:rsid w:val="00CC6036"/>
    <w:rsid w:val="00CC66B5"/>
    <w:rsid w:val="00CC66C8"/>
    <w:rsid w:val="00CC67E3"/>
    <w:rsid w:val="00CC6A38"/>
    <w:rsid w:val="00CC6C69"/>
    <w:rsid w:val="00CC6D45"/>
    <w:rsid w:val="00CC6D8A"/>
    <w:rsid w:val="00CC6F7B"/>
    <w:rsid w:val="00CC6FE2"/>
    <w:rsid w:val="00CC70F5"/>
    <w:rsid w:val="00CC735D"/>
    <w:rsid w:val="00CC7488"/>
    <w:rsid w:val="00CC75E3"/>
    <w:rsid w:val="00CC775E"/>
    <w:rsid w:val="00CC7810"/>
    <w:rsid w:val="00CC7880"/>
    <w:rsid w:val="00CC7962"/>
    <w:rsid w:val="00CC79A2"/>
    <w:rsid w:val="00CC7B4A"/>
    <w:rsid w:val="00CC7BD6"/>
    <w:rsid w:val="00CD03B9"/>
    <w:rsid w:val="00CD04F1"/>
    <w:rsid w:val="00CD0690"/>
    <w:rsid w:val="00CD0DA1"/>
    <w:rsid w:val="00CD1156"/>
    <w:rsid w:val="00CD175A"/>
    <w:rsid w:val="00CD1C5F"/>
    <w:rsid w:val="00CD1D72"/>
    <w:rsid w:val="00CD2223"/>
    <w:rsid w:val="00CD233B"/>
    <w:rsid w:val="00CD25D9"/>
    <w:rsid w:val="00CD2672"/>
    <w:rsid w:val="00CD2850"/>
    <w:rsid w:val="00CD29A0"/>
    <w:rsid w:val="00CD2B8B"/>
    <w:rsid w:val="00CD2DCC"/>
    <w:rsid w:val="00CD2E47"/>
    <w:rsid w:val="00CD2E70"/>
    <w:rsid w:val="00CD2E89"/>
    <w:rsid w:val="00CD2FAE"/>
    <w:rsid w:val="00CD30DA"/>
    <w:rsid w:val="00CD3245"/>
    <w:rsid w:val="00CD3897"/>
    <w:rsid w:val="00CD3B2B"/>
    <w:rsid w:val="00CD3C10"/>
    <w:rsid w:val="00CD3F06"/>
    <w:rsid w:val="00CD3FB1"/>
    <w:rsid w:val="00CD4062"/>
    <w:rsid w:val="00CD4165"/>
    <w:rsid w:val="00CD4278"/>
    <w:rsid w:val="00CD42A4"/>
    <w:rsid w:val="00CD4460"/>
    <w:rsid w:val="00CD48F2"/>
    <w:rsid w:val="00CD4D8D"/>
    <w:rsid w:val="00CD4F41"/>
    <w:rsid w:val="00CD4F50"/>
    <w:rsid w:val="00CD509F"/>
    <w:rsid w:val="00CD5170"/>
    <w:rsid w:val="00CD5809"/>
    <w:rsid w:val="00CD5953"/>
    <w:rsid w:val="00CD5A4C"/>
    <w:rsid w:val="00CD5A8C"/>
    <w:rsid w:val="00CD5D73"/>
    <w:rsid w:val="00CD5DBF"/>
    <w:rsid w:val="00CD6122"/>
    <w:rsid w:val="00CD6149"/>
    <w:rsid w:val="00CD62A2"/>
    <w:rsid w:val="00CD64CA"/>
    <w:rsid w:val="00CD654D"/>
    <w:rsid w:val="00CD66A9"/>
    <w:rsid w:val="00CD682E"/>
    <w:rsid w:val="00CD68E1"/>
    <w:rsid w:val="00CD6A6A"/>
    <w:rsid w:val="00CD7033"/>
    <w:rsid w:val="00CD7133"/>
    <w:rsid w:val="00CD71E5"/>
    <w:rsid w:val="00CD721A"/>
    <w:rsid w:val="00CD756D"/>
    <w:rsid w:val="00CD75F0"/>
    <w:rsid w:val="00CD76AE"/>
    <w:rsid w:val="00CD7AD0"/>
    <w:rsid w:val="00CD7C29"/>
    <w:rsid w:val="00CD7DBC"/>
    <w:rsid w:val="00CD7E65"/>
    <w:rsid w:val="00CD7FF6"/>
    <w:rsid w:val="00CE001F"/>
    <w:rsid w:val="00CE0096"/>
    <w:rsid w:val="00CE0260"/>
    <w:rsid w:val="00CE0570"/>
    <w:rsid w:val="00CE067E"/>
    <w:rsid w:val="00CE06F6"/>
    <w:rsid w:val="00CE0835"/>
    <w:rsid w:val="00CE0943"/>
    <w:rsid w:val="00CE125B"/>
    <w:rsid w:val="00CE12B8"/>
    <w:rsid w:val="00CE17D9"/>
    <w:rsid w:val="00CE1964"/>
    <w:rsid w:val="00CE2111"/>
    <w:rsid w:val="00CE223D"/>
    <w:rsid w:val="00CE272E"/>
    <w:rsid w:val="00CE28F8"/>
    <w:rsid w:val="00CE2F66"/>
    <w:rsid w:val="00CE2F9F"/>
    <w:rsid w:val="00CE2FC6"/>
    <w:rsid w:val="00CE355A"/>
    <w:rsid w:val="00CE3701"/>
    <w:rsid w:val="00CE379F"/>
    <w:rsid w:val="00CE3834"/>
    <w:rsid w:val="00CE3A32"/>
    <w:rsid w:val="00CE3A58"/>
    <w:rsid w:val="00CE3AF8"/>
    <w:rsid w:val="00CE3D81"/>
    <w:rsid w:val="00CE3EF7"/>
    <w:rsid w:val="00CE4020"/>
    <w:rsid w:val="00CE41B4"/>
    <w:rsid w:val="00CE455C"/>
    <w:rsid w:val="00CE4624"/>
    <w:rsid w:val="00CE47B9"/>
    <w:rsid w:val="00CE4897"/>
    <w:rsid w:val="00CE4A1F"/>
    <w:rsid w:val="00CE4A8B"/>
    <w:rsid w:val="00CE4D25"/>
    <w:rsid w:val="00CE4E23"/>
    <w:rsid w:val="00CE51A1"/>
    <w:rsid w:val="00CE5330"/>
    <w:rsid w:val="00CE53E5"/>
    <w:rsid w:val="00CE55EB"/>
    <w:rsid w:val="00CE56B6"/>
    <w:rsid w:val="00CE5816"/>
    <w:rsid w:val="00CE5AA8"/>
    <w:rsid w:val="00CE5B34"/>
    <w:rsid w:val="00CE5C05"/>
    <w:rsid w:val="00CE5CFD"/>
    <w:rsid w:val="00CE5ED4"/>
    <w:rsid w:val="00CE6143"/>
    <w:rsid w:val="00CE685E"/>
    <w:rsid w:val="00CE6D3F"/>
    <w:rsid w:val="00CE6FD9"/>
    <w:rsid w:val="00CE7455"/>
    <w:rsid w:val="00CE7567"/>
    <w:rsid w:val="00CE75FE"/>
    <w:rsid w:val="00CE7692"/>
    <w:rsid w:val="00CE7834"/>
    <w:rsid w:val="00CE7A88"/>
    <w:rsid w:val="00CE7AAC"/>
    <w:rsid w:val="00CE7B24"/>
    <w:rsid w:val="00CE7B25"/>
    <w:rsid w:val="00CE7C2C"/>
    <w:rsid w:val="00CE7DC4"/>
    <w:rsid w:val="00CF0501"/>
    <w:rsid w:val="00CF0518"/>
    <w:rsid w:val="00CF0B3D"/>
    <w:rsid w:val="00CF0D3B"/>
    <w:rsid w:val="00CF0F5D"/>
    <w:rsid w:val="00CF1409"/>
    <w:rsid w:val="00CF14E6"/>
    <w:rsid w:val="00CF14FC"/>
    <w:rsid w:val="00CF1F9E"/>
    <w:rsid w:val="00CF20B0"/>
    <w:rsid w:val="00CF22C3"/>
    <w:rsid w:val="00CF2327"/>
    <w:rsid w:val="00CF23F0"/>
    <w:rsid w:val="00CF2478"/>
    <w:rsid w:val="00CF24AE"/>
    <w:rsid w:val="00CF27A7"/>
    <w:rsid w:val="00CF28A7"/>
    <w:rsid w:val="00CF2A7E"/>
    <w:rsid w:val="00CF2CA6"/>
    <w:rsid w:val="00CF2CB6"/>
    <w:rsid w:val="00CF2E70"/>
    <w:rsid w:val="00CF302F"/>
    <w:rsid w:val="00CF365B"/>
    <w:rsid w:val="00CF37E4"/>
    <w:rsid w:val="00CF37EE"/>
    <w:rsid w:val="00CF38A4"/>
    <w:rsid w:val="00CF399E"/>
    <w:rsid w:val="00CF3C3E"/>
    <w:rsid w:val="00CF3E36"/>
    <w:rsid w:val="00CF407A"/>
    <w:rsid w:val="00CF4233"/>
    <w:rsid w:val="00CF4497"/>
    <w:rsid w:val="00CF45B8"/>
    <w:rsid w:val="00CF49D8"/>
    <w:rsid w:val="00CF4F85"/>
    <w:rsid w:val="00CF4FC8"/>
    <w:rsid w:val="00CF536E"/>
    <w:rsid w:val="00CF53C9"/>
    <w:rsid w:val="00CF5527"/>
    <w:rsid w:val="00CF554C"/>
    <w:rsid w:val="00CF581C"/>
    <w:rsid w:val="00CF5994"/>
    <w:rsid w:val="00CF5A0B"/>
    <w:rsid w:val="00CF5CE3"/>
    <w:rsid w:val="00CF60C7"/>
    <w:rsid w:val="00CF627B"/>
    <w:rsid w:val="00CF6280"/>
    <w:rsid w:val="00CF62C7"/>
    <w:rsid w:val="00CF6493"/>
    <w:rsid w:val="00CF649C"/>
    <w:rsid w:val="00CF6843"/>
    <w:rsid w:val="00CF6947"/>
    <w:rsid w:val="00CF6AFB"/>
    <w:rsid w:val="00CF6D74"/>
    <w:rsid w:val="00CF6FB3"/>
    <w:rsid w:val="00CF7167"/>
    <w:rsid w:val="00CF7296"/>
    <w:rsid w:val="00CF74AF"/>
    <w:rsid w:val="00CF766A"/>
    <w:rsid w:val="00CF76A4"/>
    <w:rsid w:val="00CF77E4"/>
    <w:rsid w:val="00D001FE"/>
    <w:rsid w:val="00D00311"/>
    <w:rsid w:val="00D00418"/>
    <w:rsid w:val="00D0050D"/>
    <w:rsid w:val="00D009C2"/>
    <w:rsid w:val="00D00BDF"/>
    <w:rsid w:val="00D00C4B"/>
    <w:rsid w:val="00D00D35"/>
    <w:rsid w:val="00D00F96"/>
    <w:rsid w:val="00D0188E"/>
    <w:rsid w:val="00D01D00"/>
    <w:rsid w:val="00D01F6E"/>
    <w:rsid w:val="00D02733"/>
    <w:rsid w:val="00D02B99"/>
    <w:rsid w:val="00D02D76"/>
    <w:rsid w:val="00D03115"/>
    <w:rsid w:val="00D0311D"/>
    <w:rsid w:val="00D0315B"/>
    <w:rsid w:val="00D03266"/>
    <w:rsid w:val="00D0368D"/>
    <w:rsid w:val="00D03740"/>
    <w:rsid w:val="00D037EF"/>
    <w:rsid w:val="00D03B13"/>
    <w:rsid w:val="00D03B38"/>
    <w:rsid w:val="00D03F51"/>
    <w:rsid w:val="00D040EA"/>
    <w:rsid w:val="00D04197"/>
    <w:rsid w:val="00D041AC"/>
    <w:rsid w:val="00D0423C"/>
    <w:rsid w:val="00D044E6"/>
    <w:rsid w:val="00D04A72"/>
    <w:rsid w:val="00D04D15"/>
    <w:rsid w:val="00D04F89"/>
    <w:rsid w:val="00D05326"/>
    <w:rsid w:val="00D05540"/>
    <w:rsid w:val="00D05704"/>
    <w:rsid w:val="00D05903"/>
    <w:rsid w:val="00D05972"/>
    <w:rsid w:val="00D05C66"/>
    <w:rsid w:val="00D05D7A"/>
    <w:rsid w:val="00D06232"/>
    <w:rsid w:val="00D065A7"/>
    <w:rsid w:val="00D06670"/>
    <w:rsid w:val="00D068CB"/>
    <w:rsid w:val="00D069DD"/>
    <w:rsid w:val="00D07302"/>
    <w:rsid w:val="00D0771B"/>
    <w:rsid w:val="00D07AAC"/>
    <w:rsid w:val="00D07B4F"/>
    <w:rsid w:val="00D07CEA"/>
    <w:rsid w:val="00D07CFD"/>
    <w:rsid w:val="00D101EE"/>
    <w:rsid w:val="00D1034B"/>
    <w:rsid w:val="00D10476"/>
    <w:rsid w:val="00D10A67"/>
    <w:rsid w:val="00D10ADB"/>
    <w:rsid w:val="00D10B91"/>
    <w:rsid w:val="00D10DD7"/>
    <w:rsid w:val="00D10F04"/>
    <w:rsid w:val="00D11518"/>
    <w:rsid w:val="00D11582"/>
    <w:rsid w:val="00D11E1A"/>
    <w:rsid w:val="00D1210E"/>
    <w:rsid w:val="00D12125"/>
    <w:rsid w:val="00D12195"/>
    <w:rsid w:val="00D1228B"/>
    <w:rsid w:val="00D12668"/>
    <w:rsid w:val="00D127C0"/>
    <w:rsid w:val="00D12C26"/>
    <w:rsid w:val="00D12D03"/>
    <w:rsid w:val="00D12F34"/>
    <w:rsid w:val="00D13137"/>
    <w:rsid w:val="00D13171"/>
    <w:rsid w:val="00D131C2"/>
    <w:rsid w:val="00D132CC"/>
    <w:rsid w:val="00D13345"/>
    <w:rsid w:val="00D13552"/>
    <w:rsid w:val="00D135CB"/>
    <w:rsid w:val="00D135FD"/>
    <w:rsid w:val="00D136DE"/>
    <w:rsid w:val="00D13BBD"/>
    <w:rsid w:val="00D13EAF"/>
    <w:rsid w:val="00D14120"/>
    <w:rsid w:val="00D141E9"/>
    <w:rsid w:val="00D14258"/>
    <w:rsid w:val="00D142A3"/>
    <w:rsid w:val="00D1464A"/>
    <w:rsid w:val="00D146EA"/>
    <w:rsid w:val="00D14906"/>
    <w:rsid w:val="00D14BBA"/>
    <w:rsid w:val="00D14E5F"/>
    <w:rsid w:val="00D14E99"/>
    <w:rsid w:val="00D14EBA"/>
    <w:rsid w:val="00D14F8D"/>
    <w:rsid w:val="00D15175"/>
    <w:rsid w:val="00D15182"/>
    <w:rsid w:val="00D151B4"/>
    <w:rsid w:val="00D15583"/>
    <w:rsid w:val="00D15677"/>
    <w:rsid w:val="00D156BA"/>
    <w:rsid w:val="00D1570F"/>
    <w:rsid w:val="00D1584E"/>
    <w:rsid w:val="00D15CC2"/>
    <w:rsid w:val="00D15CF7"/>
    <w:rsid w:val="00D15D98"/>
    <w:rsid w:val="00D1609F"/>
    <w:rsid w:val="00D1617C"/>
    <w:rsid w:val="00D163B7"/>
    <w:rsid w:val="00D164DA"/>
    <w:rsid w:val="00D1653B"/>
    <w:rsid w:val="00D165DA"/>
    <w:rsid w:val="00D16987"/>
    <w:rsid w:val="00D16AD0"/>
    <w:rsid w:val="00D16C5D"/>
    <w:rsid w:val="00D16F4F"/>
    <w:rsid w:val="00D17033"/>
    <w:rsid w:val="00D170D3"/>
    <w:rsid w:val="00D171E1"/>
    <w:rsid w:val="00D17410"/>
    <w:rsid w:val="00D1748F"/>
    <w:rsid w:val="00D17573"/>
    <w:rsid w:val="00D175B5"/>
    <w:rsid w:val="00D175BA"/>
    <w:rsid w:val="00D17773"/>
    <w:rsid w:val="00D178AA"/>
    <w:rsid w:val="00D179B3"/>
    <w:rsid w:val="00D17B89"/>
    <w:rsid w:val="00D17E14"/>
    <w:rsid w:val="00D2021F"/>
    <w:rsid w:val="00D204D5"/>
    <w:rsid w:val="00D20C54"/>
    <w:rsid w:val="00D20CB3"/>
    <w:rsid w:val="00D20D97"/>
    <w:rsid w:val="00D21421"/>
    <w:rsid w:val="00D21816"/>
    <w:rsid w:val="00D21989"/>
    <w:rsid w:val="00D219AF"/>
    <w:rsid w:val="00D21A95"/>
    <w:rsid w:val="00D21BF7"/>
    <w:rsid w:val="00D21D33"/>
    <w:rsid w:val="00D21FC3"/>
    <w:rsid w:val="00D220D7"/>
    <w:rsid w:val="00D222BD"/>
    <w:rsid w:val="00D224EE"/>
    <w:rsid w:val="00D228BB"/>
    <w:rsid w:val="00D22B16"/>
    <w:rsid w:val="00D22B4D"/>
    <w:rsid w:val="00D22C9C"/>
    <w:rsid w:val="00D22CD3"/>
    <w:rsid w:val="00D22DC1"/>
    <w:rsid w:val="00D23003"/>
    <w:rsid w:val="00D23138"/>
    <w:rsid w:val="00D231CE"/>
    <w:rsid w:val="00D232CA"/>
    <w:rsid w:val="00D23431"/>
    <w:rsid w:val="00D23514"/>
    <w:rsid w:val="00D235E9"/>
    <w:rsid w:val="00D236CD"/>
    <w:rsid w:val="00D23710"/>
    <w:rsid w:val="00D23910"/>
    <w:rsid w:val="00D23966"/>
    <w:rsid w:val="00D239D6"/>
    <w:rsid w:val="00D23A85"/>
    <w:rsid w:val="00D23C82"/>
    <w:rsid w:val="00D240F0"/>
    <w:rsid w:val="00D2425F"/>
    <w:rsid w:val="00D243FB"/>
    <w:rsid w:val="00D244C0"/>
    <w:rsid w:val="00D245FD"/>
    <w:rsid w:val="00D2473C"/>
    <w:rsid w:val="00D24889"/>
    <w:rsid w:val="00D24D4B"/>
    <w:rsid w:val="00D24D75"/>
    <w:rsid w:val="00D25107"/>
    <w:rsid w:val="00D251C4"/>
    <w:rsid w:val="00D251CF"/>
    <w:rsid w:val="00D252F9"/>
    <w:rsid w:val="00D2578E"/>
    <w:rsid w:val="00D2581D"/>
    <w:rsid w:val="00D25AD5"/>
    <w:rsid w:val="00D25CAE"/>
    <w:rsid w:val="00D25E0C"/>
    <w:rsid w:val="00D25ED9"/>
    <w:rsid w:val="00D25F61"/>
    <w:rsid w:val="00D25FC7"/>
    <w:rsid w:val="00D2611F"/>
    <w:rsid w:val="00D268E7"/>
    <w:rsid w:val="00D26BF3"/>
    <w:rsid w:val="00D26EA2"/>
    <w:rsid w:val="00D27009"/>
    <w:rsid w:val="00D271B1"/>
    <w:rsid w:val="00D27533"/>
    <w:rsid w:val="00D27703"/>
    <w:rsid w:val="00D27BED"/>
    <w:rsid w:val="00D27CB8"/>
    <w:rsid w:val="00D27DAF"/>
    <w:rsid w:val="00D27DF4"/>
    <w:rsid w:val="00D27F91"/>
    <w:rsid w:val="00D30145"/>
    <w:rsid w:val="00D30644"/>
    <w:rsid w:val="00D3083F"/>
    <w:rsid w:val="00D308EA"/>
    <w:rsid w:val="00D30A60"/>
    <w:rsid w:val="00D30F51"/>
    <w:rsid w:val="00D30FD5"/>
    <w:rsid w:val="00D313E4"/>
    <w:rsid w:val="00D3185F"/>
    <w:rsid w:val="00D31A52"/>
    <w:rsid w:val="00D31B2B"/>
    <w:rsid w:val="00D31E52"/>
    <w:rsid w:val="00D32116"/>
    <w:rsid w:val="00D32386"/>
    <w:rsid w:val="00D32439"/>
    <w:rsid w:val="00D32764"/>
    <w:rsid w:val="00D329C9"/>
    <w:rsid w:val="00D32A18"/>
    <w:rsid w:val="00D32AD7"/>
    <w:rsid w:val="00D32D1C"/>
    <w:rsid w:val="00D32E64"/>
    <w:rsid w:val="00D32F75"/>
    <w:rsid w:val="00D33158"/>
    <w:rsid w:val="00D33619"/>
    <w:rsid w:val="00D33688"/>
    <w:rsid w:val="00D3370F"/>
    <w:rsid w:val="00D337F3"/>
    <w:rsid w:val="00D33EBB"/>
    <w:rsid w:val="00D340E9"/>
    <w:rsid w:val="00D34448"/>
    <w:rsid w:val="00D345EB"/>
    <w:rsid w:val="00D346F7"/>
    <w:rsid w:val="00D348BB"/>
    <w:rsid w:val="00D3492C"/>
    <w:rsid w:val="00D34DFE"/>
    <w:rsid w:val="00D35239"/>
    <w:rsid w:val="00D35386"/>
    <w:rsid w:val="00D353ED"/>
    <w:rsid w:val="00D354FE"/>
    <w:rsid w:val="00D357F9"/>
    <w:rsid w:val="00D35BDB"/>
    <w:rsid w:val="00D35D8E"/>
    <w:rsid w:val="00D35DF7"/>
    <w:rsid w:val="00D35FE7"/>
    <w:rsid w:val="00D36064"/>
    <w:rsid w:val="00D36093"/>
    <w:rsid w:val="00D3647B"/>
    <w:rsid w:val="00D365DF"/>
    <w:rsid w:val="00D3663C"/>
    <w:rsid w:val="00D368DD"/>
    <w:rsid w:val="00D36A51"/>
    <w:rsid w:val="00D36AB2"/>
    <w:rsid w:val="00D36B84"/>
    <w:rsid w:val="00D36C23"/>
    <w:rsid w:val="00D36C3B"/>
    <w:rsid w:val="00D371B7"/>
    <w:rsid w:val="00D372C1"/>
    <w:rsid w:val="00D373AE"/>
    <w:rsid w:val="00D37553"/>
    <w:rsid w:val="00D37748"/>
    <w:rsid w:val="00D37951"/>
    <w:rsid w:val="00D37A0B"/>
    <w:rsid w:val="00D37B61"/>
    <w:rsid w:val="00D37E06"/>
    <w:rsid w:val="00D40302"/>
    <w:rsid w:val="00D4030C"/>
    <w:rsid w:val="00D405BA"/>
    <w:rsid w:val="00D405E9"/>
    <w:rsid w:val="00D40689"/>
    <w:rsid w:val="00D40A04"/>
    <w:rsid w:val="00D40B07"/>
    <w:rsid w:val="00D40BD3"/>
    <w:rsid w:val="00D40DCE"/>
    <w:rsid w:val="00D40E0C"/>
    <w:rsid w:val="00D40E5C"/>
    <w:rsid w:val="00D411C5"/>
    <w:rsid w:val="00D41424"/>
    <w:rsid w:val="00D4156F"/>
    <w:rsid w:val="00D41638"/>
    <w:rsid w:val="00D41896"/>
    <w:rsid w:val="00D41CF9"/>
    <w:rsid w:val="00D41D0F"/>
    <w:rsid w:val="00D41F15"/>
    <w:rsid w:val="00D41FC4"/>
    <w:rsid w:val="00D42070"/>
    <w:rsid w:val="00D42077"/>
    <w:rsid w:val="00D421BB"/>
    <w:rsid w:val="00D421EE"/>
    <w:rsid w:val="00D4240B"/>
    <w:rsid w:val="00D424F6"/>
    <w:rsid w:val="00D42635"/>
    <w:rsid w:val="00D426FD"/>
    <w:rsid w:val="00D429DE"/>
    <w:rsid w:val="00D42A5A"/>
    <w:rsid w:val="00D42C40"/>
    <w:rsid w:val="00D42D9D"/>
    <w:rsid w:val="00D42DF5"/>
    <w:rsid w:val="00D42F97"/>
    <w:rsid w:val="00D42FE8"/>
    <w:rsid w:val="00D42FF3"/>
    <w:rsid w:val="00D430B7"/>
    <w:rsid w:val="00D43891"/>
    <w:rsid w:val="00D43A52"/>
    <w:rsid w:val="00D43A96"/>
    <w:rsid w:val="00D43AB2"/>
    <w:rsid w:val="00D43BED"/>
    <w:rsid w:val="00D43C55"/>
    <w:rsid w:val="00D43DE3"/>
    <w:rsid w:val="00D440C3"/>
    <w:rsid w:val="00D44206"/>
    <w:rsid w:val="00D44210"/>
    <w:rsid w:val="00D4442B"/>
    <w:rsid w:val="00D44513"/>
    <w:rsid w:val="00D447C6"/>
    <w:rsid w:val="00D449B2"/>
    <w:rsid w:val="00D44C4A"/>
    <w:rsid w:val="00D44CC4"/>
    <w:rsid w:val="00D44D8B"/>
    <w:rsid w:val="00D44F79"/>
    <w:rsid w:val="00D45198"/>
    <w:rsid w:val="00D45379"/>
    <w:rsid w:val="00D45506"/>
    <w:rsid w:val="00D4574E"/>
    <w:rsid w:val="00D457E3"/>
    <w:rsid w:val="00D4593E"/>
    <w:rsid w:val="00D45B89"/>
    <w:rsid w:val="00D45F31"/>
    <w:rsid w:val="00D4672B"/>
    <w:rsid w:val="00D4672D"/>
    <w:rsid w:val="00D469D4"/>
    <w:rsid w:val="00D46AD1"/>
    <w:rsid w:val="00D46B04"/>
    <w:rsid w:val="00D46BD6"/>
    <w:rsid w:val="00D46FF7"/>
    <w:rsid w:val="00D4709B"/>
    <w:rsid w:val="00D4720F"/>
    <w:rsid w:val="00D4726F"/>
    <w:rsid w:val="00D473A7"/>
    <w:rsid w:val="00D473F1"/>
    <w:rsid w:val="00D474B8"/>
    <w:rsid w:val="00D474D8"/>
    <w:rsid w:val="00D475F1"/>
    <w:rsid w:val="00D47768"/>
    <w:rsid w:val="00D477C7"/>
    <w:rsid w:val="00D47867"/>
    <w:rsid w:val="00D4787D"/>
    <w:rsid w:val="00D47933"/>
    <w:rsid w:val="00D47EE2"/>
    <w:rsid w:val="00D47F63"/>
    <w:rsid w:val="00D47F8D"/>
    <w:rsid w:val="00D50385"/>
    <w:rsid w:val="00D503B7"/>
    <w:rsid w:val="00D5042F"/>
    <w:rsid w:val="00D50589"/>
    <w:rsid w:val="00D50AEA"/>
    <w:rsid w:val="00D50BCB"/>
    <w:rsid w:val="00D50D35"/>
    <w:rsid w:val="00D50E97"/>
    <w:rsid w:val="00D50F62"/>
    <w:rsid w:val="00D5134E"/>
    <w:rsid w:val="00D51488"/>
    <w:rsid w:val="00D51609"/>
    <w:rsid w:val="00D5176B"/>
    <w:rsid w:val="00D51830"/>
    <w:rsid w:val="00D51D65"/>
    <w:rsid w:val="00D52316"/>
    <w:rsid w:val="00D52324"/>
    <w:rsid w:val="00D52771"/>
    <w:rsid w:val="00D52A33"/>
    <w:rsid w:val="00D530E8"/>
    <w:rsid w:val="00D5339F"/>
    <w:rsid w:val="00D538B8"/>
    <w:rsid w:val="00D538EE"/>
    <w:rsid w:val="00D53F3C"/>
    <w:rsid w:val="00D53F4C"/>
    <w:rsid w:val="00D54279"/>
    <w:rsid w:val="00D542C5"/>
    <w:rsid w:val="00D54322"/>
    <w:rsid w:val="00D54491"/>
    <w:rsid w:val="00D544B1"/>
    <w:rsid w:val="00D544B9"/>
    <w:rsid w:val="00D545A8"/>
    <w:rsid w:val="00D548A2"/>
    <w:rsid w:val="00D54C38"/>
    <w:rsid w:val="00D54DB4"/>
    <w:rsid w:val="00D54E96"/>
    <w:rsid w:val="00D54F49"/>
    <w:rsid w:val="00D55066"/>
    <w:rsid w:val="00D5520A"/>
    <w:rsid w:val="00D552F1"/>
    <w:rsid w:val="00D55344"/>
    <w:rsid w:val="00D553A2"/>
    <w:rsid w:val="00D55496"/>
    <w:rsid w:val="00D55509"/>
    <w:rsid w:val="00D555BC"/>
    <w:rsid w:val="00D555F9"/>
    <w:rsid w:val="00D556CE"/>
    <w:rsid w:val="00D5591B"/>
    <w:rsid w:val="00D55A55"/>
    <w:rsid w:val="00D55C03"/>
    <w:rsid w:val="00D55F6C"/>
    <w:rsid w:val="00D56046"/>
    <w:rsid w:val="00D560AE"/>
    <w:rsid w:val="00D56226"/>
    <w:rsid w:val="00D56231"/>
    <w:rsid w:val="00D5651D"/>
    <w:rsid w:val="00D56520"/>
    <w:rsid w:val="00D5669B"/>
    <w:rsid w:val="00D56EA6"/>
    <w:rsid w:val="00D56F42"/>
    <w:rsid w:val="00D57440"/>
    <w:rsid w:val="00D57840"/>
    <w:rsid w:val="00D57B4E"/>
    <w:rsid w:val="00D57CC3"/>
    <w:rsid w:val="00D57CE7"/>
    <w:rsid w:val="00D57EFA"/>
    <w:rsid w:val="00D60661"/>
    <w:rsid w:val="00D60807"/>
    <w:rsid w:val="00D608BB"/>
    <w:rsid w:val="00D60C62"/>
    <w:rsid w:val="00D60F6F"/>
    <w:rsid w:val="00D618DC"/>
    <w:rsid w:val="00D6191F"/>
    <w:rsid w:val="00D61A8D"/>
    <w:rsid w:val="00D61C70"/>
    <w:rsid w:val="00D61CB6"/>
    <w:rsid w:val="00D61EDC"/>
    <w:rsid w:val="00D61FD4"/>
    <w:rsid w:val="00D622DC"/>
    <w:rsid w:val="00D623F7"/>
    <w:rsid w:val="00D62565"/>
    <w:rsid w:val="00D6264B"/>
    <w:rsid w:val="00D626CD"/>
    <w:rsid w:val="00D627EA"/>
    <w:rsid w:val="00D6294C"/>
    <w:rsid w:val="00D62AB0"/>
    <w:rsid w:val="00D62B18"/>
    <w:rsid w:val="00D62C12"/>
    <w:rsid w:val="00D62D5C"/>
    <w:rsid w:val="00D62DA7"/>
    <w:rsid w:val="00D63034"/>
    <w:rsid w:val="00D6303C"/>
    <w:rsid w:val="00D63187"/>
    <w:rsid w:val="00D635B9"/>
    <w:rsid w:val="00D635C0"/>
    <w:rsid w:val="00D63643"/>
    <w:rsid w:val="00D63751"/>
    <w:rsid w:val="00D63D02"/>
    <w:rsid w:val="00D63FFA"/>
    <w:rsid w:val="00D64692"/>
    <w:rsid w:val="00D6469A"/>
    <w:rsid w:val="00D647BE"/>
    <w:rsid w:val="00D64953"/>
    <w:rsid w:val="00D649DA"/>
    <w:rsid w:val="00D64F9D"/>
    <w:rsid w:val="00D6505A"/>
    <w:rsid w:val="00D65252"/>
    <w:rsid w:val="00D655C3"/>
    <w:rsid w:val="00D655F7"/>
    <w:rsid w:val="00D65B97"/>
    <w:rsid w:val="00D65D64"/>
    <w:rsid w:val="00D65DDB"/>
    <w:rsid w:val="00D65E1F"/>
    <w:rsid w:val="00D65EBF"/>
    <w:rsid w:val="00D65EF9"/>
    <w:rsid w:val="00D66841"/>
    <w:rsid w:val="00D66862"/>
    <w:rsid w:val="00D66869"/>
    <w:rsid w:val="00D66D59"/>
    <w:rsid w:val="00D66D64"/>
    <w:rsid w:val="00D66DB3"/>
    <w:rsid w:val="00D67089"/>
    <w:rsid w:val="00D671B0"/>
    <w:rsid w:val="00D673FB"/>
    <w:rsid w:val="00D6753B"/>
    <w:rsid w:val="00D675ED"/>
    <w:rsid w:val="00D67B99"/>
    <w:rsid w:val="00D67E07"/>
    <w:rsid w:val="00D700B6"/>
    <w:rsid w:val="00D704B5"/>
    <w:rsid w:val="00D70545"/>
    <w:rsid w:val="00D70657"/>
    <w:rsid w:val="00D707FE"/>
    <w:rsid w:val="00D70855"/>
    <w:rsid w:val="00D7096B"/>
    <w:rsid w:val="00D709A6"/>
    <w:rsid w:val="00D70A11"/>
    <w:rsid w:val="00D70ABB"/>
    <w:rsid w:val="00D70B8E"/>
    <w:rsid w:val="00D70C14"/>
    <w:rsid w:val="00D70EF6"/>
    <w:rsid w:val="00D70F8C"/>
    <w:rsid w:val="00D71545"/>
    <w:rsid w:val="00D715C0"/>
    <w:rsid w:val="00D71701"/>
    <w:rsid w:val="00D71EE8"/>
    <w:rsid w:val="00D71EF4"/>
    <w:rsid w:val="00D720B2"/>
    <w:rsid w:val="00D721FE"/>
    <w:rsid w:val="00D722CF"/>
    <w:rsid w:val="00D72439"/>
    <w:rsid w:val="00D72485"/>
    <w:rsid w:val="00D72A23"/>
    <w:rsid w:val="00D72A60"/>
    <w:rsid w:val="00D72E76"/>
    <w:rsid w:val="00D72F6F"/>
    <w:rsid w:val="00D7312D"/>
    <w:rsid w:val="00D73515"/>
    <w:rsid w:val="00D73678"/>
    <w:rsid w:val="00D736C3"/>
    <w:rsid w:val="00D73AC0"/>
    <w:rsid w:val="00D73B7B"/>
    <w:rsid w:val="00D73CCB"/>
    <w:rsid w:val="00D73E60"/>
    <w:rsid w:val="00D742A7"/>
    <w:rsid w:val="00D74389"/>
    <w:rsid w:val="00D743A6"/>
    <w:rsid w:val="00D74711"/>
    <w:rsid w:val="00D747E0"/>
    <w:rsid w:val="00D74A30"/>
    <w:rsid w:val="00D74BAE"/>
    <w:rsid w:val="00D74C94"/>
    <w:rsid w:val="00D74D56"/>
    <w:rsid w:val="00D74E8F"/>
    <w:rsid w:val="00D75012"/>
    <w:rsid w:val="00D75254"/>
    <w:rsid w:val="00D752D2"/>
    <w:rsid w:val="00D753AD"/>
    <w:rsid w:val="00D75B9A"/>
    <w:rsid w:val="00D75CF9"/>
    <w:rsid w:val="00D75ED0"/>
    <w:rsid w:val="00D75F38"/>
    <w:rsid w:val="00D75F65"/>
    <w:rsid w:val="00D760D6"/>
    <w:rsid w:val="00D761CD"/>
    <w:rsid w:val="00D76431"/>
    <w:rsid w:val="00D766F4"/>
    <w:rsid w:val="00D7681B"/>
    <w:rsid w:val="00D76858"/>
    <w:rsid w:val="00D76C01"/>
    <w:rsid w:val="00D76CBE"/>
    <w:rsid w:val="00D76D26"/>
    <w:rsid w:val="00D76D82"/>
    <w:rsid w:val="00D76DB7"/>
    <w:rsid w:val="00D774CF"/>
    <w:rsid w:val="00D775E6"/>
    <w:rsid w:val="00D77A9A"/>
    <w:rsid w:val="00D77B92"/>
    <w:rsid w:val="00D77D53"/>
    <w:rsid w:val="00D77FA0"/>
    <w:rsid w:val="00D77FFE"/>
    <w:rsid w:val="00D80023"/>
    <w:rsid w:val="00D801CD"/>
    <w:rsid w:val="00D8036F"/>
    <w:rsid w:val="00D80391"/>
    <w:rsid w:val="00D804E9"/>
    <w:rsid w:val="00D805E3"/>
    <w:rsid w:val="00D80628"/>
    <w:rsid w:val="00D8066B"/>
    <w:rsid w:val="00D80756"/>
    <w:rsid w:val="00D80A6C"/>
    <w:rsid w:val="00D8116D"/>
    <w:rsid w:val="00D81227"/>
    <w:rsid w:val="00D81383"/>
    <w:rsid w:val="00D813B0"/>
    <w:rsid w:val="00D813FF"/>
    <w:rsid w:val="00D816D1"/>
    <w:rsid w:val="00D8175B"/>
    <w:rsid w:val="00D818B2"/>
    <w:rsid w:val="00D8193B"/>
    <w:rsid w:val="00D81A1E"/>
    <w:rsid w:val="00D81AA4"/>
    <w:rsid w:val="00D81AFB"/>
    <w:rsid w:val="00D81D23"/>
    <w:rsid w:val="00D81FDA"/>
    <w:rsid w:val="00D824EB"/>
    <w:rsid w:val="00D826A8"/>
    <w:rsid w:val="00D82AE2"/>
    <w:rsid w:val="00D82B75"/>
    <w:rsid w:val="00D82D36"/>
    <w:rsid w:val="00D82D9D"/>
    <w:rsid w:val="00D82E05"/>
    <w:rsid w:val="00D8304B"/>
    <w:rsid w:val="00D8306D"/>
    <w:rsid w:val="00D83869"/>
    <w:rsid w:val="00D838D6"/>
    <w:rsid w:val="00D8396A"/>
    <w:rsid w:val="00D8396C"/>
    <w:rsid w:val="00D83CCA"/>
    <w:rsid w:val="00D83CE1"/>
    <w:rsid w:val="00D83DCD"/>
    <w:rsid w:val="00D83E8E"/>
    <w:rsid w:val="00D84057"/>
    <w:rsid w:val="00D84152"/>
    <w:rsid w:val="00D841F9"/>
    <w:rsid w:val="00D84236"/>
    <w:rsid w:val="00D84244"/>
    <w:rsid w:val="00D843A1"/>
    <w:rsid w:val="00D84457"/>
    <w:rsid w:val="00D84564"/>
    <w:rsid w:val="00D845C9"/>
    <w:rsid w:val="00D84BE4"/>
    <w:rsid w:val="00D84C72"/>
    <w:rsid w:val="00D84CB8"/>
    <w:rsid w:val="00D84F59"/>
    <w:rsid w:val="00D84FAB"/>
    <w:rsid w:val="00D84FD6"/>
    <w:rsid w:val="00D8501D"/>
    <w:rsid w:val="00D851C4"/>
    <w:rsid w:val="00D8532A"/>
    <w:rsid w:val="00D85430"/>
    <w:rsid w:val="00D857B7"/>
    <w:rsid w:val="00D857C3"/>
    <w:rsid w:val="00D857F6"/>
    <w:rsid w:val="00D85D5E"/>
    <w:rsid w:val="00D863D0"/>
    <w:rsid w:val="00D863F3"/>
    <w:rsid w:val="00D864EF"/>
    <w:rsid w:val="00D86565"/>
    <w:rsid w:val="00D86862"/>
    <w:rsid w:val="00D869FE"/>
    <w:rsid w:val="00D86B1E"/>
    <w:rsid w:val="00D86B35"/>
    <w:rsid w:val="00D86E63"/>
    <w:rsid w:val="00D8705C"/>
    <w:rsid w:val="00D870A4"/>
    <w:rsid w:val="00D8753C"/>
    <w:rsid w:val="00D87570"/>
    <w:rsid w:val="00D87972"/>
    <w:rsid w:val="00D87A78"/>
    <w:rsid w:val="00D87AE7"/>
    <w:rsid w:val="00D87B0A"/>
    <w:rsid w:val="00D87BCE"/>
    <w:rsid w:val="00D90069"/>
    <w:rsid w:val="00D90276"/>
    <w:rsid w:val="00D9050F"/>
    <w:rsid w:val="00D90529"/>
    <w:rsid w:val="00D9053A"/>
    <w:rsid w:val="00D9092F"/>
    <w:rsid w:val="00D90B0B"/>
    <w:rsid w:val="00D90E2F"/>
    <w:rsid w:val="00D90EB7"/>
    <w:rsid w:val="00D9117D"/>
    <w:rsid w:val="00D912A7"/>
    <w:rsid w:val="00D912C5"/>
    <w:rsid w:val="00D918A2"/>
    <w:rsid w:val="00D91B36"/>
    <w:rsid w:val="00D92184"/>
    <w:rsid w:val="00D923DC"/>
    <w:rsid w:val="00D92568"/>
    <w:rsid w:val="00D925A9"/>
    <w:rsid w:val="00D9292E"/>
    <w:rsid w:val="00D92CED"/>
    <w:rsid w:val="00D92E2A"/>
    <w:rsid w:val="00D92FC1"/>
    <w:rsid w:val="00D936EA"/>
    <w:rsid w:val="00D93974"/>
    <w:rsid w:val="00D93A2B"/>
    <w:rsid w:val="00D93B84"/>
    <w:rsid w:val="00D9403B"/>
    <w:rsid w:val="00D9410C"/>
    <w:rsid w:val="00D9420F"/>
    <w:rsid w:val="00D9423D"/>
    <w:rsid w:val="00D9425B"/>
    <w:rsid w:val="00D94345"/>
    <w:rsid w:val="00D944F6"/>
    <w:rsid w:val="00D9456E"/>
    <w:rsid w:val="00D946DE"/>
    <w:rsid w:val="00D94729"/>
    <w:rsid w:val="00D94A5E"/>
    <w:rsid w:val="00D94A90"/>
    <w:rsid w:val="00D94B26"/>
    <w:rsid w:val="00D94C42"/>
    <w:rsid w:val="00D94C83"/>
    <w:rsid w:val="00D94CB5"/>
    <w:rsid w:val="00D94E14"/>
    <w:rsid w:val="00D94E64"/>
    <w:rsid w:val="00D94F2D"/>
    <w:rsid w:val="00D951AF"/>
    <w:rsid w:val="00D95205"/>
    <w:rsid w:val="00D9569E"/>
    <w:rsid w:val="00D95C22"/>
    <w:rsid w:val="00D961D4"/>
    <w:rsid w:val="00D96285"/>
    <w:rsid w:val="00D9635B"/>
    <w:rsid w:val="00D96777"/>
    <w:rsid w:val="00D967B1"/>
    <w:rsid w:val="00D96ACF"/>
    <w:rsid w:val="00D96B48"/>
    <w:rsid w:val="00D97072"/>
    <w:rsid w:val="00D970CC"/>
    <w:rsid w:val="00D970DC"/>
    <w:rsid w:val="00D97159"/>
    <w:rsid w:val="00D9719A"/>
    <w:rsid w:val="00D97239"/>
    <w:rsid w:val="00D97243"/>
    <w:rsid w:val="00D977B9"/>
    <w:rsid w:val="00D97877"/>
    <w:rsid w:val="00D978A8"/>
    <w:rsid w:val="00D97C65"/>
    <w:rsid w:val="00D97DFF"/>
    <w:rsid w:val="00DA0059"/>
    <w:rsid w:val="00DA04E0"/>
    <w:rsid w:val="00DA0519"/>
    <w:rsid w:val="00DA0CC0"/>
    <w:rsid w:val="00DA0E12"/>
    <w:rsid w:val="00DA0FA4"/>
    <w:rsid w:val="00DA10C4"/>
    <w:rsid w:val="00DA1448"/>
    <w:rsid w:val="00DA18AE"/>
    <w:rsid w:val="00DA1EA8"/>
    <w:rsid w:val="00DA1EDD"/>
    <w:rsid w:val="00DA1F90"/>
    <w:rsid w:val="00DA1FCC"/>
    <w:rsid w:val="00DA2465"/>
    <w:rsid w:val="00DA24D3"/>
    <w:rsid w:val="00DA2922"/>
    <w:rsid w:val="00DA2B2A"/>
    <w:rsid w:val="00DA2C72"/>
    <w:rsid w:val="00DA2D3B"/>
    <w:rsid w:val="00DA2D45"/>
    <w:rsid w:val="00DA2DCB"/>
    <w:rsid w:val="00DA2EF4"/>
    <w:rsid w:val="00DA3422"/>
    <w:rsid w:val="00DA3488"/>
    <w:rsid w:val="00DA384C"/>
    <w:rsid w:val="00DA397E"/>
    <w:rsid w:val="00DA3A3A"/>
    <w:rsid w:val="00DA3D5E"/>
    <w:rsid w:val="00DA3D61"/>
    <w:rsid w:val="00DA3FAD"/>
    <w:rsid w:val="00DA3FD8"/>
    <w:rsid w:val="00DA46BD"/>
    <w:rsid w:val="00DA46D1"/>
    <w:rsid w:val="00DA48EA"/>
    <w:rsid w:val="00DA4961"/>
    <w:rsid w:val="00DA49C8"/>
    <w:rsid w:val="00DA4A2B"/>
    <w:rsid w:val="00DA4A4E"/>
    <w:rsid w:val="00DA4CA7"/>
    <w:rsid w:val="00DA4D3A"/>
    <w:rsid w:val="00DA4E17"/>
    <w:rsid w:val="00DA5187"/>
    <w:rsid w:val="00DA5193"/>
    <w:rsid w:val="00DA5382"/>
    <w:rsid w:val="00DA53FB"/>
    <w:rsid w:val="00DA5567"/>
    <w:rsid w:val="00DA57C1"/>
    <w:rsid w:val="00DA57DF"/>
    <w:rsid w:val="00DA58C6"/>
    <w:rsid w:val="00DA5992"/>
    <w:rsid w:val="00DA5B19"/>
    <w:rsid w:val="00DA5BE8"/>
    <w:rsid w:val="00DA5E63"/>
    <w:rsid w:val="00DA5F38"/>
    <w:rsid w:val="00DA61AA"/>
    <w:rsid w:val="00DA61B1"/>
    <w:rsid w:val="00DA61E5"/>
    <w:rsid w:val="00DA621F"/>
    <w:rsid w:val="00DA63D3"/>
    <w:rsid w:val="00DA642E"/>
    <w:rsid w:val="00DA662F"/>
    <w:rsid w:val="00DA6673"/>
    <w:rsid w:val="00DA6700"/>
    <w:rsid w:val="00DA67D0"/>
    <w:rsid w:val="00DA695E"/>
    <w:rsid w:val="00DA712F"/>
    <w:rsid w:val="00DA7276"/>
    <w:rsid w:val="00DA72F2"/>
    <w:rsid w:val="00DA757D"/>
    <w:rsid w:val="00DA76F9"/>
    <w:rsid w:val="00DA7714"/>
    <w:rsid w:val="00DA7918"/>
    <w:rsid w:val="00DA7C65"/>
    <w:rsid w:val="00DA7D13"/>
    <w:rsid w:val="00DA7E01"/>
    <w:rsid w:val="00DB02B9"/>
    <w:rsid w:val="00DB0380"/>
    <w:rsid w:val="00DB0401"/>
    <w:rsid w:val="00DB0416"/>
    <w:rsid w:val="00DB04CF"/>
    <w:rsid w:val="00DB082F"/>
    <w:rsid w:val="00DB0A95"/>
    <w:rsid w:val="00DB0C46"/>
    <w:rsid w:val="00DB0CB3"/>
    <w:rsid w:val="00DB0D52"/>
    <w:rsid w:val="00DB0DB6"/>
    <w:rsid w:val="00DB0E5A"/>
    <w:rsid w:val="00DB0EA5"/>
    <w:rsid w:val="00DB0F1D"/>
    <w:rsid w:val="00DB14E4"/>
    <w:rsid w:val="00DB1556"/>
    <w:rsid w:val="00DB183F"/>
    <w:rsid w:val="00DB1C09"/>
    <w:rsid w:val="00DB1CE9"/>
    <w:rsid w:val="00DB1D3D"/>
    <w:rsid w:val="00DB1DEC"/>
    <w:rsid w:val="00DB1F01"/>
    <w:rsid w:val="00DB1F31"/>
    <w:rsid w:val="00DB2227"/>
    <w:rsid w:val="00DB23C9"/>
    <w:rsid w:val="00DB249D"/>
    <w:rsid w:val="00DB27F6"/>
    <w:rsid w:val="00DB2823"/>
    <w:rsid w:val="00DB2825"/>
    <w:rsid w:val="00DB29CB"/>
    <w:rsid w:val="00DB29F8"/>
    <w:rsid w:val="00DB2A0D"/>
    <w:rsid w:val="00DB2A82"/>
    <w:rsid w:val="00DB2B52"/>
    <w:rsid w:val="00DB2CDC"/>
    <w:rsid w:val="00DB3020"/>
    <w:rsid w:val="00DB340A"/>
    <w:rsid w:val="00DB3541"/>
    <w:rsid w:val="00DB3896"/>
    <w:rsid w:val="00DB3A06"/>
    <w:rsid w:val="00DB3AE0"/>
    <w:rsid w:val="00DB3AF4"/>
    <w:rsid w:val="00DB3ED2"/>
    <w:rsid w:val="00DB3F64"/>
    <w:rsid w:val="00DB40F3"/>
    <w:rsid w:val="00DB4230"/>
    <w:rsid w:val="00DB4BEB"/>
    <w:rsid w:val="00DB5132"/>
    <w:rsid w:val="00DB514D"/>
    <w:rsid w:val="00DB5372"/>
    <w:rsid w:val="00DB55BF"/>
    <w:rsid w:val="00DB57B6"/>
    <w:rsid w:val="00DB5DB8"/>
    <w:rsid w:val="00DB5E50"/>
    <w:rsid w:val="00DB5E96"/>
    <w:rsid w:val="00DB5EA4"/>
    <w:rsid w:val="00DB60C4"/>
    <w:rsid w:val="00DB6232"/>
    <w:rsid w:val="00DB6313"/>
    <w:rsid w:val="00DB6505"/>
    <w:rsid w:val="00DB6681"/>
    <w:rsid w:val="00DB68E2"/>
    <w:rsid w:val="00DB6C2C"/>
    <w:rsid w:val="00DB6D94"/>
    <w:rsid w:val="00DB7614"/>
    <w:rsid w:val="00DB7647"/>
    <w:rsid w:val="00DB76EA"/>
    <w:rsid w:val="00DB792C"/>
    <w:rsid w:val="00DB7AE0"/>
    <w:rsid w:val="00DB7BDB"/>
    <w:rsid w:val="00DB7E88"/>
    <w:rsid w:val="00DB7EA3"/>
    <w:rsid w:val="00DB7FAC"/>
    <w:rsid w:val="00DC01C3"/>
    <w:rsid w:val="00DC0201"/>
    <w:rsid w:val="00DC063D"/>
    <w:rsid w:val="00DC06EA"/>
    <w:rsid w:val="00DC0958"/>
    <w:rsid w:val="00DC0BF3"/>
    <w:rsid w:val="00DC13DC"/>
    <w:rsid w:val="00DC16F3"/>
    <w:rsid w:val="00DC1C92"/>
    <w:rsid w:val="00DC1CB8"/>
    <w:rsid w:val="00DC1D18"/>
    <w:rsid w:val="00DC1EAF"/>
    <w:rsid w:val="00DC211B"/>
    <w:rsid w:val="00DC222D"/>
    <w:rsid w:val="00DC22F6"/>
    <w:rsid w:val="00DC25F5"/>
    <w:rsid w:val="00DC2C5B"/>
    <w:rsid w:val="00DC2DDB"/>
    <w:rsid w:val="00DC2E9A"/>
    <w:rsid w:val="00DC2EB2"/>
    <w:rsid w:val="00DC2FD2"/>
    <w:rsid w:val="00DC2FE4"/>
    <w:rsid w:val="00DC32D5"/>
    <w:rsid w:val="00DC3417"/>
    <w:rsid w:val="00DC3781"/>
    <w:rsid w:val="00DC3AAB"/>
    <w:rsid w:val="00DC3B6B"/>
    <w:rsid w:val="00DC3BE9"/>
    <w:rsid w:val="00DC3E6E"/>
    <w:rsid w:val="00DC3FA4"/>
    <w:rsid w:val="00DC408B"/>
    <w:rsid w:val="00DC4638"/>
    <w:rsid w:val="00DC4794"/>
    <w:rsid w:val="00DC47CC"/>
    <w:rsid w:val="00DC4B4A"/>
    <w:rsid w:val="00DC4BC1"/>
    <w:rsid w:val="00DC4C7B"/>
    <w:rsid w:val="00DC4D3B"/>
    <w:rsid w:val="00DC4DC8"/>
    <w:rsid w:val="00DC4E8F"/>
    <w:rsid w:val="00DC5012"/>
    <w:rsid w:val="00DC5219"/>
    <w:rsid w:val="00DC56C9"/>
    <w:rsid w:val="00DC57A5"/>
    <w:rsid w:val="00DC5987"/>
    <w:rsid w:val="00DC625B"/>
    <w:rsid w:val="00DC633F"/>
    <w:rsid w:val="00DC6376"/>
    <w:rsid w:val="00DC64E1"/>
    <w:rsid w:val="00DC6603"/>
    <w:rsid w:val="00DC66BE"/>
    <w:rsid w:val="00DC6739"/>
    <w:rsid w:val="00DC6997"/>
    <w:rsid w:val="00DC6B3D"/>
    <w:rsid w:val="00DC6BF4"/>
    <w:rsid w:val="00DC6F8D"/>
    <w:rsid w:val="00DC71F8"/>
    <w:rsid w:val="00DC7521"/>
    <w:rsid w:val="00DC77CD"/>
    <w:rsid w:val="00DC7C83"/>
    <w:rsid w:val="00DC7E29"/>
    <w:rsid w:val="00DD0323"/>
    <w:rsid w:val="00DD0806"/>
    <w:rsid w:val="00DD0887"/>
    <w:rsid w:val="00DD08AA"/>
    <w:rsid w:val="00DD0BB7"/>
    <w:rsid w:val="00DD0C54"/>
    <w:rsid w:val="00DD0D11"/>
    <w:rsid w:val="00DD0DC2"/>
    <w:rsid w:val="00DD0E97"/>
    <w:rsid w:val="00DD0F85"/>
    <w:rsid w:val="00DD13D9"/>
    <w:rsid w:val="00DD16F8"/>
    <w:rsid w:val="00DD1908"/>
    <w:rsid w:val="00DD2382"/>
    <w:rsid w:val="00DD2D88"/>
    <w:rsid w:val="00DD2E7F"/>
    <w:rsid w:val="00DD3033"/>
    <w:rsid w:val="00DD31AE"/>
    <w:rsid w:val="00DD31C7"/>
    <w:rsid w:val="00DD31EF"/>
    <w:rsid w:val="00DD386F"/>
    <w:rsid w:val="00DD3C3E"/>
    <w:rsid w:val="00DD3EFA"/>
    <w:rsid w:val="00DD42C2"/>
    <w:rsid w:val="00DD4505"/>
    <w:rsid w:val="00DD4644"/>
    <w:rsid w:val="00DD46CE"/>
    <w:rsid w:val="00DD470D"/>
    <w:rsid w:val="00DD47E5"/>
    <w:rsid w:val="00DD4946"/>
    <w:rsid w:val="00DD49CE"/>
    <w:rsid w:val="00DD4BA1"/>
    <w:rsid w:val="00DD4BEF"/>
    <w:rsid w:val="00DD4C5C"/>
    <w:rsid w:val="00DD5247"/>
    <w:rsid w:val="00DD54B3"/>
    <w:rsid w:val="00DD5594"/>
    <w:rsid w:val="00DD55E1"/>
    <w:rsid w:val="00DD57BD"/>
    <w:rsid w:val="00DD5929"/>
    <w:rsid w:val="00DD59E7"/>
    <w:rsid w:val="00DD5A5D"/>
    <w:rsid w:val="00DD5B68"/>
    <w:rsid w:val="00DD5B99"/>
    <w:rsid w:val="00DD5BA6"/>
    <w:rsid w:val="00DD5F77"/>
    <w:rsid w:val="00DD6017"/>
    <w:rsid w:val="00DD6113"/>
    <w:rsid w:val="00DD65A2"/>
    <w:rsid w:val="00DD6703"/>
    <w:rsid w:val="00DD6887"/>
    <w:rsid w:val="00DD6B98"/>
    <w:rsid w:val="00DD6C40"/>
    <w:rsid w:val="00DD6E7F"/>
    <w:rsid w:val="00DD72D5"/>
    <w:rsid w:val="00DD738B"/>
    <w:rsid w:val="00DD739D"/>
    <w:rsid w:val="00DD7430"/>
    <w:rsid w:val="00DD74AA"/>
    <w:rsid w:val="00DD77B0"/>
    <w:rsid w:val="00DD7B00"/>
    <w:rsid w:val="00DD7C43"/>
    <w:rsid w:val="00DD7CD9"/>
    <w:rsid w:val="00DD7ECC"/>
    <w:rsid w:val="00DE0470"/>
    <w:rsid w:val="00DE053D"/>
    <w:rsid w:val="00DE05B0"/>
    <w:rsid w:val="00DE09FE"/>
    <w:rsid w:val="00DE0A4E"/>
    <w:rsid w:val="00DE0D8C"/>
    <w:rsid w:val="00DE0DF5"/>
    <w:rsid w:val="00DE0F82"/>
    <w:rsid w:val="00DE1069"/>
    <w:rsid w:val="00DE11FC"/>
    <w:rsid w:val="00DE1596"/>
    <w:rsid w:val="00DE1741"/>
    <w:rsid w:val="00DE17B3"/>
    <w:rsid w:val="00DE19FE"/>
    <w:rsid w:val="00DE1AAE"/>
    <w:rsid w:val="00DE1D27"/>
    <w:rsid w:val="00DE1F7D"/>
    <w:rsid w:val="00DE1FE2"/>
    <w:rsid w:val="00DE2086"/>
    <w:rsid w:val="00DE21CB"/>
    <w:rsid w:val="00DE21EB"/>
    <w:rsid w:val="00DE255A"/>
    <w:rsid w:val="00DE2573"/>
    <w:rsid w:val="00DE2967"/>
    <w:rsid w:val="00DE2AD6"/>
    <w:rsid w:val="00DE2DB5"/>
    <w:rsid w:val="00DE2E1B"/>
    <w:rsid w:val="00DE2EBD"/>
    <w:rsid w:val="00DE3231"/>
    <w:rsid w:val="00DE3510"/>
    <w:rsid w:val="00DE35A0"/>
    <w:rsid w:val="00DE35ED"/>
    <w:rsid w:val="00DE3B63"/>
    <w:rsid w:val="00DE3C9E"/>
    <w:rsid w:val="00DE3F14"/>
    <w:rsid w:val="00DE4124"/>
    <w:rsid w:val="00DE4141"/>
    <w:rsid w:val="00DE4A14"/>
    <w:rsid w:val="00DE4DB7"/>
    <w:rsid w:val="00DE5085"/>
    <w:rsid w:val="00DE529C"/>
    <w:rsid w:val="00DE5370"/>
    <w:rsid w:val="00DE5445"/>
    <w:rsid w:val="00DE5567"/>
    <w:rsid w:val="00DE55D2"/>
    <w:rsid w:val="00DE58D5"/>
    <w:rsid w:val="00DE58FD"/>
    <w:rsid w:val="00DE590A"/>
    <w:rsid w:val="00DE5915"/>
    <w:rsid w:val="00DE5960"/>
    <w:rsid w:val="00DE5B82"/>
    <w:rsid w:val="00DE5D3D"/>
    <w:rsid w:val="00DE5F06"/>
    <w:rsid w:val="00DE60B7"/>
    <w:rsid w:val="00DE6207"/>
    <w:rsid w:val="00DE62AF"/>
    <w:rsid w:val="00DE66D1"/>
    <w:rsid w:val="00DE66D6"/>
    <w:rsid w:val="00DE68EB"/>
    <w:rsid w:val="00DE6AA9"/>
    <w:rsid w:val="00DE715E"/>
    <w:rsid w:val="00DE71BA"/>
    <w:rsid w:val="00DE764F"/>
    <w:rsid w:val="00DE77B8"/>
    <w:rsid w:val="00DE783B"/>
    <w:rsid w:val="00DE7899"/>
    <w:rsid w:val="00DE796F"/>
    <w:rsid w:val="00DE7A2E"/>
    <w:rsid w:val="00DE7E32"/>
    <w:rsid w:val="00DF0003"/>
    <w:rsid w:val="00DF0471"/>
    <w:rsid w:val="00DF04D1"/>
    <w:rsid w:val="00DF0A17"/>
    <w:rsid w:val="00DF0A78"/>
    <w:rsid w:val="00DF0BE3"/>
    <w:rsid w:val="00DF0CF1"/>
    <w:rsid w:val="00DF1086"/>
    <w:rsid w:val="00DF11F8"/>
    <w:rsid w:val="00DF1281"/>
    <w:rsid w:val="00DF1528"/>
    <w:rsid w:val="00DF16BA"/>
    <w:rsid w:val="00DF197F"/>
    <w:rsid w:val="00DF1A54"/>
    <w:rsid w:val="00DF1B7E"/>
    <w:rsid w:val="00DF1D2E"/>
    <w:rsid w:val="00DF1E18"/>
    <w:rsid w:val="00DF2036"/>
    <w:rsid w:val="00DF220F"/>
    <w:rsid w:val="00DF2358"/>
    <w:rsid w:val="00DF2481"/>
    <w:rsid w:val="00DF24FA"/>
    <w:rsid w:val="00DF25CC"/>
    <w:rsid w:val="00DF267B"/>
    <w:rsid w:val="00DF26CD"/>
    <w:rsid w:val="00DF27DB"/>
    <w:rsid w:val="00DF280A"/>
    <w:rsid w:val="00DF2927"/>
    <w:rsid w:val="00DF29F9"/>
    <w:rsid w:val="00DF2A9E"/>
    <w:rsid w:val="00DF2B20"/>
    <w:rsid w:val="00DF2CE7"/>
    <w:rsid w:val="00DF2DB4"/>
    <w:rsid w:val="00DF2F55"/>
    <w:rsid w:val="00DF3026"/>
    <w:rsid w:val="00DF339A"/>
    <w:rsid w:val="00DF3509"/>
    <w:rsid w:val="00DF369B"/>
    <w:rsid w:val="00DF3703"/>
    <w:rsid w:val="00DF3A9E"/>
    <w:rsid w:val="00DF3B36"/>
    <w:rsid w:val="00DF3D18"/>
    <w:rsid w:val="00DF3E0F"/>
    <w:rsid w:val="00DF4405"/>
    <w:rsid w:val="00DF4708"/>
    <w:rsid w:val="00DF4AEA"/>
    <w:rsid w:val="00DF4CF5"/>
    <w:rsid w:val="00DF4E6C"/>
    <w:rsid w:val="00DF508B"/>
    <w:rsid w:val="00DF526F"/>
    <w:rsid w:val="00DF52C7"/>
    <w:rsid w:val="00DF539A"/>
    <w:rsid w:val="00DF53F1"/>
    <w:rsid w:val="00DF550A"/>
    <w:rsid w:val="00DF58DF"/>
    <w:rsid w:val="00DF5A94"/>
    <w:rsid w:val="00DF5AA4"/>
    <w:rsid w:val="00DF5B98"/>
    <w:rsid w:val="00DF61B2"/>
    <w:rsid w:val="00DF634E"/>
    <w:rsid w:val="00DF6738"/>
    <w:rsid w:val="00DF67CE"/>
    <w:rsid w:val="00DF67F1"/>
    <w:rsid w:val="00DF691D"/>
    <w:rsid w:val="00DF6E22"/>
    <w:rsid w:val="00DF71FB"/>
    <w:rsid w:val="00DF73CE"/>
    <w:rsid w:val="00DF73F0"/>
    <w:rsid w:val="00DF76BC"/>
    <w:rsid w:val="00DF787C"/>
    <w:rsid w:val="00DF7C67"/>
    <w:rsid w:val="00DF7CAF"/>
    <w:rsid w:val="00E000D0"/>
    <w:rsid w:val="00E00205"/>
    <w:rsid w:val="00E002BB"/>
    <w:rsid w:val="00E004BE"/>
    <w:rsid w:val="00E00511"/>
    <w:rsid w:val="00E00555"/>
    <w:rsid w:val="00E00646"/>
    <w:rsid w:val="00E006FE"/>
    <w:rsid w:val="00E008C6"/>
    <w:rsid w:val="00E00B54"/>
    <w:rsid w:val="00E00CF5"/>
    <w:rsid w:val="00E00F72"/>
    <w:rsid w:val="00E0118F"/>
    <w:rsid w:val="00E011C2"/>
    <w:rsid w:val="00E015E3"/>
    <w:rsid w:val="00E0165C"/>
    <w:rsid w:val="00E01671"/>
    <w:rsid w:val="00E0199B"/>
    <w:rsid w:val="00E01B2A"/>
    <w:rsid w:val="00E01E1D"/>
    <w:rsid w:val="00E01F80"/>
    <w:rsid w:val="00E02164"/>
    <w:rsid w:val="00E02471"/>
    <w:rsid w:val="00E02767"/>
    <w:rsid w:val="00E02BA5"/>
    <w:rsid w:val="00E02BF2"/>
    <w:rsid w:val="00E02CFD"/>
    <w:rsid w:val="00E02F51"/>
    <w:rsid w:val="00E030F7"/>
    <w:rsid w:val="00E031F5"/>
    <w:rsid w:val="00E03366"/>
    <w:rsid w:val="00E03385"/>
    <w:rsid w:val="00E03586"/>
    <w:rsid w:val="00E0372A"/>
    <w:rsid w:val="00E0372C"/>
    <w:rsid w:val="00E03767"/>
    <w:rsid w:val="00E03A67"/>
    <w:rsid w:val="00E03A8F"/>
    <w:rsid w:val="00E03B6A"/>
    <w:rsid w:val="00E03BE5"/>
    <w:rsid w:val="00E03DBE"/>
    <w:rsid w:val="00E03EBC"/>
    <w:rsid w:val="00E040A6"/>
    <w:rsid w:val="00E04145"/>
    <w:rsid w:val="00E04643"/>
    <w:rsid w:val="00E04A34"/>
    <w:rsid w:val="00E04ADE"/>
    <w:rsid w:val="00E04E33"/>
    <w:rsid w:val="00E04E8C"/>
    <w:rsid w:val="00E05011"/>
    <w:rsid w:val="00E052D7"/>
    <w:rsid w:val="00E053F5"/>
    <w:rsid w:val="00E05577"/>
    <w:rsid w:val="00E056C0"/>
    <w:rsid w:val="00E058A2"/>
    <w:rsid w:val="00E05984"/>
    <w:rsid w:val="00E05A70"/>
    <w:rsid w:val="00E05C5B"/>
    <w:rsid w:val="00E05D93"/>
    <w:rsid w:val="00E05E9B"/>
    <w:rsid w:val="00E06073"/>
    <w:rsid w:val="00E060DA"/>
    <w:rsid w:val="00E061D3"/>
    <w:rsid w:val="00E06240"/>
    <w:rsid w:val="00E067FE"/>
    <w:rsid w:val="00E06904"/>
    <w:rsid w:val="00E06B02"/>
    <w:rsid w:val="00E06B74"/>
    <w:rsid w:val="00E06CB5"/>
    <w:rsid w:val="00E06CE2"/>
    <w:rsid w:val="00E06E6B"/>
    <w:rsid w:val="00E06FFF"/>
    <w:rsid w:val="00E070C2"/>
    <w:rsid w:val="00E07281"/>
    <w:rsid w:val="00E073C9"/>
    <w:rsid w:val="00E073DD"/>
    <w:rsid w:val="00E0745E"/>
    <w:rsid w:val="00E074B8"/>
    <w:rsid w:val="00E075AC"/>
    <w:rsid w:val="00E07820"/>
    <w:rsid w:val="00E07E38"/>
    <w:rsid w:val="00E10152"/>
    <w:rsid w:val="00E10534"/>
    <w:rsid w:val="00E107EF"/>
    <w:rsid w:val="00E10803"/>
    <w:rsid w:val="00E10821"/>
    <w:rsid w:val="00E109FF"/>
    <w:rsid w:val="00E10B18"/>
    <w:rsid w:val="00E10B8E"/>
    <w:rsid w:val="00E10D3C"/>
    <w:rsid w:val="00E11132"/>
    <w:rsid w:val="00E11334"/>
    <w:rsid w:val="00E113AB"/>
    <w:rsid w:val="00E11431"/>
    <w:rsid w:val="00E114B6"/>
    <w:rsid w:val="00E1158C"/>
    <w:rsid w:val="00E117E4"/>
    <w:rsid w:val="00E12026"/>
    <w:rsid w:val="00E12486"/>
    <w:rsid w:val="00E12B03"/>
    <w:rsid w:val="00E12DE4"/>
    <w:rsid w:val="00E12E1D"/>
    <w:rsid w:val="00E12E2D"/>
    <w:rsid w:val="00E12E46"/>
    <w:rsid w:val="00E1312E"/>
    <w:rsid w:val="00E134B9"/>
    <w:rsid w:val="00E13603"/>
    <w:rsid w:val="00E136D3"/>
    <w:rsid w:val="00E13964"/>
    <w:rsid w:val="00E1401C"/>
    <w:rsid w:val="00E14267"/>
    <w:rsid w:val="00E144B7"/>
    <w:rsid w:val="00E14667"/>
    <w:rsid w:val="00E1466C"/>
    <w:rsid w:val="00E14975"/>
    <w:rsid w:val="00E149C7"/>
    <w:rsid w:val="00E14F9F"/>
    <w:rsid w:val="00E14FE8"/>
    <w:rsid w:val="00E151E4"/>
    <w:rsid w:val="00E155C4"/>
    <w:rsid w:val="00E155FE"/>
    <w:rsid w:val="00E15748"/>
    <w:rsid w:val="00E158EC"/>
    <w:rsid w:val="00E15A12"/>
    <w:rsid w:val="00E15F2D"/>
    <w:rsid w:val="00E1609A"/>
    <w:rsid w:val="00E161BC"/>
    <w:rsid w:val="00E162E5"/>
    <w:rsid w:val="00E16529"/>
    <w:rsid w:val="00E16537"/>
    <w:rsid w:val="00E16839"/>
    <w:rsid w:val="00E16B27"/>
    <w:rsid w:val="00E16F56"/>
    <w:rsid w:val="00E16F7F"/>
    <w:rsid w:val="00E1724E"/>
    <w:rsid w:val="00E172D4"/>
    <w:rsid w:val="00E17844"/>
    <w:rsid w:val="00E178B7"/>
    <w:rsid w:val="00E17F83"/>
    <w:rsid w:val="00E20005"/>
    <w:rsid w:val="00E201EE"/>
    <w:rsid w:val="00E202B2"/>
    <w:rsid w:val="00E2038F"/>
    <w:rsid w:val="00E204A0"/>
    <w:rsid w:val="00E2059A"/>
    <w:rsid w:val="00E2065A"/>
    <w:rsid w:val="00E20B1C"/>
    <w:rsid w:val="00E20CEA"/>
    <w:rsid w:val="00E211B9"/>
    <w:rsid w:val="00E212E6"/>
    <w:rsid w:val="00E2139E"/>
    <w:rsid w:val="00E21449"/>
    <w:rsid w:val="00E21743"/>
    <w:rsid w:val="00E217F8"/>
    <w:rsid w:val="00E218C0"/>
    <w:rsid w:val="00E21983"/>
    <w:rsid w:val="00E21997"/>
    <w:rsid w:val="00E219FD"/>
    <w:rsid w:val="00E21E68"/>
    <w:rsid w:val="00E22137"/>
    <w:rsid w:val="00E22350"/>
    <w:rsid w:val="00E22555"/>
    <w:rsid w:val="00E22769"/>
    <w:rsid w:val="00E22842"/>
    <w:rsid w:val="00E229E3"/>
    <w:rsid w:val="00E22B14"/>
    <w:rsid w:val="00E22FF5"/>
    <w:rsid w:val="00E23168"/>
    <w:rsid w:val="00E231DE"/>
    <w:rsid w:val="00E23395"/>
    <w:rsid w:val="00E235A8"/>
    <w:rsid w:val="00E23B5F"/>
    <w:rsid w:val="00E23ED8"/>
    <w:rsid w:val="00E242C0"/>
    <w:rsid w:val="00E24303"/>
    <w:rsid w:val="00E24352"/>
    <w:rsid w:val="00E24470"/>
    <w:rsid w:val="00E245C7"/>
    <w:rsid w:val="00E24B0A"/>
    <w:rsid w:val="00E24C49"/>
    <w:rsid w:val="00E24F6A"/>
    <w:rsid w:val="00E24FEF"/>
    <w:rsid w:val="00E25095"/>
    <w:rsid w:val="00E250DF"/>
    <w:rsid w:val="00E25165"/>
    <w:rsid w:val="00E25202"/>
    <w:rsid w:val="00E2520A"/>
    <w:rsid w:val="00E2526D"/>
    <w:rsid w:val="00E25650"/>
    <w:rsid w:val="00E256DA"/>
    <w:rsid w:val="00E25721"/>
    <w:rsid w:val="00E25BCA"/>
    <w:rsid w:val="00E25C81"/>
    <w:rsid w:val="00E25E58"/>
    <w:rsid w:val="00E25E61"/>
    <w:rsid w:val="00E25EB2"/>
    <w:rsid w:val="00E260D1"/>
    <w:rsid w:val="00E262ED"/>
    <w:rsid w:val="00E2634B"/>
    <w:rsid w:val="00E263FA"/>
    <w:rsid w:val="00E2644E"/>
    <w:rsid w:val="00E266E5"/>
    <w:rsid w:val="00E267B9"/>
    <w:rsid w:val="00E2699A"/>
    <w:rsid w:val="00E26C9B"/>
    <w:rsid w:val="00E26E91"/>
    <w:rsid w:val="00E26EA1"/>
    <w:rsid w:val="00E273EE"/>
    <w:rsid w:val="00E273FF"/>
    <w:rsid w:val="00E2753D"/>
    <w:rsid w:val="00E27634"/>
    <w:rsid w:val="00E27892"/>
    <w:rsid w:val="00E278D7"/>
    <w:rsid w:val="00E2796B"/>
    <w:rsid w:val="00E27C90"/>
    <w:rsid w:val="00E300E9"/>
    <w:rsid w:val="00E30224"/>
    <w:rsid w:val="00E30233"/>
    <w:rsid w:val="00E30238"/>
    <w:rsid w:val="00E30506"/>
    <w:rsid w:val="00E30651"/>
    <w:rsid w:val="00E3070E"/>
    <w:rsid w:val="00E307D8"/>
    <w:rsid w:val="00E30FB0"/>
    <w:rsid w:val="00E310F8"/>
    <w:rsid w:val="00E314FB"/>
    <w:rsid w:val="00E31BDB"/>
    <w:rsid w:val="00E31D01"/>
    <w:rsid w:val="00E31D1B"/>
    <w:rsid w:val="00E31F28"/>
    <w:rsid w:val="00E322FA"/>
    <w:rsid w:val="00E3259A"/>
    <w:rsid w:val="00E327A6"/>
    <w:rsid w:val="00E32823"/>
    <w:rsid w:val="00E3285F"/>
    <w:rsid w:val="00E32A1D"/>
    <w:rsid w:val="00E32A6C"/>
    <w:rsid w:val="00E32AD9"/>
    <w:rsid w:val="00E32C3A"/>
    <w:rsid w:val="00E32D00"/>
    <w:rsid w:val="00E32E74"/>
    <w:rsid w:val="00E33042"/>
    <w:rsid w:val="00E330A8"/>
    <w:rsid w:val="00E33401"/>
    <w:rsid w:val="00E3355F"/>
    <w:rsid w:val="00E33986"/>
    <w:rsid w:val="00E33A14"/>
    <w:rsid w:val="00E33D02"/>
    <w:rsid w:val="00E33ED1"/>
    <w:rsid w:val="00E348EE"/>
    <w:rsid w:val="00E34E9B"/>
    <w:rsid w:val="00E35051"/>
    <w:rsid w:val="00E351C6"/>
    <w:rsid w:val="00E3528C"/>
    <w:rsid w:val="00E3554F"/>
    <w:rsid w:val="00E3558E"/>
    <w:rsid w:val="00E356F1"/>
    <w:rsid w:val="00E356F6"/>
    <w:rsid w:val="00E357D9"/>
    <w:rsid w:val="00E35814"/>
    <w:rsid w:val="00E35843"/>
    <w:rsid w:val="00E35A7D"/>
    <w:rsid w:val="00E35B66"/>
    <w:rsid w:val="00E35FA8"/>
    <w:rsid w:val="00E360FF"/>
    <w:rsid w:val="00E362A9"/>
    <w:rsid w:val="00E3631A"/>
    <w:rsid w:val="00E3659A"/>
    <w:rsid w:val="00E3668C"/>
    <w:rsid w:val="00E366D2"/>
    <w:rsid w:val="00E36810"/>
    <w:rsid w:val="00E36890"/>
    <w:rsid w:val="00E36C7C"/>
    <w:rsid w:val="00E36FDA"/>
    <w:rsid w:val="00E36FED"/>
    <w:rsid w:val="00E371CF"/>
    <w:rsid w:val="00E3720E"/>
    <w:rsid w:val="00E3773C"/>
    <w:rsid w:val="00E37750"/>
    <w:rsid w:val="00E377A0"/>
    <w:rsid w:val="00E379FE"/>
    <w:rsid w:val="00E37AB8"/>
    <w:rsid w:val="00E37AE0"/>
    <w:rsid w:val="00E37D01"/>
    <w:rsid w:val="00E37D86"/>
    <w:rsid w:val="00E40337"/>
    <w:rsid w:val="00E40434"/>
    <w:rsid w:val="00E40440"/>
    <w:rsid w:val="00E404DB"/>
    <w:rsid w:val="00E404E1"/>
    <w:rsid w:val="00E40500"/>
    <w:rsid w:val="00E406DD"/>
    <w:rsid w:val="00E407BB"/>
    <w:rsid w:val="00E40962"/>
    <w:rsid w:val="00E409F9"/>
    <w:rsid w:val="00E40B4A"/>
    <w:rsid w:val="00E40B57"/>
    <w:rsid w:val="00E40BBC"/>
    <w:rsid w:val="00E40CED"/>
    <w:rsid w:val="00E40DAB"/>
    <w:rsid w:val="00E41025"/>
    <w:rsid w:val="00E411BE"/>
    <w:rsid w:val="00E41209"/>
    <w:rsid w:val="00E41308"/>
    <w:rsid w:val="00E41386"/>
    <w:rsid w:val="00E4144B"/>
    <w:rsid w:val="00E41460"/>
    <w:rsid w:val="00E41539"/>
    <w:rsid w:val="00E4157F"/>
    <w:rsid w:val="00E416DA"/>
    <w:rsid w:val="00E4182B"/>
    <w:rsid w:val="00E41A62"/>
    <w:rsid w:val="00E41BB0"/>
    <w:rsid w:val="00E41CA8"/>
    <w:rsid w:val="00E420A9"/>
    <w:rsid w:val="00E421F3"/>
    <w:rsid w:val="00E4240E"/>
    <w:rsid w:val="00E425B7"/>
    <w:rsid w:val="00E425F8"/>
    <w:rsid w:val="00E42A15"/>
    <w:rsid w:val="00E42A83"/>
    <w:rsid w:val="00E42AD0"/>
    <w:rsid w:val="00E42BD7"/>
    <w:rsid w:val="00E42C05"/>
    <w:rsid w:val="00E431E8"/>
    <w:rsid w:val="00E432CA"/>
    <w:rsid w:val="00E43342"/>
    <w:rsid w:val="00E437B5"/>
    <w:rsid w:val="00E438B3"/>
    <w:rsid w:val="00E439DF"/>
    <w:rsid w:val="00E43A59"/>
    <w:rsid w:val="00E43A8C"/>
    <w:rsid w:val="00E43B7C"/>
    <w:rsid w:val="00E43EA2"/>
    <w:rsid w:val="00E440D2"/>
    <w:rsid w:val="00E44503"/>
    <w:rsid w:val="00E445B1"/>
    <w:rsid w:val="00E445EC"/>
    <w:rsid w:val="00E449A8"/>
    <w:rsid w:val="00E44C7D"/>
    <w:rsid w:val="00E44F00"/>
    <w:rsid w:val="00E451A3"/>
    <w:rsid w:val="00E4524C"/>
    <w:rsid w:val="00E4534A"/>
    <w:rsid w:val="00E45906"/>
    <w:rsid w:val="00E45912"/>
    <w:rsid w:val="00E459AC"/>
    <w:rsid w:val="00E459DF"/>
    <w:rsid w:val="00E45F77"/>
    <w:rsid w:val="00E4651F"/>
    <w:rsid w:val="00E46888"/>
    <w:rsid w:val="00E469B6"/>
    <w:rsid w:val="00E469D2"/>
    <w:rsid w:val="00E46AC5"/>
    <w:rsid w:val="00E46AF0"/>
    <w:rsid w:val="00E46BB7"/>
    <w:rsid w:val="00E46BF3"/>
    <w:rsid w:val="00E4715D"/>
    <w:rsid w:val="00E4751B"/>
    <w:rsid w:val="00E479E7"/>
    <w:rsid w:val="00E47E82"/>
    <w:rsid w:val="00E47F5F"/>
    <w:rsid w:val="00E50538"/>
    <w:rsid w:val="00E50772"/>
    <w:rsid w:val="00E5077C"/>
    <w:rsid w:val="00E509C4"/>
    <w:rsid w:val="00E50AB4"/>
    <w:rsid w:val="00E50CEE"/>
    <w:rsid w:val="00E50DF9"/>
    <w:rsid w:val="00E51138"/>
    <w:rsid w:val="00E5113F"/>
    <w:rsid w:val="00E515C4"/>
    <w:rsid w:val="00E51677"/>
    <w:rsid w:val="00E516C0"/>
    <w:rsid w:val="00E5191E"/>
    <w:rsid w:val="00E51C09"/>
    <w:rsid w:val="00E51D58"/>
    <w:rsid w:val="00E52162"/>
    <w:rsid w:val="00E523B2"/>
    <w:rsid w:val="00E5262D"/>
    <w:rsid w:val="00E52806"/>
    <w:rsid w:val="00E52A59"/>
    <w:rsid w:val="00E52BAE"/>
    <w:rsid w:val="00E52F23"/>
    <w:rsid w:val="00E531A4"/>
    <w:rsid w:val="00E53588"/>
    <w:rsid w:val="00E538E0"/>
    <w:rsid w:val="00E53929"/>
    <w:rsid w:val="00E539C3"/>
    <w:rsid w:val="00E53B7D"/>
    <w:rsid w:val="00E53E69"/>
    <w:rsid w:val="00E53F00"/>
    <w:rsid w:val="00E53FD0"/>
    <w:rsid w:val="00E54186"/>
    <w:rsid w:val="00E5465D"/>
    <w:rsid w:val="00E547C3"/>
    <w:rsid w:val="00E5493D"/>
    <w:rsid w:val="00E54DBD"/>
    <w:rsid w:val="00E54EA0"/>
    <w:rsid w:val="00E553CB"/>
    <w:rsid w:val="00E55411"/>
    <w:rsid w:val="00E55D6A"/>
    <w:rsid w:val="00E55E37"/>
    <w:rsid w:val="00E55E6D"/>
    <w:rsid w:val="00E55F3A"/>
    <w:rsid w:val="00E55F41"/>
    <w:rsid w:val="00E55FD2"/>
    <w:rsid w:val="00E56235"/>
    <w:rsid w:val="00E56646"/>
    <w:rsid w:val="00E566B8"/>
    <w:rsid w:val="00E56762"/>
    <w:rsid w:val="00E568AC"/>
    <w:rsid w:val="00E56A89"/>
    <w:rsid w:val="00E56C2A"/>
    <w:rsid w:val="00E56CA2"/>
    <w:rsid w:val="00E56CFA"/>
    <w:rsid w:val="00E56E3D"/>
    <w:rsid w:val="00E56F79"/>
    <w:rsid w:val="00E5759B"/>
    <w:rsid w:val="00E57A82"/>
    <w:rsid w:val="00E57CAA"/>
    <w:rsid w:val="00E60017"/>
    <w:rsid w:val="00E602E0"/>
    <w:rsid w:val="00E6054F"/>
    <w:rsid w:val="00E6079D"/>
    <w:rsid w:val="00E60C81"/>
    <w:rsid w:val="00E60DF0"/>
    <w:rsid w:val="00E60EF3"/>
    <w:rsid w:val="00E6106B"/>
    <w:rsid w:val="00E61123"/>
    <w:rsid w:val="00E61335"/>
    <w:rsid w:val="00E61499"/>
    <w:rsid w:val="00E61575"/>
    <w:rsid w:val="00E61B29"/>
    <w:rsid w:val="00E61BEC"/>
    <w:rsid w:val="00E61BF9"/>
    <w:rsid w:val="00E61DD0"/>
    <w:rsid w:val="00E61F26"/>
    <w:rsid w:val="00E62005"/>
    <w:rsid w:val="00E622DE"/>
    <w:rsid w:val="00E623AA"/>
    <w:rsid w:val="00E6254F"/>
    <w:rsid w:val="00E62730"/>
    <w:rsid w:val="00E62A85"/>
    <w:rsid w:val="00E62B5A"/>
    <w:rsid w:val="00E630B7"/>
    <w:rsid w:val="00E63308"/>
    <w:rsid w:val="00E6343B"/>
    <w:rsid w:val="00E63553"/>
    <w:rsid w:val="00E635E7"/>
    <w:rsid w:val="00E638E3"/>
    <w:rsid w:val="00E63925"/>
    <w:rsid w:val="00E63C03"/>
    <w:rsid w:val="00E63EDE"/>
    <w:rsid w:val="00E6408C"/>
    <w:rsid w:val="00E64189"/>
    <w:rsid w:val="00E6437A"/>
    <w:rsid w:val="00E6466C"/>
    <w:rsid w:val="00E646DE"/>
    <w:rsid w:val="00E649A3"/>
    <w:rsid w:val="00E64A5F"/>
    <w:rsid w:val="00E64AE3"/>
    <w:rsid w:val="00E64B98"/>
    <w:rsid w:val="00E64E20"/>
    <w:rsid w:val="00E65078"/>
    <w:rsid w:val="00E65137"/>
    <w:rsid w:val="00E65188"/>
    <w:rsid w:val="00E651F8"/>
    <w:rsid w:val="00E651FE"/>
    <w:rsid w:val="00E65579"/>
    <w:rsid w:val="00E6557D"/>
    <w:rsid w:val="00E6569F"/>
    <w:rsid w:val="00E659C5"/>
    <w:rsid w:val="00E6674B"/>
    <w:rsid w:val="00E66F7C"/>
    <w:rsid w:val="00E67450"/>
    <w:rsid w:val="00E675B7"/>
    <w:rsid w:val="00E678C2"/>
    <w:rsid w:val="00E6796B"/>
    <w:rsid w:val="00E67A2B"/>
    <w:rsid w:val="00E67C47"/>
    <w:rsid w:val="00E67D55"/>
    <w:rsid w:val="00E67E59"/>
    <w:rsid w:val="00E7004F"/>
    <w:rsid w:val="00E700ED"/>
    <w:rsid w:val="00E701EA"/>
    <w:rsid w:val="00E704E2"/>
    <w:rsid w:val="00E70522"/>
    <w:rsid w:val="00E70647"/>
    <w:rsid w:val="00E70774"/>
    <w:rsid w:val="00E708AA"/>
    <w:rsid w:val="00E70C9E"/>
    <w:rsid w:val="00E70DC2"/>
    <w:rsid w:val="00E70F7A"/>
    <w:rsid w:val="00E716A6"/>
    <w:rsid w:val="00E71B58"/>
    <w:rsid w:val="00E71F64"/>
    <w:rsid w:val="00E71FF7"/>
    <w:rsid w:val="00E720CE"/>
    <w:rsid w:val="00E721AE"/>
    <w:rsid w:val="00E72363"/>
    <w:rsid w:val="00E7255C"/>
    <w:rsid w:val="00E725B1"/>
    <w:rsid w:val="00E72600"/>
    <w:rsid w:val="00E7284C"/>
    <w:rsid w:val="00E72966"/>
    <w:rsid w:val="00E72B78"/>
    <w:rsid w:val="00E72D05"/>
    <w:rsid w:val="00E73060"/>
    <w:rsid w:val="00E730D3"/>
    <w:rsid w:val="00E7314E"/>
    <w:rsid w:val="00E7318D"/>
    <w:rsid w:val="00E731F2"/>
    <w:rsid w:val="00E73267"/>
    <w:rsid w:val="00E73911"/>
    <w:rsid w:val="00E73B03"/>
    <w:rsid w:val="00E73B6A"/>
    <w:rsid w:val="00E73EED"/>
    <w:rsid w:val="00E73FA1"/>
    <w:rsid w:val="00E740A7"/>
    <w:rsid w:val="00E744CC"/>
    <w:rsid w:val="00E7454D"/>
    <w:rsid w:val="00E74597"/>
    <w:rsid w:val="00E745F0"/>
    <w:rsid w:val="00E7460A"/>
    <w:rsid w:val="00E74671"/>
    <w:rsid w:val="00E74DB9"/>
    <w:rsid w:val="00E75908"/>
    <w:rsid w:val="00E75DEF"/>
    <w:rsid w:val="00E7602D"/>
    <w:rsid w:val="00E7627E"/>
    <w:rsid w:val="00E76598"/>
    <w:rsid w:val="00E765BD"/>
    <w:rsid w:val="00E76815"/>
    <w:rsid w:val="00E769FC"/>
    <w:rsid w:val="00E76B07"/>
    <w:rsid w:val="00E770F5"/>
    <w:rsid w:val="00E7735E"/>
    <w:rsid w:val="00E77388"/>
    <w:rsid w:val="00E773BF"/>
    <w:rsid w:val="00E775DC"/>
    <w:rsid w:val="00E77710"/>
    <w:rsid w:val="00E77958"/>
    <w:rsid w:val="00E77AAB"/>
    <w:rsid w:val="00E77BE6"/>
    <w:rsid w:val="00E77E77"/>
    <w:rsid w:val="00E77F39"/>
    <w:rsid w:val="00E77FBC"/>
    <w:rsid w:val="00E80383"/>
    <w:rsid w:val="00E8041F"/>
    <w:rsid w:val="00E8048F"/>
    <w:rsid w:val="00E80661"/>
    <w:rsid w:val="00E8068F"/>
    <w:rsid w:val="00E80A27"/>
    <w:rsid w:val="00E80CD0"/>
    <w:rsid w:val="00E80EA7"/>
    <w:rsid w:val="00E80EDD"/>
    <w:rsid w:val="00E810E2"/>
    <w:rsid w:val="00E81193"/>
    <w:rsid w:val="00E812A7"/>
    <w:rsid w:val="00E81479"/>
    <w:rsid w:val="00E81488"/>
    <w:rsid w:val="00E81624"/>
    <w:rsid w:val="00E818FB"/>
    <w:rsid w:val="00E8198C"/>
    <w:rsid w:val="00E81A6E"/>
    <w:rsid w:val="00E81A74"/>
    <w:rsid w:val="00E81B82"/>
    <w:rsid w:val="00E81C99"/>
    <w:rsid w:val="00E81D62"/>
    <w:rsid w:val="00E81D7B"/>
    <w:rsid w:val="00E8208D"/>
    <w:rsid w:val="00E82585"/>
    <w:rsid w:val="00E8272F"/>
    <w:rsid w:val="00E82F2B"/>
    <w:rsid w:val="00E82F58"/>
    <w:rsid w:val="00E82F70"/>
    <w:rsid w:val="00E83024"/>
    <w:rsid w:val="00E831EA"/>
    <w:rsid w:val="00E83347"/>
    <w:rsid w:val="00E83352"/>
    <w:rsid w:val="00E8343B"/>
    <w:rsid w:val="00E8346E"/>
    <w:rsid w:val="00E83572"/>
    <w:rsid w:val="00E8370F"/>
    <w:rsid w:val="00E8390E"/>
    <w:rsid w:val="00E83C34"/>
    <w:rsid w:val="00E83C4A"/>
    <w:rsid w:val="00E83CA8"/>
    <w:rsid w:val="00E84020"/>
    <w:rsid w:val="00E84154"/>
    <w:rsid w:val="00E842EF"/>
    <w:rsid w:val="00E84355"/>
    <w:rsid w:val="00E843FD"/>
    <w:rsid w:val="00E84543"/>
    <w:rsid w:val="00E846FC"/>
    <w:rsid w:val="00E8489A"/>
    <w:rsid w:val="00E848A3"/>
    <w:rsid w:val="00E84C2A"/>
    <w:rsid w:val="00E84D31"/>
    <w:rsid w:val="00E84D4B"/>
    <w:rsid w:val="00E851A9"/>
    <w:rsid w:val="00E851C1"/>
    <w:rsid w:val="00E8533D"/>
    <w:rsid w:val="00E8548E"/>
    <w:rsid w:val="00E85568"/>
    <w:rsid w:val="00E85670"/>
    <w:rsid w:val="00E85D0D"/>
    <w:rsid w:val="00E86117"/>
    <w:rsid w:val="00E86153"/>
    <w:rsid w:val="00E86185"/>
    <w:rsid w:val="00E86220"/>
    <w:rsid w:val="00E86552"/>
    <w:rsid w:val="00E867AE"/>
    <w:rsid w:val="00E86907"/>
    <w:rsid w:val="00E86DA3"/>
    <w:rsid w:val="00E8707B"/>
    <w:rsid w:val="00E871B8"/>
    <w:rsid w:val="00E8755C"/>
    <w:rsid w:val="00E875B7"/>
    <w:rsid w:val="00E87A4B"/>
    <w:rsid w:val="00E87AF7"/>
    <w:rsid w:val="00E87DA5"/>
    <w:rsid w:val="00E87FB0"/>
    <w:rsid w:val="00E9004F"/>
    <w:rsid w:val="00E901AE"/>
    <w:rsid w:val="00E907FD"/>
    <w:rsid w:val="00E90A70"/>
    <w:rsid w:val="00E90DDB"/>
    <w:rsid w:val="00E91063"/>
    <w:rsid w:val="00E9108C"/>
    <w:rsid w:val="00E9129B"/>
    <w:rsid w:val="00E914B0"/>
    <w:rsid w:val="00E9183B"/>
    <w:rsid w:val="00E91C88"/>
    <w:rsid w:val="00E91D11"/>
    <w:rsid w:val="00E92047"/>
    <w:rsid w:val="00E921B5"/>
    <w:rsid w:val="00E92540"/>
    <w:rsid w:val="00E92677"/>
    <w:rsid w:val="00E92AF5"/>
    <w:rsid w:val="00E92DB9"/>
    <w:rsid w:val="00E93132"/>
    <w:rsid w:val="00E932E3"/>
    <w:rsid w:val="00E93486"/>
    <w:rsid w:val="00E9394D"/>
    <w:rsid w:val="00E93D95"/>
    <w:rsid w:val="00E93F43"/>
    <w:rsid w:val="00E943C3"/>
    <w:rsid w:val="00E944DB"/>
    <w:rsid w:val="00E945B0"/>
    <w:rsid w:val="00E947F7"/>
    <w:rsid w:val="00E94C80"/>
    <w:rsid w:val="00E94D16"/>
    <w:rsid w:val="00E94ED3"/>
    <w:rsid w:val="00E94FAC"/>
    <w:rsid w:val="00E95175"/>
    <w:rsid w:val="00E95253"/>
    <w:rsid w:val="00E95289"/>
    <w:rsid w:val="00E952F1"/>
    <w:rsid w:val="00E954E5"/>
    <w:rsid w:val="00E9554A"/>
    <w:rsid w:val="00E95568"/>
    <w:rsid w:val="00E95792"/>
    <w:rsid w:val="00E957A8"/>
    <w:rsid w:val="00E95B1A"/>
    <w:rsid w:val="00E95BF0"/>
    <w:rsid w:val="00E95CA4"/>
    <w:rsid w:val="00E96393"/>
    <w:rsid w:val="00E963F1"/>
    <w:rsid w:val="00E96565"/>
    <w:rsid w:val="00E96681"/>
    <w:rsid w:val="00E9673A"/>
    <w:rsid w:val="00E969D2"/>
    <w:rsid w:val="00E96F44"/>
    <w:rsid w:val="00E96F58"/>
    <w:rsid w:val="00E9704F"/>
    <w:rsid w:val="00E970A2"/>
    <w:rsid w:val="00E9710C"/>
    <w:rsid w:val="00E9732F"/>
    <w:rsid w:val="00E97372"/>
    <w:rsid w:val="00E97422"/>
    <w:rsid w:val="00E975AD"/>
    <w:rsid w:val="00E9788A"/>
    <w:rsid w:val="00E97AEB"/>
    <w:rsid w:val="00E97B85"/>
    <w:rsid w:val="00E97BB1"/>
    <w:rsid w:val="00EA0075"/>
    <w:rsid w:val="00EA00A9"/>
    <w:rsid w:val="00EA032A"/>
    <w:rsid w:val="00EA05E0"/>
    <w:rsid w:val="00EA07DC"/>
    <w:rsid w:val="00EA09F4"/>
    <w:rsid w:val="00EA0AE8"/>
    <w:rsid w:val="00EA0CB6"/>
    <w:rsid w:val="00EA0E8B"/>
    <w:rsid w:val="00EA105B"/>
    <w:rsid w:val="00EA10A6"/>
    <w:rsid w:val="00EA115A"/>
    <w:rsid w:val="00EA1163"/>
    <w:rsid w:val="00EA12F2"/>
    <w:rsid w:val="00EA1417"/>
    <w:rsid w:val="00EA17A5"/>
    <w:rsid w:val="00EA1B71"/>
    <w:rsid w:val="00EA1C1C"/>
    <w:rsid w:val="00EA1C42"/>
    <w:rsid w:val="00EA1C96"/>
    <w:rsid w:val="00EA1F37"/>
    <w:rsid w:val="00EA1FC3"/>
    <w:rsid w:val="00EA293B"/>
    <w:rsid w:val="00EA2D51"/>
    <w:rsid w:val="00EA2E7E"/>
    <w:rsid w:val="00EA2F30"/>
    <w:rsid w:val="00EA306E"/>
    <w:rsid w:val="00EA33B0"/>
    <w:rsid w:val="00EA3414"/>
    <w:rsid w:val="00EA34BF"/>
    <w:rsid w:val="00EA354A"/>
    <w:rsid w:val="00EA380F"/>
    <w:rsid w:val="00EA390C"/>
    <w:rsid w:val="00EA3AB1"/>
    <w:rsid w:val="00EA3D95"/>
    <w:rsid w:val="00EA3EAF"/>
    <w:rsid w:val="00EA4402"/>
    <w:rsid w:val="00EA468C"/>
    <w:rsid w:val="00EA47B6"/>
    <w:rsid w:val="00EA4A73"/>
    <w:rsid w:val="00EA4C42"/>
    <w:rsid w:val="00EA4CFC"/>
    <w:rsid w:val="00EA4D0D"/>
    <w:rsid w:val="00EA500A"/>
    <w:rsid w:val="00EA50C5"/>
    <w:rsid w:val="00EA5319"/>
    <w:rsid w:val="00EA5448"/>
    <w:rsid w:val="00EA54CD"/>
    <w:rsid w:val="00EA563D"/>
    <w:rsid w:val="00EA584D"/>
    <w:rsid w:val="00EA5A92"/>
    <w:rsid w:val="00EA5AE4"/>
    <w:rsid w:val="00EA5CB1"/>
    <w:rsid w:val="00EA5CCB"/>
    <w:rsid w:val="00EA5D5C"/>
    <w:rsid w:val="00EA5DA2"/>
    <w:rsid w:val="00EA5DB0"/>
    <w:rsid w:val="00EA5DC2"/>
    <w:rsid w:val="00EA6096"/>
    <w:rsid w:val="00EA6143"/>
    <w:rsid w:val="00EA62BE"/>
    <w:rsid w:val="00EA6319"/>
    <w:rsid w:val="00EA64D9"/>
    <w:rsid w:val="00EA658A"/>
    <w:rsid w:val="00EA665A"/>
    <w:rsid w:val="00EA68A4"/>
    <w:rsid w:val="00EA69D9"/>
    <w:rsid w:val="00EA6A6E"/>
    <w:rsid w:val="00EA6C85"/>
    <w:rsid w:val="00EA6CB0"/>
    <w:rsid w:val="00EA71F3"/>
    <w:rsid w:val="00EA727D"/>
    <w:rsid w:val="00EA72A1"/>
    <w:rsid w:val="00EA7341"/>
    <w:rsid w:val="00EA781B"/>
    <w:rsid w:val="00EA794D"/>
    <w:rsid w:val="00EA7B2B"/>
    <w:rsid w:val="00EA7E04"/>
    <w:rsid w:val="00EA7FDA"/>
    <w:rsid w:val="00EB032C"/>
    <w:rsid w:val="00EB03D5"/>
    <w:rsid w:val="00EB03F7"/>
    <w:rsid w:val="00EB06D2"/>
    <w:rsid w:val="00EB0729"/>
    <w:rsid w:val="00EB08B0"/>
    <w:rsid w:val="00EB09D0"/>
    <w:rsid w:val="00EB0A3C"/>
    <w:rsid w:val="00EB0AAE"/>
    <w:rsid w:val="00EB0AD5"/>
    <w:rsid w:val="00EB0AEA"/>
    <w:rsid w:val="00EB0CBE"/>
    <w:rsid w:val="00EB0D55"/>
    <w:rsid w:val="00EB0EA5"/>
    <w:rsid w:val="00EB0FF9"/>
    <w:rsid w:val="00EB1051"/>
    <w:rsid w:val="00EB11D9"/>
    <w:rsid w:val="00EB17A6"/>
    <w:rsid w:val="00EB191B"/>
    <w:rsid w:val="00EB1AF4"/>
    <w:rsid w:val="00EB1B9D"/>
    <w:rsid w:val="00EB1FDA"/>
    <w:rsid w:val="00EB209D"/>
    <w:rsid w:val="00EB21A3"/>
    <w:rsid w:val="00EB250A"/>
    <w:rsid w:val="00EB28AE"/>
    <w:rsid w:val="00EB2C92"/>
    <w:rsid w:val="00EB2C93"/>
    <w:rsid w:val="00EB2C9B"/>
    <w:rsid w:val="00EB2CA1"/>
    <w:rsid w:val="00EB2D13"/>
    <w:rsid w:val="00EB2D6A"/>
    <w:rsid w:val="00EB2F7C"/>
    <w:rsid w:val="00EB3296"/>
    <w:rsid w:val="00EB3319"/>
    <w:rsid w:val="00EB331D"/>
    <w:rsid w:val="00EB33A1"/>
    <w:rsid w:val="00EB342A"/>
    <w:rsid w:val="00EB34E9"/>
    <w:rsid w:val="00EB35C6"/>
    <w:rsid w:val="00EB36A5"/>
    <w:rsid w:val="00EB36B5"/>
    <w:rsid w:val="00EB36CF"/>
    <w:rsid w:val="00EB3794"/>
    <w:rsid w:val="00EB3B28"/>
    <w:rsid w:val="00EB3C36"/>
    <w:rsid w:val="00EB4052"/>
    <w:rsid w:val="00EB457A"/>
    <w:rsid w:val="00EB4727"/>
    <w:rsid w:val="00EB4AA0"/>
    <w:rsid w:val="00EB4D44"/>
    <w:rsid w:val="00EB4DE2"/>
    <w:rsid w:val="00EB51FB"/>
    <w:rsid w:val="00EB53E3"/>
    <w:rsid w:val="00EB56BC"/>
    <w:rsid w:val="00EB5784"/>
    <w:rsid w:val="00EB5C69"/>
    <w:rsid w:val="00EB5CA2"/>
    <w:rsid w:val="00EB5CD8"/>
    <w:rsid w:val="00EB5EC3"/>
    <w:rsid w:val="00EB6003"/>
    <w:rsid w:val="00EB605A"/>
    <w:rsid w:val="00EB6095"/>
    <w:rsid w:val="00EB618E"/>
    <w:rsid w:val="00EB61B7"/>
    <w:rsid w:val="00EB62A6"/>
    <w:rsid w:val="00EB6356"/>
    <w:rsid w:val="00EB6357"/>
    <w:rsid w:val="00EB64D0"/>
    <w:rsid w:val="00EB655E"/>
    <w:rsid w:val="00EB666B"/>
    <w:rsid w:val="00EB66DD"/>
    <w:rsid w:val="00EB68BB"/>
    <w:rsid w:val="00EB6921"/>
    <w:rsid w:val="00EB6C56"/>
    <w:rsid w:val="00EB70A4"/>
    <w:rsid w:val="00EB71C4"/>
    <w:rsid w:val="00EB731B"/>
    <w:rsid w:val="00EB740B"/>
    <w:rsid w:val="00EB743C"/>
    <w:rsid w:val="00EB7462"/>
    <w:rsid w:val="00EB7491"/>
    <w:rsid w:val="00EB752E"/>
    <w:rsid w:val="00EB7664"/>
    <w:rsid w:val="00EB78EF"/>
    <w:rsid w:val="00EB7AFE"/>
    <w:rsid w:val="00EB7F8E"/>
    <w:rsid w:val="00EC0180"/>
    <w:rsid w:val="00EC0347"/>
    <w:rsid w:val="00EC07F4"/>
    <w:rsid w:val="00EC09B1"/>
    <w:rsid w:val="00EC1354"/>
    <w:rsid w:val="00EC1425"/>
    <w:rsid w:val="00EC1498"/>
    <w:rsid w:val="00EC1A41"/>
    <w:rsid w:val="00EC1EDB"/>
    <w:rsid w:val="00EC1F5F"/>
    <w:rsid w:val="00EC211B"/>
    <w:rsid w:val="00EC2129"/>
    <w:rsid w:val="00EC2231"/>
    <w:rsid w:val="00EC2234"/>
    <w:rsid w:val="00EC2320"/>
    <w:rsid w:val="00EC2361"/>
    <w:rsid w:val="00EC23A5"/>
    <w:rsid w:val="00EC26B2"/>
    <w:rsid w:val="00EC2A15"/>
    <w:rsid w:val="00EC2A63"/>
    <w:rsid w:val="00EC2D87"/>
    <w:rsid w:val="00EC2F29"/>
    <w:rsid w:val="00EC2F33"/>
    <w:rsid w:val="00EC321C"/>
    <w:rsid w:val="00EC323E"/>
    <w:rsid w:val="00EC33FD"/>
    <w:rsid w:val="00EC3558"/>
    <w:rsid w:val="00EC35AB"/>
    <w:rsid w:val="00EC37B6"/>
    <w:rsid w:val="00EC3F78"/>
    <w:rsid w:val="00EC4031"/>
    <w:rsid w:val="00EC434D"/>
    <w:rsid w:val="00EC458B"/>
    <w:rsid w:val="00EC4595"/>
    <w:rsid w:val="00EC4A02"/>
    <w:rsid w:val="00EC4B39"/>
    <w:rsid w:val="00EC4C44"/>
    <w:rsid w:val="00EC4CA9"/>
    <w:rsid w:val="00EC4D7A"/>
    <w:rsid w:val="00EC4DD0"/>
    <w:rsid w:val="00EC51E0"/>
    <w:rsid w:val="00EC5284"/>
    <w:rsid w:val="00EC5353"/>
    <w:rsid w:val="00EC5383"/>
    <w:rsid w:val="00EC5405"/>
    <w:rsid w:val="00EC5D36"/>
    <w:rsid w:val="00EC6479"/>
    <w:rsid w:val="00EC66FB"/>
    <w:rsid w:val="00EC69D4"/>
    <w:rsid w:val="00EC6AC8"/>
    <w:rsid w:val="00EC6FCA"/>
    <w:rsid w:val="00EC73B7"/>
    <w:rsid w:val="00EC7692"/>
    <w:rsid w:val="00EC76FF"/>
    <w:rsid w:val="00EC7862"/>
    <w:rsid w:val="00EC78EE"/>
    <w:rsid w:val="00EC7A99"/>
    <w:rsid w:val="00EC7CA7"/>
    <w:rsid w:val="00ED02E1"/>
    <w:rsid w:val="00ED0B6F"/>
    <w:rsid w:val="00ED0D12"/>
    <w:rsid w:val="00ED10D7"/>
    <w:rsid w:val="00ED110D"/>
    <w:rsid w:val="00ED1A32"/>
    <w:rsid w:val="00ED1C45"/>
    <w:rsid w:val="00ED1EEA"/>
    <w:rsid w:val="00ED21AA"/>
    <w:rsid w:val="00ED2317"/>
    <w:rsid w:val="00ED23FF"/>
    <w:rsid w:val="00ED2498"/>
    <w:rsid w:val="00ED25E1"/>
    <w:rsid w:val="00ED26F0"/>
    <w:rsid w:val="00ED2A5E"/>
    <w:rsid w:val="00ED2BF9"/>
    <w:rsid w:val="00ED2CA2"/>
    <w:rsid w:val="00ED2CE6"/>
    <w:rsid w:val="00ED300F"/>
    <w:rsid w:val="00ED30A9"/>
    <w:rsid w:val="00ED3112"/>
    <w:rsid w:val="00ED31FB"/>
    <w:rsid w:val="00ED329A"/>
    <w:rsid w:val="00ED3327"/>
    <w:rsid w:val="00ED3463"/>
    <w:rsid w:val="00ED388B"/>
    <w:rsid w:val="00ED3BA2"/>
    <w:rsid w:val="00ED3BEC"/>
    <w:rsid w:val="00ED40B0"/>
    <w:rsid w:val="00ED4536"/>
    <w:rsid w:val="00ED4693"/>
    <w:rsid w:val="00ED474C"/>
    <w:rsid w:val="00ED48B6"/>
    <w:rsid w:val="00ED48D9"/>
    <w:rsid w:val="00ED4B6C"/>
    <w:rsid w:val="00ED4D4F"/>
    <w:rsid w:val="00ED4D7D"/>
    <w:rsid w:val="00ED4DDC"/>
    <w:rsid w:val="00ED4EF5"/>
    <w:rsid w:val="00ED50D1"/>
    <w:rsid w:val="00ED548C"/>
    <w:rsid w:val="00ED557E"/>
    <w:rsid w:val="00ED5590"/>
    <w:rsid w:val="00ED55E2"/>
    <w:rsid w:val="00ED5608"/>
    <w:rsid w:val="00ED5632"/>
    <w:rsid w:val="00ED59B9"/>
    <w:rsid w:val="00ED5BB9"/>
    <w:rsid w:val="00ED5CF0"/>
    <w:rsid w:val="00ED60C2"/>
    <w:rsid w:val="00ED6426"/>
    <w:rsid w:val="00ED6445"/>
    <w:rsid w:val="00ED6869"/>
    <w:rsid w:val="00ED6A5B"/>
    <w:rsid w:val="00ED6CAF"/>
    <w:rsid w:val="00ED6D36"/>
    <w:rsid w:val="00ED6E95"/>
    <w:rsid w:val="00ED74F2"/>
    <w:rsid w:val="00ED7547"/>
    <w:rsid w:val="00ED7567"/>
    <w:rsid w:val="00ED757F"/>
    <w:rsid w:val="00ED7722"/>
    <w:rsid w:val="00ED78CD"/>
    <w:rsid w:val="00ED78DD"/>
    <w:rsid w:val="00ED7A96"/>
    <w:rsid w:val="00ED7ACE"/>
    <w:rsid w:val="00ED7B52"/>
    <w:rsid w:val="00ED7BFA"/>
    <w:rsid w:val="00ED7DC5"/>
    <w:rsid w:val="00ED7E88"/>
    <w:rsid w:val="00ED7ED9"/>
    <w:rsid w:val="00EE00F6"/>
    <w:rsid w:val="00EE0102"/>
    <w:rsid w:val="00EE02D6"/>
    <w:rsid w:val="00EE02E0"/>
    <w:rsid w:val="00EE048B"/>
    <w:rsid w:val="00EE0568"/>
    <w:rsid w:val="00EE0921"/>
    <w:rsid w:val="00EE0BFD"/>
    <w:rsid w:val="00EE0D1C"/>
    <w:rsid w:val="00EE0E73"/>
    <w:rsid w:val="00EE0EEC"/>
    <w:rsid w:val="00EE10B3"/>
    <w:rsid w:val="00EE11B1"/>
    <w:rsid w:val="00EE11F6"/>
    <w:rsid w:val="00EE124E"/>
    <w:rsid w:val="00EE1379"/>
    <w:rsid w:val="00EE15FF"/>
    <w:rsid w:val="00EE1C5E"/>
    <w:rsid w:val="00EE2057"/>
    <w:rsid w:val="00EE265E"/>
    <w:rsid w:val="00EE2887"/>
    <w:rsid w:val="00EE30AB"/>
    <w:rsid w:val="00EE31E5"/>
    <w:rsid w:val="00EE32EE"/>
    <w:rsid w:val="00EE3357"/>
    <w:rsid w:val="00EE33E5"/>
    <w:rsid w:val="00EE3405"/>
    <w:rsid w:val="00EE34D4"/>
    <w:rsid w:val="00EE35D4"/>
    <w:rsid w:val="00EE35F3"/>
    <w:rsid w:val="00EE3734"/>
    <w:rsid w:val="00EE3A65"/>
    <w:rsid w:val="00EE3AA4"/>
    <w:rsid w:val="00EE3C45"/>
    <w:rsid w:val="00EE3C9F"/>
    <w:rsid w:val="00EE3E10"/>
    <w:rsid w:val="00EE40B2"/>
    <w:rsid w:val="00EE4165"/>
    <w:rsid w:val="00EE41FF"/>
    <w:rsid w:val="00EE4443"/>
    <w:rsid w:val="00EE46F4"/>
    <w:rsid w:val="00EE4714"/>
    <w:rsid w:val="00EE47BB"/>
    <w:rsid w:val="00EE4BE2"/>
    <w:rsid w:val="00EE52C7"/>
    <w:rsid w:val="00EE5568"/>
    <w:rsid w:val="00EE56ED"/>
    <w:rsid w:val="00EE5DD6"/>
    <w:rsid w:val="00EE6292"/>
    <w:rsid w:val="00EE63D0"/>
    <w:rsid w:val="00EE65A3"/>
    <w:rsid w:val="00EE6658"/>
    <w:rsid w:val="00EE69EC"/>
    <w:rsid w:val="00EE6D85"/>
    <w:rsid w:val="00EE6EB8"/>
    <w:rsid w:val="00EE7046"/>
    <w:rsid w:val="00EE70B0"/>
    <w:rsid w:val="00EE70CF"/>
    <w:rsid w:val="00EE71ED"/>
    <w:rsid w:val="00EE7277"/>
    <w:rsid w:val="00EE7474"/>
    <w:rsid w:val="00EE766A"/>
    <w:rsid w:val="00EE7811"/>
    <w:rsid w:val="00EE7FA8"/>
    <w:rsid w:val="00EE7FC0"/>
    <w:rsid w:val="00EE7FC6"/>
    <w:rsid w:val="00EF005F"/>
    <w:rsid w:val="00EF016E"/>
    <w:rsid w:val="00EF01EB"/>
    <w:rsid w:val="00EF0324"/>
    <w:rsid w:val="00EF03EF"/>
    <w:rsid w:val="00EF0888"/>
    <w:rsid w:val="00EF09BA"/>
    <w:rsid w:val="00EF09E2"/>
    <w:rsid w:val="00EF0A48"/>
    <w:rsid w:val="00EF0B90"/>
    <w:rsid w:val="00EF0BC6"/>
    <w:rsid w:val="00EF0BED"/>
    <w:rsid w:val="00EF1308"/>
    <w:rsid w:val="00EF14CB"/>
    <w:rsid w:val="00EF1904"/>
    <w:rsid w:val="00EF1AFF"/>
    <w:rsid w:val="00EF1E39"/>
    <w:rsid w:val="00EF1E63"/>
    <w:rsid w:val="00EF21C0"/>
    <w:rsid w:val="00EF25DD"/>
    <w:rsid w:val="00EF268B"/>
    <w:rsid w:val="00EF2A0A"/>
    <w:rsid w:val="00EF2A96"/>
    <w:rsid w:val="00EF2B55"/>
    <w:rsid w:val="00EF2C80"/>
    <w:rsid w:val="00EF2D0B"/>
    <w:rsid w:val="00EF3102"/>
    <w:rsid w:val="00EF3211"/>
    <w:rsid w:val="00EF3527"/>
    <w:rsid w:val="00EF36F1"/>
    <w:rsid w:val="00EF3822"/>
    <w:rsid w:val="00EF398E"/>
    <w:rsid w:val="00EF3ABA"/>
    <w:rsid w:val="00EF3B36"/>
    <w:rsid w:val="00EF3C10"/>
    <w:rsid w:val="00EF3E95"/>
    <w:rsid w:val="00EF3FE7"/>
    <w:rsid w:val="00EF423E"/>
    <w:rsid w:val="00EF4482"/>
    <w:rsid w:val="00EF44D1"/>
    <w:rsid w:val="00EF4684"/>
    <w:rsid w:val="00EF46CC"/>
    <w:rsid w:val="00EF4B5D"/>
    <w:rsid w:val="00EF4F3D"/>
    <w:rsid w:val="00EF4F55"/>
    <w:rsid w:val="00EF5118"/>
    <w:rsid w:val="00EF5564"/>
    <w:rsid w:val="00EF55D2"/>
    <w:rsid w:val="00EF56EC"/>
    <w:rsid w:val="00EF5994"/>
    <w:rsid w:val="00EF5A9F"/>
    <w:rsid w:val="00EF5CC2"/>
    <w:rsid w:val="00EF5CDC"/>
    <w:rsid w:val="00EF5EE5"/>
    <w:rsid w:val="00EF6464"/>
    <w:rsid w:val="00EF69AD"/>
    <w:rsid w:val="00EF6A0C"/>
    <w:rsid w:val="00EF6AD6"/>
    <w:rsid w:val="00EF6C95"/>
    <w:rsid w:val="00EF6CB9"/>
    <w:rsid w:val="00EF6F43"/>
    <w:rsid w:val="00EF704D"/>
    <w:rsid w:val="00EF7178"/>
    <w:rsid w:val="00EF73C7"/>
    <w:rsid w:val="00EF7552"/>
    <w:rsid w:val="00EF7567"/>
    <w:rsid w:val="00EF7607"/>
    <w:rsid w:val="00EF79B8"/>
    <w:rsid w:val="00EF7B04"/>
    <w:rsid w:val="00EF7B9E"/>
    <w:rsid w:val="00EF7F97"/>
    <w:rsid w:val="00EF7F9E"/>
    <w:rsid w:val="00F00104"/>
    <w:rsid w:val="00F00121"/>
    <w:rsid w:val="00F00129"/>
    <w:rsid w:val="00F00662"/>
    <w:rsid w:val="00F0072D"/>
    <w:rsid w:val="00F00963"/>
    <w:rsid w:val="00F00BD5"/>
    <w:rsid w:val="00F00C06"/>
    <w:rsid w:val="00F00C79"/>
    <w:rsid w:val="00F00CFF"/>
    <w:rsid w:val="00F00D3C"/>
    <w:rsid w:val="00F00E8D"/>
    <w:rsid w:val="00F011FE"/>
    <w:rsid w:val="00F019E5"/>
    <w:rsid w:val="00F01CA7"/>
    <w:rsid w:val="00F01D4B"/>
    <w:rsid w:val="00F01DCD"/>
    <w:rsid w:val="00F02803"/>
    <w:rsid w:val="00F02A1D"/>
    <w:rsid w:val="00F02C60"/>
    <w:rsid w:val="00F02D98"/>
    <w:rsid w:val="00F03037"/>
    <w:rsid w:val="00F0331F"/>
    <w:rsid w:val="00F03324"/>
    <w:rsid w:val="00F03608"/>
    <w:rsid w:val="00F03631"/>
    <w:rsid w:val="00F03850"/>
    <w:rsid w:val="00F03A86"/>
    <w:rsid w:val="00F03D33"/>
    <w:rsid w:val="00F03D4A"/>
    <w:rsid w:val="00F03D78"/>
    <w:rsid w:val="00F03DD9"/>
    <w:rsid w:val="00F03E62"/>
    <w:rsid w:val="00F04204"/>
    <w:rsid w:val="00F0435C"/>
    <w:rsid w:val="00F04541"/>
    <w:rsid w:val="00F045F4"/>
    <w:rsid w:val="00F0479F"/>
    <w:rsid w:val="00F048B4"/>
    <w:rsid w:val="00F0492B"/>
    <w:rsid w:val="00F04986"/>
    <w:rsid w:val="00F04A17"/>
    <w:rsid w:val="00F05324"/>
    <w:rsid w:val="00F054E8"/>
    <w:rsid w:val="00F056F7"/>
    <w:rsid w:val="00F057C6"/>
    <w:rsid w:val="00F05B06"/>
    <w:rsid w:val="00F05B2B"/>
    <w:rsid w:val="00F05C09"/>
    <w:rsid w:val="00F05CB1"/>
    <w:rsid w:val="00F05CD9"/>
    <w:rsid w:val="00F05F9A"/>
    <w:rsid w:val="00F05FB3"/>
    <w:rsid w:val="00F060AC"/>
    <w:rsid w:val="00F06ABD"/>
    <w:rsid w:val="00F06CD2"/>
    <w:rsid w:val="00F06D1F"/>
    <w:rsid w:val="00F06DD2"/>
    <w:rsid w:val="00F07321"/>
    <w:rsid w:val="00F077E6"/>
    <w:rsid w:val="00F07900"/>
    <w:rsid w:val="00F07C13"/>
    <w:rsid w:val="00F07E52"/>
    <w:rsid w:val="00F103A1"/>
    <w:rsid w:val="00F105CB"/>
    <w:rsid w:val="00F10D74"/>
    <w:rsid w:val="00F10E35"/>
    <w:rsid w:val="00F1100D"/>
    <w:rsid w:val="00F11295"/>
    <w:rsid w:val="00F11533"/>
    <w:rsid w:val="00F11603"/>
    <w:rsid w:val="00F1180E"/>
    <w:rsid w:val="00F11933"/>
    <w:rsid w:val="00F119B3"/>
    <w:rsid w:val="00F119B6"/>
    <w:rsid w:val="00F11CEB"/>
    <w:rsid w:val="00F11EBF"/>
    <w:rsid w:val="00F11F38"/>
    <w:rsid w:val="00F11FB3"/>
    <w:rsid w:val="00F126C9"/>
    <w:rsid w:val="00F12892"/>
    <w:rsid w:val="00F12901"/>
    <w:rsid w:val="00F12954"/>
    <w:rsid w:val="00F12D49"/>
    <w:rsid w:val="00F12E2A"/>
    <w:rsid w:val="00F12E4A"/>
    <w:rsid w:val="00F130A6"/>
    <w:rsid w:val="00F130D2"/>
    <w:rsid w:val="00F1347C"/>
    <w:rsid w:val="00F1356D"/>
    <w:rsid w:val="00F13639"/>
    <w:rsid w:val="00F13769"/>
    <w:rsid w:val="00F13786"/>
    <w:rsid w:val="00F138F9"/>
    <w:rsid w:val="00F13AC9"/>
    <w:rsid w:val="00F13B84"/>
    <w:rsid w:val="00F13E21"/>
    <w:rsid w:val="00F13E83"/>
    <w:rsid w:val="00F13F9F"/>
    <w:rsid w:val="00F1409E"/>
    <w:rsid w:val="00F1413D"/>
    <w:rsid w:val="00F14414"/>
    <w:rsid w:val="00F144E7"/>
    <w:rsid w:val="00F1456A"/>
    <w:rsid w:val="00F146CA"/>
    <w:rsid w:val="00F1475D"/>
    <w:rsid w:val="00F1485D"/>
    <w:rsid w:val="00F14941"/>
    <w:rsid w:val="00F14A11"/>
    <w:rsid w:val="00F14B7A"/>
    <w:rsid w:val="00F1500A"/>
    <w:rsid w:val="00F153F5"/>
    <w:rsid w:val="00F154BF"/>
    <w:rsid w:val="00F155FE"/>
    <w:rsid w:val="00F155FF"/>
    <w:rsid w:val="00F159CB"/>
    <w:rsid w:val="00F15BED"/>
    <w:rsid w:val="00F15F30"/>
    <w:rsid w:val="00F162FC"/>
    <w:rsid w:val="00F163D8"/>
    <w:rsid w:val="00F16590"/>
    <w:rsid w:val="00F166B5"/>
    <w:rsid w:val="00F166B7"/>
    <w:rsid w:val="00F1679A"/>
    <w:rsid w:val="00F16A6F"/>
    <w:rsid w:val="00F16AB7"/>
    <w:rsid w:val="00F16DD0"/>
    <w:rsid w:val="00F17042"/>
    <w:rsid w:val="00F17161"/>
    <w:rsid w:val="00F173BD"/>
    <w:rsid w:val="00F17586"/>
    <w:rsid w:val="00F175FC"/>
    <w:rsid w:val="00F176AA"/>
    <w:rsid w:val="00F17835"/>
    <w:rsid w:val="00F17B8A"/>
    <w:rsid w:val="00F17DB8"/>
    <w:rsid w:val="00F17F4B"/>
    <w:rsid w:val="00F17FFC"/>
    <w:rsid w:val="00F20276"/>
    <w:rsid w:val="00F204BC"/>
    <w:rsid w:val="00F20754"/>
    <w:rsid w:val="00F20AE6"/>
    <w:rsid w:val="00F2147E"/>
    <w:rsid w:val="00F2176A"/>
    <w:rsid w:val="00F21C68"/>
    <w:rsid w:val="00F21D1C"/>
    <w:rsid w:val="00F21D93"/>
    <w:rsid w:val="00F21EF3"/>
    <w:rsid w:val="00F21FA5"/>
    <w:rsid w:val="00F2226B"/>
    <w:rsid w:val="00F223F7"/>
    <w:rsid w:val="00F224BC"/>
    <w:rsid w:val="00F22F42"/>
    <w:rsid w:val="00F22FA2"/>
    <w:rsid w:val="00F2318D"/>
    <w:rsid w:val="00F232EE"/>
    <w:rsid w:val="00F235CC"/>
    <w:rsid w:val="00F23913"/>
    <w:rsid w:val="00F23B50"/>
    <w:rsid w:val="00F23EDB"/>
    <w:rsid w:val="00F243B9"/>
    <w:rsid w:val="00F24996"/>
    <w:rsid w:val="00F24A06"/>
    <w:rsid w:val="00F24B66"/>
    <w:rsid w:val="00F24F0B"/>
    <w:rsid w:val="00F25113"/>
    <w:rsid w:val="00F253E0"/>
    <w:rsid w:val="00F254F5"/>
    <w:rsid w:val="00F25796"/>
    <w:rsid w:val="00F25834"/>
    <w:rsid w:val="00F259A2"/>
    <w:rsid w:val="00F25BD0"/>
    <w:rsid w:val="00F25F03"/>
    <w:rsid w:val="00F26047"/>
    <w:rsid w:val="00F261D2"/>
    <w:rsid w:val="00F26291"/>
    <w:rsid w:val="00F26649"/>
    <w:rsid w:val="00F268A1"/>
    <w:rsid w:val="00F26962"/>
    <w:rsid w:val="00F26B4D"/>
    <w:rsid w:val="00F26B8B"/>
    <w:rsid w:val="00F26C57"/>
    <w:rsid w:val="00F2712C"/>
    <w:rsid w:val="00F27141"/>
    <w:rsid w:val="00F27464"/>
    <w:rsid w:val="00F27621"/>
    <w:rsid w:val="00F2774A"/>
    <w:rsid w:val="00F2777E"/>
    <w:rsid w:val="00F27AB1"/>
    <w:rsid w:val="00F27B66"/>
    <w:rsid w:val="00F27C98"/>
    <w:rsid w:val="00F27E53"/>
    <w:rsid w:val="00F27E7F"/>
    <w:rsid w:val="00F27EA4"/>
    <w:rsid w:val="00F300A8"/>
    <w:rsid w:val="00F30401"/>
    <w:rsid w:val="00F3043B"/>
    <w:rsid w:val="00F30645"/>
    <w:rsid w:val="00F3078E"/>
    <w:rsid w:val="00F3079B"/>
    <w:rsid w:val="00F308B1"/>
    <w:rsid w:val="00F30A05"/>
    <w:rsid w:val="00F30CB4"/>
    <w:rsid w:val="00F30FA6"/>
    <w:rsid w:val="00F310B5"/>
    <w:rsid w:val="00F31277"/>
    <w:rsid w:val="00F31662"/>
    <w:rsid w:val="00F318B6"/>
    <w:rsid w:val="00F31AD3"/>
    <w:rsid w:val="00F31BDB"/>
    <w:rsid w:val="00F31DC3"/>
    <w:rsid w:val="00F32107"/>
    <w:rsid w:val="00F3218D"/>
    <w:rsid w:val="00F323A9"/>
    <w:rsid w:val="00F323CB"/>
    <w:rsid w:val="00F3257B"/>
    <w:rsid w:val="00F327D4"/>
    <w:rsid w:val="00F3289F"/>
    <w:rsid w:val="00F32A57"/>
    <w:rsid w:val="00F32AB4"/>
    <w:rsid w:val="00F32D98"/>
    <w:rsid w:val="00F3326E"/>
    <w:rsid w:val="00F3326F"/>
    <w:rsid w:val="00F3357B"/>
    <w:rsid w:val="00F337F1"/>
    <w:rsid w:val="00F338FB"/>
    <w:rsid w:val="00F33AA3"/>
    <w:rsid w:val="00F33B58"/>
    <w:rsid w:val="00F33C6E"/>
    <w:rsid w:val="00F33CC0"/>
    <w:rsid w:val="00F33E8B"/>
    <w:rsid w:val="00F33ED5"/>
    <w:rsid w:val="00F34132"/>
    <w:rsid w:val="00F343BD"/>
    <w:rsid w:val="00F34565"/>
    <w:rsid w:val="00F34568"/>
    <w:rsid w:val="00F345DE"/>
    <w:rsid w:val="00F34772"/>
    <w:rsid w:val="00F34B90"/>
    <w:rsid w:val="00F34BFC"/>
    <w:rsid w:val="00F34C06"/>
    <w:rsid w:val="00F34CDC"/>
    <w:rsid w:val="00F34F65"/>
    <w:rsid w:val="00F350C7"/>
    <w:rsid w:val="00F3522A"/>
    <w:rsid w:val="00F357F6"/>
    <w:rsid w:val="00F35874"/>
    <w:rsid w:val="00F3592E"/>
    <w:rsid w:val="00F35BE0"/>
    <w:rsid w:val="00F35D4E"/>
    <w:rsid w:val="00F35EB3"/>
    <w:rsid w:val="00F35FE0"/>
    <w:rsid w:val="00F364D1"/>
    <w:rsid w:val="00F36513"/>
    <w:rsid w:val="00F365F6"/>
    <w:rsid w:val="00F368CD"/>
    <w:rsid w:val="00F36C0C"/>
    <w:rsid w:val="00F36C67"/>
    <w:rsid w:val="00F36C86"/>
    <w:rsid w:val="00F36CDC"/>
    <w:rsid w:val="00F36F54"/>
    <w:rsid w:val="00F375BC"/>
    <w:rsid w:val="00F377B7"/>
    <w:rsid w:val="00F37838"/>
    <w:rsid w:val="00F378DF"/>
    <w:rsid w:val="00F3798B"/>
    <w:rsid w:val="00F37CB9"/>
    <w:rsid w:val="00F40310"/>
    <w:rsid w:val="00F40367"/>
    <w:rsid w:val="00F40668"/>
    <w:rsid w:val="00F40CC5"/>
    <w:rsid w:val="00F40DDF"/>
    <w:rsid w:val="00F410F6"/>
    <w:rsid w:val="00F41386"/>
    <w:rsid w:val="00F413B4"/>
    <w:rsid w:val="00F4149A"/>
    <w:rsid w:val="00F414DA"/>
    <w:rsid w:val="00F415A7"/>
    <w:rsid w:val="00F416BE"/>
    <w:rsid w:val="00F41785"/>
    <w:rsid w:val="00F417B4"/>
    <w:rsid w:val="00F418A5"/>
    <w:rsid w:val="00F4199A"/>
    <w:rsid w:val="00F41E2C"/>
    <w:rsid w:val="00F41E68"/>
    <w:rsid w:val="00F42254"/>
    <w:rsid w:val="00F422C3"/>
    <w:rsid w:val="00F42484"/>
    <w:rsid w:val="00F4257E"/>
    <w:rsid w:val="00F42924"/>
    <w:rsid w:val="00F42A7C"/>
    <w:rsid w:val="00F42CC3"/>
    <w:rsid w:val="00F42EEC"/>
    <w:rsid w:val="00F42FEA"/>
    <w:rsid w:val="00F4311A"/>
    <w:rsid w:val="00F431D5"/>
    <w:rsid w:val="00F43506"/>
    <w:rsid w:val="00F43611"/>
    <w:rsid w:val="00F43B90"/>
    <w:rsid w:val="00F43BE9"/>
    <w:rsid w:val="00F43DD8"/>
    <w:rsid w:val="00F44019"/>
    <w:rsid w:val="00F44038"/>
    <w:rsid w:val="00F441ED"/>
    <w:rsid w:val="00F44205"/>
    <w:rsid w:val="00F44335"/>
    <w:rsid w:val="00F4445C"/>
    <w:rsid w:val="00F446E2"/>
    <w:rsid w:val="00F4472E"/>
    <w:rsid w:val="00F44AB7"/>
    <w:rsid w:val="00F44AF5"/>
    <w:rsid w:val="00F44DCB"/>
    <w:rsid w:val="00F44E95"/>
    <w:rsid w:val="00F44F7F"/>
    <w:rsid w:val="00F45099"/>
    <w:rsid w:val="00F457ED"/>
    <w:rsid w:val="00F459D4"/>
    <w:rsid w:val="00F45BCC"/>
    <w:rsid w:val="00F45C3F"/>
    <w:rsid w:val="00F45C6A"/>
    <w:rsid w:val="00F45C6C"/>
    <w:rsid w:val="00F45E34"/>
    <w:rsid w:val="00F45EC2"/>
    <w:rsid w:val="00F45FEC"/>
    <w:rsid w:val="00F46125"/>
    <w:rsid w:val="00F461EA"/>
    <w:rsid w:val="00F46410"/>
    <w:rsid w:val="00F465C7"/>
    <w:rsid w:val="00F46667"/>
    <w:rsid w:val="00F46906"/>
    <w:rsid w:val="00F46A1B"/>
    <w:rsid w:val="00F46F9F"/>
    <w:rsid w:val="00F47102"/>
    <w:rsid w:val="00F474B1"/>
    <w:rsid w:val="00F47506"/>
    <w:rsid w:val="00F476B1"/>
    <w:rsid w:val="00F47B6B"/>
    <w:rsid w:val="00F47E1C"/>
    <w:rsid w:val="00F500F6"/>
    <w:rsid w:val="00F5098C"/>
    <w:rsid w:val="00F50ADD"/>
    <w:rsid w:val="00F50CC8"/>
    <w:rsid w:val="00F50DA2"/>
    <w:rsid w:val="00F50F4C"/>
    <w:rsid w:val="00F50FDC"/>
    <w:rsid w:val="00F510FD"/>
    <w:rsid w:val="00F5119A"/>
    <w:rsid w:val="00F5121B"/>
    <w:rsid w:val="00F51348"/>
    <w:rsid w:val="00F514B3"/>
    <w:rsid w:val="00F51FF4"/>
    <w:rsid w:val="00F52327"/>
    <w:rsid w:val="00F52544"/>
    <w:rsid w:val="00F52843"/>
    <w:rsid w:val="00F52A0D"/>
    <w:rsid w:val="00F52C4A"/>
    <w:rsid w:val="00F52E0E"/>
    <w:rsid w:val="00F52F19"/>
    <w:rsid w:val="00F5306D"/>
    <w:rsid w:val="00F5312E"/>
    <w:rsid w:val="00F53573"/>
    <w:rsid w:val="00F535A8"/>
    <w:rsid w:val="00F53C64"/>
    <w:rsid w:val="00F53CE9"/>
    <w:rsid w:val="00F53E35"/>
    <w:rsid w:val="00F53EBF"/>
    <w:rsid w:val="00F541A9"/>
    <w:rsid w:val="00F54686"/>
    <w:rsid w:val="00F54821"/>
    <w:rsid w:val="00F54C10"/>
    <w:rsid w:val="00F54C33"/>
    <w:rsid w:val="00F54F7F"/>
    <w:rsid w:val="00F550E2"/>
    <w:rsid w:val="00F554DD"/>
    <w:rsid w:val="00F5559C"/>
    <w:rsid w:val="00F55624"/>
    <w:rsid w:val="00F557D4"/>
    <w:rsid w:val="00F558D0"/>
    <w:rsid w:val="00F55A24"/>
    <w:rsid w:val="00F55C7C"/>
    <w:rsid w:val="00F55FB8"/>
    <w:rsid w:val="00F561BB"/>
    <w:rsid w:val="00F566CB"/>
    <w:rsid w:val="00F56A62"/>
    <w:rsid w:val="00F56C0C"/>
    <w:rsid w:val="00F5738F"/>
    <w:rsid w:val="00F57575"/>
    <w:rsid w:val="00F57733"/>
    <w:rsid w:val="00F578E1"/>
    <w:rsid w:val="00F57B85"/>
    <w:rsid w:val="00F57D65"/>
    <w:rsid w:val="00F57F30"/>
    <w:rsid w:val="00F602C8"/>
    <w:rsid w:val="00F60308"/>
    <w:rsid w:val="00F60445"/>
    <w:rsid w:val="00F60783"/>
    <w:rsid w:val="00F60A31"/>
    <w:rsid w:val="00F60B2D"/>
    <w:rsid w:val="00F60D59"/>
    <w:rsid w:val="00F60ED0"/>
    <w:rsid w:val="00F60FFB"/>
    <w:rsid w:val="00F61032"/>
    <w:rsid w:val="00F612B0"/>
    <w:rsid w:val="00F61415"/>
    <w:rsid w:val="00F61468"/>
    <w:rsid w:val="00F61A7C"/>
    <w:rsid w:val="00F61B38"/>
    <w:rsid w:val="00F61B84"/>
    <w:rsid w:val="00F61D91"/>
    <w:rsid w:val="00F6208D"/>
    <w:rsid w:val="00F6210C"/>
    <w:rsid w:val="00F62133"/>
    <w:rsid w:val="00F62176"/>
    <w:rsid w:val="00F626E2"/>
    <w:rsid w:val="00F6274A"/>
    <w:rsid w:val="00F62A97"/>
    <w:rsid w:val="00F62C09"/>
    <w:rsid w:val="00F62C53"/>
    <w:rsid w:val="00F62CAB"/>
    <w:rsid w:val="00F62D10"/>
    <w:rsid w:val="00F62F89"/>
    <w:rsid w:val="00F63151"/>
    <w:rsid w:val="00F63453"/>
    <w:rsid w:val="00F63661"/>
    <w:rsid w:val="00F637D5"/>
    <w:rsid w:val="00F637EC"/>
    <w:rsid w:val="00F63A88"/>
    <w:rsid w:val="00F63D14"/>
    <w:rsid w:val="00F642CD"/>
    <w:rsid w:val="00F646B4"/>
    <w:rsid w:val="00F64956"/>
    <w:rsid w:val="00F6496F"/>
    <w:rsid w:val="00F64986"/>
    <w:rsid w:val="00F64C45"/>
    <w:rsid w:val="00F64D9D"/>
    <w:rsid w:val="00F64F7F"/>
    <w:rsid w:val="00F64F97"/>
    <w:rsid w:val="00F653D9"/>
    <w:rsid w:val="00F653E0"/>
    <w:rsid w:val="00F6580F"/>
    <w:rsid w:val="00F65830"/>
    <w:rsid w:val="00F6584A"/>
    <w:rsid w:val="00F65995"/>
    <w:rsid w:val="00F65B7F"/>
    <w:rsid w:val="00F65DED"/>
    <w:rsid w:val="00F66132"/>
    <w:rsid w:val="00F663A4"/>
    <w:rsid w:val="00F668EE"/>
    <w:rsid w:val="00F669B1"/>
    <w:rsid w:val="00F669F9"/>
    <w:rsid w:val="00F66C41"/>
    <w:rsid w:val="00F66C95"/>
    <w:rsid w:val="00F66DCA"/>
    <w:rsid w:val="00F66E04"/>
    <w:rsid w:val="00F6741A"/>
    <w:rsid w:val="00F67794"/>
    <w:rsid w:val="00F6791F"/>
    <w:rsid w:val="00F679C8"/>
    <w:rsid w:val="00F67A7E"/>
    <w:rsid w:val="00F67B35"/>
    <w:rsid w:val="00F67D64"/>
    <w:rsid w:val="00F70158"/>
    <w:rsid w:val="00F70198"/>
    <w:rsid w:val="00F702FA"/>
    <w:rsid w:val="00F70737"/>
    <w:rsid w:val="00F709EF"/>
    <w:rsid w:val="00F70AC2"/>
    <w:rsid w:val="00F70B5D"/>
    <w:rsid w:val="00F70C83"/>
    <w:rsid w:val="00F70CE5"/>
    <w:rsid w:val="00F70E9D"/>
    <w:rsid w:val="00F7113E"/>
    <w:rsid w:val="00F712BE"/>
    <w:rsid w:val="00F713E1"/>
    <w:rsid w:val="00F715F6"/>
    <w:rsid w:val="00F716FA"/>
    <w:rsid w:val="00F717C6"/>
    <w:rsid w:val="00F71A30"/>
    <w:rsid w:val="00F71D59"/>
    <w:rsid w:val="00F722B9"/>
    <w:rsid w:val="00F723F1"/>
    <w:rsid w:val="00F72432"/>
    <w:rsid w:val="00F724C6"/>
    <w:rsid w:val="00F724D9"/>
    <w:rsid w:val="00F72533"/>
    <w:rsid w:val="00F725F7"/>
    <w:rsid w:val="00F72637"/>
    <w:rsid w:val="00F72725"/>
    <w:rsid w:val="00F72AAB"/>
    <w:rsid w:val="00F72B1C"/>
    <w:rsid w:val="00F72B84"/>
    <w:rsid w:val="00F72CEC"/>
    <w:rsid w:val="00F72D60"/>
    <w:rsid w:val="00F72DD2"/>
    <w:rsid w:val="00F72E9B"/>
    <w:rsid w:val="00F73004"/>
    <w:rsid w:val="00F73017"/>
    <w:rsid w:val="00F73270"/>
    <w:rsid w:val="00F73271"/>
    <w:rsid w:val="00F73413"/>
    <w:rsid w:val="00F7372E"/>
    <w:rsid w:val="00F73747"/>
    <w:rsid w:val="00F73766"/>
    <w:rsid w:val="00F7376E"/>
    <w:rsid w:val="00F7382E"/>
    <w:rsid w:val="00F73B43"/>
    <w:rsid w:val="00F7412A"/>
    <w:rsid w:val="00F74198"/>
    <w:rsid w:val="00F74ABE"/>
    <w:rsid w:val="00F74ACC"/>
    <w:rsid w:val="00F74ADA"/>
    <w:rsid w:val="00F74B7E"/>
    <w:rsid w:val="00F74D01"/>
    <w:rsid w:val="00F74DCF"/>
    <w:rsid w:val="00F74FF1"/>
    <w:rsid w:val="00F750A6"/>
    <w:rsid w:val="00F75170"/>
    <w:rsid w:val="00F751B0"/>
    <w:rsid w:val="00F751F2"/>
    <w:rsid w:val="00F75576"/>
    <w:rsid w:val="00F756B5"/>
    <w:rsid w:val="00F7581E"/>
    <w:rsid w:val="00F7590E"/>
    <w:rsid w:val="00F759B5"/>
    <w:rsid w:val="00F75B4C"/>
    <w:rsid w:val="00F761B1"/>
    <w:rsid w:val="00F762D0"/>
    <w:rsid w:val="00F762EA"/>
    <w:rsid w:val="00F765A9"/>
    <w:rsid w:val="00F766CB"/>
    <w:rsid w:val="00F76AA7"/>
    <w:rsid w:val="00F76DCB"/>
    <w:rsid w:val="00F76F25"/>
    <w:rsid w:val="00F771AA"/>
    <w:rsid w:val="00F77304"/>
    <w:rsid w:val="00F7738D"/>
    <w:rsid w:val="00F77437"/>
    <w:rsid w:val="00F774C7"/>
    <w:rsid w:val="00F77534"/>
    <w:rsid w:val="00F775DC"/>
    <w:rsid w:val="00F77B35"/>
    <w:rsid w:val="00F77D48"/>
    <w:rsid w:val="00F77DBF"/>
    <w:rsid w:val="00F77FE3"/>
    <w:rsid w:val="00F8022E"/>
    <w:rsid w:val="00F802A1"/>
    <w:rsid w:val="00F8036B"/>
    <w:rsid w:val="00F808C8"/>
    <w:rsid w:val="00F808E6"/>
    <w:rsid w:val="00F80A60"/>
    <w:rsid w:val="00F80C1B"/>
    <w:rsid w:val="00F80D36"/>
    <w:rsid w:val="00F80E0B"/>
    <w:rsid w:val="00F81403"/>
    <w:rsid w:val="00F8147B"/>
    <w:rsid w:val="00F81A43"/>
    <w:rsid w:val="00F81BD5"/>
    <w:rsid w:val="00F81F1C"/>
    <w:rsid w:val="00F8216B"/>
    <w:rsid w:val="00F82272"/>
    <w:rsid w:val="00F823A0"/>
    <w:rsid w:val="00F823F2"/>
    <w:rsid w:val="00F82425"/>
    <w:rsid w:val="00F8271E"/>
    <w:rsid w:val="00F82807"/>
    <w:rsid w:val="00F82916"/>
    <w:rsid w:val="00F82A0D"/>
    <w:rsid w:val="00F82C28"/>
    <w:rsid w:val="00F82E84"/>
    <w:rsid w:val="00F82F97"/>
    <w:rsid w:val="00F83350"/>
    <w:rsid w:val="00F837BF"/>
    <w:rsid w:val="00F83A36"/>
    <w:rsid w:val="00F83D8A"/>
    <w:rsid w:val="00F83EF8"/>
    <w:rsid w:val="00F83FFD"/>
    <w:rsid w:val="00F840E7"/>
    <w:rsid w:val="00F841B0"/>
    <w:rsid w:val="00F842FD"/>
    <w:rsid w:val="00F843E4"/>
    <w:rsid w:val="00F84690"/>
    <w:rsid w:val="00F847CE"/>
    <w:rsid w:val="00F8489A"/>
    <w:rsid w:val="00F84A6E"/>
    <w:rsid w:val="00F84E75"/>
    <w:rsid w:val="00F84F01"/>
    <w:rsid w:val="00F85265"/>
    <w:rsid w:val="00F854FB"/>
    <w:rsid w:val="00F8562E"/>
    <w:rsid w:val="00F856EC"/>
    <w:rsid w:val="00F8580A"/>
    <w:rsid w:val="00F859CF"/>
    <w:rsid w:val="00F85FBC"/>
    <w:rsid w:val="00F86194"/>
    <w:rsid w:val="00F863B8"/>
    <w:rsid w:val="00F86464"/>
    <w:rsid w:val="00F864B1"/>
    <w:rsid w:val="00F86654"/>
    <w:rsid w:val="00F86872"/>
    <w:rsid w:val="00F869D8"/>
    <w:rsid w:val="00F86A94"/>
    <w:rsid w:val="00F872C3"/>
    <w:rsid w:val="00F872E4"/>
    <w:rsid w:val="00F87308"/>
    <w:rsid w:val="00F87F5D"/>
    <w:rsid w:val="00F87F6F"/>
    <w:rsid w:val="00F90331"/>
    <w:rsid w:val="00F905DB"/>
    <w:rsid w:val="00F90608"/>
    <w:rsid w:val="00F9069B"/>
    <w:rsid w:val="00F9070C"/>
    <w:rsid w:val="00F90722"/>
    <w:rsid w:val="00F90984"/>
    <w:rsid w:val="00F9099B"/>
    <w:rsid w:val="00F90BEC"/>
    <w:rsid w:val="00F90D94"/>
    <w:rsid w:val="00F910ED"/>
    <w:rsid w:val="00F914C5"/>
    <w:rsid w:val="00F915ED"/>
    <w:rsid w:val="00F9162C"/>
    <w:rsid w:val="00F916FE"/>
    <w:rsid w:val="00F91811"/>
    <w:rsid w:val="00F91B71"/>
    <w:rsid w:val="00F91DC3"/>
    <w:rsid w:val="00F91DF3"/>
    <w:rsid w:val="00F91F34"/>
    <w:rsid w:val="00F9252B"/>
    <w:rsid w:val="00F92997"/>
    <w:rsid w:val="00F92EDE"/>
    <w:rsid w:val="00F92F83"/>
    <w:rsid w:val="00F93259"/>
    <w:rsid w:val="00F93427"/>
    <w:rsid w:val="00F93710"/>
    <w:rsid w:val="00F9395C"/>
    <w:rsid w:val="00F93C17"/>
    <w:rsid w:val="00F93C5C"/>
    <w:rsid w:val="00F9406B"/>
    <w:rsid w:val="00F940A1"/>
    <w:rsid w:val="00F9435E"/>
    <w:rsid w:val="00F9469E"/>
    <w:rsid w:val="00F94ABE"/>
    <w:rsid w:val="00F94BD6"/>
    <w:rsid w:val="00F94BEE"/>
    <w:rsid w:val="00F94C4A"/>
    <w:rsid w:val="00F94E2A"/>
    <w:rsid w:val="00F9564C"/>
    <w:rsid w:val="00F960EE"/>
    <w:rsid w:val="00F9633A"/>
    <w:rsid w:val="00F966EC"/>
    <w:rsid w:val="00F96765"/>
    <w:rsid w:val="00F96893"/>
    <w:rsid w:val="00F96900"/>
    <w:rsid w:val="00F96AB2"/>
    <w:rsid w:val="00F96B81"/>
    <w:rsid w:val="00F96B8E"/>
    <w:rsid w:val="00F96D42"/>
    <w:rsid w:val="00F96F07"/>
    <w:rsid w:val="00F96F67"/>
    <w:rsid w:val="00F9736D"/>
    <w:rsid w:val="00F975FB"/>
    <w:rsid w:val="00F9783D"/>
    <w:rsid w:val="00F9792A"/>
    <w:rsid w:val="00F97E75"/>
    <w:rsid w:val="00F97E85"/>
    <w:rsid w:val="00F97EF8"/>
    <w:rsid w:val="00F97F9D"/>
    <w:rsid w:val="00FA0346"/>
    <w:rsid w:val="00FA03C5"/>
    <w:rsid w:val="00FA052D"/>
    <w:rsid w:val="00FA0A3F"/>
    <w:rsid w:val="00FA0BE6"/>
    <w:rsid w:val="00FA0C48"/>
    <w:rsid w:val="00FA100B"/>
    <w:rsid w:val="00FA12CD"/>
    <w:rsid w:val="00FA164F"/>
    <w:rsid w:val="00FA178F"/>
    <w:rsid w:val="00FA18C1"/>
    <w:rsid w:val="00FA1A6E"/>
    <w:rsid w:val="00FA1AB6"/>
    <w:rsid w:val="00FA1AD1"/>
    <w:rsid w:val="00FA1C35"/>
    <w:rsid w:val="00FA1F40"/>
    <w:rsid w:val="00FA1F87"/>
    <w:rsid w:val="00FA2133"/>
    <w:rsid w:val="00FA2320"/>
    <w:rsid w:val="00FA233B"/>
    <w:rsid w:val="00FA25D9"/>
    <w:rsid w:val="00FA2737"/>
    <w:rsid w:val="00FA273F"/>
    <w:rsid w:val="00FA276F"/>
    <w:rsid w:val="00FA2A8E"/>
    <w:rsid w:val="00FA2F1C"/>
    <w:rsid w:val="00FA2F70"/>
    <w:rsid w:val="00FA2FE4"/>
    <w:rsid w:val="00FA303E"/>
    <w:rsid w:val="00FA30A9"/>
    <w:rsid w:val="00FA3137"/>
    <w:rsid w:val="00FA32B4"/>
    <w:rsid w:val="00FA330E"/>
    <w:rsid w:val="00FA3346"/>
    <w:rsid w:val="00FA3363"/>
    <w:rsid w:val="00FA39B6"/>
    <w:rsid w:val="00FA3AD0"/>
    <w:rsid w:val="00FA3D1B"/>
    <w:rsid w:val="00FA3DAA"/>
    <w:rsid w:val="00FA403C"/>
    <w:rsid w:val="00FA406E"/>
    <w:rsid w:val="00FA4236"/>
    <w:rsid w:val="00FA4298"/>
    <w:rsid w:val="00FA4542"/>
    <w:rsid w:val="00FA52ED"/>
    <w:rsid w:val="00FA5302"/>
    <w:rsid w:val="00FA54B2"/>
    <w:rsid w:val="00FA5589"/>
    <w:rsid w:val="00FA55B9"/>
    <w:rsid w:val="00FA57FF"/>
    <w:rsid w:val="00FA5A34"/>
    <w:rsid w:val="00FA5AB7"/>
    <w:rsid w:val="00FA5B33"/>
    <w:rsid w:val="00FA5C6D"/>
    <w:rsid w:val="00FA5D58"/>
    <w:rsid w:val="00FA61F0"/>
    <w:rsid w:val="00FA65B8"/>
    <w:rsid w:val="00FA65C9"/>
    <w:rsid w:val="00FA662A"/>
    <w:rsid w:val="00FA6636"/>
    <w:rsid w:val="00FA6B9B"/>
    <w:rsid w:val="00FA6B9D"/>
    <w:rsid w:val="00FA6DA5"/>
    <w:rsid w:val="00FA6E7B"/>
    <w:rsid w:val="00FA7150"/>
    <w:rsid w:val="00FA71CF"/>
    <w:rsid w:val="00FA7251"/>
    <w:rsid w:val="00FA7309"/>
    <w:rsid w:val="00FA767C"/>
    <w:rsid w:val="00FA76F4"/>
    <w:rsid w:val="00FA7841"/>
    <w:rsid w:val="00FA78F8"/>
    <w:rsid w:val="00FA7F2D"/>
    <w:rsid w:val="00FB0060"/>
    <w:rsid w:val="00FB00DC"/>
    <w:rsid w:val="00FB00F2"/>
    <w:rsid w:val="00FB023F"/>
    <w:rsid w:val="00FB0252"/>
    <w:rsid w:val="00FB03B7"/>
    <w:rsid w:val="00FB0A93"/>
    <w:rsid w:val="00FB0E84"/>
    <w:rsid w:val="00FB0F1A"/>
    <w:rsid w:val="00FB11AA"/>
    <w:rsid w:val="00FB1975"/>
    <w:rsid w:val="00FB1B3E"/>
    <w:rsid w:val="00FB1D47"/>
    <w:rsid w:val="00FB1DE4"/>
    <w:rsid w:val="00FB1F0F"/>
    <w:rsid w:val="00FB2473"/>
    <w:rsid w:val="00FB2508"/>
    <w:rsid w:val="00FB25D7"/>
    <w:rsid w:val="00FB27BB"/>
    <w:rsid w:val="00FB27F4"/>
    <w:rsid w:val="00FB2C98"/>
    <w:rsid w:val="00FB2D0F"/>
    <w:rsid w:val="00FB2E43"/>
    <w:rsid w:val="00FB2EF2"/>
    <w:rsid w:val="00FB2F37"/>
    <w:rsid w:val="00FB2F73"/>
    <w:rsid w:val="00FB3418"/>
    <w:rsid w:val="00FB36CB"/>
    <w:rsid w:val="00FB399C"/>
    <w:rsid w:val="00FB39A6"/>
    <w:rsid w:val="00FB39B5"/>
    <w:rsid w:val="00FB3D41"/>
    <w:rsid w:val="00FB3F55"/>
    <w:rsid w:val="00FB4873"/>
    <w:rsid w:val="00FB4E99"/>
    <w:rsid w:val="00FB4EB2"/>
    <w:rsid w:val="00FB4EB3"/>
    <w:rsid w:val="00FB4ED4"/>
    <w:rsid w:val="00FB5008"/>
    <w:rsid w:val="00FB508A"/>
    <w:rsid w:val="00FB50B3"/>
    <w:rsid w:val="00FB5639"/>
    <w:rsid w:val="00FB56CF"/>
    <w:rsid w:val="00FB5708"/>
    <w:rsid w:val="00FB57A3"/>
    <w:rsid w:val="00FB57B6"/>
    <w:rsid w:val="00FB57DA"/>
    <w:rsid w:val="00FB5CFF"/>
    <w:rsid w:val="00FB5D90"/>
    <w:rsid w:val="00FB5DB6"/>
    <w:rsid w:val="00FB5EDD"/>
    <w:rsid w:val="00FB5F87"/>
    <w:rsid w:val="00FB6398"/>
    <w:rsid w:val="00FB6545"/>
    <w:rsid w:val="00FB6767"/>
    <w:rsid w:val="00FB685D"/>
    <w:rsid w:val="00FB6B4D"/>
    <w:rsid w:val="00FB6C33"/>
    <w:rsid w:val="00FB6EA1"/>
    <w:rsid w:val="00FB717D"/>
    <w:rsid w:val="00FB72CF"/>
    <w:rsid w:val="00FB730C"/>
    <w:rsid w:val="00FB743D"/>
    <w:rsid w:val="00FB752D"/>
    <w:rsid w:val="00FB77CD"/>
    <w:rsid w:val="00FB7898"/>
    <w:rsid w:val="00FB7B06"/>
    <w:rsid w:val="00FB7CE2"/>
    <w:rsid w:val="00FC00B4"/>
    <w:rsid w:val="00FC00F8"/>
    <w:rsid w:val="00FC01D8"/>
    <w:rsid w:val="00FC02E3"/>
    <w:rsid w:val="00FC0410"/>
    <w:rsid w:val="00FC07F5"/>
    <w:rsid w:val="00FC07F6"/>
    <w:rsid w:val="00FC0DCA"/>
    <w:rsid w:val="00FC0F79"/>
    <w:rsid w:val="00FC0FB5"/>
    <w:rsid w:val="00FC1362"/>
    <w:rsid w:val="00FC13A2"/>
    <w:rsid w:val="00FC1986"/>
    <w:rsid w:val="00FC1C8A"/>
    <w:rsid w:val="00FC1E89"/>
    <w:rsid w:val="00FC1EB6"/>
    <w:rsid w:val="00FC1EC2"/>
    <w:rsid w:val="00FC1FA5"/>
    <w:rsid w:val="00FC2012"/>
    <w:rsid w:val="00FC2516"/>
    <w:rsid w:val="00FC25DC"/>
    <w:rsid w:val="00FC2637"/>
    <w:rsid w:val="00FC29A6"/>
    <w:rsid w:val="00FC2A7B"/>
    <w:rsid w:val="00FC2A7C"/>
    <w:rsid w:val="00FC2B0F"/>
    <w:rsid w:val="00FC2B49"/>
    <w:rsid w:val="00FC2F4F"/>
    <w:rsid w:val="00FC324B"/>
    <w:rsid w:val="00FC3329"/>
    <w:rsid w:val="00FC3387"/>
    <w:rsid w:val="00FC3458"/>
    <w:rsid w:val="00FC36BD"/>
    <w:rsid w:val="00FC3830"/>
    <w:rsid w:val="00FC3921"/>
    <w:rsid w:val="00FC3974"/>
    <w:rsid w:val="00FC39FA"/>
    <w:rsid w:val="00FC3DDA"/>
    <w:rsid w:val="00FC3E47"/>
    <w:rsid w:val="00FC3E52"/>
    <w:rsid w:val="00FC4226"/>
    <w:rsid w:val="00FC4ACE"/>
    <w:rsid w:val="00FC4B5E"/>
    <w:rsid w:val="00FC4BD9"/>
    <w:rsid w:val="00FC4C0E"/>
    <w:rsid w:val="00FC5006"/>
    <w:rsid w:val="00FC5027"/>
    <w:rsid w:val="00FC5309"/>
    <w:rsid w:val="00FC549D"/>
    <w:rsid w:val="00FC5509"/>
    <w:rsid w:val="00FC555E"/>
    <w:rsid w:val="00FC5705"/>
    <w:rsid w:val="00FC58C2"/>
    <w:rsid w:val="00FC5B06"/>
    <w:rsid w:val="00FC5D7F"/>
    <w:rsid w:val="00FC5E59"/>
    <w:rsid w:val="00FC6068"/>
    <w:rsid w:val="00FC60F7"/>
    <w:rsid w:val="00FC618E"/>
    <w:rsid w:val="00FC62D6"/>
    <w:rsid w:val="00FC6BD2"/>
    <w:rsid w:val="00FC6C14"/>
    <w:rsid w:val="00FC781C"/>
    <w:rsid w:val="00FC7AE6"/>
    <w:rsid w:val="00FC7B44"/>
    <w:rsid w:val="00FC7BEC"/>
    <w:rsid w:val="00FC7D2E"/>
    <w:rsid w:val="00FD02D4"/>
    <w:rsid w:val="00FD04D9"/>
    <w:rsid w:val="00FD062A"/>
    <w:rsid w:val="00FD0869"/>
    <w:rsid w:val="00FD08B4"/>
    <w:rsid w:val="00FD0A5F"/>
    <w:rsid w:val="00FD0C72"/>
    <w:rsid w:val="00FD1166"/>
    <w:rsid w:val="00FD1236"/>
    <w:rsid w:val="00FD12A8"/>
    <w:rsid w:val="00FD13D8"/>
    <w:rsid w:val="00FD1445"/>
    <w:rsid w:val="00FD14D7"/>
    <w:rsid w:val="00FD153B"/>
    <w:rsid w:val="00FD17C1"/>
    <w:rsid w:val="00FD19C7"/>
    <w:rsid w:val="00FD1CD3"/>
    <w:rsid w:val="00FD1D9A"/>
    <w:rsid w:val="00FD251C"/>
    <w:rsid w:val="00FD271E"/>
    <w:rsid w:val="00FD28E1"/>
    <w:rsid w:val="00FD2E13"/>
    <w:rsid w:val="00FD301B"/>
    <w:rsid w:val="00FD3081"/>
    <w:rsid w:val="00FD332B"/>
    <w:rsid w:val="00FD3602"/>
    <w:rsid w:val="00FD3A73"/>
    <w:rsid w:val="00FD3AC6"/>
    <w:rsid w:val="00FD3C08"/>
    <w:rsid w:val="00FD3EC3"/>
    <w:rsid w:val="00FD43A3"/>
    <w:rsid w:val="00FD48A8"/>
    <w:rsid w:val="00FD499A"/>
    <w:rsid w:val="00FD4A96"/>
    <w:rsid w:val="00FD4AD5"/>
    <w:rsid w:val="00FD5001"/>
    <w:rsid w:val="00FD53A9"/>
    <w:rsid w:val="00FD54F1"/>
    <w:rsid w:val="00FD55A2"/>
    <w:rsid w:val="00FD55B9"/>
    <w:rsid w:val="00FD560F"/>
    <w:rsid w:val="00FD5666"/>
    <w:rsid w:val="00FD58B4"/>
    <w:rsid w:val="00FD5BD8"/>
    <w:rsid w:val="00FD5D12"/>
    <w:rsid w:val="00FD613D"/>
    <w:rsid w:val="00FD61A4"/>
    <w:rsid w:val="00FD67C6"/>
    <w:rsid w:val="00FD6936"/>
    <w:rsid w:val="00FD6CB0"/>
    <w:rsid w:val="00FD6E04"/>
    <w:rsid w:val="00FD71ED"/>
    <w:rsid w:val="00FD7393"/>
    <w:rsid w:val="00FD74BC"/>
    <w:rsid w:val="00FD7C7A"/>
    <w:rsid w:val="00FD7E83"/>
    <w:rsid w:val="00FE0338"/>
    <w:rsid w:val="00FE0590"/>
    <w:rsid w:val="00FE0809"/>
    <w:rsid w:val="00FE082F"/>
    <w:rsid w:val="00FE0946"/>
    <w:rsid w:val="00FE0CC7"/>
    <w:rsid w:val="00FE0D50"/>
    <w:rsid w:val="00FE0F04"/>
    <w:rsid w:val="00FE0F32"/>
    <w:rsid w:val="00FE12E3"/>
    <w:rsid w:val="00FE1348"/>
    <w:rsid w:val="00FE13EC"/>
    <w:rsid w:val="00FE1525"/>
    <w:rsid w:val="00FE1729"/>
    <w:rsid w:val="00FE1844"/>
    <w:rsid w:val="00FE190D"/>
    <w:rsid w:val="00FE19F9"/>
    <w:rsid w:val="00FE1D69"/>
    <w:rsid w:val="00FE1D8D"/>
    <w:rsid w:val="00FE1E0D"/>
    <w:rsid w:val="00FE1F10"/>
    <w:rsid w:val="00FE2133"/>
    <w:rsid w:val="00FE228D"/>
    <w:rsid w:val="00FE23D7"/>
    <w:rsid w:val="00FE247C"/>
    <w:rsid w:val="00FE249C"/>
    <w:rsid w:val="00FE25C5"/>
    <w:rsid w:val="00FE2656"/>
    <w:rsid w:val="00FE26D2"/>
    <w:rsid w:val="00FE279F"/>
    <w:rsid w:val="00FE27C3"/>
    <w:rsid w:val="00FE27CE"/>
    <w:rsid w:val="00FE28CF"/>
    <w:rsid w:val="00FE28E4"/>
    <w:rsid w:val="00FE2C2C"/>
    <w:rsid w:val="00FE3196"/>
    <w:rsid w:val="00FE343D"/>
    <w:rsid w:val="00FE3537"/>
    <w:rsid w:val="00FE3A33"/>
    <w:rsid w:val="00FE3A8B"/>
    <w:rsid w:val="00FE3C12"/>
    <w:rsid w:val="00FE3CA7"/>
    <w:rsid w:val="00FE3CFB"/>
    <w:rsid w:val="00FE3DF8"/>
    <w:rsid w:val="00FE3EF9"/>
    <w:rsid w:val="00FE4024"/>
    <w:rsid w:val="00FE40A7"/>
    <w:rsid w:val="00FE435D"/>
    <w:rsid w:val="00FE439D"/>
    <w:rsid w:val="00FE4425"/>
    <w:rsid w:val="00FE463D"/>
    <w:rsid w:val="00FE464A"/>
    <w:rsid w:val="00FE4683"/>
    <w:rsid w:val="00FE4954"/>
    <w:rsid w:val="00FE49CE"/>
    <w:rsid w:val="00FE49ED"/>
    <w:rsid w:val="00FE4A21"/>
    <w:rsid w:val="00FE4A9E"/>
    <w:rsid w:val="00FE4B6F"/>
    <w:rsid w:val="00FE4E04"/>
    <w:rsid w:val="00FE4FCF"/>
    <w:rsid w:val="00FE5269"/>
    <w:rsid w:val="00FE540C"/>
    <w:rsid w:val="00FE561D"/>
    <w:rsid w:val="00FE56D4"/>
    <w:rsid w:val="00FE57EE"/>
    <w:rsid w:val="00FE5815"/>
    <w:rsid w:val="00FE5B25"/>
    <w:rsid w:val="00FE5D4D"/>
    <w:rsid w:val="00FE6150"/>
    <w:rsid w:val="00FE61EC"/>
    <w:rsid w:val="00FE622A"/>
    <w:rsid w:val="00FE6383"/>
    <w:rsid w:val="00FE6465"/>
    <w:rsid w:val="00FE661F"/>
    <w:rsid w:val="00FE6636"/>
    <w:rsid w:val="00FE6968"/>
    <w:rsid w:val="00FE6B76"/>
    <w:rsid w:val="00FE6C9D"/>
    <w:rsid w:val="00FE715E"/>
    <w:rsid w:val="00FE7419"/>
    <w:rsid w:val="00FE74CB"/>
    <w:rsid w:val="00FE7855"/>
    <w:rsid w:val="00FE787A"/>
    <w:rsid w:val="00FE7912"/>
    <w:rsid w:val="00FE7A00"/>
    <w:rsid w:val="00FE7AEB"/>
    <w:rsid w:val="00FE7B19"/>
    <w:rsid w:val="00FE7E12"/>
    <w:rsid w:val="00FE7FDC"/>
    <w:rsid w:val="00FF002B"/>
    <w:rsid w:val="00FF023A"/>
    <w:rsid w:val="00FF049B"/>
    <w:rsid w:val="00FF078C"/>
    <w:rsid w:val="00FF0799"/>
    <w:rsid w:val="00FF08D3"/>
    <w:rsid w:val="00FF0985"/>
    <w:rsid w:val="00FF09FA"/>
    <w:rsid w:val="00FF0BC3"/>
    <w:rsid w:val="00FF0CC1"/>
    <w:rsid w:val="00FF0DBD"/>
    <w:rsid w:val="00FF0E7D"/>
    <w:rsid w:val="00FF0EAB"/>
    <w:rsid w:val="00FF1393"/>
    <w:rsid w:val="00FF149C"/>
    <w:rsid w:val="00FF16AD"/>
    <w:rsid w:val="00FF1733"/>
    <w:rsid w:val="00FF1A15"/>
    <w:rsid w:val="00FF1AF6"/>
    <w:rsid w:val="00FF1DE0"/>
    <w:rsid w:val="00FF1E10"/>
    <w:rsid w:val="00FF20FE"/>
    <w:rsid w:val="00FF21CF"/>
    <w:rsid w:val="00FF2395"/>
    <w:rsid w:val="00FF24CF"/>
    <w:rsid w:val="00FF2552"/>
    <w:rsid w:val="00FF25F7"/>
    <w:rsid w:val="00FF2C48"/>
    <w:rsid w:val="00FF3231"/>
    <w:rsid w:val="00FF337C"/>
    <w:rsid w:val="00FF33B7"/>
    <w:rsid w:val="00FF355E"/>
    <w:rsid w:val="00FF358F"/>
    <w:rsid w:val="00FF366F"/>
    <w:rsid w:val="00FF37A1"/>
    <w:rsid w:val="00FF3A03"/>
    <w:rsid w:val="00FF3AB7"/>
    <w:rsid w:val="00FF3D85"/>
    <w:rsid w:val="00FF3E26"/>
    <w:rsid w:val="00FF3F65"/>
    <w:rsid w:val="00FF3F90"/>
    <w:rsid w:val="00FF4044"/>
    <w:rsid w:val="00FF4063"/>
    <w:rsid w:val="00FF43C1"/>
    <w:rsid w:val="00FF43F4"/>
    <w:rsid w:val="00FF43FF"/>
    <w:rsid w:val="00FF442C"/>
    <w:rsid w:val="00FF4463"/>
    <w:rsid w:val="00FF44E1"/>
    <w:rsid w:val="00FF4518"/>
    <w:rsid w:val="00FF451D"/>
    <w:rsid w:val="00FF47B3"/>
    <w:rsid w:val="00FF4908"/>
    <w:rsid w:val="00FF4B6B"/>
    <w:rsid w:val="00FF4BB3"/>
    <w:rsid w:val="00FF4BCC"/>
    <w:rsid w:val="00FF4C8B"/>
    <w:rsid w:val="00FF570F"/>
    <w:rsid w:val="00FF57CC"/>
    <w:rsid w:val="00FF5BD1"/>
    <w:rsid w:val="00FF5C43"/>
    <w:rsid w:val="00FF5CA4"/>
    <w:rsid w:val="00FF5F0F"/>
    <w:rsid w:val="00FF5FC7"/>
    <w:rsid w:val="00FF5FD7"/>
    <w:rsid w:val="00FF6057"/>
    <w:rsid w:val="00FF60F6"/>
    <w:rsid w:val="00FF61F9"/>
    <w:rsid w:val="00FF66EC"/>
    <w:rsid w:val="00FF6703"/>
    <w:rsid w:val="00FF6725"/>
    <w:rsid w:val="00FF67B3"/>
    <w:rsid w:val="00FF6860"/>
    <w:rsid w:val="00FF6873"/>
    <w:rsid w:val="00FF695C"/>
    <w:rsid w:val="00FF7465"/>
    <w:rsid w:val="00FF7847"/>
    <w:rsid w:val="00FF7873"/>
    <w:rsid w:val="00FF7A76"/>
    <w:rsid w:val="00FF7D42"/>
    <w:rsid w:val="00FF7E32"/>
    <w:rsid w:val="00FF7F71"/>
    <w:rsid w:val="293E3168"/>
    <w:rsid w:val="74BF0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12B517"/>
  <w14:discardImageEditingDat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1"/>
    <w:qFormat/>
    <w:rsid w:val="00FB0A93"/>
    <w:pPr>
      <w:keepNext/>
      <w:keepLines/>
      <w:numPr>
        <w:numId w:val="8"/>
      </w:numPr>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1"/>
    <w:qFormat/>
    <w:rsid w:val="004B65DA"/>
    <w:pPr>
      <w:keepNext/>
      <w:keepLines/>
      <w:numPr>
        <w:ilvl w:val="1"/>
        <w:numId w:val="8"/>
      </w:numPr>
      <w:spacing w:before="240" w:after="160" w:line="247" w:lineRule="auto"/>
      <w:ind w:left="0" w:firstLine="0"/>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1"/>
    <w:qFormat/>
    <w:rsid w:val="008C62D8"/>
    <w:pPr>
      <w:keepNext/>
      <w:keepLines/>
      <w:numPr>
        <w:ilvl w:val="2"/>
        <w:numId w:val="8"/>
      </w:numPr>
      <w:spacing w:before="240" w:line="264" w:lineRule="auto"/>
      <w:ind w:left="720"/>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1"/>
    <w:qFormat/>
    <w:rsid w:val="00093A94"/>
    <w:pPr>
      <w:keepNext/>
      <w:keepLines/>
      <w:numPr>
        <w:ilvl w:val="3"/>
        <w:numId w:val="8"/>
      </w:numPr>
      <w:spacing w:before="160"/>
      <w:ind w:left="862" w:hanging="862"/>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
    <w:qFormat/>
    <w:rsid w:val="00F1485D"/>
    <w:pPr>
      <w:numPr>
        <w:ilvl w:val="4"/>
        <w:numId w:val="8"/>
      </w:num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1"/>
    <w:semiHidden/>
    <w:qFormat/>
    <w:rsid w:val="008D7AC0"/>
    <w:pPr>
      <w:keepNext/>
      <w:keepLines/>
      <w:numPr>
        <w:ilvl w:val="5"/>
        <w:numId w:val="8"/>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8"/>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8"/>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8"/>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1"/>
    <w:rsid w:val="004B65DA"/>
    <w:rPr>
      <w:rFonts w:eastAsiaTheme="majorEastAsia" w:cstheme="majorBidi"/>
      <w:color w:val="0F5CA2" w:themeColor="accent1"/>
      <w:kern w:val="21"/>
      <w:sz w:val="40"/>
      <w:szCs w:val="42"/>
      <w:lang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1"/>
    <w:rsid w:val="00FB0A93"/>
    <w:rPr>
      <w:rFonts w:ascii="Fira Sans SemiBold" w:eastAsiaTheme="majorEastAsia" w:hAnsi="Fira Sans SemiBold" w:cstheme="majorBidi"/>
      <w:color w:val="183C5D" w:themeColor="text2"/>
      <w:kern w:val="21"/>
      <w:sz w:val="48"/>
      <w:szCs w:val="50"/>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39"/>
    <w:rsid w:val="008D7AC0"/>
    <w:pPr>
      <w:ind w:left="600"/>
    </w:pPr>
    <w:rPr>
      <w:rFonts w:cstheme="minorHAnsi"/>
      <w:szCs w:val="20"/>
    </w:rPr>
  </w:style>
  <w:style w:type="character" w:customStyle="1" w:styleId="Heading3Char">
    <w:name w:val="Heading 3 Char"/>
    <w:basedOn w:val="DefaultParagraphFont"/>
    <w:link w:val="Heading3"/>
    <w:uiPriority w:val="1"/>
    <w:rsid w:val="008C62D8"/>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1"/>
    <w:rsid w:val="00093A94"/>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qFormat/>
    <w:rsid w:val="008D7AC0"/>
  </w:style>
  <w:style w:type="character" w:customStyle="1" w:styleId="NoSpacingChar">
    <w:name w:val="No Spacing Char"/>
    <w:basedOn w:val="DefaultParagraphFont"/>
    <w:link w:val="NoSpacing"/>
    <w:uiPriority w:val="1"/>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aliases w:val="Bullet copy,First level bullet point,Bullet point,CV text,Dot pt,F5 List Paragraph,FooterText,L,List Paragraph1,List Paragraph11,List Paragraph111,List Paragraph2,Medium Grid 1 - Accent 21,NAST Quote,NFP GP Bulleted List,列,Recommendation"/>
    <w:basedOn w:val="BodyText"/>
    <w:link w:val="ListParagraphChar"/>
    <w:uiPriority w:val="34"/>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5"/>
      </w:numPr>
      <w:spacing w:before="0" w:after="60"/>
    </w:pPr>
    <w:rPr>
      <w:szCs w:val="22"/>
      <w:lang w:eastAsia="en-AU"/>
    </w:rPr>
  </w:style>
  <w:style w:type="character" w:customStyle="1" w:styleId="Heading5Char">
    <w:name w:val="Heading 5 Char"/>
    <w:basedOn w:val="DefaultParagraphFont"/>
    <w:link w:val="Heading5"/>
    <w:uiPriority w:val="1"/>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1"/>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7"/>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14:numSpacing w14:val="proportional"/>
    </w:rPr>
  </w:style>
  <w:style w:type="paragraph" w:customStyle="1" w:styleId="NumberedHeading2">
    <w:name w:val="Numbered Heading 2"/>
    <w:basedOn w:val="Heading2"/>
    <w:next w:val="BodyText"/>
    <w:uiPriority w:val="14"/>
    <w:qFormat/>
    <w:rsid w:val="008D7AC0"/>
    <w:pPr>
      <w:numPr>
        <w:numId w:val="7"/>
      </w:numPr>
      <w:tabs>
        <w:tab w:val="left" w:pos="810"/>
      </w:tabs>
      <w:spacing w:before="360"/>
    </w:pPr>
  </w:style>
  <w:style w:type="paragraph" w:customStyle="1" w:styleId="NumberedHeading3">
    <w:name w:val="Numbered Heading 3"/>
    <w:basedOn w:val="Heading3"/>
    <w:next w:val="BodyText"/>
    <w:uiPriority w:val="15"/>
    <w:qFormat/>
    <w:rsid w:val="008D7AC0"/>
    <w:pPr>
      <w:numPr>
        <w:numId w:val="7"/>
      </w:numPr>
      <w:tabs>
        <w:tab w:val="left" w:pos="900"/>
      </w:tabs>
    </w:pPr>
  </w:style>
  <w:style w:type="paragraph" w:customStyle="1" w:styleId="NumberedHeading4">
    <w:name w:val="Numbered Heading 4"/>
    <w:basedOn w:val="Heading4"/>
    <w:next w:val="BodyText"/>
    <w:uiPriority w:val="16"/>
    <w:qFormat/>
    <w:rsid w:val="00F1485D"/>
    <w:pPr>
      <w:numPr>
        <w:numId w:val="7"/>
      </w:numPr>
      <w:tabs>
        <w:tab w:val="left" w:pos="990"/>
      </w:tabs>
      <w:spacing w:before="240"/>
    </w:pPr>
    <w:rPr>
      <w:sz w:val="26"/>
    </w:rPr>
  </w:style>
  <w:style w:type="paragraph" w:customStyle="1" w:styleId="NumberedHeading5">
    <w:name w:val="Numbered Heading 5"/>
    <w:basedOn w:val="Heading5"/>
    <w:uiPriority w:val="99"/>
    <w:semiHidden/>
    <w:rsid w:val="008D7AC0"/>
    <w:pPr>
      <w:numPr>
        <w:numId w:val="3"/>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4"/>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5"/>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Aptos" w:hAnsi="Aptos"/>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Open Sans" w:hAnsi="Open Sans"/>
        <w:b w:val="0"/>
        <w:bCs/>
        <w:color w:val="426520" w:themeColor="accent2" w:themeShade="80"/>
        <w:sz w:val="20"/>
      </w:rPr>
      <w:tblPr/>
      <w:tcPr>
        <w:tcBorders>
          <w:top w:val="nil"/>
        </w:tcBorders>
        <w:shd w:val="clear" w:color="auto" w:fill="E0EDC2" w:themeFill="accent5" w:themeFillTint="99"/>
      </w:tcPr>
    </w:tblStylePr>
    <w:tblStylePr w:type="firstCol">
      <w:rPr>
        <w:rFonts w:ascii="Open Sans" w:hAnsi="Open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Open Sans" w:hAnsi="Open Sans"/>
        <w:b w:val="0"/>
        <w:bCs/>
        <w:color w:val="426520" w:themeColor="accent2" w:themeShade="80"/>
        <w:sz w:val="18"/>
      </w:rPr>
      <w:tblPr/>
      <w:tcPr>
        <w:shd w:val="clear" w:color="auto" w:fill="E0EDC2" w:themeFill="accent5" w:themeFillTint="99"/>
      </w:tcPr>
    </w:tblStylePr>
    <w:tblStylePr w:type="band1Vert">
      <w:rPr>
        <w:rFonts w:ascii="Open Sans" w:hAnsi="Open Sans"/>
        <w:sz w:val="18"/>
      </w:rPr>
      <w:tblPr/>
      <w:tcPr>
        <w:shd w:val="clear" w:color="auto" w:fill="F2F2F2" w:themeFill="background1" w:themeFillShade="F2"/>
      </w:tcPr>
    </w:tblStylePr>
    <w:tblStylePr w:type="band2Vert">
      <w:rPr>
        <w:rFonts w:ascii="Open Sans" w:hAnsi="Open Sans"/>
        <w:sz w:val="18"/>
      </w:rPr>
      <w:tblPr/>
      <w:tcPr>
        <w:shd w:val="clear" w:color="auto" w:fill="E4E4E4"/>
      </w:tcPr>
    </w:tblStylePr>
    <w:tblStylePr w:type="band1Horz">
      <w:rPr>
        <w:rFonts w:ascii="Open Sans" w:hAnsi="Open Sans"/>
        <w:sz w:val="18"/>
      </w:rPr>
    </w:tblStylePr>
    <w:tblStylePr w:type="band2Horz">
      <w:rPr>
        <w:rFonts w:ascii="Open Sans" w:hAnsi="Open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Aptos" w:hAnsi="Aptos"/>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39"/>
    <w:rsid w:val="008D7AC0"/>
    <w:pPr>
      <w:ind w:left="800"/>
    </w:pPr>
    <w:rPr>
      <w:rFonts w:asciiTheme="minorHAnsi" w:hAnsiTheme="minorHAnsi" w:cstheme="minorHAnsi"/>
      <w:szCs w:val="20"/>
    </w:rPr>
  </w:style>
  <w:style w:type="paragraph" w:styleId="TOC6">
    <w:name w:val="toc 6"/>
    <w:basedOn w:val="Normal"/>
    <w:next w:val="Normal"/>
    <w:uiPriority w:val="39"/>
    <w:rsid w:val="008D7AC0"/>
    <w:pPr>
      <w:ind w:left="1000"/>
    </w:pPr>
    <w:rPr>
      <w:rFonts w:asciiTheme="minorHAnsi" w:hAnsiTheme="minorHAnsi" w:cstheme="minorHAnsi"/>
      <w:szCs w:val="20"/>
    </w:rPr>
  </w:style>
  <w:style w:type="paragraph" w:styleId="TOC7">
    <w:name w:val="toc 7"/>
    <w:basedOn w:val="Normal"/>
    <w:next w:val="Normal"/>
    <w:uiPriority w:val="39"/>
    <w:rsid w:val="008D7AC0"/>
    <w:pPr>
      <w:ind w:left="1200"/>
    </w:pPr>
    <w:rPr>
      <w:rFonts w:asciiTheme="minorHAnsi" w:hAnsiTheme="minorHAnsi" w:cstheme="minorHAnsi"/>
      <w:szCs w:val="20"/>
    </w:rPr>
  </w:style>
  <w:style w:type="paragraph" w:styleId="TOC8">
    <w:name w:val="toc 8"/>
    <w:basedOn w:val="Normal"/>
    <w:next w:val="Normal"/>
    <w:uiPriority w:val="39"/>
    <w:rsid w:val="008D7AC0"/>
    <w:pPr>
      <w:ind w:left="1400"/>
    </w:pPr>
    <w:rPr>
      <w:rFonts w:asciiTheme="minorHAnsi" w:hAnsiTheme="minorHAnsi" w:cstheme="minorHAnsi"/>
      <w:szCs w:val="20"/>
    </w:rPr>
  </w:style>
  <w:style w:type="paragraph" w:styleId="TOC9">
    <w:name w:val="toc 9"/>
    <w:basedOn w:val="Normal"/>
    <w:next w:val="Normal"/>
    <w:uiPriority w:val="39"/>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customStyle="1"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753217"/>
    <w:pPr>
      <w:ind w:left="714" w:hanging="357"/>
    </w:pPr>
    <w:rPr>
      <w:kern w:val="19"/>
      <w:sz w:val="19"/>
    </w:rPr>
  </w:style>
  <w:style w:type="paragraph" w:customStyle="1" w:styleId="NumberedList2Column">
    <w:name w:val="Numbered List 2 Column"/>
    <w:uiPriority w:val="21"/>
    <w:qFormat/>
    <w:rsid w:val="00CC51DE"/>
    <w:pPr>
      <w:numPr>
        <w:numId w:val="6"/>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99"/>
    <w:semiHidden/>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PageNumber">
    <w:name w:val="page number"/>
    <w:rsid w:val="005F3118"/>
    <w:rPr>
      <w:rFonts w:ascii="Arial" w:hAnsi="Arial"/>
      <w:b/>
      <w:color w:val="000000"/>
    </w:rPr>
  </w:style>
  <w:style w:type="paragraph" w:customStyle="1" w:styleId="TabletextLeft">
    <w:name w:val="Table text Left"/>
    <w:basedOn w:val="Normal"/>
    <w:uiPriority w:val="5"/>
    <w:rsid w:val="008655FB"/>
    <w:pPr>
      <w:spacing w:line="200" w:lineRule="atLeast"/>
      <w:ind w:left="57" w:right="57"/>
    </w:pPr>
    <w:rPr>
      <w:rFonts w:ascii="Calibri Light" w:hAnsi="Calibri Light"/>
      <w:color w:val="auto"/>
      <w:sz w:val="17"/>
      <w:szCs w:val="18"/>
      <w:lang w:val="en-AU"/>
    </w:rPr>
  </w:style>
  <w:style w:type="paragraph" w:customStyle="1" w:styleId="HeadingA">
    <w:name w:val="Heading A"/>
    <w:next w:val="Normal"/>
    <w:uiPriority w:val="3"/>
    <w:rsid w:val="000B755D"/>
    <w:pPr>
      <w:keepNext/>
      <w:keepLines/>
      <w:spacing w:before="240" w:line="280" w:lineRule="atLeast"/>
    </w:pPr>
    <w:rPr>
      <w:rFonts w:eastAsia="Times New Roman" w:cs="Times New Roman"/>
      <w:b/>
      <w:color w:val="0F5CA2" w:themeColor="accent1"/>
      <w:sz w:val="22"/>
      <w:szCs w:val="28"/>
    </w:rPr>
  </w:style>
  <w:style w:type="character" w:customStyle="1" w:styleId="ListParagraphChar">
    <w:name w:val="List Paragraph Char"/>
    <w:aliases w:val="Bullet copy Char,First level bullet point Char,Bullet point Char,CV text Char,Dot pt Char,F5 List Paragraph Char,FooterText Char,L Char,List Paragraph1 Char,List Paragraph11 Char,List Paragraph111 Char,List Paragraph2 Char,列 Char"/>
    <w:link w:val="ListParagraph"/>
    <w:uiPriority w:val="34"/>
    <w:qFormat/>
    <w:locked/>
    <w:rsid w:val="00D10ADB"/>
    <w:rPr>
      <w:kern w:val="21"/>
      <w14:numSpacing w14:val="proportional"/>
    </w:rPr>
  </w:style>
  <w:style w:type="paragraph" w:customStyle="1" w:styleId="CaptionTable">
    <w:name w:val="Caption_Table"/>
    <w:basedOn w:val="Normal"/>
    <w:next w:val="Normal"/>
    <w:uiPriority w:val="4"/>
    <w:rsid w:val="008554CF"/>
    <w:pPr>
      <w:keepNext/>
      <w:keepLines/>
      <w:spacing w:before="240" w:after="240" w:line="240" w:lineRule="atLeast"/>
    </w:pPr>
    <w:rPr>
      <w:rFonts w:ascii="Calibri Light" w:eastAsia="Times New Roman" w:hAnsi="Calibri Light" w:cs="Times New Roman"/>
      <w:color w:val="009247" w:themeColor="accent6"/>
      <w:sz w:val="17"/>
      <w:szCs w:val="20"/>
      <w:lang w:val="en-AU"/>
    </w:rPr>
  </w:style>
  <w:style w:type="paragraph" w:customStyle="1" w:styleId="CaptionFigure">
    <w:name w:val="Caption_Figure"/>
    <w:basedOn w:val="Normal"/>
    <w:next w:val="Normal"/>
    <w:uiPriority w:val="4"/>
    <w:rsid w:val="008554CF"/>
    <w:pPr>
      <w:keepNext/>
      <w:keepLines/>
      <w:spacing w:after="170" w:line="240" w:lineRule="atLeast"/>
    </w:pPr>
    <w:rPr>
      <w:rFonts w:ascii="Calibri Light" w:hAnsi="Calibri Light"/>
      <w:bCs/>
      <w:color w:val="009247" w:themeColor="accent6"/>
      <w:sz w:val="17"/>
      <w:szCs w:val="22"/>
      <w:lang w:val="en-AU"/>
    </w:rPr>
  </w:style>
  <w:style w:type="paragraph" w:customStyle="1" w:styleId="CaptionChart">
    <w:name w:val="Caption_Chart"/>
    <w:basedOn w:val="Normal"/>
    <w:next w:val="Normal"/>
    <w:uiPriority w:val="4"/>
    <w:rsid w:val="008554CF"/>
    <w:pPr>
      <w:keepNext/>
      <w:keepLines/>
      <w:spacing w:after="170" w:line="240" w:lineRule="atLeast"/>
    </w:pPr>
    <w:rPr>
      <w:rFonts w:ascii="Calibri Light" w:hAnsi="Calibri Light"/>
      <w:color w:val="009247" w:themeColor="accent6"/>
      <w:sz w:val="17"/>
      <w:szCs w:val="18"/>
      <w:lang w:val="en-AU"/>
    </w:rPr>
  </w:style>
  <w:style w:type="table" w:customStyle="1" w:styleId="BodyTable">
    <w:name w:val="BodyTable"/>
    <w:basedOn w:val="TableNormal"/>
    <w:uiPriority w:val="99"/>
    <w:rsid w:val="005D101A"/>
    <w:pPr>
      <w:spacing w:line="240" w:lineRule="atLeast"/>
      <w:ind w:left="57" w:right="57"/>
    </w:pPr>
    <w:rPr>
      <w:color w:val="auto"/>
      <w:sz w:val="17"/>
      <w:szCs w:val="18"/>
      <w:lang w:val="en-GB"/>
    </w:rPr>
    <w:tblPr>
      <w:tblBorders>
        <w:top w:val="single" w:sz="18" w:space="0" w:color="183C5D" w:themeColor="text2"/>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27AAE1" w:themeColor="accent3"/>
        </w:tcBorders>
      </w:tcPr>
    </w:tblStylePr>
  </w:style>
  <w:style w:type="paragraph" w:customStyle="1" w:styleId="Tablebullets">
    <w:name w:val="Table bullets"/>
    <w:basedOn w:val="TabletextLeft"/>
    <w:uiPriority w:val="5"/>
    <w:rsid w:val="00987774"/>
    <w:pPr>
      <w:framePr w:hSpace="180" w:wrap="around" w:vAnchor="text" w:hAnchor="text" w:y="1"/>
      <w:numPr>
        <w:numId w:val="9"/>
      </w:numPr>
      <w:suppressOverlap/>
    </w:pPr>
  </w:style>
  <w:style w:type="paragraph" w:customStyle="1" w:styleId="Tablenumbered">
    <w:name w:val="Table numbered"/>
    <w:basedOn w:val="TabletextLeft"/>
    <w:uiPriority w:val="5"/>
    <w:rsid w:val="000A27B7"/>
    <w:pPr>
      <w:framePr w:hSpace="180" w:wrap="around" w:vAnchor="text" w:hAnchor="text" w:y="1"/>
      <w:numPr>
        <w:numId w:val="10"/>
      </w:numPr>
      <w:suppressOverlap/>
    </w:pPr>
  </w:style>
  <w:style w:type="table" w:customStyle="1" w:styleId="Deloittetable">
    <w:name w:val="Deloitte table"/>
    <w:basedOn w:val="TableNormal"/>
    <w:uiPriority w:val="99"/>
    <w:rsid w:val="0088585F"/>
    <w:pPr>
      <w:spacing w:line="240" w:lineRule="atLeast"/>
      <w:ind w:left="57" w:right="57"/>
    </w:pPr>
    <w:rPr>
      <w:rFonts w:ascii="Verdana" w:hAnsi="Verdana"/>
      <w:color w:val="auto"/>
      <w:sz w:val="17"/>
      <w:szCs w:val="18"/>
      <w:lang w:val="en-GB"/>
    </w:rPr>
    <w:tblPr>
      <w:tblBorders>
        <w:top w:val="single" w:sz="4" w:space="0" w:color="27AAE1"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27AAE1" w:themeColor="accent3"/>
        </w:tcBorders>
      </w:tcPr>
    </w:tblStylePr>
  </w:style>
  <w:style w:type="paragraph" w:customStyle="1" w:styleId="Source">
    <w:name w:val="Source"/>
    <w:basedOn w:val="Caption"/>
    <w:next w:val="Normal"/>
    <w:uiPriority w:val="6"/>
    <w:rsid w:val="00C91857"/>
    <w:pPr>
      <w:spacing w:after="240" w:line="240" w:lineRule="atLeast"/>
      <w:textboxTightWrap w:val="none"/>
    </w:pPr>
    <w:rPr>
      <w:i w:val="0"/>
      <w:color w:val="7F7F7F" w:themeColor="text1" w:themeTint="80"/>
      <w:kern w:val="0"/>
      <w:sz w:val="14"/>
      <w14:numSpacing w14:val="default"/>
    </w:rPr>
  </w:style>
  <w:style w:type="paragraph" w:customStyle="1" w:styleId="Numberslevel1">
    <w:name w:val="Numbers level 1"/>
    <w:basedOn w:val="Normal"/>
    <w:uiPriority w:val="4"/>
    <w:semiHidden/>
    <w:qFormat/>
    <w:rsid w:val="00C24FD1"/>
    <w:pPr>
      <w:numPr>
        <w:numId w:val="11"/>
      </w:numPr>
      <w:suppressAutoHyphens/>
      <w:spacing w:line="250" w:lineRule="atLeast"/>
    </w:pPr>
    <w:rPr>
      <w:rFonts w:ascii="Calibri Light" w:hAnsi="Calibri Light"/>
      <w:color w:val="auto"/>
      <w:sz w:val="20"/>
      <w:szCs w:val="18"/>
      <w:lang w:val="en-AU"/>
    </w:rPr>
  </w:style>
  <w:style w:type="paragraph" w:customStyle="1" w:styleId="Numberslevel2">
    <w:name w:val="Numbers level 2"/>
    <w:basedOn w:val="Normal"/>
    <w:uiPriority w:val="4"/>
    <w:semiHidden/>
    <w:rsid w:val="00C24FD1"/>
    <w:pPr>
      <w:numPr>
        <w:ilvl w:val="1"/>
        <w:numId w:val="11"/>
      </w:numPr>
      <w:suppressAutoHyphens/>
      <w:spacing w:line="250" w:lineRule="atLeast"/>
    </w:pPr>
    <w:rPr>
      <w:rFonts w:ascii="Calibri Light" w:hAnsi="Calibri Light"/>
      <w:color w:val="auto"/>
      <w:sz w:val="20"/>
      <w:szCs w:val="18"/>
      <w:lang w:val="en-AU"/>
    </w:rPr>
  </w:style>
  <w:style w:type="paragraph" w:customStyle="1" w:styleId="Numberslevel3">
    <w:name w:val="Numbers level 3"/>
    <w:basedOn w:val="Normal"/>
    <w:uiPriority w:val="4"/>
    <w:semiHidden/>
    <w:rsid w:val="00C24FD1"/>
    <w:pPr>
      <w:numPr>
        <w:ilvl w:val="2"/>
        <w:numId w:val="11"/>
      </w:numPr>
      <w:suppressAutoHyphens/>
      <w:spacing w:line="250" w:lineRule="atLeast"/>
    </w:pPr>
    <w:rPr>
      <w:rFonts w:ascii="Calibri Light" w:hAnsi="Calibri Light"/>
      <w:color w:val="auto"/>
      <w:sz w:val="20"/>
      <w:szCs w:val="18"/>
      <w:lang w:val="en-AU"/>
    </w:rPr>
  </w:style>
  <w:style w:type="paragraph" w:customStyle="1" w:styleId="Heading1un-numbered">
    <w:name w:val="Heading 1 (un-numbered)"/>
    <w:basedOn w:val="Normal"/>
    <w:next w:val="Normal"/>
    <w:uiPriority w:val="2"/>
    <w:qFormat/>
    <w:rsid w:val="008E7B91"/>
    <w:pPr>
      <w:keepNext/>
      <w:keepLines/>
      <w:pageBreakBefore/>
      <w:spacing w:after="480" w:line="720" w:lineRule="atLeast"/>
      <w:outlineLvl w:val="0"/>
    </w:pPr>
    <w:rPr>
      <w:rFonts w:ascii="Calibri Light" w:hAnsi="Calibri Light"/>
      <w:color w:val="auto"/>
      <w:sz w:val="60"/>
      <w:szCs w:val="18"/>
      <w:lang w:val="en-AU"/>
    </w:rPr>
  </w:style>
  <w:style w:type="character" w:styleId="CommentReference">
    <w:name w:val="annotation reference"/>
    <w:basedOn w:val="DefaultParagraphFont"/>
    <w:uiPriority w:val="99"/>
    <w:semiHidden/>
    <w:rsid w:val="008518C7"/>
    <w:rPr>
      <w:sz w:val="16"/>
      <w:szCs w:val="16"/>
      <w:lang w:val="en-AU"/>
    </w:rPr>
  </w:style>
  <w:style w:type="character" w:customStyle="1" w:styleId="cf01">
    <w:name w:val="cf01"/>
    <w:basedOn w:val="DefaultParagraphFont"/>
    <w:rsid w:val="00BF2B8A"/>
    <w:rPr>
      <w:rFonts w:ascii="Segoe UI" w:hAnsi="Segoe UI" w:cs="Segoe UI" w:hint="default"/>
      <w:sz w:val="18"/>
      <w:szCs w:val="18"/>
    </w:rPr>
  </w:style>
  <w:style w:type="character" w:customStyle="1" w:styleId="Mention">
    <w:name w:val="Mention"/>
    <w:basedOn w:val="DefaultParagraphFont"/>
    <w:uiPriority w:val="99"/>
    <w:unhideWhenUsed/>
    <w:rsid w:val="001160FC"/>
    <w:rPr>
      <w:color w:val="2B579A"/>
      <w:shd w:val="clear" w:color="auto" w:fill="E1DFDD"/>
    </w:rPr>
  </w:style>
  <w:style w:type="paragraph" w:styleId="Revision">
    <w:name w:val="Revision"/>
    <w:hidden/>
    <w:uiPriority w:val="99"/>
    <w:semiHidden/>
    <w:rsid w:val="003A49A4"/>
    <w:pPr>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120194031">
      <w:bodyDiv w:val="1"/>
      <w:marLeft w:val="0"/>
      <w:marRight w:val="0"/>
      <w:marTop w:val="0"/>
      <w:marBottom w:val="0"/>
      <w:divBdr>
        <w:top w:val="none" w:sz="0" w:space="0" w:color="auto"/>
        <w:left w:val="none" w:sz="0" w:space="0" w:color="auto"/>
        <w:bottom w:val="none" w:sz="0" w:space="0" w:color="auto"/>
        <w:right w:val="none" w:sz="0" w:space="0" w:color="auto"/>
      </w:divBdr>
    </w:div>
    <w:div w:id="262497201">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03040444">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993722950">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 w:id="202381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svg"/><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svg"/><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20.svg"/><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image" Target="media/image9.png"/><Relationship Id="rId41" Type="http://schemas.openxmlformats.org/officeDocument/2006/relationships/image" Target="media/image15.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svg"/><Relationship Id="rId37" Type="http://schemas.openxmlformats.org/officeDocument/2006/relationships/image" Target="media/image13.png"/><Relationship Id="rId40" Type="http://schemas.openxmlformats.org/officeDocument/2006/relationships/image" Target="media/image22.svg"/><Relationship Id="rId45" Type="http://schemas.openxmlformats.org/officeDocument/2006/relationships/image" Target="media/image19.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0.svg"/><Relationship Id="rId36" Type="http://schemas.openxmlformats.org/officeDocument/2006/relationships/image" Target="media/image18.svg"/><Relationship Id="rId49" Type="http://schemas.openxmlformats.org/officeDocument/2006/relationships/image" Target="media/image23.emf"/><Relationship Id="rId10" Type="http://schemas.openxmlformats.org/officeDocument/2006/relationships/image" Target="cid:image002.png@01DABD92.2E51AB30" TargetMode="Externa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2.svg"/><Relationship Id="rId35" Type="http://schemas.openxmlformats.org/officeDocument/2006/relationships/image" Target="media/image12.png"/><Relationship Id="rId43" Type="http://schemas.openxmlformats.org/officeDocument/2006/relationships/image" Target="media/image17.emf"/><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image" Target="media/image25.emf"/></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ira Sans">
    <w:altName w:val="Calibri"/>
    <w:panose1 w:val="00000000000000000000"/>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9FB"/>
    <w:rsid w:val="000811D1"/>
    <w:rsid w:val="000C64A9"/>
    <w:rsid w:val="001E2EA3"/>
    <w:rsid w:val="00205227"/>
    <w:rsid w:val="00256443"/>
    <w:rsid w:val="00263061"/>
    <w:rsid w:val="002C7C67"/>
    <w:rsid w:val="002D10DF"/>
    <w:rsid w:val="00357E3D"/>
    <w:rsid w:val="004029FB"/>
    <w:rsid w:val="00445586"/>
    <w:rsid w:val="004A571C"/>
    <w:rsid w:val="004C3179"/>
    <w:rsid w:val="0050099B"/>
    <w:rsid w:val="00590E2F"/>
    <w:rsid w:val="00591D3D"/>
    <w:rsid w:val="005A35A9"/>
    <w:rsid w:val="005B06A6"/>
    <w:rsid w:val="005E040A"/>
    <w:rsid w:val="005F3992"/>
    <w:rsid w:val="00615A96"/>
    <w:rsid w:val="0063291B"/>
    <w:rsid w:val="00657357"/>
    <w:rsid w:val="00664670"/>
    <w:rsid w:val="006918A5"/>
    <w:rsid w:val="0070449C"/>
    <w:rsid w:val="00714AF6"/>
    <w:rsid w:val="00715C3A"/>
    <w:rsid w:val="007F2855"/>
    <w:rsid w:val="0086281D"/>
    <w:rsid w:val="008D43FE"/>
    <w:rsid w:val="00982016"/>
    <w:rsid w:val="009864E8"/>
    <w:rsid w:val="00986D35"/>
    <w:rsid w:val="009B4484"/>
    <w:rsid w:val="00A06961"/>
    <w:rsid w:val="00A23B8B"/>
    <w:rsid w:val="00A40E75"/>
    <w:rsid w:val="00A8134D"/>
    <w:rsid w:val="00A8497C"/>
    <w:rsid w:val="00AD17A4"/>
    <w:rsid w:val="00AD5270"/>
    <w:rsid w:val="00B13E8A"/>
    <w:rsid w:val="00B229DD"/>
    <w:rsid w:val="00B55563"/>
    <w:rsid w:val="00BC6E94"/>
    <w:rsid w:val="00C46406"/>
    <w:rsid w:val="00C67EE9"/>
    <w:rsid w:val="00C91721"/>
    <w:rsid w:val="00CB2EE3"/>
    <w:rsid w:val="00CB68EF"/>
    <w:rsid w:val="00CC5DDC"/>
    <w:rsid w:val="00CD142E"/>
    <w:rsid w:val="00D260C7"/>
    <w:rsid w:val="00D64C81"/>
    <w:rsid w:val="00D9178E"/>
    <w:rsid w:val="00DA1347"/>
    <w:rsid w:val="00DC3E6E"/>
    <w:rsid w:val="00E1392A"/>
    <w:rsid w:val="00E1430A"/>
    <w:rsid w:val="00E32FB8"/>
    <w:rsid w:val="00ED4D7D"/>
    <w:rsid w:val="00EF3461"/>
    <w:rsid w:val="00F27CF1"/>
    <w:rsid w:val="00F90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8B624385E1C446CA06C51B9B543A66B">
    <w:name w:val="98B624385E1C446CA06C51B9B543A66B"/>
  </w:style>
  <w:style w:type="paragraph" w:customStyle="1" w:styleId="92429FB132E84C468E70BB131F77515C">
    <w:name w:val="92429FB132E84C468E70BB131F77515C"/>
  </w:style>
  <w:style w:type="paragraph" w:customStyle="1" w:styleId="7000270219714F05905CB0D5AC98339B">
    <w:name w:val="7000270219714F05905CB0D5AC98339B"/>
    <w:rsid w:val="00402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B7B265-42F0-4C14-9BAC-E77813816658}">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Privilege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0</TotalTime>
  <Pages>216</Pages>
  <Words>71715</Words>
  <Characters>440353</Characters>
  <Application>Microsoft Office Word</Application>
  <DocSecurity>0</DocSecurity>
  <Lines>3669</Lines>
  <Paragraphs>1022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511046</CharactersWithSpaces>
  <SharedDoc>false</SharedDoc>
  <HLinks>
    <vt:vector size="690" baseType="variant">
      <vt:variant>
        <vt:i4>1900606</vt:i4>
      </vt:variant>
      <vt:variant>
        <vt:i4>680</vt:i4>
      </vt:variant>
      <vt:variant>
        <vt:i4>0</vt:i4>
      </vt:variant>
      <vt:variant>
        <vt:i4>5</vt:i4>
      </vt:variant>
      <vt:variant>
        <vt:lpwstr/>
      </vt:variant>
      <vt:variant>
        <vt:lpwstr>_Toc194324943</vt:lpwstr>
      </vt:variant>
      <vt:variant>
        <vt:i4>1900606</vt:i4>
      </vt:variant>
      <vt:variant>
        <vt:i4>674</vt:i4>
      </vt:variant>
      <vt:variant>
        <vt:i4>0</vt:i4>
      </vt:variant>
      <vt:variant>
        <vt:i4>5</vt:i4>
      </vt:variant>
      <vt:variant>
        <vt:lpwstr/>
      </vt:variant>
      <vt:variant>
        <vt:lpwstr>_Toc194324942</vt:lpwstr>
      </vt:variant>
      <vt:variant>
        <vt:i4>1900606</vt:i4>
      </vt:variant>
      <vt:variant>
        <vt:i4>668</vt:i4>
      </vt:variant>
      <vt:variant>
        <vt:i4>0</vt:i4>
      </vt:variant>
      <vt:variant>
        <vt:i4>5</vt:i4>
      </vt:variant>
      <vt:variant>
        <vt:lpwstr/>
      </vt:variant>
      <vt:variant>
        <vt:lpwstr>_Toc194324941</vt:lpwstr>
      </vt:variant>
      <vt:variant>
        <vt:i4>1900606</vt:i4>
      </vt:variant>
      <vt:variant>
        <vt:i4>662</vt:i4>
      </vt:variant>
      <vt:variant>
        <vt:i4>0</vt:i4>
      </vt:variant>
      <vt:variant>
        <vt:i4>5</vt:i4>
      </vt:variant>
      <vt:variant>
        <vt:lpwstr/>
      </vt:variant>
      <vt:variant>
        <vt:lpwstr>_Toc194324940</vt:lpwstr>
      </vt:variant>
      <vt:variant>
        <vt:i4>1703998</vt:i4>
      </vt:variant>
      <vt:variant>
        <vt:i4>656</vt:i4>
      </vt:variant>
      <vt:variant>
        <vt:i4>0</vt:i4>
      </vt:variant>
      <vt:variant>
        <vt:i4>5</vt:i4>
      </vt:variant>
      <vt:variant>
        <vt:lpwstr/>
      </vt:variant>
      <vt:variant>
        <vt:lpwstr>_Toc194324939</vt:lpwstr>
      </vt:variant>
      <vt:variant>
        <vt:i4>1703998</vt:i4>
      </vt:variant>
      <vt:variant>
        <vt:i4>650</vt:i4>
      </vt:variant>
      <vt:variant>
        <vt:i4>0</vt:i4>
      </vt:variant>
      <vt:variant>
        <vt:i4>5</vt:i4>
      </vt:variant>
      <vt:variant>
        <vt:lpwstr/>
      </vt:variant>
      <vt:variant>
        <vt:lpwstr>_Toc194324938</vt:lpwstr>
      </vt:variant>
      <vt:variant>
        <vt:i4>1703998</vt:i4>
      </vt:variant>
      <vt:variant>
        <vt:i4>644</vt:i4>
      </vt:variant>
      <vt:variant>
        <vt:i4>0</vt:i4>
      </vt:variant>
      <vt:variant>
        <vt:i4>5</vt:i4>
      </vt:variant>
      <vt:variant>
        <vt:lpwstr/>
      </vt:variant>
      <vt:variant>
        <vt:lpwstr>_Toc194324937</vt:lpwstr>
      </vt:variant>
      <vt:variant>
        <vt:i4>1703998</vt:i4>
      </vt:variant>
      <vt:variant>
        <vt:i4>638</vt:i4>
      </vt:variant>
      <vt:variant>
        <vt:i4>0</vt:i4>
      </vt:variant>
      <vt:variant>
        <vt:i4>5</vt:i4>
      </vt:variant>
      <vt:variant>
        <vt:lpwstr/>
      </vt:variant>
      <vt:variant>
        <vt:lpwstr>_Toc194324936</vt:lpwstr>
      </vt:variant>
      <vt:variant>
        <vt:i4>1703998</vt:i4>
      </vt:variant>
      <vt:variant>
        <vt:i4>632</vt:i4>
      </vt:variant>
      <vt:variant>
        <vt:i4>0</vt:i4>
      </vt:variant>
      <vt:variant>
        <vt:i4>5</vt:i4>
      </vt:variant>
      <vt:variant>
        <vt:lpwstr/>
      </vt:variant>
      <vt:variant>
        <vt:lpwstr>_Toc194324935</vt:lpwstr>
      </vt:variant>
      <vt:variant>
        <vt:i4>1703998</vt:i4>
      </vt:variant>
      <vt:variant>
        <vt:i4>626</vt:i4>
      </vt:variant>
      <vt:variant>
        <vt:i4>0</vt:i4>
      </vt:variant>
      <vt:variant>
        <vt:i4>5</vt:i4>
      </vt:variant>
      <vt:variant>
        <vt:lpwstr/>
      </vt:variant>
      <vt:variant>
        <vt:lpwstr>_Toc194324934</vt:lpwstr>
      </vt:variant>
      <vt:variant>
        <vt:i4>1703998</vt:i4>
      </vt:variant>
      <vt:variant>
        <vt:i4>620</vt:i4>
      </vt:variant>
      <vt:variant>
        <vt:i4>0</vt:i4>
      </vt:variant>
      <vt:variant>
        <vt:i4>5</vt:i4>
      </vt:variant>
      <vt:variant>
        <vt:lpwstr/>
      </vt:variant>
      <vt:variant>
        <vt:lpwstr>_Toc194324933</vt:lpwstr>
      </vt:variant>
      <vt:variant>
        <vt:i4>1703998</vt:i4>
      </vt:variant>
      <vt:variant>
        <vt:i4>614</vt:i4>
      </vt:variant>
      <vt:variant>
        <vt:i4>0</vt:i4>
      </vt:variant>
      <vt:variant>
        <vt:i4>5</vt:i4>
      </vt:variant>
      <vt:variant>
        <vt:lpwstr/>
      </vt:variant>
      <vt:variant>
        <vt:lpwstr>_Toc194324932</vt:lpwstr>
      </vt:variant>
      <vt:variant>
        <vt:i4>1703998</vt:i4>
      </vt:variant>
      <vt:variant>
        <vt:i4>608</vt:i4>
      </vt:variant>
      <vt:variant>
        <vt:i4>0</vt:i4>
      </vt:variant>
      <vt:variant>
        <vt:i4>5</vt:i4>
      </vt:variant>
      <vt:variant>
        <vt:lpwstr/>
      </vt:variant>
      <vt:variant>
        <vt:lpwstr>_Toc194324931</vt:lpwstr>
      </vt:variant>
      <vt:variant>
        <vt:i4>1703998</vt:i4>
      </vt:variant>
      <vt:variant>
        <vt:i4>602</vt:i4>
      </vt:variant>
      <vt:variant>
        <vt:i4>0</vt:i4>
      </vt:variant>
      <vt:variant>
        <vt:i4>5</vt:i4>
      </vt:variant>
      <vt:variant>
        <vt:lpwstr/>
      </vt:variant>
      <vt:variant>
        <vt:lpwstr>_Toc194324930</vt:lpwstr>
      </vt:variant>
      <vt:variant>
        <vt:i4>1769534</vt:i4>
      </vt:variant>
      <vt:variant>
        <vt:i4>596</vt:i4>
      </vt:variant>
      <vt:variant>
        <vt:i4>0</vt:i4>
      </vt:variant>
      <vt:variant>
        <vt:i4>5</vt:i4>
      </vt:variant>
      <vt:variant>
        <vt:lpwstr/>
      </vt:variant>
      <vt:variant>
        <vt:lpwstr>_Toc194324929</vt:lpwstr>
      </vt:variant>
      <vt:variant>
        <vt:i4>1769534</vt:i4>
      </vt:variant>
      <vt:variant>
        <vt:i4>590</vt:i4>
      </vt:variant>
      <vt:variant>
        <vt:i4>0</vt:i4>
      </vt:variant>
      <vt:variant>
        <vt:i4>5</vt:i4>
      </vt:variant>
      <vt:variant>
        <vt:lpwstr/>
      </vt:variant>
      <vt:variant>
        <vt:lpwstr>_Toc194324928</vt:lpwstr>
      </vt:variant>
      <vt:variant>
        <vt:i4>1769534</vt:i4>
      </vt:variant>
      <vt:variant>
        <vt:i4>584</vt:i4>
      </vt:variant>
      <vt:variant>
        <vt:i4>0</vt:i4>
      </vt:variant>
      <vt:variant>
        <vt:i4>5</vt:i4>
      </vt:variant>
      <vt:variant>
        <vt:lpwstr/>
      </vt:variant>
      <vt:variant>
        <vt:lpwstr>_Toc194324927</vt:lpwstr>
      </vt:variant>
      <vt:variant>
        <vt:i4>1769534</vt:i4>
      </vt:variant>
      <vt:variant>
        <vt:i4>578</vt:i4>
      </vt:variant>
      <vt:variant>
        <vt:i4>0</vt:i4>
      </vt:variant>
      <vt:variant>
        <vt:i4>5</vt:i4>
      </vt:variant>
      <vt:variant>
        <vt:lpwstr/>
      </vt:variant>
      <vt:variant>
        <vt:lpwstr>_Toc194324926</vt:lpwstr>
      </vt:variant>
      <vt:variant>
        <vt:i4>1769534</vt:i4>
      </vt:variant>
      <vt:variant>
        <vt:i4>572</vt:i4>
      </vt:variant>
      <vt:variant>
        <vt:i4>0</vt:i4>
      </vt:variant>
      <vt:variant>
        <vt:i4>5</vt:i4>
      </vt:variant>
      <vt:variant>
        <vt:lpwstr/>
      </vt:variant>
      <vt:variant>
        <vt:lpwstr>_Toc194324925</vt:lpwstr>
      </vt:variant>
      <vt:variant>
        <vt:i4>1769534</vt:i4>
      </vt:variant>
      <vt:variant>
        <vt:i4>566</vt:i4>
      </vt:variant>
      <vt:variant>
        <vt:i4>0</vt:i4>
      </vt:variant>
      <vt:variant>
        <vt:i4>5</vt:i4>
      </vt:variant>
      <vt:variant>
        <vt:lpwstr/>
      </vt:variant>
      <vt:variant>
        <vt:lpwstr>_Toc194324924</vt:lpwstr>
      </vt:variant>
      <vt:variant>
        <vt:i4>1769534</vt:i4>
      </vt:variant>
      <vt:variant>
        <vt:i4>560</vt:i4>
      </vt:variant>
      <vt:variant>
        <vt:i4>0</vt:i4>
      </vt:variant>
      <vt:variant>
        <vt:i4>5</vt:i4>
      </vt:variant>
      <vt:variant>
        <vt:lpwstr/>
      </vt:variant>
      <vt:variant>
        <vt:lpwstr>_Toc194324923</vt:lpwstr>
      </vt:variant>
      <vt:variant>
        <vt:i4>1769534</vt:i4>
      </vt:variant>
      <vt:variant>
        <vt:i4>554</vt:i4>
      </vt:variant>
      <vt:variant>
        <vt:i4>0</vt:i4>
      </vt:variant>
      <vt:variant>
        <vt:i4>5</vt:i4>
      </vt:variant>
      <vt:variant>
        <vt:lpwstr/>
      </vt:variant>
      <vt:variant>
        <vt:lpwstr>_Toc194324922</vt:lpwstr>
      </vt:variant>
      <vt:variant>
        <vt:i4>1769534</vt:i4>
      </vt:variant>
      <vt:variant>
        <vt:i4>548</vt:i4>
      </vt:variant>
      <vt:variant>
        <vt:i4>0</vt:i4>
      </vt:variant>
      <vt:variant>
        <vt:i4>5</vt:i4>
      </vt:variant>
      <vt:variant>
        <vt:lpwstr/>
      </vt:variant>
      <vt:variant>
        <vt:lpwstr>_Toc194324921</vt:lpwstr>
      </vt:variant>
      <vt:variant>
        <vt:i4>1769534</vt:i4>
      </vt:variant>
      <vt:variant>
        <vt:i4>542</vt:i4>
      </vt:variant>
      <vt:variant>
        <vt:i4>0</vt:i4>
      </vt:variant>
      <vt:variant>
        <vt:i4>5</vt:i4>
      </vt:variant>
      <vt:variant>
        <vt:lpwstr/>
      </vt:variant>
      <vt:variant>
        <vt:lpwstr>_Toc194324920</vt:lpwstr>
      </vt:variant>
      <vt:variant>
        <vt:i4>1572926</vt:i4>
      </vt:variant>
      <vt:variant>
        <vt:i4>536</vt:i4>
      </vt:variant>
      <vt:variant>
        <vt:i4>0</vt:i4>
      </vt:variant>
      <vt:variant>
        <vt:i4>5</vt:i4>
      </vt:variant>
      <vt:variant>
        <vt:lpwstr/>
      </vt:variant>
      <vt:variant>
        <vt:lpwstr>_Toc194324919</vt:lpwstr>
      </vt:variant>
      <vt:variant>
        <vt:i4>1572926</vt:i4>
      </vt:variant>
      <vt:variant>
        <vt:i4>530</vt:i4>
      </vt:variant>
      <vt:variant>
        <vt:i4>0</vt:i4>
      </vt:variant>
      <vt:variant>
        <vt:i4>5</vt:i4>
      </vt:variant>
      <vt:variant>
        <vt:lpwstr/>
      </vt:variant>
      <vt:variant>
        <vt:lpwstr>_Toc194324918</vt:lpwstr>
      </vt:variant>
      <vt:variant>
        <vt:i4>1572926</vt:i4>
      </vt:variant>
      <vt:variant>
        <vt:i4>524</vt:i4>
      </vt:variant>
      <vt:variant>
        <vt:i4>0</vt:i4>
      </vt:variant>
      <vt:variant>
        <vt:i4>5</vt:i4>
      </vt:variant>
      <vt:variant>
        <vt:lpwstr/>
      </vt:variant>
      <vt:variant>
        <vt:lpwstr>_Toc194324917</vt:lpwstr>
      </vt:variant>
      <vt:variant>
        <vt:i4>1572926</vt:i4>
      </vt:variant>
      <vt:variant>
        <vt:i4>518</vt:i4>
      </vt:variant>
      <vt:variant>
        <vt:i4>0</vt:i4>
      </vt:variant>
      <vt:variant>
        <vt:i4>5</vt:i4>
      </vt:variant>
      <vt:variant>
        <vt:lpwstr/>
      </vt:variant>
      <vt:variant>
        <vt:lpwstr>_Toc194324916</vt:lpwstr>
      </vt:variant>
      <vt:variant>
        <vt:i4>1572926</vt:i4>
      </vt:variant>
      <vt:variant>
        <vt:i4>512</vt:i4>
      </vt:variant>
      <vt:variant>
        <vt:i4>0</vt:i4>
      </vt:variant>
      <vt:variant>
        <vt:i4>5</vt:i4>
      </vt:variant>
      <vt:variant>
        <vt:lpwstr/>
      </vt:variant>
      <vt:variant>
        <vt:lpwstr>_Toc194324915</vt:lpwstr>
      </vt:variant>
      <vt:variant>
        <vt:i4>1572926</vt:i4>
      </vt:variant>
      <vt:variant>
        <vt:i4>506</vt:i4>
      </vt:variant>
      <vt:variant>
        <vt:i4>0</vt:i4>
      </vt:variant>
      <vt:variant>
        <vt:i4>5</vt:i4>
      </vt:variant>
      <vt:variant>
        <vt:lpwstr/>
      </vt:variant>
      <vt:variant>
        <vt:lpwstr>_Toc194324914</vt:lpwstr>
      </vt:variant>
      <vt:variant>
        <vt:i4>1572926</vt:i4>
      </vt:variant>
      <vt:variant>
        <vt:i4>500</vt:i4>
      </vt:variant>
      <vt:variant>
        <vt:i4>0</vt:i4>
      </vt:variant>
      <vt:variant>
        <vt:i4>5</vt:i4>
      </vt:variant>
      <vt:variant>
        <vt:lpwstr/>
      </vt:variant>
      <vt:variant>
        <vt:lpwstr>_Toc194324913</vt:lpwstr>
      </vt:variant>
      <vt:variant>
        <vt:i4>1572926</vt:i4>
      </vt:variant>
      <vt:variant>
        <vt:i4>494</vt:i4>
      </vt:variant>
      <vt:variant>
        <vt:i4>0</vt:i4>
      </vt:variant>
      <vt:variant>
        <vt:i4>5</vt:i4>
      </vt:variant>
      <vt:variant>
        <vt:lpwstr/>
      </vt:variant>
      <vt:variant>
        <vt:lpwstr>_Toc194324912</vt:lpwstr>
      </vt:variant>
      <vt:variant>
        <vt:i4>1572926</vt:i4>
      </vt:variant>
      <vt:variant>
        <vt:i4>488</vt:i4>
      </vt:variant>
      <vt:variant>
        <vt:i4>0</vt:i4>
      </vt:variant>
      <vt:variant>
        <vt:i4>5</vt:i4>
      </vt:variant>
      <vt:variant>
        <vt:lpwstr/>
      </vt:variant>
      <vt:variant>
        <vt:lpwstr>_Toc194324911</vt:lpwstr>
      </vt:variant>
      <vt:variant>
        <vt:i4>1572926</vt:i4>
      </vt:variant>
      <vt:variant>
        <vt:i4>482</vt:i4>
      </vt:variant>
      <vt:variant>
        <vt:i4>0</vt:i4>
      </vt:variant>
      <vt:variant>
        <vt:i4>5</vt:i4>
      </vt:variant>
      <vt:variant>
        <vt:lpwstr/>
      </vt:variant>
      <vt:variant>
        <vt:lpwstr>_Toc194324910</vt:lpwstr>
      </vt:variant>
      <vt:variant>
        <vt:i4>1638462</vt:i4>
      </vt:variant>
      <vt:variant>
        <vt:i4>476</vt:i4>
      </vt:variant>
      <vt:variant>
        <vt:i4>0</vt:i4>
      </vt:variant>
      <vt:variant>
        <vt:i4>5</vt:i4>
      </vt:variant>
      <vt:variant>
        <vt:lpwstr/>
      </vt:variant>
      <vt:variant>
        <vt:lpwstr>_Toc194324909</vt:lpwstr>
      </vt:variant>
      <vt:variant>
        <vt:i4>1638462</vt:i4>
      </vt:variant>
      <vt:variant>
        <vt:i4>470</vt:i4>
      </vt:variant>
      <vt:variant>
        <vt:i4>0</vt:i4>
      </vt:variant>
      <vt:variant>
        <vt:i4>5</vt:i4>
      </vt:variant>
      <vt:variant>
        <vt:lpwstr/>
      </vt:variant>
      <vt:variant>
        <vt:lpwstr>_Toc194324908</vt:lpwstr>
      </vt:variant>
      <vt:variant>
        <vt:i4>1638462</vt:i4>
      </vt:variant>
      <vt:variant>
        <vt:i4>464</vt:i4>
      </vt:variant>
      <vt:variant>
        <vt:i4>0</vt:i4>
      </vt:variant>
      <vt:variant>
        <vt:i4>5</vt:i4>
      </vt:variant>
      <vt:variant>
        <vt:lpwstr/>
      </vt:variant>
      <vt:variant>
        <vt:lpwstr>_Toc194324907</vt:lpwstr>
      </vt:variant>
      <vt:variant>
        <vt:i4>1638462</vt:i4>
      </vt:variant>
      <vt:variant>
        <vt:i4>458</vt:i4>
      </vt:variant>
      <vt:variant>
        <vt:i4>0</vt:i4>
      </vt:variant>
      <vt:variant>
        <vt:i4>5</vt:i4>
      </vt:variant>
      <vt:variant>
        <vt:lpwstr/>
      </vt:variant>
      <vt:variant>
        <vt:lpwstr>_Toc194324906</vt:lpwstr>
      </vt:variant>
      <vt:variant>
        <vt:i4>1638462</vt:i4>
      </vt:variant>
      <vt:variant>
        <vt:i4>452</vt:i4>
      </vt:variant>
      <vt:variant>
        <vt:i4>0</vt:i4>
      </vt:variant>
      <vt:variant>
        <vt:i4>5</vt:i4>
      </vt:variant>
      <vt:variant>
        <vt:lpwstr/>
      </vt:variant>
      <vt:variant>
        <vt:lpwstr>_Toc194324905</vt:lpwstr>
      </vt:variant>
      <vt:variant>
        <vt:i4>1638462</vt:i4>
      </vt:variant>
      <vt:variant>
        <vt:i4>446</vt:i4>
      </vt:variant>
      <vt:variant>
        <vt:i4>0</vt:i4>
      </vt:variant>
      <vt:variant>
        <vt:i4>5</vt:i4>
      </vt:variant>
      <vt:variant>
        <vt:lpwstr/>
      </vt:variant>
      <vt:variant>
        <vt:lpwstr>_Toc194324904</vt:lpwstr>
      </vt:variant>
      <vt:variant>
        <vt:i4>1638462</vt:i4>
      </vt:variant>
      <vt:variant>
        <vt:i4>440</vt:i4>
      </vt:variant>
      <vt:variant>
        <vt:i4>0</vt:i4>
      </vt:variant>
      <vt:variant>
        <vt:i4>5</vt:i4>
      </vt:variant>
      <vt:variant>
        <vt:lpwstr/>
      </vt:variant>
      <vt:variant>
        <vt:lpwstr>_Toc194324903</vt:lpwstr>
      </vt:variant>
      <vt:variant>
        <vt:i4>1638462</vt:i4>
      </vt:variant>
      <vt:variant>
        <vt:i4>434</vt:i4>
      </vt:variant>
      <vt:variant>
        <vt:i4>0</vt:i4>
      </vt:variant>
      <vt:variant>
        <vt:i4>5</vt:i4>
      </vt:variant>
      <vt:variant>
        <vt:lpwstr/>
      </vt:variant>
      <vt:variant>
        <vt:lpwstr>_Toc194324902</vt:lpwstr>
      </vt:variant>
      <vt:variant>
        <vt:i4>1638462</vt:i4>
      </vt:variant>
      <vt:variant>
        <vt:i4>428</vt:i4>
      </vt:variant>
      <vt:variant>
        <vt:i4>0</vt:i4>
      </vt:variant>
      <vt:variant>
        <vt:i4>5</vt:i4>
      </vt:variant>
      <vt:variant>
        <vt:lpwstr/>
      </vt:variant>
      <vt:variant>
        <vt:lpwstr>_Toc194324901</vt:lpwstr>
      </vt:variant>
      <vt:variant>
        <vt:i4>1638462</vt:i4>
      </vt:variant>
      <vt:variant>
        <vt:i4>422</vt:i4>
      </vt:variant>
      <vt:variant>
        <vt:i4>0</vt:i4>
      </vt:variant>
      <vt:variant>
        <vt:i4>5</vt:i4>
      </vt:variant>
      <vt:variant>
        <vt:lpwstr/>
      </vt:variant>
      <vt:variant>
        <vt:lpwstr>_Toc194324900</vt:lpwstr>
      </vt:variant>
      <vt:variant>
        <vt:i4>1048639</vt:i4>
      </vt:variant>
      <vt:variant>
        <vt:i4>416</vt:i4>
      </vt:variant>
      <vt:variant>
        <vt:i4>0</vt:i4>
      </vt:variant>
      <vt:variant>
        <vt:i4>5</vt:i4>
      </vt:variant>
      <vt:variant>
        <vt:lpwstr/>
      </vt:variant>
      <vt:variant>
        <vt:lpwstr>_Toc194324899</vt:lpwstr>
      </vt:variant>
      <vt:variant>
        <vt:i4>1048639</vt:i4>
      </vt:variant>
      <vt:variant>
        <vt:i4>410</vt:i4>
      </vt:variant>
      <vt:variant>
        <vt:i4>0</vt:i4>
      </vt:variant>
      <vt:variant>
        <vt:i4>5</vt:i4>
      </vt:variant>
      <vt:variant>
        <vt:lpwstr/>
      </vt:variant>
      <vt:variant>
        <vt:lpwstr>_Toc194324898</vt:lpwstr>
      </vt:variant>
      <vt:variant>
        <vt:i4>1048639</vt:i4>
      </vt:variant>
      <vt:variant>
        <vt:i4>404</vt:i4>
      </vt:variant>
      <vt:variant>
        <vt:i4>0</vt:i4>
      </vt:variant>
      <vt:variant>
        <vt:i4>5</vt:i4>
      </vt:variant>
      <vt:variant>
        <vt:lpwstr/>
      </vt:variant>
      <vt:variant>
        <vt:lpwstr>_Toc194324897</vt:lpwstr>
      </vt:variant>
      <vt:variant>
        <vt:i4>1048639</vt:i4>
      </vt:variant>
      <vt:variant>
        <vt:i4>398</vt:i4>
      </vt:variant>
      <vt:variant>
        <vt:i4>0</vt:i4>
      </vt:variant>
      <vt:variant>
        <vt:i4>5</vt:i4>
      </vt:variant>
      <vt:variant>
        <vt:lpwstr/>
      </vt:variant>
      <vt:variant>
        <vt:lpwstr>_Toc194324896</vt:lpwstr>
      </vt:variant>
      <vt:variant>
        <vt:i4>1048639</vt:i4>
      </vt:variant>
      <vt:variant>
        <vt:i4>392</vt:i4>
      </vt:variant>
      <vt:variant>
        <vt:i4>0</vt:i4>
      </vt:variant>
      <vt:variant>
        <vt:i4>5</vt:i4>
      </vt:variant>
      <vt:variant>
        <vt:lpwstr/>
      </vt:variant>
      <vt:variant>
        <vt:lpwstr>_Toc194324895</vt:lpwstr>
      </vt:variant>
      <vt:variant>
        <vt:i4>1048639</vt:i4>
      </vt:variant>
      <vt:variant>
        <vt:i4>386</vt:i4>
      </vt:variant>
      <vt:variant>
        <vt:i4>0</vt:i4>
      </vt:variant>
      <vt:variant>
        <vt:i4>5</vt:i4>
      </vt:variant>
      <vt:variant>
        <vt:lpwstr/>
      </vt:variant>
      <vt:variant>
        <vt:lpwstr>_Toc194324894</vt:lpwstr>
      </vt:variant>
      <vt:variant>
        <vt:i4>1048639</vt:i4>
      </vt:variant>
      <vt:variant>
        <vt:i4>380</vt:i4>
      </vt:variant>
      <vt:variant>
        <vt:i4>0</vt:i4>
      </vt:variant>
      <vt:variant>
        <vt:i4>5</vt:i4>
      </vt:variant>
      <vt:variant>
        <vt:lpwstr/>
      </vt:variant>
      <vt:variant>
        <vt:lpwstr>_Toc194324893</vt:lpwstr>
      </vt:variant>
      <vt:variant>
        <vt:i4>1048639</vt:i4>
      </vt:variant>
      <vt:variant>
        <vt:i4>374</vt:i4>
      </vt:variant>
      <vt:variant>
        <vt:i4>0</vt:i4>
      </vt:variant>
      <vt:variant>
        <vt:i4>5</vt:i4>
      </vt:variant>
      <vt:variant>
        <vt:lpwstr/>
      </vt:variant>
      <vt:variant>
        <vt:lpwstr>_Toc194324892</vt:lpwstr>
      </vt:variant>
      <vt:variant>
        <vt:i4>1048639</vt:i4>
      </vt:variant>
      <vt:variant>
        <vt:i4>368</vt:i4>
      </vt:variant>
      <vt:variant>
        <vt:i4>0</vt:i4>
      </vt:variant>
      <vt:variant>
        <vt:i4>5</vt:i4>
      </vt:variant>
      <vt:variant>
        <vt:lpwstr/>
      </vt:variant>
      <vt:variant>
        <vt:lpwstr>_Toc194324891</vt:lpwstr>
      </vt:variant>
      <vt:variant>
        <vt:i4>1048639</vt:i4>
      </vt:variant>
      <vt:variant>
        <vt:i4>362</vt:i4>
      </vt:variant>
      <vt:variant>
        <vt:i4>0</vt:i4>
      </vt:variant>
      <vt:variant>
        <vt:i4>5</vt:i4>
      </vt:variant>
      <vt:variant>
        <vt:lpwstr/>
      </vt:variant>
      <vt:variant>
        <vt:lpwstr>_Toc194324890</vt:lpwstr>
      </vt:variant>
      <vt:variant>
        <vt:i4>1114175</vt:i4>
      </vt:variant>
      <vt:variant>
        <vt:i4>356</vt:i4>
      </vt:variant>
      <vt:variant>
        <vt:i4>0</vt:i4>
      </vt:variant>
      <vt:variant>
        <vt:i4>5</vt:i4>
      </vt:variant>
      <vt:variant>
        <vt:lpwstr/>
      </vt:variant>
      <vt:variant>
        <vt:lpwstr>_Toc194324889</vt:lpwstr>
      </vt:variant>
      <vt:variant>
        <vt:i4>1114175</vt:i4>
      </vt:variant>
      <vt:variant>
        <vt:i4>350</vt:i4>
      </vt:variant>
      <vt:variant>
        <vt:i4>0</vt:i4>
      </vt:variant>
      <vt:variant>
        <vt:i4>5</vt:i4>
      </vt:variant>
      <vt:variant>
        <vt:lpwstr/>
      </vt:variant>
      <vt:variant>
        <vt:lpwstr>_Toc194324888</vt:lpwstr>
      </vt:variant>
      <vt:variant>
        <vt:i4>1114175</vt:i4>
      </vt:variant>
      <vt:variant>
        <vt:i4>344</vt:i4>
      </vt:variant>
      <vt:variant>
        <vt:i4>0</vt:i4>
      </vt:variant>
      <vt:variant>
        <vt:i4>5</vt:i4>
      </vt:variant>
      <vt:variant>
        <vt:lpwstr/>
      </vt:variant>
      <vt:variant>
        <vt:lpwstr>_Toc194324887</vt:lpwstr>
      </vt:variant>
      <vt:variant>
        <vt:i4>1114175</vt:i4>
      </vt:variant>
      <vt:variant>
        <vt:i4>338</vt:i4>
      </vt:variant>
      <vt:variant>
        <vt:i4>0</vt:i4>
      </vt:variant>
      <vt:variant>
        <vt:i4>5</vt:i4>
      </vt:variant>
      <vt:variant>
        <vt:lpwstr/>
      </vt:variant>
      <vt:variant>
        <vt:lpwstr>_Toc194324886</vt:lpwstr>
      </vt:variant>
      <vt:variant>
        <vt:i4>1114175</vt:i4>
      </vt:variant>
      <vt:variant>
        <vt:i4>332</vt:i4>
      </vt:variant>
      <vt:variant>
        <vt:i4>0</vt:i4>
      </vt:variant>
      <vt:variant>
        <vt:i4>5</vt:i4>
      </vt:variant>
      <vt:variant>
        <vt:lpwstr/>
      </vt:variant>
      <vt:variant>
        <vt:lpwstr>_Toc194324885</vt:lpwstr>
      </vt:variant>
      <vt:variant>
        <vt:i4>1114175</vt:i4>
      </vt:variant>
      <vt:variant>
        <vt:i4>326</vt:i4>
      </vt:variant>
      <vt:variant>
        <vt:i4>0</vt:i4>
      </vt:variant>
      <vt:variant>
        <vt:i4>5</vt:i4>
      </vt:variant>
      <vt:variant>
        <vt:lpwstr/>
      </vt:variant>
      <vt:variant>
        <vt:lpwstr>_Toc194324884</vt:lpwstr>
      </vt:variant>
      <vt:variant>
        <vt:i4>1114175</vt:i4>
      </vt:variant>
      <vt:variant>
        <vt:i4>320</vt:i4>
      </vt:variant>
      <vt:variant>
        <vt:i4>0</vt:i4>
      </vt:variant>
      <vt:variant>
        <vt:i4>5</vt:i4>
      </vt:variant>
      <vt:variant>
        <vt:lpwstr/>
      </vt:variant>
      <vt:variant>
        <vt:lpwstr>_Toc194324883</vt:lpwstr>
      </vt:variant>
      <vt:variant>
        <vt:i4>1114175</vt:i4>
      </vt:variant>
      <vt:variant>
        <vt:i4>314</vt:i4>
      </vt:variant>
      <vt:variant>
        <vt:i4>0</vt:i4>
      </vt:variant>
      <vt:variant>
        <vt:i4>5</vt:i4>
      </vt:variant>
      <vt:variant>
        <vt:lpwstr/>
      </vt:variant>
      <vt:variant>
        <vt:lpwstr>_Toc194324882</vt:lpwstr>
      </vt:variant>
      <vt:variant>
        <vt:i4>1114175</vt:i4>
      </vt:variant>
      <vt:variant>
        <vt:i4>308</vt:i4>
      </vt:variant>
      <vt:variant>
        <vt:i4>0</vt:i4>
      </vt:variant>
      <vt:variant>
        <vt:i4>5</vt:i4>
      </vt:variant>
      <vt:variant>
        <vt:lpwstr/>
      </vt:variant>
      <vt:variant>
        <vt:lpwstr>_Toc194324881</vt:lpwstr>
      </vt:variant>
      <vt:variant>
        <vt:i4>1114175</vt:i4>
      </vt:variant>
      <vt:variant>
        <vt:i4>302</vt:i4>
      </vt:variant>
      <vt:variant>
        <vt:i4>0</vt:i4>
      </vt:variant>
      <vt:variant>
        <vt:i4>5</vt:i4>
      </vt:variant>
      <vt:variant>
        <vt:lpwstr/>
      </vt:variant>
      <vt:variant>
        <vt:lpwstr>_Toc194324880</vt:lpwstr>
      </vt:variant>
      <vt:variant>
        <vt:i4>1966143</vt:i4>
      </vt:variant>
      <vt:variant>
        <vt:i4>296</vt:i4>
      </vt:variant>
      <vt:variant>
        <vt:i4>0</vt:i4>
      </vt:variant>
      <vt:variant>
        <vt:i4>5</vt:i4>
      </vt:variant>
      <vt:variant>
        <vt:lpwstr/>
      </vt:variant>
      <vt:variant>
        <vt:lpwstr>_Toc194324879</vt:lpwstr>
      </vt:variant>
      <vt:variant>
        <vt:i4>1966143</vt:i4>
      </vt:variant>
      <vt:variant>
        <vt:i4>290</vt:i4>
      </vt:variant>
      <vt:variant>
        <vt:i4>0</vt:i4>
      </vt:variant>
      <vt:variant>
        <vt:i4>5</vt:i4>
      </vt:variant>
      <vt:variant>
        <vt:lpwstr/>
      </vt:variant>
      <vt:variant>
        <vt:lpwstr>_Toc194324878</vt:lpwstr>
      </vt:variant>
      <vt:variant>
        <vt:i4>1966143</vt:i4>
      </vt:variant>
      <vt:variant>
        <vt:i4>284</vt:i4>
      </vt:variant>
      <vt:variant>
        <vt:i4>0</vt:i4>
      </vt:variant>
      <vt:variant>
        <vt:i4>5</vt:i4>
      </vt:variant>
      <vt:variant>
        <vt:lpwstr/>
      </vt:variant>
      <vt:variant>
        <vt:lpwstr>_Toc194324877</vt:lpwstr>
      </vt:variant>
      <vt:variant>
        <vt:i4>1966143</vt:i4>
      </vt:variant>
      <vt:variant>
        <vt:i4>278</vt:i4>
      </vt:variant>
      <vt:variant>
        <vt:i4>0</vt:i4>
      </vt:variant>
      <vt:variant>
        <vt:i4>5</vt:i4>
      </vt:variant>
      <vt:variant>
        <vt:lpwstr/>
      </vt:variant>
      <vt:variant>
        <vt:lpwstr>_Toc194324876</vt:lpwstr>
      </vt:variant>
      <vt:variant>
        <vt:i4>1966143</vt:i4>
      </vt:variant>
      <vt:variant>
        <vt:i4>272</vt:i4>
      </vt:variant>
      <vt:variant>
        <vt:i4>0</vt:i4>
      </vt:variant>
      <vt:variant>
        <vt:i4>5</vt:i4>
      </vt:variant>
      <vt:variant>
        <vt:lpwstr/>
      </vt:variant>
      <vt:variant>
        <vt:lpwstr>_Toc194324875</vt:lpwstr>
      </vt:variant>
      <vt:variant>
        <vt:i4>1966143</vt:i4>
      </vt:variant>
      <vt:variant>
        <vt:i4>266</vt:i4>
      </vt:variant>
      <vt:variant>
        <vt:i4>0</vt:i4>
      </vt:variant>
      <vt:variant>
        <vt:i4>5</vt:i4>
      </vt:variant>
      <vt:variant>
        <vt:lpwstr/>
      </vt:variant>
      <vt:variant>
        <vt:lpwstr>_Toc194324874</vt:lpwstr>
      </vt:variant>
      <vt:variant>
        <vt:i4>1966143</vt:i4>
      </vt:variant>
      <vt:variant>
        <vt:i4>260</vt:i4>
      </vt:variant>
      <vt:variant>
        <vt:i4>0</vt:i4>
      </vt:variant>
      <vt:variant>
        <vt:i4>5</vt:i4>
      </vt:variant>
      <vt:variant>
        <vt:lpwstr/>
      </vt:variant>
      <vt:variant>
        <vt:lpwstr>_Toc194324873</vt:lpwstr>
      </vt:variant>
      <vt:variant>
        <vt:i4>1966143</vt:i4>
      </vt:variant>
      <vt:variant>
        <vt:i4>254</vt:i4>
      </vt:variant>
      <vt:variant>
        <vt:i4>0</vt:i4>
      </vt:variant>
      <vt:variant>
        <vt:i4>5</vt:i4>
      </vt:variant>
      <vt:variant>
        <vt:lpwstr/>
      </vt:variant>
      <vt:variant>
        <vt:lpwstr>_Toc194324872</vt:lpwstr>
      </vt:variant>
      <vt:variant>
        <vt:i4>1966143</vt:i4>
      </vt:variant>
      <vt:variant>
        <vt:i4>248</vt:i4>
      </vt:variant>
      <vt:variant>
        <vt:i4>0</vt:i4>
      </vt:variant>
      <vt:variant>
        <vt:i4>5</vt:i4>
      </vt:variant>
      <vt:variant>
        <vt:lpwstr/>
      </vt:variant>
      <vt:variant>
        <vt:lpwstr>_Toc194324871</vt:lpwstr>
      </vt:variant>
      <vt:variant>
        <vt:i4>1966143</vt:i4>
      </vt:variant>
      <vt:variant>
        <vt:i4>242</vt:i4>
      </vt:variant>
      <vt:variant>
        <vt:i4>0</vt:i4>
      </vt:variant>
      <vt:variant>
        <vt:i4>5</vt:i4>
      </vt:variant>
      <vt:variant>
        <vt:lpwstr/>
      </vt:variant>
      <vt:variant>
        <vt:lpwstr>_Toc194324870</vt:lpwstr>
      </vt:variant>
      <vt:variant>
        <vt:i4>2031679</vt:i4>
      </vt:variant>
      <vt:variant>
        <vt:i4>236</vt:i4>
      </vt:variant>
      <vt:variant>
        <vt:i4>0</vt:i4>
      </vt:variant>
      <vt:variant>
        <vt:i4>5</vt:i4>
      </vt:variant>
      <vt:variant>
        <vt:lpwstr/>
      </vt:variant>
      <vt:variant>
        <vt:lpwstr>_Toc194324869</vt:lpwstr>
      </vt:variant>
      <vt:variant>
        <vt:i4>2031679</vt:i4>
      </vt:variant>
      <vt:variant>
        <vt:i4>230</vt:i4>
      </vt:variant>
      <vt:variant>
        <vt:i4>0</vt:i4>
      </vt:variant>
      <vt:variant>
        <vt:i4>5</vt:i4>
      </vt:variant>
      <vt:variant>
        <vt:lpwstr/>
      </vt:variant>
      <vt:variant>
        <vt:lpwstr>_Toc194324868</vt:lpwstr>
      </vt:variant>
      <vt:variant>
        <vt:i4>2031679</vt:i4>
      </vt:variant>
      <vt:variant>
        <vt:i4>224</vt:i4>
      </vt:variant>
      <vt:variant>
        <vt:i4>0</vt:i4>
      </vt:variant>
      <vt:variant>
        <vt:i4>5</vt:i4>
      </vt:variant>
      <vt:variant>
        <vt:lpwstr/>
      </vt:variant>
      <vt:variant>
        <vt:lpwstr>_Toc194324867</vt:lpwstr>
      </vt:variant>
      <vt:variant>
        <vt:i4>2031679</vt:i4>
      </vt:variant>
      <vt:variant>
        <vt:i4>218</vt:i4>
      </vt:variant>
      <vt:variant>
        <vt:i4>0</vt:i4>
      </vt:variant>
      <vt:variant>
        <vt:i4>5</vt:i4>
      </vt:variant>
      <vt:variant>
        <vt:lpwstr/>
      </vt:variant>
      <vt:variant>
        <vt:lpwstr>_Toc194324866</vt:lpwstr>
      </vt:variant>
      <vt:variant>
        <vt:i4>2031679</vt:i4>
      </vt:variant>
      <vt:variant>
        <vt:i4>212</vt:i4>
      </vt:variant>
      <vt:variant>
        <vt:i4>0</vt:i4>
      </vt:variant>
      <vt:variant>
        <vt:i4>5</vt:i4>
      </vt:variant>
      <vt:variant>
        <vt:lpwstr/>
      </vt:variant>
      <vt:variant>
        <vt:lpwstr>_Toc194324865</vt:lpwstr>
      </vt:variant>
      <vt:variant>
        <vt:i4>2031679</vt:i4>
      </vt:variant>
      <vt:variant>
        <vt:i4>206</vt:i4>
      </vt:variant>
      <vt:variant>
        <vt:i4>0</vt:i4>
      </vt:variant>
      <vt:variant>
        <vt:i4>5</vt:i4>
      </vt:variant>
      <vt:variant>
        <vt:lpwstr/>
      </vt:variant>
      <vt:variant>
        <vt:lpwstr>_Toc194324864</vt:lpwstr>
      </vt:variant>
      <vt:variant>
        <vt:i4>2031679</vt:i4>
      </vt:variant>
      <vt:variant>
        <vt:i4>200</vt:i4>
      </vt:variant>
      <vt:variant>
        <vt:i4>0</vt:i4>
      </vt:variant>
      <vt:variant>
        <vt:i4>5</vt:i4>
      </vt:variant>
      <vt:variant>
        <vt:lpwstr/>
      </vt:variant>
      <vt:variant>
        <vt:lpwstr>_Toc194324863</vt:lpwstr>
      </vt:variant>
      <vt:variant>
        <vt:i4>2031679</vt:i4>
      </vt:variant>
      <vt:variant>
        <vt:i4>194</vt:i4>
      </vt:variant>
      <vt:variant>
        <vt:i4>0</vt:i4>
      </vt:variant>
      <vt:variant>
        <vt:i4>5</vt:i4>
      </vt:variant>
      <vt:variant>
        <vt:lpwstr/>
      </vt:variant>
      <vt:variant>
        <vt:lpwstr>_Toc194324862</vt:lpwstr>
      </vt:variant>
      <vt:variant>
        <vt:i4>2031679</vt:i4>
      </vt:variant>
      <vt:variant>
        <vt:i4>188</vt:i4>
      </vt:variant>
      <vt:variant>
        <vt:i4>0</vt:i4>
      </vt:variant>
      <vt:variant>
        <vt:i4>5</vt:i4>
      </vt:variant>
      <vt:variant>
        <vt:lpwstr/>
      </vt:variant>
      <vt:variant>
        <vt:lpwstr>_Toc194324861</vt:lpwstr>
      </vt:variant>
      <vt:variant>
        <vt:i4>2031679</vt:i4>
      </vt:variant>
      <vt:variant>
        <vt:i4>182</vt:i4>
      </vt:variant>
      <vt:variant>
        <vt:i4>0</vt:i4>
      </vt:variant>
      <vt:variant>
        <vt:i4>5</vt:i4>
      </vt:variant>
      <vt:variant>
        <vt:lpwstr/>
      </vt:variant>
      <vt:variant>
        <vt:lpwstr>_Toc194324860</vt:lpwstr>
      </vt:variant>
      <vt:variant>
        <vt:i4>1835071</vt:i4>
      </vt:variant>
      <vt:variant>
        <vt:i4>176</vt:i4>
      </vt:variant>
      <vt:variant>
        <vt:i4>0</vt:i4>
      </vt:variant>
      <vt:variant>
        <vt:i4>5</vt:i4>
      </vt:variant>
      <vt:variant>
        <vt:lpwstr/>
      </vt:variant>
      <vt:variant>
        <vt:lpwstr>_Toc194324859</vt:lpwstr>
      </vt:variant>
      <vt:variant>
        <vt:i4>1835071</vt:i4>
      </vt:variant>
      <vt:variant>
        <vt:i4>170</vt:i4>
      </vt:variant>
      <vt:variant>
        <vt:i4>0</vt:i4>
      </vt:variant>
      <vt:variant>
        <vt:i4>5</vt:i4>
      </vt:variant>
      <vt:variant>
        <vt:lpwstr/>
      </vt:variant>
      <vt:variant>
        <vt:lpwstr>_Toc194324858</vt:lpwstr>
      </vt:variant>
      <vt:variant>
        <vt:i4>1835071</vt:i4>
      </vt:variant>
      <vt:variant>
        <vt:i4>164</vt:i4>
      </vt:variant>
      <vt:variant>
        <vt:i4>0</vt:i4>
      </vt:variant>
      <vt:variant>
        <vt:i4>5</vt:i4>
      </vt:variant>
      <vt:variant>
        <vt:lpwstr/>
      </vt:variant>
      <vt:variant>
        <vt:lpwstr>_Toc194324857</vt:lpwstr>
      </vt:variant>
      <vt:variant>
        <vt:i4>1835071</vt:i4>
      </vt:variant>
      <vt:variant>
        <vt:i4>158</vt:i4>
      </vt:variant>
      <vt:variant>
        <vt:i4>0</vt:i4>
      </vt:variant>
      <vt:variant>
        <vt:i4>5</vt:i4>
      </vt:variant>
      <vt:variant>
        <vt:lpwstr/>
      </vt:variant>
      <vt:variant>
        <vt:lpwstr>_Toc194324856</vt:lpwstr>
      </vt:variant>
      <vt:variant>
        <vt:i4>1835071</vt:i4>
      </vt:variant>
      <vt:variant>
        <vt:i4>152</vt:i4>
      </vt:variant>
      <vt:variant>
        <vt:i4>0</vt:i4>
      </vt:variant>
      <vt:variant>
        <vt:i4>5</vt:i4>
      </vt:variant>
      <vt:variant>
        <vt:lpwstr/>
      </vt:variant>
      <vt:variant>
        <vt:lpwstr>_Toc194324855</vt:lpwstr>
      </vt:variant>
      <vt:variant>
        <vt:i4>1835071</vt:i4>
      </vt:variant>
      <vt:variant>
        <vt:i4>146</vt:i4>
      </vt:variant>
      <vt:variant>
        <vt:i4>0</vt:i4>
      </vt:variant>
      <vt:variant>
        <vt:i4>5</vt:i4>
      </vt:variant>
      <vt:variant>
        <vt:lpwstr/>
      </vt:variant>
      <vt:variant>
        <vt:lpwstr>_Toc194324854</vt:lpwstr>
      </vt:variant>
      <vt:variant>
        <vt:i4>1835071</vt:i4>
      </vt:variant>
      <vt:variant>
        <vt:i4>140</vt:i4>
      </vt:variant>
      <vt:variant>
        <vt:i4>0</vt:i4>
      </vt:variant>
      <vt:variant>
        <vt:i4>5</vt:i4>
      </vt:variant>
      <vt:variant>
        <vt:lpwstr/>
      </vt:variant>
      <vt:variant>
        <vt:lpwstr>_Toc194324853</vt:lpwstr>
      </vt:variant>
      <vt:variant>
        <vt:i4>1835071</vt:i4>
      </vt:variant>
      <vt:variant>
        <vt:i4>134</vt:i4>
      </vt:variant>
      <vt:variant>
        <vt:i4>0</vt:i4>
      </vt:variant>
      <vt:variant>
        <vt:i4>5</vt:i4>
      </vt:variant>
      <vt:variant>
        <vt:lpwstr/>
      </vt:variant>
      <vt:variant>
        <vt:lpwstr>_Toc194324852</vt:lpwstr>
      </vt:variant>
      <vt:variant>
        <vt:i4>1835071</vt:i4>
      </vt:variant>
      <vt:variant>
        <vt:i4>128</vt:i4>
      </vt:variant>
      <vt:variant>
        <vt:i4>0</vt:i4>
      </vt:variant>
      <vt:variant>
        <vt:i4>5</vt:i4>
      </vt:variant>
      <vt:variant>
        <vt:lpwstr/>
      </vt:variant>
      <vt:variant>
        <vt:lpwstr>_Toc194324851</vt:lpwstr>
      </vt:variant>
      <vt:variant>
        <vt:i4>1835071</vt:i4>
      </vt:variant>
      <vt:variant>
        <vt:i4>122</vt:i4>
      </vt:variant>
      <vt:variant>
        <vt:i4>0</vt:i4>
      </vt:variant>
      <vt:variant>
        <vt:i4>5</vt:i4>
      </vt:variant>
      <vt:variant>
        <vt:lpwstr/>
      </vt:variant>
      <vt:variant>
        <vt:lpwstr>_Toc194324850</vt:lpwstr>
      </vt:variant>
      <vt:variant>
        <vt:i4>1900607</vt:i4>
      </vt:variant>
      <vt:variant>
        <vt:i4>116</vt:i4>
      </vt:variant>
      <vt:variant>
        <vt:i4>0</vt:i4>
      </vt:variant>
      <vt:variant>
        <vt:i4>5</vt:i4>
      </vt:variant>
      <vt:variant>
        <vt:lpwstr/>
      </vt:variant>
      <vt:variant>
        <vt:lpwstr>_Toc194324849</vt:lpwstr>
      </vt:variant>
      <vt:variant>
        <vt:i4>1900607</vt:i4>
      </vt:variant>
      <vt:variant>
        <vt:i4>110</vt:i4>
      </vt:variant>
      <vt:variant>
        <vt:i4>0</vt:i4>
      </vt:variant>
      <vt:variant>
        <vt:i4>5</vt:i4>
      </vt:variant>
      <vt:variant>
        <vt:lpwstr/>
      </vt:variant>
      <vt:variant>
        <vt:lpwstr>_Toc194324848</vt:lpwstr>
      </vt:variant>
      <vt:variant>
        <vt:i4>1900607</vt:i4>
      </vt:variant>
      <vt:variant>
        <vt:i4>104</vt:i4>
      </vt:variant>
      <vt:variant>
        <vt:i4>0</vt:i4>
      </vt:variant>
      <vt:variant>
        <vt:i4>5</vt:i4>
      </vt:variant>
      <vt:variant>
        <vt:lpwstr/>
      </vt:variant>
      <vt:variant>
        <vt:lpwstr>_Toc194324847</vt:lpwstr>
      </vt:variant>
      <vt:variant>
        <vt:i4>1900607</vt:i4>
      </vt:variant>
      <vt:variant>
        <vt:i4>98</vt:i4>
      </vt:variant>
      <vt:variant>
        <vt:i4>0</vt:i4>
      </vt:variant>
      <vt:variant>
        <vt:i4>5</vt:i4>
      </vt:variant>
      <vt:variant>
        <vt:lpwstr/>
      </vt:variant>
      <vt:variant>
        <vt:lpwstr>_Toc194324846</vt:lpwstr>
      </vt:variant>
      <vt:variant>
        <vt:i4>1900607</vt:i4>
      </vt:variant>
      <vt:variant>
        <vt:i4>92</vt:i4>
      </vt:variant>
      <vt:variant>
        <vt:i4>0</vt:i4>
      </vt:variant>
      <vt:variant>
        <vt:i4>5</vt:i4>
      </vt:variant>
      <vt:variant>
        <vt:lpwstr/>
      </vt:variant>
      <vt:variant>
        <vt:lpwstr>_Toc194324845</vt:lpwstr>
      </vt:variant>
      <vt:variant>
        <vt:i4>1900607</vt:i4>
      </vt:variant>
      <vt:variant>
        <vt:i4>86</vt:i4>
      </vt:variant>
      <vt:variant>
        <vt:i4>0</vt:i4>
      </vt:variant>
      <vt:variant>
        <vt:i4>5</vt:i4>
      </vt:variant>
      <vt:variant>
        <vt:lpwstr/>
      </vt:variant>
      <vt:variant>
        <vt:lpwstr>_Toc194324844</vt:lpwstr>
      </vt:variant>
      <vt:variant>
        <vt:i4>1900607</vt:i4>
      </vt:variant>
      <vt:variant>
        <vt:i4>80</vt:i4>
      </vt:variant>
      <vt:variant>
        <vt:i4>0</vt:i4>
      </vt:variant>
      <vt:variant>
        <vt:i4>5</vt:i4>
      </vt:variant>
      <vt:variant>
        <vt:lpwstr/>
      </vt:variant>
      <vt:variant>
        <vt:lpwstr>_Toc194324843</vt:lpwstr>
      </vt:variant>
      <vt:variant>
        <vt:i4>1900607</vt:i4>
      </vt:variant>
      <vt:variant>
        <vt:i4>74</vt:i4>
      </vt:variant>
      <vt:variant>
        <vt:i4>0</vt:i4>
      </vt:variant>
      <vt:variant>
        <vt:i4>5</vt:i4>
      </vt:variant>
      <vt:variant>
        <vt:lpwstr/>
      </vt:variant>
      <vt:variant>
        <vt:lpwstr>_Toc194324842</vt:lpwstr>
      </vt:variant>
      <vt:variant>
        <vt:i4>1900607</vt:i4>
      </vt:variant>
      <vt:variant>
        <vt:i4>68</vt:i4>
      </vt:variant>
      <vt:variant>
        <vt:i4>0</vt:i4>
      </vt:variant>
      <vt:variant>
        <vt:i4>5</vt:i4>
      </vt:variant>
      <vt:variant>
        <vt:lpwstr/>
      </vt:variant>
      <vt:variant>
        <vt:lpwstr>_Toc194324841</vt:lpwstr>
      </vt:variant>
      <vt:variant>
        <vt:i4>1900607</vt:i4>
      </vt:variant>
      <vt:variant>
        <vt:i4>62</vt:i4>
      </vt:variant>
      <vt:variant>
        <vt:i4>0</vt:i4>
      </vt:variant>
      <vt:variant>
        <vt:i4>5</vt:i4>
      </vt:variant>
      <vt:variant>
        <vt:lpwstr/>
      </vt:variant>
      <vt:variant>
        <vt:lpwstr>_Toc194324840</vt:lpwstr>
      </vt:variant>
      <vt:variant>
        <vt:i4>1703999</vt:i4>
      </vt:variant>
      <vt:variant>
        <vt:i4>56</vt:i4>
      </vt:variant>
      <vt:variant>
        <vt:i4>0</vt:i4>
      </vt:variant>
      <vt:variant>
        <vt:i4>5</vt:i4>
      </vt:variant>
      <vt:variant>
        <vt:lpwstr/>
      </vt:variant>
      <vt:variant>
        <vt:lpwstr>_Toc194324839</vt:lpwstr>
      </vt:variant>
      <vt:variant>
        <vt:i4>1703999</vt:i4>
      </vt:variant>
      <vt:variant>
        <vt:i4>50</vt:i4>
      </vt:variant>
      <vt:variant>
        <vt:i4>0</vt:i4>
      </vt:variant>
      <vt:variant>
        <vt:i4>5</vt:i4>
      </vt:variant>
      <vt:variant>
        <vt:lpwstr/>
      </vt:variant>
      <vt:variant>
        <vt:lpwstr>_Toc194324838</vt:lpwstr>
      </vt:variant>
      <vt:variant>
        <vt:i4>1703999</vt:i4>
      </vt:variant>
      <vt:variant>
        <vt:i4>44</vt:i4>
      </vt:variant>
      <vt:variant>
        <vt:i4>0</vt:i4>
      </vt:variant>
      <vt:variant>
        <vt:i4>5</vt:i4>
      </vt:variant>
      <vt:variant>
        <vt:lpwstr/>
      </vt:variant>
      <vt:variant>
        <vt:lpwstr>_Toc194324837</vt:lpwstr>
      </vt:variant>
      <vt:variant>
        <vt:i4>1703999</vt:i4>
      </vt:variant>
      <vt:variant>
        <vt:i4>38</vt:i4>
      </vt:variant>
      <vt:variant>
        <vt:i4>0</vt:i4>
      </vt:variant>
      <vt:variant>
        <vt:i4>5</vt:i4>
      </vt:variant>
      <vt:variant>
        <vt:lpwstr/>
      </vt:variant>
      <vt:variant>
        <vt:lpwstr>_Toc194324836</vt:lpwstr>
      </vt:variant>
      <vt:variant>
        <vt:i4>1703999</vt:i4>
      </vt:variant>
      <vt:variant>
        <vt:i4>32</vt:i4>
      </vt:variant>
      <vt:variant>
        <vt:i4>0</vt:i4>
      </vt:variant>
      <vt:variant>
        <vt:i4>5</vt:i4>
      </vt:variant>
      <vt:variant>
        <vt:lpwstr/>
      </vt:variant>
      <vt:variant>
        <vt:lpwstr>_Toc194324835</vt:lpwstr>
      </vt:variant>
      <vt:variant>
        <vt:i4>1703999</vt:i4>
      </vt:variant>
      <vt:variant>
        <vt:i4>26</vt:i4>
      </vt:variant>
      <vt:variant>
        <vt:i4>0</vt:i4>
      </vt:variant>
      <vt:variant>
        <vt:i4>5</vt:i4>
      </vt:variant>
      <vt:variant>
        <vt:lpwstr/>
      </vt:variant>
      <vt:variant>
        <vt:lpwstr>_Toc194324834</vt:lpwstr>
      </vt:variant>
      <vt:variant>
        <vt:i4>1703999</vt:i4>
      </vt:variant>
      <vt:variant>
        <vt:i4>20</vt:i4>
      </vt:variant>
      <vt:variant>
        <vt:i4>0</vt:i4>
      </vt:variant>
      <vt:variant>
        <vt:i4>5</vt:i4>
      </vt:variant>
      <vt:variant>
        <vt:lpwstr/>
      </vt:variant>
      <vt:variant>
        <vt:lpwstr>_Toc194324833</vt:lpwstr>
      </vt:variant>
      <vt:variant>
        <vt:i4>1703999</vt:i4>
      </vt:variant>
      <vt:variant>
        <vt:i4>14</vt:i4>
      </vt:variant>
      <vt:variant>
        <vt:i4>0</vt:i4>
      </vt:variant>
      <vt:variant>
        <vt:i4>5</vt:i4>
      </vt:variant>
      <vt:variant>
        <vt:lpwstr/>
      </vt:variant>
      <vt:variant>
        <vt:lpwstr>_Toc194324832</vt:lpwstr>
      </vt:variant>
      <vt:variant>
        <vt:i4>1703999</vt:i4>
      </vt:variant>
      <vt:variant>
        <vt:i4>8</vt:i4>
      </vt:variant>
      <vt:variant>
        <vt:i4>0</vt:i4>
      </vt:variant>
      <vt:variant>
        <vt:i4>5</vt:i4>
      </vt:variant>
      <vt:variant>
        <vt:lpwstr/>
      </vt:variant>
      <vt:variant>
        <vt:lpwstr>_Toc194324831</vt:lpwstr>
      </vt:variant>
      <vt:variant>
        <vt:i4>1703999</vt:i4>
      </vt:variant>
      <vt:variant>
        <vt:i4>2</vt:i4>
      </vt:variant>
      <vt:variant>
        <vt:i4>0</vt:i4>
      </vt:variant>
      <vt:variant>
        <vt:i4>5</vt:i4>
      </vt:variant>
      <vt:variant>
        <vt:lpwstr/>
      </vt:variant>
      <vt:variant>
        <vt:lpwstr>_Toc194324830</vt:lpwstr>
      </vt:variant>
      <vt:variant>
        <vt:i4>655476</vt:i4>
      </vt:variant>
      <vt:variant>
        <vt:i4>0</vt:i4>
      </vt:variant>
      <vt:variant>
        <vt:i4>0</vt:i4>
      </vt:variant>
      <vt:variant>
        <vt:i4>5</vt:i4>
      </vt:variant>
      <vt:variant>
        <vt:lpwstr>mailto:salduncan@deloitte.com.au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2025-11-10T01:03:00Z</dcterms:created>
  <dcterms:modified xsi:type="dcterms:W3CDTF">2025-11-10T01:06:00Z</dcterms:modified>
</cp:coreProperties>
</file>